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AF11" w14:textId="2A34C2A4" w:rsidR="00932F20" w:rsidRPr="00867BB6" w:rsidRDefault="00932F20" w:rsidP="00932F20">
      <w:pPr>
        <w:pStyle w:val="NoSpacing"/>
        <w:rPr>
          <w:b/>
          <w:bCs/>
          <w:color w:val="FF0000"/>
          <w:sz w:val="28"/>
          <w:szCs w:val="28"/>
          <w:lang w:val="en-US"/>
        </w:rPr>
      </w:pPr>
      <w:r w:rsidRPr="00867BB6">
        <w:rPr>
          <w:b/>
          <w:bCs/>
          <w:color w:val="FF0000"/>
          <w:sz w:val="28"/>
          <w:szCs w:val="28"/>
          <w:lang w:val="en-US"/>
        </w:rPr>
        <w:t xml:space="preserve"> </w:t>
      </w:r>
    </w:p>
    <w:p w14:paraId="2D0C0ED7" w14:textId="2FEB8445" w:rsidR="00EB6266" w:rsidRPr="00867BB6" w:rsidRDefault="00EB6266" w:rsidP="009914A5">
      <w:pPr>
        <w:pStyle w:val="Authornames"/>
        <w:rPr>
          <w:b/>
          <w:lang w:val="en-US"/>
        </w:rPr>
      </w:pPr>
      <w:r w:rsidRPr="00867BB6">
        <w:rPr>
          <w:b/>
          <w:lang w:val="en-US"/>
        </w:rPr>
        <w:t>Polycentric Governance, Coordination and Capacity: The Case of Sargassum Influxes in the Caribbean</w:t>
      </w:r>
    </w:p>
    <w:p w14:paraId="29006815" w14:textId="444397CA" w:rsidR="007E6C80" w:rsidRPr="00867BB6" w:rsidRDefault="007E6C80" w:rsidP="00A2360E">
      <w:pPr>
        <w:pStyle w:val="Affiliation"/>
        <w:rPr>
          <w:i w:val="0"/>
          <w:sz w:val="28"/>
          <w:lang w:val="en-US"/>
        </w:rPr>
      </w:pPr>
      <w:r w:rsidRPr="00867BB6">
        <w:rPr>
          <w:i w:val="0"/>
          <w:sz w:val="28"/>
          <w:lang w:val="en-US"/>
        </w:rPr>
        <w:t xml:space="preserve">Sien van der </w:t>
      </w:r>
      <w:proofErr w:type="spellStart"/>
      <w:r w:rsidRPr="00867BB6">
        <w:rPr>
          <w:i w:val="0"/>
          <w:sz w:val="28"/>
          <w:lang w:val="en-US"/>
        </w:rPr>
        <w:t>Plank</w:t>
      </w:r>
      <w:r w:rsidRPr="00867BB6">
        <w:rPr>
          <w:i w:val="0"/>
          <w:sz w:val="28"/>
          <w:vertAlign w:val="superscript"/>
          <w:lang w:val="en-US"/>
        </w:rPr>
        <w:t>a</w:t>
      </w:r>
      <w:proofErr w:type="spellEnd"/>
      <w:r w:rsidRPr="00867BB6">
        <w:rPr>
          <w:i w:val="0"/>
          <w:sz w:val="28"/>
          <w:lang w:val="en-US"/>
        </w:rPr>
        <w:t xml:space="preserve">*, Shelly-Ann </w:t>
      </w:r>
      <w:proofErr w:type="spellStart"/>
      <w:r w:rsidRPr="00867BB6">
        <w:rPr>
          <w:i w:val="0"/>
          <w:sz w:val="28"/>
          <w:lang w:val="en-US"/>
        </w:rPr>
        <w:t>Cox</w:t>
      </w:r>
      <w:r w:rsidR="00D940E8" w:rsidRPr="00867BB6">
        <w:rPr>
          <w:i w:val="0"/>
          <w:sz w:val="28"/>
          <w:vertAlign w:val="superscript"/>
          <w:lang w:val="en-US"/>
        </w:rPr>
        <w:t>b</w:t>
      </w:r>
      <w:proofErr w:type="spellEnd"/>
      <w:r w:rsidRPr="00867BB6">
        <w:rPr>
          <w:i w:val="0"/>
          <w:sz w:val="28"/>
          <w:lang w:val="en-US"/>
        </w:rPr>
        <w:t xml:space="preserve">, Janice </w:t>
      </w:r>
      <w:proofErr w:type="spellStart"/>
      <w:r w:rsidRPr="00867BB6">
        <w:rPr>
          <w:i w:val="0"/>
          <w:sz w:val="28"/>
          <w:lang w:val="en-US"/>
        </w:rPr>
        <w:t>Cumberbatch</w:t>
      </w:r>
      <w:r w:rsidR="00D940E8" w:rsidRPr="00867BB6">
        <w:rPr>
          <w:i w:val="0"/>
          <w:sz w:val="28"/>
          <w:vertAlign w:val="superscript"/>
          <w:lang w:val="en-US"/>
        </w:rPr>
        <w:t>b</w:t>
      </w:r>
      <w:proofErr w:type="spellEnd"/>
      <w:r w:rsidRPr="00867BB6">
        <w:rPr>
          <w:i w:val="0"/>
          <w:sz w:val="28"/>
          <w:lang w:val="en-US"/>
        </w:rPr>
        <w:t xml:space="preserve">, Robin </w:t>
      </w:r>
      <w:proofErr w:type="spellStart"/>
      <w:r w:rsidRPr="00867BB6">
        <w:rPr>
          <w:i w:val="0"/>
          <w:sz w:val="28"/>
          <w:lang w:val="en-US"/>
        </w:rPr>
        <w:t>Mahon</w:t>
      </w:r>
      <w:r w:rsidR="00D940E8" w:rsidRPr="00867BB6">
        <w:rPr>
          <w:i w:val="0"/>
          <w:sz w:val="28"/>
          <w:vertAlign w:val="superscript"/>
          <w:lang w:val="en-US"/>
        </w:rPr>
        <w:t>b</w:t>
      </w:r>
      <w:proofErr w:type="spellEnd"/>
      <w:r w:rsidRPr="00867BB6">
        <w:rPr>
          <w:i w:val="0"/>
          <w:sz w:val="28"/>
          <w:lang w:val="en-US"/>
        </w:rPr>
        <w:t xml:space="preserve">, Bethia </w:t>
      </w:r>
      <w:proofErr w:type="spellStart"/>
      <w:r w:rsidRPr="00867BB6">
        <w:rPr>
          <w:i w:val="0"/>
          <w:sz w:val="28"/>
          <w:lang w:val="en-US"/>
        </w:rPr>
        <w:t>Thomas</w:t>
      </w:r>
      <w:r w:rsidR="00D940E8" w:rsidRPr="00867BB6">
        <w:rPr>
          <w:i w:val="0"/>
          <w:sz w:val="28"/>
          <w:vertAlign w:val="superscript"/>
          <w:lang w:val="en-US"/>
        </w:rPr>
        <w:t>b</w:t>
      </w:r>
      <w:proofErr w:type="spellEnd"/>
      <w:r w:rsidRPr="00867BB6">
        <w:rPr>
          <w:i w:val="0"/>
          <w:sz w:val="28"/>
          <w:lang w:val="en-US"/>
        </w:rPr>
        <w:t xml:space="preserve">, Emma </w:t>
      </w:r>
      <w:r w:rsidR="005A538B" w:rsidRPr="00867BB6">
        <w:rPr>
          <w:i w:val="0"/>
          <w:sz w:val="28"/>
          <w:lang w:val="en-US"/>
        </w:rPr>
        <w:t xml:space="preserve">L. </w:t>
      </w:r>
      <w:proofErr w:type="spellStart"/>
      <w:r w:rsidRPr="00867BB6">
        <w:rPr>
          <w:i w:val="0"/>
          <w:sz w:val="28"/>
          <w:lang w:val="en-US"/>
        </w:rPr>
        <w:t>Tompkins</w:t>
      </w:r>
      <w:r w:rsidRPr="00867BB6">
        <w:rPr>
          <w:i w:val="0"/>
          <w:sz w:val="28"/>
          <w:vertAlign w:val="superscript"/>
          <w:lang w:val="en-US"/>
        </w:rPr>
        <w:t>a</w:t>
      </w:r>
      <w:proofErr w:type="spellEnd"/>
      <w:r w:rsidR="00576BB0" w:rsidRPr="00867BB6">
        <w:rPr>
          <w:i w:val="0"/>
          <w:sz w:val="28"/>
          <w:lang w:val="en-US"/>
        </w:rPr>
        <w:t>, J</w:t>
      </w:r>
      <w:r w:rsidR="00063F94" w:rsidRPr="00867BB6">
        <w:rPr>
          <w:i w:val="0"/>
          <w:sz w:val="28"/>
          <w:lang w:val="en-US"/>
        </w:rPr>
        <w:t xml:space="preserve">ack </w:t>
      </w:r>
      <w:proofErr w:type="spellStart"/>
      <w:r w:rsidR="00063F94" w:rsidRPr="00867BB6">
        <w:rPr>
          <w:i w:val="0"/>
          <w:sz w:val="28"/>
          <w:lang w:val="en-US"/>
        </w:rPr>
        <w:t>Corbett</w:t>
      </w:r>
      <w:r w:rsidR="00D940E8" w:rsidRPr="00867BB6">
        <w:rPr>
          <w:i w:val="0"/>
          <w:sz w:val="28"/>
          <w:vertAlign w:val="superscript"/>
          <w:lang w:val="en-US"/>
        </w:rPr>
        <w:t>c</w:t>
      </w:r>
      <w:proofErr w:type="spellEnd"/>
    </w:p>
    <w:p w14:paraId="3A57809B" w14:textId="7B7C1530" w:rsidR="00997B0F" w:rsidRPr="00867BB6" w:rsidRDefault="00B64FA3" w:rsidP="00A2360E">
      <w:pPr>
        <w:pStyle w:val="Affiliation"/>
        <w:rPr>
          <w:lang w:val="en-US"/>
        </w:rPr>
      </w:pPr>
      <w:proofErr w:type="spellStart"/>
      <w:r w:rsidRPr="00867BB6">
        <w:rPr>
          <w:vertAlign w:val="superscript"/>
          <w:lang w:val="en-US"/>
        </w:rPr>
        <w:t>a</w:t>
      </w:r>
      <w:r w:rsidR="003F2BC0" w:rsidRPr="00867BB6">
        <w:rPr>
          <w:lang w:val="en-US"/>
        </w:rPr>
        <w:t>School</w:t>
      </w:r>
      <w:proofErr w:type="spellEnd"/>
      <w:r w:rsidR="003F2BC0" w:rsidRPr="00867BB6">
        <w:rPr>
          <w:lang w:val="en-US"/>
        </w:rPr>
        <w:t xml:space="preserve"> of Geography and Environmental Science, University of Southampton, Southampton, UK</w:t>
      </w:r>
      <w:r w:rsidRPr="00867BB6">
        <w:rPr>
          <w:lang w:val="en-US"/>
        </w:rPr>
        <w:t xml:space="preserve">; </w:t>
      </w:r>
      <w:proofErr w:type="spellStart"/>
      <w:r w:rsidR="00D940E8" w:rsidRPr="00867BB6">
        <w:rPr>
          <w:vertAlign w:val="superscript"/>
          <w:lang w:val="en-US"/>
        </w:rPr>
        <w:t>b</w:t>
      </w:r>
      <w:r w:rsidR="00932F20" w:rsidRPr="00867BB6">
        <w:rPr>
          <w:lang w:val="en-US"/>
        </w:rPr>
        <w:t>Centre</w:t>
      </w:r>
      <w:proofErr w:type="spellEnd"/>
      <w:r w:rsidR="00932F20" w:rsidRPr="00867BB6">
        <w:rPr>
          <w:lang w:val="en-US"/>
        </w:rPr>
        <w:t xml:space="preserve"> for Resource Management and Environmental Studies (CERMES), University of the West Indies, Cave Hill Campus, St. Michael, Barbados</w:t>
      </w:r>
      <w:r w:rsidR="00D940E8" w:rsidRPr="00867BB6">
        <w:rPr>
          <w:lang w:val="en-US"/>
        </w:rPr>
        <w:t xml:space="preserve">; </w:t>
      </w:r>
      <w:proofErr w:type="spellStart"/>
      <w:r w:rsidR="00D940E8" w:rsidRPr="00867BB6">
        <w:rPr>
          <w:vertAlign w:val="superscript"/>
          <w:lang w:val="en-US"/>
        </w:rPr>
        <w:t>c</w:t>
      </w:r>
      <w:r w:rsidR="00D940E8" w:rsidRPr="00867BB6">
        <w:rPr>
          <w:lang w:val="en-US"/>
        </w:rPr>
        <w:t>School</w:t>
      </w:r>
      <w:proofErr w:type="spellEnd"/>
      <w:r w:rsidR="00D940E8" w:rsidRPr="00867BB6">
        <w:rPr>
          <w:lang w:val="en-US"/>
        </w:rPr>
        <w:t xml:space="preserve"> of Politics and International Relations, University of Southampton, Southampton, UK</w:t>
      </w:r>
    </w:p>
    <w:p w14:paraId="49ED8D1B" w14:textId="7AA61C4A" w:rsidR="000A4428" w:rsidRPr="00867BB6" w:rsidRDefault="005C056D" w:rsidP="00A2360E">
      <w:pPr>
        <w:pStyle w:val="Correspondencedetails"/>
        <w:rPr>
          <w:lang w:val="en-US"/>
        </w:rPr>
      </w:pPr>
      <w:r w:rsidRPr="00867BB6">
        <w:rPr>
          <w:lang w:val="en-US"/>
        </w:rPr>
        <w:t>*</w:t>
      </w:r>
      <w:r w:rsidR="003F34DA" w:rsidRPr="00867BB6">
        <w:rPr>
          <w:lang w:val="en-US"/>
        </w:rPr>
        <w:t>C</w:t>
      </w:r>
      <w:r w:rsidR="00C14585" w:rsidRPr="00867BB6">
        <w:rPr>
          <w:lang w:val="en-US"/>
        </w:rPr>
        <w:t>orresponding author</w:t>
      </w:r>
      <w:r w:rsidR="003F34DA" w:rsidRPr="00867BB6">
        <w:rPr>
          <w:lang w:val="en-US"/>
        </w:rPr>
        <w:t xml:space="preserve"> contact details: </w:t>
      </w:r>
      <w:hyperlink r:id="rId8" w:history="1">
        <w:r w:rsidR="003F34DA" w:rsidRPr="00867BB6">
          <w:rPr>
            <w:rStyle w:val="Hyperlink"/>
            <w:lang w:val="en-US"/>
          </w:rPr>
          <w:t>sien.vanderplank@soton.ac.uk</w:t>
        </w:r>
      </w:hyperlink>
      <w:r w:rsidR="003F34DA" w:rsidRPr="00867BB6">
        <w:rPr>
          <w:lang w:val="en-US"/>
        </w:rPr>
        <w:t xml:space="preserve"> </w:t>
      </w:r>
    </w:p>
    <w:p w14:paraId="103D0AFE" w14:textId="14CCB7A0" w:rsidR="00C246C5" w:rsidRPr="00867BB6" w:rsidRDefault="00C14585" w:rsidP="009B24B5">
      <w:pPr>
        <w:pStyle w:val="Articletitle"/>
        <w:rPr>
          <w:lang w:val="en-US"/>
        </w:rPr>
      </w:pPr>
      <w:r w:rsidRPr="00867BB6">
        <w:rPr>
          <w:lang w:val="en-US"/>
        </w:rPr>
        <w:br w:type="page"/>
      </w:r>
      <w:r w:rsidR="00EA1CFF" w:rsidRPr="00867BB6">
        <w:rPr>
          <w:lang w:val="en-US"/>
        </w:rPr>
        <w:lastRenderedPageBreak/>
        <w:t>Polycentric Governance, Coordination and Capacity: The Case of Sargassum Influxes in the Caribbean</w:t>
      </w:r>
    </w:p>
    <w:p w14:paraId="214718B5" w14:textId="3C543680" w:rsidR="00401F33" w:rsidRPr="00867BB6" w:rsidRDefault="00401F33" w:rsidP="00222E2A">
      <w:pPr>
        <w:pStyle w:val="Keywords"/>
        <w:jc w:val="both"/>
        <w:rPr>
          <w:lang w:val="en-US"/>
        </w:rPr>
      </w:pPr>
      <w:r w:rsidRPr="00867BB6">
        <w:rPr>
          <w:lang w:val="en-US"/>
        </w:rPr>
        <w:t xml:space="preserve">The merits of polycentric climate governance have attracted considerable discussion. On the one hand, polycentric governance offers an alternative to top-down state-centric forms that have so far proven elusive. On the other, highly networked systems increase coordination challenges. Less attention has been paid to the varying capacities required to achieve coordination. In this article we explore </w:t>
      </w:r>
      <w:r w:rsidR="00EB60D8">
        <w:rPr>
          <w:lang w:val="en-US"/>
        </w:rPr>
        <w:t xml:space="preserve">the </w:t>
      </w:r>
      <w:r w:rsidRPr="00867BB6">
        <w:rPr>
          <w:lang w:val="en-US"/>
        </w:rPr>
        <w:t xml:space="preserve">coordination of polycentric governance via a case study of sargassum influx management in the Caribbean. Since 2011, large quantities of sargassum seaweed have been washing up on Caribbean beaches with adverse </w:t>
      </w:r>
      <w:r w:rsidR="00A07AB4" w:rsidRPr="00867BB6">
        <w:rPr>
          <w:lang w:val="en-US"/>
        </w:rPr>
        <w:t xml:space="preserve">socio-economic </w:t>
      </w:r>
      <w:r w:rsidRPr="00867BB6">
        <w:rPr>
          <w:lang w:val="en-US"/>
        </w:rPr>
        <w:t>impacts. Our analysis of sargassum management policies reveals that a nascent polycentric system has generated significant cooperation in policy development and application across the region. However, there remain national capacity deficits to engage in</w:t>
      </w:r>
      <w:r w:rsidR="00556B9F" w:rsidRPr="00867BB6">
        <w:rPr>
          <w:lang w:val="en-US"/>
        </w:rPr>
        <w:t xml:space="preserve"> this form of</w:t>
      </w:r>
      <w:r w:rsidRPr="00867BB6">
        <w:rPr>
          <w:lang w:val="en-US"/>
        </w:rPr>
        <w:t xml:space="preserve"> governance and to implement agreed actions. We conclude that advocates of a polycentric climate governance regime need to consider how capacity shapes participation, to the advantage of the largest and strongest. Polycentric governance can be useful for solving disparate cross-border environmental problems</w:t>
      </w:r>
      <w:r w:rsidR="005A538B" w:rsidRPr="00867BB6">
        <w:rPr>
          <w:lang w:val="en-US"/>
        </w:rPr>
        <w:t>, b</w:t>
      </w:r>
      <w:r w:rsidRPr="00867BB6">
        <w:rPr>
          <w:lang w:val="en-US"/>
        </w:rPr>
        <w:t xml:space="preserve">ut it also imposes a cost on the smallest that has thus far been unacknowledged and undertheorized.  </w:t>
      </w:r>
    </w:p>
    <w:p w14:paraId="4A967709" w14:textId="15567117" w:rsidR="0020415E" w:rsidRPr="00867BB6" w:rsidRDefault="00997B0F" w:rsidP="00F30DFF">
      <w:pPr>
        <w:pStyle w:val="Keywords"/>
        <w:rPr>
          <w:lang w:val="en-US"/>
        </w:rPr>
      </w:pPr>
      <w:r w:rsidRPr="00867BB6">
        <w:rPr>
          <w:lang w:val="en-US"/>
        </w:rPr>
        <w:t xml:space="preserve">Keywords: </w:t>
      </w:r>
      <w:r w:rsidR="000A2B32" w:rsidRPr="00867BB6">
        <w:rPr>
          <w:lang w:val="en-US"/>
        </w:rPr>
        <w:t>polycentric governance, climate change, small island developing states, sargassum, Caribbean</w:t>
      </w:r>
    </w:p>
    <w:p w14:paraId="7A84D16F" w14:textId="5918BD4A" w:rsidR="00997B0F" w:rsidRPr="00867BB6" w:rsidRDefault="004E107B" w:rsidP="00222E2A">
      <w:pPr>
        <w:pStyle w:val="Heading1"/>
        <w:jc w:val="both"/>
        <w:rPr>
          <w:rFonts w:cs="Times New Roman"/>
          <w:szCs w:val="24"/>
          <w:lang w:val="en-US"/>
        </w:rPr>
      </w:pPr>
      <w:r w:rsidRPr="00867BB6">
        <w:rPr>
          <w:rFonts w:cs="Times New Roman"/>
          <w:szCs w:val="24"/>
          <w:lang w:val="en-US"/>
        </w:rPr>
        <w:t>Introduction</w:t>
      </w:r>
    </w:p>
    <w:p w14:paraId="54638FC0" w14:textId="0241D7AC" w:rsidR="00997B0F" w:rsidRPr="00867BB6" w:rsidRDefault="007703D8" w:rsidP="00222E2A">
      <w:pPr>
        <w:pStyle w:val="Paragraph"/>
        <w:jc w:val="both"/>
        <w:rPr>
          <w:lang w:val="en-US"/>
        </w:rPr>
      </w:pPr>
      <w:r w:rsidRPr="00867BB6">
        <w:rPr>
          <w:lang w:val="en-US"/>
        </w:rPr>
        <w:t xml:space="preserve">Since 2011, large quantities of sargassum seaweed have been appearing in the waters of countries in the Wider Caribbean Region (WCR). The sargassum has been washing up on beaches in large quantities and has affected fishing, tourism operations and maritime transport at sea with adverse </w:t>
      </w:r>
      <w:r w:rsidR="00A07AB4" w:rsidRPr="00867BB6">
        <w:rPr>
          <w:lang w:val="en-US"/>
        </w:rPr>
        <w:t xml:space="preserve">socio-economic </w:t>
      </w:r>
      <w:r w:rsidRPr="00867BB6">
        <w:rPr>
          <w:lang w:val="en-US"/>
        </w:rPr>
        <w:t xml:space="preserve">impacts (Oxenford et al. 2019, UNEP-CEP 2021). In this paper we explore the governance responses to this emerging phenomenon by countries and regional organizations. </w:t>
      </w:r>
      <w:r w:rsidR="00063F94" w:rsidRPr="00867BB6">
        <w:rPr>
          <w:lang w:val="en-US"/>
        </w:rPr>
        <w:t xml:space="preserve">Our </w:t>
      </w:r>
      <w:r w:rsidRPr="00867BB6">
        <w:rPr>
          <w:lang w:val="en-US"/>
        </w:rPr>
        <w:t xml:space="preserve">aim is to determine where the set of responses fits within conceptual frameworks for governance of transboundary issues and to recommend how they may be shaped to provide more effective governance.   </w:t>
      </w:r>
    </w:p>
    <w:p w14:paraId="60E7C5D4" w14:textId="6A475AD2" w:rsidR="009B7528" w:rsidRPr="00867BB6" w:rsidRDefault="009B7528" w:rsidP="00222E2A">
      <w:pPr>
        <w:pStyle w:val="Newparagraph"/>
        <w:jc w:val="both"/>
        <w:rPr>
          <w:lang w:val="en-US"/>
        </w:rPr>
      </w:pPr>
      <w:r w:rsidRPr="00867BB6">
        <w:rPr>
          <w:lang w:val="en-US"/>
        </w:rPr>
        <w:lastRenderedPageBreak/>
        <w:t xml:space="preserve">The causes of </w:t>
      </w:r>
      <w:r w:rsidR="00063F94" w:rsidRPr="00867BB6">
        <w:rPr>
          <w:lang w:val="en-US"/>
        </w:rPr>
        <w:t>increases in</w:t>
      </w:r>
      <w:r w:rsidRPr="00867BB6">
        <w:rPr>
          <w:lang w:val="en-US"/>
        </w:rPr>
        <w:t xml:space="preserve"> stranding</w:t>
      </w:r>
      <w:r w:rsidR="00063F94" w:rsidRPr="00867BB6">
        <w:rPr>
          <w:lang w:val="en-US"/>
        </w:rPr>
        <w:t>s</w:t>
      </w:r>
      <w:r w:rsidRPr="00867BB6">
        <w:rPr>
          <w:lang w:val="en-US"/>
        </w:rPr>
        <w:t xml:space="preserve"> of </w:t>
      </w:r>
      <w:r w:rsidRPr="00867BB6">
        <w:rPr>
          <w:i/>
          <w:iCs/>
          <w:lang w:val="en-US"/>
        </w:rPr>
        <w:t>Sargassum fluitans</w:t>
      </w:r>
      <w:r w:rsidRPr="00867BB6">
        <w:rPr>
          <w:lang w:val="en-US"/>
        </w:rPr>
        <w:t xml:space="preserve"> and </w:t>
      </w:r>
      <w:r w:rsidRPr="00867BB6">
        <w:rPr>
          <w:i/>
          <w:iCs/>
          <w:lang w:val="en-US"/>
        </w:rPr>
        <w:t>Sargassum natans</w:t>
      </w:r>
      <w:r w:rsidRPr="00867BB6">
        <w:rPr>
          <w:lang w:val="en-US"/>
        </w:rPr>
        <w:t xml:space="preserve"> (henceforth, “sargassum”) in the Caribbean over recent years remain uncertain (Wang et al. 2019), but hypotheses for the influxes include</w:t>
      </w:r>
      <w:r w:rsidR="00A5161D" w:rsidRPr="00867BB6">
        <w:rPr>
          <w:lang w:val="en-US"/>
        </w:rPr>
        <w:t xml:space="preserve"> a wind and surface current anomaly in 2009-2010</w:t>
      </w:r>
      <w:r w:rsidRPr="00867BB6">
        <w:rPr>
          <w:lang w:val="en-US"/>
        </w:rPr>
        <w:t xml:space="preserve">, nutrient enrichment, and changes in ocean upwelling, </w:t>
      </w:r>
      <w:r w:rsidR="00063F94" w:rsidRPr="00867BB6">
        <w:rPr>
          <w:lang w:val="en-US"/>
        </w:rPr>
        <w:t xml:space="preserve">and </w:t>
      </w:r>
      <w:r w:rsidRPr="00867BB6">
        <w:rPr>
          <w:lang w:val="en-US"/>
        </w:rPr>
        <w:t>wind and surface circulation patterns in the Atlantic (Johns et al. 2020; Lapointe et al. 2021). The majority of research has focused on sargassum at sea as opposed to the geography, frequency and duration of landing events, impacts and opportunities thereof, and effective mitigation actions (Fidai et al. 202</w:t>
      </w:r>
      <w:r w:rsidR="009846CB" w:rsidRPr="00867BB6">
        <w:rPr>
          <w:lang w:val="en-US"/>
        </w:rPr>
        <w:t>0</w:t>
      </w:r>
      <w:r w:rsidRPr="00867BB6">
        <w:rPr>
          <w:lang w:val="en-US"/>
        </w:rPr>
        <w:t xml:space="preserve">). </w:t>
      </w:r>
      <w:r w:rsidR="003A1A5B" w:rsidRPr="00867BB6">
        <w:rPr>
          <w:lang w:val="en-US"/>
        </w:rPr>
        <w:t xml:space="preserve">Nevertheless, sargassum </w:t>
      </w:r>
      <w:r w:rsidR="005A538B" w:rsidRPr="00867BB6">
        <w:rPr>
          <w:lang w:val="en-US"/>
        </w:rPr>
        <w:t xml:space="preserve">has </w:t>
      </w:r>
      <w:r w:rsidR="00B90ED3" w:rsidRPr="00867BB6">
        <w:rPr>
          <w:lang w:val="en-US"/>
        </w:rPr>
        <w:t>cause</w:t>
      </w:r>
      <w:r w:rsidR="00C10F03" w:rsidRPr="00867BB6">
        <w:rPr>
          <w:lang w:val="en-US"/>
        </w:rPr>
        <w:t>d</w:t>
      </w:r>
      <w:r w:rsidR="00B90ED3" w:rsidRPr="00867BB6">
        <w:rPr>
          <w:lang w:val="en-US"/>
        </w:rPr>
        <w:t xml:space="preserve"> emergencies in several Caribbean countries, </w:t>
      </w:r>
      <w:r w:rsidR="006E1F13" w:rsidRPr="00867BB6">
        <w:rPr>
          <w:lang w:val="en-US"/>
        </w:rPr>
        <w:t xml:space="preserve">especially </w:t>
      </w:r>
      <w:r w:rsidR="005A26C6" w:rsidRPr="00867BB6">
        <w:rPr>
          <w:lang w:val="en-US"/>
        </w:rPr>
        <w:t>through its</w:t>
      </w:r>
      <w:r w:rsidR="00B90ED3" w:rsidRPr="00867BB6">
        <w:rPr>
          <w:lang w:val="en-US"/>
        </w:rPr>
        <w:t xml:space="preserve"> </w:t>
      </w:r>
      <w:r w:rsidR="005A26C6" w:rsidRPr="00867BB6">
        <w:rPr>
          <w:lang w:val="en-US"/>
        </w:rPr>
        <w:t>e</w:t>
      </w:r>
      <w:r w:rsidR="00B90ED3" w:rsidRPr="00867BB6">
        <w:rPr>
          <w:lang w:val="en-US"/>
        </w:rPr>
        <w:t xml:space="preserve">cological </w:t>
      </w:r>
      <w:r w:rsidR="005A26C6" w:rsidRPr="00867BB6">
        <w:rPr>
          <w:lang w:val="en-US"/>
        </w:rPr>
        <w:t xml:space="preserve">effects </w:t>
      </w:r>
      <w:r w:rsidR="00B90ED3" w:rsidRPr="00867BB6">
        <w:rPr>
          <w:lang w:val="en-US"/>
        </w:rPr>
        <w:t xml:space="preserve">e.g. </w:t>
      </w:r>
      <w:r w:rsidR="005A538B" w:rsidRPr="00867BB6">
        <w:rPr>
          <w:lang w:val="en-US"/>
        </w:rPr>
        <w:t xml:space="preserve">negative impacts on </w:t>
      </w:r>
      <w:r w:rsidR="00D5443C" w:rsidRPr="00867BB6">
        <w:rPr>
          <w:lang w:val="en-US"/>
        </w:rPr>
        <w:t>nearshore ecosystems</w:t>
      </w:r>
      <w:r w:rsidR="002418B7" w:rsidRPr="00867BB6">
        <w:rPr>
          <w:lang w:val="en-US"/>
        </w:rPr>
        <w:t xml:space="preserve"> and </w:t>
      </w:r>
      <w:r w:rsidR="00D5443C" w:rsidRPr="00867BB6">
        <w:rPr>
          <w:lang w:val="en-US"/>
        </w:rPr>
        <w:t xml:space="preserve">onshore </w:t>
      </w:r>
      <w:r w:rsidR="00B90ED3" w:rsidRPr="00867BB6">
        <w:rPr>
          <w:lang w:val="en-US"/>
        </w:rPr>
        <w:t>turtle nesting</w:t>
      </w:r>
      <w:r w:rsidR="005A538B" w:rsidRPr="00867BB6">
        <w:rPr>
          <w:lang w:val="en-US"/>
        </w:rPr>
        <w:t>;</w:t>
      </w:r>
      <w:r w:rsidR="005A26C6" w:rsidRPr="00867BB6">
        <w:rPr>
          <w:lang w:val="en-US"/>
        </w:rPr>
        <w:t xml:space="preserve"> and</w:t>
      </w:r>
      <w:r w:rsidR="00B90ED3" w:rsidRPr="00867BB6">
        <w:rPr>
          <w:lang w:val="en-US"/>
        </w:rPr>
        <w:t xml:space="preserve"> socio-economic</w:t>
      </w:r>
      <w:r w:rsidR="005A26C6" w:rsidRPr="00867BB6">
        <w:rPr>
          <w:lang w:val="en-US"/>
        </w:rPr>
        <w:t xml:space="preserve"> impacts</w:t>
      </w:r>
      <w:r w:rsidR="00B90ED3" w:rsidRPr="00867BB6">
        <w:rPr>
          <w:lang w:val="en-US"/>
        </w:rPr>
        <w:t xml:space="preserve"> </w:t>
      </w:r>
      <w:r w:rsidR="006B0F3E" w:rsidRPr="00867BB6">
        <w:rPr>
          <w:lang w:val="en-US"/>
        </w:rPr>
        <w:t>e.g. sargassum beaching events affecting fisheries, waterways, shorelines and tourism</w:t>
      </w:r>
      <w:r w:rsidR="005A538B" w:rsidRPr="00867BB6">
        <w:rPr>
          <w:lang w:val="en-US"/>
        </w:rPr>
        <w:t xml:space="preserve"> </w:t>
      </w:r>
      <w:r w:rsidR="005A26C6" w:rsidRPr="00867BB6">
        <w:rPr>
          <w:lang w:val="en-US"/>
        </w:rPr>
        <w:t>(UNEP-CEP 2018).</w:t>
      </w:r>
      <w:r w:rsidR="0077775B" w:rsidRPr="00867BB6">
        <w:rPr>
          <w:lang w:val="en-US"/>
        </w:rPr>
        <w:t xml:space="preserve"> The severity of sargassum </w:t>
      </w:r>
      <w:r w:rsidR="005A538B" w:rsidRPr="00867BB6">
        <w:rPr>
          <w:lang w:val="en-US"/>
        </w:rPr>
        <w:t>influxes</w:t>
      </w:r>
      <w:r w:rsidR="0077775B" w:rsidRPr="00867BB6">
        <w:rPr>
          <w:lang w:val="en-US"/>
        </w:rPr>
        <w:t xml:space="preserve"> differs across the </w:t>
      </w:r>
      <w:r w:rsidR="003D364A" w:rsidRPr="00867BB6">
        <w:rPr>
          <w:lang w:val="en-US"/>
        </w:rPr>
        <w:t>WCR</w:t>
      </w:r>
      <w:r w:rsidR="0077775B" w:rsidRPr="00867BB6">
        <w:rPr>
          <w:lang w:val="en-US"/>
        </w:rPr>
        <w:t>, and although there has been an observed “season” for the strandings (</w:t>
      </w:r>
      <w:r w:rsidR="00607D3D" w:rsidRPr="00867BB6">
        <w:rPr>
          <w:lang w:val="en-US"/>
        </w:rPr>
        <w:t xml:space="preserve">peaking in June-July) the annual variability in </w:t>
      </w:r>
      <w:r w:rsidR="005A538B" w:rsidRPr="00867BB6">
        <w:rPr>
          <w:lang w:val="en-US"/>
        </w:rPr>
        <w:t>volume landing</w:t>
      </w:r>
      <w:r w:rsidR="00607D3D" w:rsidRPr="00867BB6">
        <w:rPr>
          <w:lang w:val="en-US"/>
        </w:rPr>
        <w:t xml:space="preserve"> remains poorly understood (</w:t>
      </w:r>
      <w:r w:rsidR="0021072D" w:rsidRPr="00867BB6">
        <w:rPr>
          <w:lang w:val="en-US"/>
        </w:rPr>
        <w:t>Johns et al. 2020</w:t>
      </w:r>
      <w:r w:rsidR="00607D3D" w:rsidRPr="00867BB6">
        <w:rPr>
          <w:lang w:val="en-US"/>
        </w:rPr>
        <w:t xml:space="preserve">). </w:t>
      </w:r>
      <w:r w:rsidRPr="00867BB6">
        <w:rPr>
          <w:lang w:val="en-US"/>
        </w:rPr>
        <w:t xml:space="preserve">This sudden onset transboundary problem provides an opportunity to examine how a region </w:t>
      </w:r>
      <w:r w:rsidR="003D5EB6" w:rsidRPr="00867BB6">
        <w:rPr>
          <w:lang w:val="en-US"/>
        </w:rPr>
        <w:t xml:space="preserve">(WCR) </w:t>
      </w:r>
      <w:r w:rsidRPr="00867BB6">
        <w:rPr>
          <w:lang w:val="en-US"/>
        </w:rPr>
        <w:t xml:space="preserve">has responded to </w:t>
      </w:r>
      <w:r w:rsidR="004D6264" w:rsidRPr="00867BB6">
        <w:rPr>
          <w:lang w:val="en-US"/>
        </w:rPr>
        <w:t>a</w:t>
      </w:r>
      <w:r w:rsidRPr="00867BB6">
        <w:rPr>
          <w:lang w:val="en-US"/>
        </w:rPr>
        <w:t xml:space="preserve"> problem that may be</w:t>
      </w:r>
      <w:r w:rsidR="004D6264" w:rsidRPr="00867BB6">
        <w:rPr>
          <w:lang w:val="en-US"/>
        </w:rPr>
        <w:t>come</w:t>
      </w:r>
      <w:r w:rsidRPr="00867BB6">
        <w:rPr>
          <w:lang w:val="en-US"/>
        </w:rPr>
        <w:t xml:space="preserve"> common</w:t>
      </w:r>
      <w:r w:rsidR="004D6264" w:rsidRPr="00867BB6">
        <w:rPr>
          <w:lang w:val="en-US"/>
        </w:rPr>
        <w:t>place</w:t>
      </w:r>
      <w:r w:rsidRPr="00867BB6">
        <w:rPr>
          <w:lang w:val="en-US"/>
        </w:rPr>
        <w:t xml:space="preserve"> as the </w:t>
      </w:r>
      <w:r w:rsidR="00277F10" w:rsidRPr="00867BB6">
        <w:rPr>
          <w:lang w:val="en-US"/>
        </w:rPr>
        <w:t>emergent risks driven by</w:t>
      </w:r>
      <w:r w:rsidRPr="00867BB6">
        <w:rPr>
          <w:lang w:val="en-US"/>
        </w:rPr>
        <w:t xml:space="preserve"> climate change become more prevalent. </w:t>
      </w:r>
    </w:p>
    <w:p w14:paraId="369D4BBB" w14:textId="0F2C4053" w:rsidR="009B7528" w:rsidRPr="00867BB6" w:rsidRDefault="009B7528" w:rsidP="00222E2A">
      <w:pPr>
        <w:pStyle w:val="Newparagraph"/>
        <w:jc w:val="both"/>
        <w:rPr>
          <w:lang w:val="en-US"/>
        </w:rPr>
      </w:pPr>
      <w:r w:rsidRPr="00867BB6">
        <w:rPr>
          <w:lang w:val="en-US"/>
        </w:rPr>
        <w:t>Transboundary environmental challenges, including those due to climate change, require interstate cooperation. Conventional understandings of collective action anticipate that these issues will be resolved through top-down multilateral regulatory frameworks at global and regional levels</w:t>
      </w:r>
      <w:r w:rsidR="004D6264" w:rsidRPr="00867BB6">
        <w:rPr>
          <w:lang w:val="en-US"/>
        </w:rPr>
        <w:t xml:space="preserve">, with </w:t>
      </w:r>
      <w:r w:rsidRPr="00867BB6">
        <w:rPr>
          <w:lang w:val="en-US"/>
        </w:rPr>
        <w:t xml:space="preserve">necessary actions passed down to national and local levels (Ostrom 2010). We refer to these systems as centralized. However, the challenges of implementing such regimes has led to the governance of climate change, biodiversity and oceans being labelled as fragmented (Wright et al. 2017) or as polycentric, </w:t>
      </w:r>
      <w:r w:rsidR="004D6264" w:rsidRPr="00867BB6">
        <w:rPr>
          <w:lang w:val="en-US"/>
        </w:rPr>
        <w:t>defined by</w:t>
      </w:r>
      <w:r w:rsidRPr="00867BB6">
        <w:rPr>
          <w:lang w:val="en-US"/>
        </w:rPr>
        <w:t xml:space="preserve"> </w:t>
      </w:r>
      <w:r w:rsidR="004D6264" w:rsidRPr="00867BB6">
        <w:rPr>
          <w:lang w:val="en-US"/>
        </w:rPr>
        <w:t xml:space="preserve">dispersed </w:t>
      </w:r>
      <w:r w:rsidRPr="00867BB6">
        <w:rPr>
          <w:lang w:val="en-US"/>
        </w:rPr>
        <w:t xml:space="preserve">centers of decision-making across multiple spatial </w:t>
      </w:r>
      <w:r w:rsidRPr="00867BB6">
        <w:rPr>
          <w:lang w:val="en-US"/>
        </w:rPr>
        <w:lastRenderedPageBreak/>
        <w:t>scales (Carlisle and Gruby 2019</w:t>
      </w:r>
      <w:r w:rsidR="00F216A1" w:rsidRPr="00867BB6">
        <w:rPr>
          <w:lang w:val="en-US"/>
        </w:rPr>
        <w:t>; Heikkila</w:t>
      </w:r>
      <w:r w:rsidR="00F43CF9" w:rsidRPr="00867BB6">
        <w:rPr>
          <w:lang w:val="en-US"/>
        </w:rPr>
        <w:t xml:space="preserve">, </w:t>
      </w:r>
      <w:proofErr w:type="spellStart"/>
      <w:r w:rsidR="00F43CF9" w:rsidRPr="00867BB6">
        <w:rPr>
          <w:lang w:val="en-US"/>
        </w:rPr>
        <w:t>Villamayor</w:t>
      </w:r>
      <w:proofErr w:type="spellEnd"/>
      <w:r w:rsidR="00F43CF9" w:rsidRPr="00867BB6">
        <w:rPr>
          <w:lang w:val="en-US"/>
        </w:rPr>
        <w:t>-Tomas</w:t>
      </w:r>
      <w:r w:rsidR="00355F6D">
        <w:rPr>
          <w:lang w:val="en-US"/>
        </w:rPr>
        <w:t>,</w:t>
      </w:r>
      <w:r w:rsidR="00F43CF9" w:rsidRPr="00867BB6">
        <w:rPr>
          <w:lang w:val="en-US"/>
        </w:rPr>
        <w:t xml:space="preserve"> and Garrick</w:t>
      </w:r>
      <w:r w:rsidR="00F216A1" w:rsidRPr="00867BB6">
        <w:rPr>
          <w:lang w:val="en-US"/>
        </w:rPr>
        <w:t xml:space="preserve"> 2018; Ostrom 2010</w:t>
      </w:r>
      <w:r w:rsidRPr="00867BB6">
        <w:rPr>
          <w:lang w:val="en-US"/>
        </w:rPr>
        <w:t xml:space="preserve">). </w:t>
      </w:r>
      <w:r w:rsidR="008E6F48" w:rsidRPr="00867BB6">
        <w:rPr>
          <w:lang w:val="en-US"/>
        </w:rPr>
        <w:t xml:space="preserve">From a disaster </w:t>
      </w:r>
      <w:r w:rsidR="00BE151C" w:rsidRPr="00867BB6">
        <w:rPr>
          <w:lang w:val="en-US"/>
        </w:rPr>
        <w:t xml:space="preserve">governance perspective, governance regimes have also increasingly been found to be polycentric and multiscale, yet lacking in integration across </w:t>
      </w:r>
      <w:r w:rsidR="000753C6" w:rsidRPr="00867BB6">
        <w:rPr>
          <w:lang w:val="en-US"/>
        </w:rPr>
        <w:t>hazard types,</w:t>
      </w:r>
      <w:r w:rsidR="00BE151C" w:rsidRPr="00867BB6">
        <w:rPr>
          <w:lang w:val="en-US"/>
        </w:rPr>
        <w:t xml:space="preserve"> and </w:t>
      </w:r>
      <w:r w:rsidR="00F64BAB" w:rsidRPr="00867BB6">
        <w:rPr>
          <w:lang w:val="en-US"/>
        </w:rPr>
        <w:t xml:space="preserve">embedded and dependent upon </w:t>
      </w:r>
      <w:r w:rsidR="004D6264" w:rsidRPr="00867BB6">
        <w:rPr>
          <w:lang w:val="en-US"/>
        </w:rPr>
        <w:t>context-specific</w:t>
      </w:r>
      <w:r w:rsidR="00F64BAB" w:rsidRPr="00867BB6">
        <w:rPr>
          <w:lang w:val="en-US"/>
        </w:rPr>
        <w:t xml:space="preserve"> societal governance systems </w:t>
      </w:r>
      <w:r w:rsidR="000753C6" w:rsidRPr="00867BB6">
        <w:rPr>
          <w:lang w:val="en-US"/>
        </w:rPr>
        <w:t>(Tierney 2012)</w:t>
      </w:r>
      <w:r w:rsidR="0006108B" w:rsidRPr="00867BB6">
        <w:rPr>
          <w:lang w:val="en-US"/>
        </w:rPr>
        <w:t>.</w:t>
      </w:r>
    </w:p>
    <w:p w14:paraId="4B6F061F" w14:textId="77274D34" w:rsidR="009B7528" w:rsidRPr="00867BB6" w:rsidRDefault="009B7528" w:rsidP="00222E2A">
      <w:pPr>
        <w:pStyle w:val="Newparagraph"/>
        <w:jc w:val="both"/>
        <w:rPr>
          <w:lang w:val="en-US"/>
        </w:rPr>
      </w:pPr>
      <w:r w:rsidRPr="00867BB6">
        <w:rPr>
          <w:lang w:val="en-US"/>
        </w:rPr>
        <w:t xml:space="preserve">Several scholars have sought to clarify the governance terms </w:t>
      </w:r>
      <w:r w:rsidRPr="007046B2">
        <w:rPr>
          <w:i/>
          <w:iCs/>
          <w:lang w:val="en-US"/>
        </w:rPr>
        <w:t>centralized</w:t>
      </w:r>
      <w:r w:rsidRPr="00867BB6">
        <w:rPr>
          <w:lang w:val="en-US"/>
        </w:rPr>
        <w:t xml:space="preserve">, </w:t>
      </w:r>
      <w:r w:rsidR="007046B2">
        <w:rPr>
          <w:i/>
          <w:iCs/>
          <w:lang w:val="en-US"/>
        </w:rPr>
        <w:t>fragmented</w:t>
      </w:r>
      <w:r w:rsidRPr="00867BB6">
        <w:rPr>
          <w:lang w:val="en-US"/>
        </w:rPr>
        <w:t xml:space="preserve"> and </w:t>
      </w:r>
      <w:r w:rsidRPr="007046B2">
        <w:rPr>
          <w:i/>
          <w:iCs/>
          <w:lang w:val="en-US"/>
        </w:rPr>
        <w:t>polycentric</w:t>
      </w:r>
      <w:r w:rsidRPr="00867BB6">
        <w:rPr>
          <w:lang w:val="en-US"/>
        </w:rPr>
        <w:t xml:space="preserve"> </w:t>
      </w:r>
      <w:r w:rsidR="004D6264" w:rsidRPr="00867BB6">
        <w:rPr>
          <w:lang w:val="en-US"/>
        </w:rPr>
        <w:t xml:space="preserve">in order </w:t>
      </w:r>
      <w:r w:rsidRPr="00867BB6">
        <w:rPr>
          <w:lang w:val="en-US"/>
        </w:rPr>
        <w:t xml:space="preserve">to </w:t>
      </w:r>
      <w:r w:rsidR="004D6264" w:rsidRPr="00867BB6">
        <w:rPr>
          <w:lang w:val="en-US"/>
        </w:rPr>
        <w:t>differentiate between them</w:t>
      </w:r>
      <w:r w:rsidRPr="00867BB6">
        <w:rPr>
          <w:lang w:val="en-US"/>
        </w:rPr>
        <w:t xml:space="preserve"> (Heikkila et al. 2018). </w:t>
      </w:r>
      <w:proofErr w:type="spellStart"/>
      <w:r w:rsidRPr="00867BB6">
        <w:rPr>
          <w:lang w:val="en-US"/>
        </w:rPr>
        <w:t>Pahl-Wostl</w:t>
      </w:r>
      <w:proofErr w:type="spellEnd"/>
      <w:r w:rsidRPr="00867BB6">
        <w:rPr>
          <w:lang w:val="en-US"/>
        </w:rPr>
        <w:t xml:space="preserve"> and </w:t>
      </w:r>
      <w:proofErr w:type="spellStart"/>
      <w:r w:rsidRPr="00867BB6">
        <w:rPr>
          <w:lang w:val="en-US"/>
        </w:rPr>
        <w:t>Knieper</w:t>
      </w:r>
      <w:proofErr w:type="spellEnd"/>
      <w:r w:rsidRPr="00867BB6">
        <w:rPr>
          <w:lang w:val="en-US"/>
        </w:rPr>
        <w:t xml:space="preserve"> (2014) propose a two-dimensional space with four quadrants where the dimensions are coordination and cooperation versus lack thereof, and centralized versus distributed power. Systems with low centralization and low coordination are </w:t>
      </w:r>
      <w:r w:rsidRPr="007046B2">
        <w:rPr>
          <w:i/>
          <w:iCs/>
          <w:lang w:val="en-US"/>
        </w:rPr>
        <w:t>fragmented</w:t>
      </w:r>
      <w:r w:rsidRPr="00867BB6">
        <w:rPr>
          <w:lang w:val="en-US"/>
        </w:rPr>
        <w:t xml:space="preserve">, those with high centralization and high coordination are </w:t>
      </w:r>
      <w:r w:rsidRPr="007046B2">
        <w:rPr>
          <w:i/>
          <w:iCs/>
          <w:lang w:val="en-US"/>
        </w:rPr>
        <w:t>centralized</w:t>
      </w:r>
      <w:r w:rsidRPr="00867BB6">
        <w:rPr>
          <w:lang w:val="en-US"/>
        </w:rPr>
        <w:t xml:space="preserve">, and those with low centralization and high coordination are </w:t>
      </w:r>
      <w:r w:rsidRPr="007046B2">
        <w:rPr>
          <w:i/>
          <w:iCs/>
          <w:lang w:val="en-US"/>
        </w:rPr>
        <w:t>polycentric</w:t>
      </w:r>
      <w:r w:rsidRPr="00867BB6">
        <w:rPr>
          <w:lang w:val="en-US"/>
        </w:rPr>
        <w:t xml:space="preserve">. Other scholars define polycentrism based on system characteristics. Jordan et al. (2018), </w:t>
      </w:r>
      <w:r w:rsidR="00404EEE" w:rsidRPr="00867BB6">
        <w:rPr>
          <w:lang w:val="en-US"/>
        </w:rPr>
        <w:t xml:space="preserve">describe </w:t>
      </w:r>
      <w:r w:rsidRPr="00867BB6">
        <w:rPr>
          <w:lang w:val="en-US"/>
        </w:rPr>
        <w:t xml:space="preserve">ﬁve characteristics that a system should exhibit to qualify as polycentric: overarching rules, mutual adjustment of activities to foster collaboration and avoid conﬂict, willingness for experimentation, trust, and local action. Carlisle and Gruby (2019) also emphasize the ﬁrst and last of these characteristics. </w:t>
      </w:r>
    </w:p>
    <w:p w14:paraId="7D4AAE25" w14:textId="7E72577F" w:rsidR="009B7528" w:rsidRPr="00867BB6" w:rsidRDefault="004D6264" w:rsidP="00222E2A">
      <w:pPr>
        <w:pStyle w:val="Newparagraph"/>
        <w:jc w:val="both"/>
        <w:rPr>
          <w:lang w:val="en-US"/>
        </w:rPr>
      </w:pPr>
      <w:r w:rsidRPr="00867BB6">
        <w:rPr>
          <w:lang w:val="en-US"/>
        </w:rPr>
        <w:t>We favor</w:t>
      </w:r>
      <w:r w:rsidR="006B4635" w:rsidRPr="00867BB6">
        <w:rPr>
          <w:lang w:val="en-US"/>
        </w:rPr>
        <w:t xml:space="preserve"> a governance modality spectrum with five stages: </w:t>
      </w:r>
      <w:proofErr w:type="spellStart"/>
      <w:r w:rsidR="006B4635" w:rsidRPr="00867BB6">
        <w:rPr>
          <w:lang w:val="en-US"/>
        </w:rPr>
        <w:t>i</w:t>
      </w:r>
      <w:proofErr w:type="spellEnd"/>
      <w:r w:rsidR="006B4635" w:rsidRPr="00867BB6">
        <w:rPr>
          <w:lang w:val="en-US"/>
        </w:rPr>
        <w:t xml:space="preserve">) centralized, ii) polycentric fragmented, iii) polycentric bricolage, iv) polycentric codesigned and v) functional polycentric (Mahon and Fanning 2019). </w:t>
      </w:r>
      <w:r w:rsidR="009B7528" w:rsidRPr="00867BB6">
        <w:rPr>
          <w:i/>
          <w:iCs/>
          <w:lang w:val="en-US"/>
        </w:rPr>
        <w:t>Polycentric bricolage</w:t>
      </w:r>
      <w:r w:rsidR="009B7528" w:rsidRPr="00867BB6">
        <w:rPr>
          <w:lang w:val="en-US"/>
        </w:rPr>
        <w:t xml:space="preserve"> is found when one party unilaterally attempts to coordinate a set of fragmented arrangements, </w:t>
      </w:r>
      <w:r w:rsidR="009B7528" w:rsidRPr="00867BB6">
        <w:rPr>
          <w:i/>
          <w:iCs/>
          <w:lang w:val="en-US"/>
        </w:rPr>
        <w:t>polycentric codesigned</w:t>
      </w:r>
      <w:r w:rsidR="009B7528" w:rsidRPr="00867BB6">
        <w:rPr>
          <w:lang w:val="en-US"/>
        </w:rPr>
        <w:t xml:space="preserve"> is found where the parties within the system collaborate to establish a coordination process, and </w:t>
      </w:r>
      <w:r w:rsidR="009B7528" w:rsidRPr="00867BB6">
        <w:rPr>
          <w:i/>
          <w:iCs/>
          <w:lang w:val="en-US"/>
        </w:rPr>
        <w:t>functional polycentric</w:t>
      </w:r>
      <w:r w:rsidR="009B7528" w:rsidRPr="00867BB6">
        <w:rPr>
          <w:lang w:val="en-US"/>
        </w:rPr>
        <w:t xml:space="preserve"> is an endpoint that is achieved when the coordination process has become an established operational mechanism accepted by all parties. Efforts to improve governance may seek to move the system </w:t>
      </w:r>
      <w:r w:rsidR="009B7528" w:rsidRPr="00867BB6">
        <w:rPr>
          <w:lang w:val="en-US"/>
        </w:rPr>
        <w:lastRenderedPageBreak/>
        <w:t>towards the spectrum end points of centralized and functional polycentric</w:t>
      </w:r>
      <w:r w:rsidR="006B4635" w:rsidRPr="00867BB6">
        <w:rPr>
          <w:lang w:val="en-US"/>
        </w:rPr>
        <w:t>.</w:t>
      </w:r>
      <w:r w:rsidR="009B7528" w:rsidRPr="00867BB6">
        <w:rPr>
          <w:lang w:val="en-US"/>
        </w:rPr>
        <w:t xml:space="preserve"> </w:t>
      </w:r>
      <w:r w:rsidR="006B4635" w:rsidRPr="00867BB6">
        <w:rPr>
          <w:lang w:val="en-US"/>
        </w:rPr>
        <w:t>Mahon and Fanning (2019) apply this spectrum to analyze twenty regional ocean governance systems</w:t>
      </w:r>
      <w:r w:rsidR="00F15488" w:rsidRPr="00867BB6">
        <w:rPr>
          <w:lang w:val="en-US"/>
        </w:rPr>
        <w:t xml:space="preserve"> and conclude that</w:t>
      </w:r>
      <w:r w:rsidR="006B4635" w:rsidRPr="00867BB6">
        <w:rPr>
          <w:lang w:val="en-US"/>
        </w:rPr>
        <w:t xml:space="preserve"> functional polycentricity appears to be the intended direction for most systems; few ocean governance regions explicitly aim to be hierarchical with centralized authority. </w:t>
      </w:r>
      <w:r w:rsidR="009B7528" w:rsidRPr="00867BB6">
        <w:rPr>
          <w:lang w:val="en-US"/>
        </w:rPr>
        <w:t xml:space="preserve">Our assessment of regional governance for the sargassum </w:t>
      </w:r>
      <w:r w:rsidR="006B4635" w:rsidRPr="00867BB6">
        <w:rPr>
          <w:lang w:val="en-US"/>
        </w:rPr>
        <w:t xml:space="preserve">influxes </w:t>
      </w:r>
      <w:r w:rsidR="009B7528" w:rsidRPr="00867BB6">
        <w:rPr>
          <w:lang w:val="en-US"/>
        </w:rPr>
        <w:t>in the WCR uses this governance modality spectrum</w:t>
      </w:r>
      <w:r w:rsidR="003749A3" w:rsidRPr="00867BB6">
        <w:rPr>
          <w:lang w:val="en-US"/>
        </w:rPr>
        <w:t xml:space="preserve"> because of its relevan</w:t>
      </w:r>
      <w:r w:rsidRPr="00867BB6">
        <w:rPr>
          <w:lang w:val="en-US"/>
        </w:rPr>
        <w:t>ce to</w:t>
      </w:r>
      <w:r w:rsidR="003749A3" w:rsidRPr="00867BB6">
        <w:rPr>
          <w:lang w:val="en-US"/>
        </w:rPr>
        <w:t xml:space="preserve"> ocean governance</w:t>
      </w:r>
      <w:r w:rsidR="009B7528" w:rsidRPr="00867BB6">
        <w:rPr>
          <w:lang w:val="en-US"/>
        </w:rPr>
        <w:t xml:space="preserve"> (Figure 1).</w:t>
      </w:r>
    </w:p>
    <w:p w14:paraId="67D24885" w14:textId="04A570B7" w:rsidR="00F84C52" w:rsidRPr="00867BB6" w:rsidRDefault="00F84C52" w:rsidP="00222E2A">
      <w:pPr>
        <w:pStyle w:val="Newparagraph"/>
        <w:jc w:val="both"/>
        <w:rPr>
          <w:lang w:val="en-US"/>
        </w:rPr>
      </w:pPr>
    </w:p>
    <w:p w14:paraId="59E1DEB7" w14:textId="743B3312" w:rsidR="00F84C52" w:rsidRPr="00867BB6" w:rsidRDefault="00F84C52" w:rsidP="00F84C52">
      <w:pPr>
        <w:pStyle w:val="Newparagraph"/>
        <w:ind w:firstLine="0"/>
        <w:jc w:val="both"/>
      </w:pPr>
      <w:r w:rsidRPr="00867BB6">
        <w:t>[Figure 1 near here]</w:t>
      </w:r>
    </w:p>
    <w:p w14:paraId="1C99788A" w14:textId="77777777" w:rsidR="00F84C52" w:rsidRPr="00867BB6" w:rsidRDefault="00F84C52" w:rsidP="004C352F">
      <w:pPr>
        <w:pStyle w:val="Newparagraph"/>
        <w:ind w:firstLine="0"/>
        <w:jc w:val="both"/>
        <w:rPr>
          <w:lang w:val="en-US"/>
        </w:rPr>
      </w:pPr>
    </w:p>
    <w:p w14:paraId="5FDFB60D" w14:textId="47F6135D" w:rsidR="009C7354" w:rsidRPr="00867BB6" w:rsidRDefault="009C7354" w:rsidP="00222E2A">
      <w:pPr>
        <w:pStyle w:val="Newparagraph"/>
        <w:jc w:val="both"/>
        <w:rPr>
          <w:lang w:val="en-US"/>
        </w:rPr>
      </w:pPr>
      <w:r w:rsidRPr="00867BB6">
        <w:rPr>
          <w:lang w:val="en-US"/>
        </w:rPr>
        <w:t xml:space="preserve">Numerous scholars have pointed out the advantages of polycentric systems. Some have even argued that polycentric governance is preferable because of opportunities for experimentation, learning, interactions, building of trust and cooperation, </w:t>
      </w:r>
      <w:r w:rsidR="004D6264" w:rsidRPr="00867BB6">
        <w:rPr>
          <w:lang w:val="en-US"/>
        </w:rPr>
        <w:t xml:space="preserve">improved </w:t>
      </w:r>
      <w:r w:rsidRPr="00867BB6">
        <w:rPr>
          <w:lang w:val="en-US"/>
        </w:rPr>
        <w:t>institutional fit across scales, and enhanced adaptive capacity (Carlisle and Gruby 2019</w:t>
      </w:r>
      <w:r w:rsidR="00402229" w:rsidRPr="00867BB6">
        <w:rPr>
          <w:lang w:val="en-US"/>
        </w:rPr>
        <w:t>; Cole 2015</w:t>
      </w:r>
      <w:r w:rsidRPr="00867BB6">
        <w:rPr>
          <w:lang w:val="en-US"/>
        </w:rPr>
        <w:t>). Nevertheless, polycentricity is by no means a panacea to social and environmental management (Ostrom</w:t>
      </w:r>
      <w:r w:rsidR="00CC7430" w:rsidRPr="00867BB6">
        <w:rPr>
          <w:lang w:val="en-US"/>
        </w:rPr>
        <w:t>, Janssen</w:t>
      </w:r>
      <w:r w:rsidR="00355F6D">
        <w:rPr>
          <w:lang w:val="en-US"/>
        </w:rPr>
        <w:t>,</w:t>
      </w:r>
      <w:r w:rsidR="00CC7430" w:rsidRPr="00867BB6">
        <w:rPr>
          <w:lang w:val="en-US"/>
        </w:rPr>
        <w:t xml:space="preserve"> and </w:t>
      </w:r>
      <w:proofErr w:type="spellStart"/>
      <w:r w:rsidR="00CC7430" w:rsidRPr="00867BB6">
        <w:rPr>
          <w:lang w:val="en-US"/>
        </w:rPr>
        <w:t>Anderies</w:t>
      </w:r>
      <w:proofErr w:type="spellEnd"/>
      <w:r w:rsidRPr="00867BB6">
        <w:rPr>
          <w:lang w:val="en-US"/>
        </w:rPr>
        <w:t xml:space="preserve"> 2007), and faces drawbacks</w:t>
      </w:r>
      <w:r w:rsidR="00C23DB2" w:rsidRPr="00867BB6">
        <w:rPr>
          <w:lang w:val="en-US"/>
        </w:rPr>
        <w:t>,</w:t>
      </w:r>
      <w:r w:rsidRPr="00867BB6">
        <w:rPr>
          <w:lang w:val="en-US"/>
        </w:rPr>
        <w:t xml:space="preserve"> including the unequal playing field of representation between stakeholders, greater costs and time to produce solutions, </w:t>
      </w:r>
      <w:r w:rsidR="00C23DB2" w:rsidRPr="00867BB6">
        <w:rPr>
          <w:lang w:val="en-US"/>
        </w:rPr>
        <w:t xml:space="preserve">favoring </w:t>
      </w:r>
      <w:r w:rsidRPr="00867BB6">
        <w:rPr>
          <w:lang w:val="en-US"/>
        </w:rPr>
        <w:t xml:space="preserve">politically </w:t>
      </w:r>
      <w:r w:rsidR="00C23DB2" w:rsidRPr="00867BB6">
        <w:rPr>
          <w:lang w:val="en-US"/>
        </w:rPr>
        <w:t xml:space="preserve">viable </w:t>
      </w:r>
      <w:r w:rsidRPr="00867BB6">
        <w:rPr>
          <w:lang w:val="en-US"/>
        </w:rPr>
        <w:t xml:space="preserve">rather than environmentally optimal solutions (Bakker and </w:t>
      </w:r>
      <w:proofErr w:type="spellStart"/>
      <w:r w:rsidRPr="00867BB6">
        <w:rPr>
          <w:lang w:val="en-US"/>
        </w:rPr>
        <w:t>Morinville</w:t>
      </w:r>
      <w:proofErr w:type="spellEnd"/>
      <w:r w:rsidRPr="00867BB6">
        <w:rPr>
          <w:lang w:val="en-US"/>
        </w:rPr>
        <w:t xml:space="preserve"> 2013), accountability gaps, and coordination problems given multiple projects, institutions and regulations operating across diverse scales (</w:t>
      </w:r>
      <w:proofErr w:type="spellStart"/>
      <w:r w:rsidRPr="00867BB6">
        <w:rPr>
          <w:lang w:val="en-US"/>
        </w:rPr>
        <w:t>Zelli</w:t>
      </w:r>
      <w:proofErr w:type="spellEnd"/>
      <w:r w:rsidRPr="00867BB6">
        <w:rPr>
          <w:lang w:val="en-US"/>
        </w:rPr>
        <w:t xml:space="preserve"> and van Asselt 2013). Both </w:t>
      </w:r>
      <w:r w:rsidR="00945296" w:rsidRPr="00867BB6">
        <w:rPr>
          <w:lang w:val="en-US"/>
        </w:rPr>
        <w:t xml:space="preserve">monocentric and polycentric </w:t>
      </w:r>
      <w:r w:rsidRPr="00867BB6">
        <w:rPr>
          <w:lang w:val="en-US"/>
        </w:rPr>
        <w:t xml:space="preserve">perspectives downplay the extent to which the international system is made up of </w:t>
      </w:r>
      <w:r w:rsidR="00740E27" w:rsidRPr="00867BB6">
        <w:rPr>
          <w:lang w:val="en-US"/>
        </w:rPr>
        <w:t>stakeholders</w:t>
      </w:r>
      <w:r w:rsidRPr="00867BB6">
        <w:rPr>
          <w:lang w:val="en-US"/>
        </w:rPr>
        <w:t xml:space="preserve"> of differing sizes, with varying capacities to engage in conventional multilateral or polycentric systems. The impact of capacity problems on conventional multilateral diplomacy is well established (Corbett </w:t>
      </w:r>
      <w:r w:rsidR="00C23DB2" w:rsidRPr="00867BB6">
        <w:rPr>
          <w:lang w:val="en-US"/>
        </w:rPr>
        <w:t>et al</w:t>
      </w:r>
      <w:r w:rsidR="00C7266A">
        <w:rPr>
          <w:lang w:val="en-US"/>
        </w:rPr>
        <w:t>.</w:t>
      </w:r>
      <w:r w:rsidR="00C23DB2" w:rsidRPr="00867BB6">
        <w:rPr>
          <w:lang w:val="en-US"/>
        </w:rPr>
        <w:t xml:space="preserve"> 2021</w:t>
      </w:r>
      <w:r w:rsidR="00C7266A">
        <w:rPr>
          <w:lang w:val="en-US"/>
        </w:rPr>
        <w:t xml:space="preserve">; </w:t>
      </w:r>
      <w:r w:rsidR="00C7266A" w:rsidRPr="00867BB6">
        <w:rPr>
          <w:lang w:val="en-US"/>
        </w:rPr>
        <w:t>Scobie 2019</w:t>
      </w:r>
      <w:r w:rsidRPr="00867BB6">
        <w:rPr>
          <w:lang w:val="en-US"/>
        </w:rPr>
        <w:t xml:space="preserve">). </w:t>
      </w:r>
    </w:p>
    <w:p w14:paraId="5EFBE362" w14:textId="22A01B49" w:rsidR="009C7354" w:rsidRPr="00867BB6" w:rsidRDefault="00AC0260" w:rsidP="00222E2A">
      <w:pPr>
        <w:pStyle w:val="Newparagraph"/>
        <w:jc w:val="both"/>
        <w:rPr>
          <w:lang w:val="en-US"/>
        </w:rPr>
      </w:pPr>
      <w:r w:rsidRPr="00867BB6">
        <w:rPr>
          <w:lang w:val="en-US"/>
        </w:rPr>
        <w:lastRenderedPageBreak/>
        <w:t>T</w:t>
      </w:r>
      <w:r w:rsidR="00465F50" w:rsidRPr="00867BB6">
        <w:rPr>
          <w:lang w:val="en-US"/>
        </w:rPr>
        <w:t xml:space="preserve">here has been little work assessing the nature of the governance systems addressing these </w:t>
      </w:r>
      <w:r w:rsidRPr="00867BB6">
        <w:rPr>
          <w:lang w:val="en-US"/>
        </w:rPr>
        <w:t>emerging transboundary</w:t>
      </w:r>
      <w:r w:rsidR="00465F50" w:rsidRPr="00867BB6">
        <w:rPr>
          <w:lang w:val="en-US"/>
        </w:rPr>
        <w:t xml:space="preserve">. </w:t>
      </w:r>
      <w:r w:rsidR="009C7354" w:rsidRPr="00867BB6">
        <w:rPr>
          <w:lang w:val="en-US"/>
        </w:rPr>
        <w:t xml:space="preserve">We explore the governance of the emergent threat posed by sargassum influxes in the WCR by asking </w:t>
      </w:r>
      <w:r w:rsidR="00277F10" w:rsidRPr="00867BB6">
        <w:rPr>
          <w:lang w:val="en-US"/>
        </w:rPr>
        <w:t xml:space="preserve">three </w:t>
      </w:r>
      <w:r w:rsidR="009C7354" w:rsidRPr="00867BB6">
        <w:rPr>
          <w:lang w:val="en-US"/>
        </w:rPr>
        <w:t xml:space="preserve">questions. </w:t>
      </w:r>
      <w:r w:rsidR="00277F10" w:rsidRPr="00867BB6">
        <w:rPr>
          <w:lang w:val="en-US"/>
        </w:rPr>
        <w:t>First</w:t>
      </w:r>
      <w:r w:rsidR="009C7354" w:rsidRPr="00867BB6">
        <w:rPr>
          <w:lang w:val="en-US"/>
        </w:rPr>
        <w:t xml:space="preserve">, where does the management of sargassum in the Caribbean lie on the governance modality spectrum? </w:t>
      </w:r>
      <w:r w:rsidR="00277F10" w:rsidRPr="00867BB6">
        <w:rPr>
          <w:lang w:val="en-US"/>
        </w:rPr>
        <w:t>Second</w:t>
      </w:r>
      <w:r w:rsidR="009C7354" w:rsidRPr="00867BB6">
        <w:rPr>
          <w:lang w:val="en-US"/>
        </w:rPr>
        <w:t xml:space="preserve">, would governance be best served by a centralized system or by a functional polycentric system? </w:t>
      </w:r>
      <w:r w:rsidR="00277F10" w:rsidRPr="00867BB6">
        <w:rPr>
          <w:lang w:val="en-US"/>
        </w:rPr>
        <w:t xml:space="preserve">Third, </w:t>
      </w:r>
      <w:r w:rsidR="009C7354" w:rsidRPr="00867BB6">
        <w:rPr>
          <w:lang w:val="en-US"/>
        </w:rPr>
        <w:t xml:space="preserve">what lessons can be learned to guide the movement of sargassum governance to </w:t>
      </w:r>
      <w:r w:rsidR="003749A3" w:rsidRPr="00867BB6">
        <w:rPr>
          <w:lang w:val="en-US"/>
        </w:rPr>
        <w:t xml:space="preserve">the best </w:t>
      </w:r>
      <w:r w:rsidR="00624A18" w:rsidRPr="00867BB6">
        <w:rPr>
          <w:lang w:val="en-US"/>
        </w:rPr>
        <w:t>achievable</w:t>
      </w:r>
      <w:r w:rsidR="009C7354" w:rsidRPr="00867BB6">
        <w:rPr>
          <w:lang w:val="en-US"/>
        </w:rPr>
        <w:t xml:space="preserve"> state?</w:t>
      </w:r>
    </w:p>
    <w:p w14:paraId="054F80ED" w14:textId="7343892C" w:rsidR="00F91365" w:rsidRPr="00867BB6" w:rsidRDefault="009C7354" w:rsidP="00222E2A">
      <w:pPr>
        <w:pStyle w:val="Newparagraph"/>
        <w:jc w:val="both"/>
        <w:rPr>
          <w:lang w:val="en-US"/>
        </w:rPr>
      </w:pPr>
      <w:r w:rsidRPr="00867BB6">
        <w:rPr>
          <w:lang w:val="en-US"/>
        </w:rPr>
        <w:t>To pursue these questions</w:t>
      </w:r>
      <w:r w:rsidR="00556B9F" w:rsidRPr="00867BB6">
        <w:rPr>
          <w:lang w:val="en-US"/>
        </w:rPr>
        <w:t>,</w:t>
      </w:r>
      <w:r w:rsidRPr="00867BB6">
        <w:rPr>
          <w:lang w:val="en-US"/>
        </w:rPr>
        <w:t xml:space="preserve"> we structure the article as follows. First, we consider the Caribbean context and discussions about the capacity of </w:t>
      </w:r>
      <w:r w:rsidR="00C23DB2" w:rsidRPr="00867BB6">
        <w:rPr>
          <w:lang w:val="en-US"/>
        </w:rPr>
        <w:t xml:space="preserve">small </w:t>
      </w:r>
      <w:r w:rsidRPr="00867BB6">
        <w:rPr>
          <w:lang w:val="en-US"/>
        </w:rPr>
        <w:t xml:space="preserve">states to engage with the international system. Next, we outline the methods and data that the analysis draws on. The bulk of the article is an empirical examination of how Caribbean </w:t>
      </w:r>
      <w:r w:rsidR="00556B9F" w:rsidRPr="00867BB6">
        <w:rPr>
          <w:lang w:val="en-US"/>
        </w:rPr>
        <w:t>small island developing states (</w:t>
      </w:r>
      <w:r w:rsidRPr="00867BB6">
        <w:rPr>
          <w:lang w:val="en-US"/>
        </w:rPr>
        <w:t>SIDS</w:t>
      </w:r>
      <w:r w:rsidR="00556B9F" w:rsidRPr="00867BB6">
        <w:rPr>
          <w:lang w:val="en-US"/>
        </w:rPr>
        <w:t>)</w:t>
      </w:r>
      <w:r w:rsidRPr="00867BB6">
        <w:rPr>
          <w:lang w:val="en-US"/>
        </w:rPr>
        <w:t xml:space="preserve"> have sought to manage sargassum at the national and regional level, including a discussion on capacity constraints. We conclude by </w:t>
      </w:r>
      <w:r w:rsidR="00335751" w:rsidRPr="00867BB6">
        <w:rPr>
          <w:lang w:val="en-US"/>
        </w:rPr>
        <w:t xml:space="preserve">sharing lessons learned and </w:t>
      </w:r>
      <w:r w:rsidRPr="00867BB6">
        <w:rPr>
          <w:lang w:val="en-US"/>
        </w:rPr>
        <w:t>reflecting on reforms for sargassum governance in the WCR.</w:t>
      </w:r>
    </w:p>
    <w:p w14:paraId="45557CCA" w14:textId="5AAE076A" w:rsidR="00F91365" w:rsidRPr="00867BB6" w:rsidRDefault="00554EE4" w:rsidP="00222E2A">
      <w:pPr>
        <w:pStyle w:val="Heading1"/>
        <w:jc w:val="both"/>
        <w:rPr>
          <w:rFonts w:cs="Times New Roman"/>
          <w:szCs w:val="24"/>
          <w:lang w:val="en-US"/>
        </w:rPr>
      </w:pPr>
      <w:r w:rsidRPr="00867BB6">
        <w:rPr>
          <w:rFonts w:cs="Times New Roman"/>
          <w:szCs w:val="24"/>
          <w:lang w:val="en-US"/>
        </w:rPr>
        <w:t>Environmental Vulnerabilities and Governance in the Caribbean</w:t>
      </w:r>
    </w:p>
    <w:p w14:paraId="21C5BF26" w14:textId="07D0E82A" w:rsidR="00F91365" w:rsidRPr="00867BB6" w:rsidRDefault="00E53C8D" w:rsidP="00222E2A">
      <w:pPr>
        <w:pStyle w:val="Newparagraph"/>
        <w:ind w:firstLine="0"/>
        <w:jc w:val="both"/>
        <w:rPr>
          <w:lang w:val="en-US"/>
        </w:rPr>
      </w:pPr>
      <w:r w:rsidRPr="00867BB6">
        <w:rPr>
          <w:lang w:val="en-US"/>
        </w:rPr>
        <w:t>While this study encompasses the entire WCR</w:t>
      </w:r>
      <w:r w:rsidR="00FF6D2D">
        <w:rPr>
          <w:lang w:val="en-US"/>
        </w:rPr>
        <w:t>,</w:t>
      </w:r>
      <w:r w:rsidRPr="00867BB6">
        <w:rPr>
          <w:lang w:val="en-US"/>
        </w:rPr>
        <w:t xml:space="preserve"> defined as extending from North-eastern Brazil to the east coast of Florida and including all coastal countries between, the focus is on SIDS</w:t>
      </w:r>
      <w:r w:rsidR="00873702" w:rsidRPr="00867BB6">
        <w:rPr>
          <w:lang w:val="en-US"/>
        </w:rPr>
        <w:t xml:space="preserve"> as delineated in Figure 2</w:t>
      </w:r>
      <w:r w:rsidRPr="00867BB6">
        <w:rPr>
          <w:lang w:val="en-US"/>
        </w:rPr>
        <w:t>. Caribbean SIDS have long been defined by their vulnerabilities to exogenous shocks (</w:t>
      </w:r>
      <w:proofErr w:type="spellStart"/>
      <w:r w:rsidRPr="00867BB6">
        <w:rPr>
          <w:lang w:val="en-US"/>
        </w:rPr>
        <w:t>Briguglio</w:t>
      </w:r>
      <w:proofErr w:type="spellEnd"/>
      <w:r w:rsidRPr="00867BB6">
        <w:rPr>
          <w:lang w:val="en-US"/>
        </w:rPr>
        <w:t xml:space="preserve"> 1995)</w:t>
      </w:r>
      <w:r w:rsidR="00444DC8" w:rsidRPr="00867BB6">
        <w:rPr>
          <w:lang w:val="en-US"/>
        </w:rPr>
        <w:t xml:space="preserve">, although more recent work by Siegel et al. (2019) </w:t>
      </w:r>
      <w:r w:rsidR="00277F10" w:rsidRPr="00867BB6">
        <w:rPr>
          <w:lang w:val="en-US"/>
        </w:rPr>
        <w:t xml:space="preserve">differentiates this </w:t>
      </w:r>
      <w:r w:rsidR="00E442B9" w:rsidRPr="00867BB6">
        <w:rPr>
          <w:lang w:val="en-US"/>
        </w:rPr>
        <w:t xml:space="preserve">social-ecological vulnerability dependent on sovereign status and regulatory </w:t>
      </w:r>
      <w:r w:rsidR="00D27602" w:rsidRPr="00867BB6">
        <w:rPr>
          <w:lang w:val="en-US"/>
        </w:rPr>
        <w:t>frameworks, thus highlighting the role of governance and policy in climate and environmental management</w:t>
      </w:r>
      <w:r w:rsidR="00F84C52" w:rsidRPr="00867BB6">
        <w:rPr>
          <w:lang w:val="en-US"/>
        </w:rPr>
        <w:t>.</w:t>
      </w:r>
    </w:p>
    <w:p w14:paraId="46D409AB" w14:textId="0C7BCD7C" w:rsidR="00F84C52" w:rsidRPr="00867BB6" w:rsidRDefault="00F84C52" w:rsidP="00222E2A">
      <w:pPr>
        <w:pStyle w:val="Newparagraph"/>
        <w:ind w:firstLine="0"/>
        <w:jc w:val="both"/>
        <w:rPr>
          <w:lang w:val="en-US"/>
        </w:rPr>
      </w:pPr>
    </w:p>
    <w:p w14:paraId="0486D6CE" w14:textId="42921409" w:rsidR="00F84C52" w:rsidRPr="00867BB6" w:rsidRDefault="00F84C52" w:rsidP="00222E2A">
      <w:pPr>
        <w:pStyle w:val="Newparagraph"/>
        <w:ind w:firstLine="0"/>
        <w:jc w:val="both"/>
      </w:pPr>
      <w:r w:rsidRPr="00867BB6">
        <w:t>[Figure 2 near here]</w:t>
      </w:r>
    </w:p>
    <w:p w14:paraId="25F8A79B" w14:textId="77777777" w:rsidR="00F84C52" w:rsidRPr="00867BB6" w:rsidRDefault="00F84C52" w:rsidP="00222E2A">
      <w:pPr>
        <w:pStyle w:val="Newparagraph"/>
        <w:ind w:firstLine="0"/>
        <w:jc w:val="both"/>
        <w:rPr>
          <w:lang w:val="en-US"/>
        </w:rPr>
      </w:pPr>
    </w:p>
    <w:p w14:paraId="352CE4CB" w14:textId="067BBEE7" w:rsidR="00FF7E38" w:rsidRPr="00867BB6" w:rsidRDefault="00FF7E38" w:rsidP="00222E2A">
      <w:pPr>
        <w:pStyle w:val="Newparagraph"/>
        <w:jc w:val="both"/>
        <w:rPr>
          <w:lang w:val="en-US"/>
        </w:rPr>
      </w:pPr>
      <w:r w:rsidRPr="00867BB6">
        <w:rPr>
          <w:lang w:val="en-US"/>
        </w:rPr>
        <w:lastRenderedPageBreak/>
        <w:t xml:space="preserve">For much of the twentieth century the primary concern was economic viability (Demas 1965), and </w:t>
      </w:r>
      <w:r w:rsidR="0089037C" w:rsidRPr="00867BB6">
        <w:rPr>
          <w:lang w:val="en-US"/>
        </w:rPr>
        <w:t xml:space="preserve">this </w:t>
      </w:r>
      <w:r w:rsidRPr="00867BB6">
        <w:rPr>
          <w:lang w:val="en-US"/>
        </w:rPr>
        <w:t xml:space="preserve">concern </w:t>
      </w:r>
      <w:r w:rsidR="0089037C" w:rsidRPr="00867BB6">
        <w:rPr>
          <w:lang w:val="en-US"/>
        </w:rPr>
        <w:t>remains politically salient in</w:t>
      </w:r>
      <w:r w:rsidR="00987004" w:rsidRPr="00867BB6">
        <w:rPr>
          <w:lang w:val="en-US"/>
        </w:rPr>
        <w:t xml:space="preserve"> the</w:t>
      </w:r>
      <w:r w:rsidRPr="00867BB6">
        <w:rPr>
          <w:lang w:val="en-US"/>
        </w:rPr>
        <w:t xml:space="preserve"> postcolonial Caribbean (Connell 2013). Caribbean SIDS’ economies rely heavily on tourism and an assortment of offshore services and sovereignty sales (financial services, economic passports, gaming, etc.)</w:t>
      </w:r>
      <w:r w:rsidR="00987004" w:rsidRPr="00867BB6">
        <w:rPr>
          <w:lang w:val="en-US"/>
        </w:rPr>
        <w:t>;</w:t>
      </w:r>
      <w:r w:rsidRPr="00867BB6">
        <w:rPr>
          <w:lang w:val="en-US"/>
        </w:rPr>
        <w:t xml:space="preserve"> sectors </w:t>
      </w:r>
      <w:r w:rsidR="00987004" w:rsidRPr="00867BB6">
        <w:rPr>
          <w:lang w:val="en-US"/>
        </w:rPr>
        <w:t>that are</w:t>
      </w:r>
      <w:r w:rsidRPr="00867BB6">
        <w:rPr>
          <w:lang w:val="en-US"/>
        </w:rPr>
        <w:t xml:space="preserve"> volatile to external market fluctuations such as those caused by financial crises and pandemics (Laframboise et al. 2014; Mulder 2020). Access to international funds, </w:t>
      </w:r>
      <w:r w:rsidR="00DD5206" w:rsidRPr="00867BB6">
        <w:rPr>
          <w:lang w:val="en-US"/>
        </w:rPr>
        <w:t>including</w:t>
      </w:r>
      <w:r w:rsidRPr="00867BB6">
        <w:rPr>
          <w:lang w:val="en-US"/>
        </w:rPr>
        <w:t xml:space="preserve"> loans for climate change adaptation, is </w:t>
      </w:r>
      <w:r w:rsidR="00C23DB2" w:rsidRPr="00867BB6">
        <w:rPr>
          <w:lang w:val="en-US"/>
        </w:rPr>
        <w:t xml:space="preserve">partly </w:t>
      </w:r>
      <w:r w:rsidRPr="00867BB6">
        <w:rPr>
          <w:lang w:val="en-US"/>
        </w:rPr>
        <w:t xml:space="preserve">inhibited by </w:t>
      </w:r>
      <w:r w:rsidR="00C23DB2" w:rsidRPr="00867BB6">
        <w:rPr>
          <w:lang w:val="en-US"/>
        </w:rPr>
        <w:t>the fact that</w:t>
      </w:r>
      <w:r w:rsidR="00100FC8" w:rsidRPr="00867BB6">
        <w:rPr>
          <w:lang w:val="en-US"/>
        </w:rPr>
        <w:t xml:space="preserve"> </w:t>
      </w:r>
      <w:r w:rsidRPr="00867BB6">
        <w:rPr>
          <w:lang w:val="en-US"/>
        </w:rPr>
        <w:t xml:space="preserve">numerous Caribbean </w:t>
      </w:r>
      <w:r w:rsidR="00100FC8" w:rsidRPr="00867BB6">
        <w:rPr>
          <w:lang w:val="en-US"/>
        </w:rPr>
        <w:t xml:space="preserve">territories, despite being classified as SIDS, </w:t>
      </w:r>
      <w:r w:rsidRPr="00867BB6">
        <w:rPr>
          <w:lang w:val="en-US"/>
        </w:rPr>
        <w:t>are</w:t>
      </w:r>
      <w:r w:rsidR="00100FC8" w:rsidRPr="00867BB6">
        <w:rPr>
          <w:lang w:val="en-US"/>
        </w:rPr>
        <w:t xml:space="preserve"> also </w:t>
      </w:r>
      <w:r w:rsidRPr="00867BB6">
        <w:rPr>
          <w:lang w:val="en-US"/>
        </w:rPr>
        <w:t xml:space="preserve">high-income and upper-middle-income economies (Robinson 2018). The systemic nature of </w:t>
      </w:r>
      <w:r w:rsidR="00624A18" w:rsidRPr="00867BB6">
        <w:rPr>
          <w:lang w:val="en-US"/>
        </w:rPr>
        <w:t xml:space="preserve">island </w:t>
      </w:r>
      <w:r w:rsidRPr="00867BB6">
        <w:rPr>
          <w:lang w:val="en-US"/>
        </w:rPr>
        <w:t xml:space="preserve">vulnerabilities underscores the rise of the SIDS agenda across the multilateral system, including among the UN agencies, World Bank, IMF and the WTO (Corbett </w:t>
      </w:r>
      <w:r w:rsidR="00C23DB2" w:rsidRPr="00867BB6">
        <w:rPr>
          <w:lang w:val="en-US"/>
        </w:rPr>
        <w:t>et al</w:t>
      </w:r>
      <w:r w:rsidR="009132D1">
        <w:rPr>
          <w:lang w:val="en-US"/>
        </w:rPr>
        <w:t>.</w:t>
      </w:r>
      <w:r w:rsidR="00C23DB2" w:rsidRPr="00867BB6">
        <w:rPr>
          <w:lang w:val="en-US"/>
        </w:rPr>
        <w:t xml:space="preserve"> 2021</w:t>
      </w:r>
      <w:r w:rsidRPr="00867BB6">
        <w:rPr>
          <w:lang w:val="en-US"/>
        </w:rPr>
        <w:t xml:space="preserve">). These vulnerabilities are likely to be further exacerbated by climate change: property and environmental damage caused by an increased frequency and intensity of severe weather-related events, for example, may further disrupt the already volatile tourist sector and increase sovereign debt (Nurse et al. 2014). </w:t>
      </w:r>
      <w:r w:rsidR="00C357C0" w:rsidRPr="00867BB6">
        <w:rPr>
          <w:lang w:val="en-US"/>
        </w:rPr>
        <w:t xml:space="preserve">Caribbean SIDS </w:t>
      </w:r>
      <w:r w:rsidR="00C23DB2" w:rsidRPr="00867BB6">
        <w:rPr>
          <w:lang w:val="en-US"/>
        </w:rPr>
        <w:t xml:space="preserve">have tended to focus adaptation on </w:t>
      </w:r>
      <w:r w:rsidR="00624A18" w:rsidRPr="00867BB6">
        <w:rPr>
          <w:lang w:val="en-US"/>
        </w:rPr>
        <w:t>changing</w:t>
      </w:r>
      <w:r w:rsidR="00717815" w:rsidRPr="00867BB6">
        <w:rPr>
          <w:lang w:val="en-US"/>
        </w:rPr>
        <w:t xml:space="preserve"> hurricane, rainfall and drought patterns across water, agriculture and coastal zone sectors</w:t>
      </w:r>
      <w:r w:rsidR="00F506B6" w:rsidRPr="00867BB6">
        <w:rPr>
          <w:lang w:val="en-US"/>
        </w:rPr>
        <w:t xml:space="preserve"> (Robinson 2020), but </w:t>
      </w:r>
      <w:r w:rsidR="00D334ED" w:rsidRPr="00867BB6">
        <w:rPr>
          <w:lang w:val="en-US"/>
        </w:rPr>
        <w:t>adaptation</w:t>
      </w:r>
      <w:r w:rsidR="00F27027" w:rsidRPr="00867BB6">
        <w:rPr>
          <w:lang w:val="en-US"/>
        </w:rPr>
        <w:t xml:space="preserve"> to future risk</w:t>
      </w:r>
      <w:r w:rsidR="00D334ED" w:rsidRPr="00867BB6">
        <w:rPr>
          <w:lang w:val="en-US"/>
        </w:rPr>
        <w:t xml:space="preserve"> is hindered by lack of training, enforceable regulations, </w:t>
      </w:r>
      <w:r w:rsidR="004751ED" w:rsidRPr="00867BB6">
        <w:rPr>
          <w:lang w:val="en-US"/>
        </w:rPr>
        <w:t xml:space="preserve">concerns around maladaptation linked to insurance, </w:t>
      </w:r>
      <w:r w:rsidR="00F34D7D" w:rsidRPr="00867BB6">
        <w:rPr>
          <w:lang w:val="en-US"/>
        </w:rPr>
        <w:t>and lack of access to finance (Nurse et al. 2014; Robi</w:t>
      </w:r>
      <w:r w:rsidR="00451112" w:rsidRPr="00867BB6">
        <w:rPr>
          <w:lang w:val="en-US"/>
        </w:rPr>
        <w:t>n</w:t>
      </w:r>
      <w:r w:rsidR="00F34D7D" w:rsidRPr="00867BB6">
        <w:rPr>
          <w:lang w:val="en-US"/>
        </w:rPr>
        <w:t>son 2020).</w:t>
      </w:r>
      <w:r w:rsidR="00403C52" w:rsidRPr="00867BB6">
        <w:rPr>
          <w:lang w:val="en-US"/>
        </w:rPr>
        <w:t xml:space="preserve"> A lack of climate change and socio-economic scenarios at the finer scale required for small islands further impede</w:t>
      </w:r>
      <w:r w:rsidR="00452798" w:rsidRPr="00867BB6">
        <w:rPr>
          <w:lang w:val="en-US"/>
        </w:rPr>
        <w:t>s</w:t>
      </w:r>
      <w:r w:rsidR="00403C52" w:rsidRPr="00867BB6">
        <w:rPr>
          <w:lang w:val="en-US"/>
        </w:rPr>
        <w:t xml:space="preserve"> the ability of Caribbean </w:t>
      </w:r>
      <w:r w:rsidR="00C23DB2" w:rsidRPr="00867BB6">
        <w:rPr>
          <w:lang w:val="en-US"/>
        </w:rPr>
        <w:t>SIDS</w:t>
      </w:r>
      <w:r w:rsidR="00D54769" w:rsidRPr="00867BB6">
        <w:rPr>
          <w:lang w:val="en-US"/>
        </w:rPr>
        <w:t xml:space="preserve"> to plan for climate change adaptation (Nurse et al. 2014). </w:t>
      </w:r>
    </w:p>
    <w:p w14:paraId="6B838A46" w14:textId="160C6349" w:rsidR="00FF7E38" w:rsidRPr="00867BB6" w:rsidRDefault="00FF7E38" w:rsidP="000334D6">
      <w:pPr>
        <w:pStyle w:val="Newparagraph"/>
        <w:jc w:val="both"/>
        <w:rPr>
          <w:lang w:val="en-US"/>
        </w:rPr>
      </w:pPr>
      <w:r w:rsidRPr="00867BB6">
        <w:rPr>
          <w:lang w:val="en-US"/>
        </w:rPr>
        <w:t xml:space="preserve">Four regional and sub-regional economic integration bodies facilitate functional co-operation within the region: the Association of Caribbean States (ACS), the Caribbean Community (CARICOM), the </w:t>
      </w:r>
      <w:proofErr w:type="spellStart"/>
      <w:r w:rsidRPr="00867BB6">
        <w:rPr>
          <w:lang w:val="en-US"/>
        </w:rPr>
        <w:t>Organisation</w:t>
      </w:r>
      <w:proofErr w:type="spellEnd"/>
      <w:r w:rsidRPr="00867BB6">
        <w:rPr>
          <w:lang w:val="en-US"/>
        </w:rPr>
        <w:t xml:space="preserve"> of the Eastern Caribbean States (OECS), and </w:t>
      </w:r>
      <w:r w:rsidRPr="00867BB6">
        <w:rPr>
          <w:lang w:val="en-US"/>
        </w:rPr>
        <w:lastRenderedPageBreak/>
        <w:t>the Central American Integration System (SICA). There are also numerous sector specific regional organizations</w:t>
      </w:r>
      <w:r w:rsidR="00643FF1" w:rsidRPr="00867BB6">
        <w:rPr>
          <w:lang w:val="en-US"/>
        </w:rPr>
        <w:t xml:space="preserve"> that are</w:t>
      </w:r>
      <w:r w:rsidRPr="00867BB6">
        <w:rPr>
          <w:lang w:val="en-US"/>
        </w:rPr>
        <w:t xml:space="preserve"> affiliated to the above organizations, to United Nations agencies or stand-alone. Governance of transboundary coastal and marine ecosystems has been challenging within </w:t>
      </w:r>
      <w:r w:rsidR="00277F10" w:rsidRPr="00867BB6">
        <w:rPr>
          <w:lang w:val="en-US"/>
        </w:rPr>
        <w:t xml:space="preserve">this </w:t>
      </w:r>
      <w:r w:rsidRPr="00867BB6">
        <w:rPr>
          <w:lang w:val="en-US"/>
        </w:rPr>
        <w:t>context. Since 2001, the Global Environment Facility (GEF) funded Caribbean Large Marine Ecosystem (CLME) Initiative has sought to redress the deteriorating condition of the coastal and marine ecosystems, and enable the sustainable management of the shared living marine resources in the Caribbean and North Brazil Shelf Large Marine Ecosystems (</w:t>
      </w:r>
      <w:proofErr w:type="spellStart"/>
      <w:r w:rsidRPr="00867BB6">
        <w:rPr>
          <w:lang w:val="en-US"/>
        </w:rPr>
        <w:t>Debels</w:t>
      </w:r>
      <w:proofErr w:type="spellEnd"/>
      <w:r w:rsidRPr="00867BB6">
        <w:rPr>
          <w:lang w:val="en-US"/>
        </w:rPr>
        <w:t xml:space="preserve"> et al. 2017). Despite pre-existing regional and sub-regional fisheries and environmental mechanisms, prior to the CLME Initiative there was no ocean governance integration mechanism across sectors for the entire region (Fanning et al. 2021). The CLME+ Strategic Action </w:t>
      </w:r>
      <w:proofErr w:type="spellStart"/>
      <w:r w:rsidRPr="00867BB6">
        <w:rPr>
          <w:lang w:val="en-US"/>
        </w:rPr>
        <w:t>Programme</w:t>
      </w:r>
      <w:proofErr w:type="spellEnd"/>
      <w:r w:rsidRPr="00867BB6">
        <w:rPr>
          <w:lang w:val="en-US"/>
        </w:rPr>
        <w:t xml:space="preserve"> (2015-2025) is focused on understanding and building a regional ocean governance framework across the WCR (</w:t>
      </w:r>
      <w:proofErr w:type="spellStart"/>
      <w:r w:rsidRPr="00867BB6">
        <w:rPr>
          <w:lang w:val="en-US"/>
        </w:rPr>
        <w:t>Debels</w:t>
      </w:r>
      <w:proofErr w:type="spellEnd"/>
      <w:r w:rsidRPr="00867BB6">
        <w:rPr>
          <w:lang w:val="en-US"/>
        </w:rPr>
        <w:t xml:space="preserve"> et al. 2017). It has been endorsed by thirty-five Ministers of government from twenty-five CLME+ countries and six overseas territories. </w:t>
      </w:r>
    </w:p>
    <w:p w14:paraId="2B7F1500" w14:textId="45E324C9" w:rsidR="00F91365" w:rsidRPr="00867BB6" w:rsidRDefault="00FF7E38" w:rsidP="00222E2A">
      <w:pPr>
        <w:pStyle w:val="Newparagraph"/>
        <w:jc w:val="both"/>
        <w:rPr>
          <w:lang w:val="en-US"/>
        </w:rPr>
      </w:pPr>
      <w:r w:rsidRPr="00867BB6">
        <w:rPr>
          <w:lang w:val="en-US"/>
        </w:rPr>
        <w:t xml:space="preserve">The current regional agreement to establish and maintain a coordination mechanism for ocean governance in the WCR recognizes the regional ocean governance system is polycentric. It has been categorized as </w:t>
      </w:r>
      <w:r w:rsidRPr="00867BB6">
        <w:rPr>
          <w:i/>
          <w:iCs/>
          <w:lang w:val="en-US"/>
        </w:rPr>
        <w:t>codesigned polycentric</w:t>
      </w:r>
      <w:r w:rsidRPr="00867BB6">
        <w:rPr>
          <w:lang w:val="en-US"/>
        </w:rPr>
        <w:t xml:space="preserve"> based on the efforts of the CLME Initiative (Mahon and Fanning 2019) which aims to move it to Functional Polycentricity in the next phase. Nonetheless, the constraints typical of a polycentric system are evident, including challenges of engaging stakeholders and establishing networks, inequality of power dynamics, and lack of understanding of transboundary governance issues (Fanning et al. 2021). It is within this long-term initiative to enhance regional ocean governance that we evaluate recent efforts to guide sargassum management and appropriate responses (</w:t>
      </w:r>
      <w:proofErr w:type="spellStart"/>
      <w:r w:rsidRPr="00867BB6">
        <w:rPr>
          <w:lang w:val="en-US"/>
        </w:rPr>
        <w:t>McConney</w:t>
      </w:r>
      <w:proofErr w:type="spellEnd"/>
      <w:r w:rsidRPr="00867BB6">
        <w:rPr>
          <w:lang w:val="en-US"/>
        </w:rPr>
        <w:t xml:space="preserve"> and Oxenford 2020).  </w:t>
      </w:r>
    </w:p>
    <w:p w14:paraId="7C5BF559" w14:textId="73BCFFA8" w:rsidR="00F91365" w:rsidRPr="00867BB6" w:rsidRDefault="00FF7E38" w:rsidP="00222E2A">
      <w:pPr>
        <w:pStyle w:val="Heading1"/>
        <w:jc w:val="both"/>
        <w:rPr>
          <w:rFonts w:cs="Times New Roman"/>
          <w:szCs w:val="24"/>
          <w:lang w:val="en-US"/>
        </w:rPr>
      </w:pPr>
      <w:r w:rsidRPr="00867BB6">
        <w:rPr>
          <w:rFonts w:cs="Times New Roman"/>
          <w:szCs w:val="24"/>
          <w:lang w:val="en-US"/>
        </w:rPr>
        <w:lastRenderedPageBreak/>
        <w:t>Methods and data</w:t>
      </w:r>
    </w:p>
    <w:p w14:paraId="14B6F5F4" w14:textId="6E7C8698" w:rsidR="001A59A3" w:rsidRPr="00867BB6" w:rsidRDefault="0081594E" w:rsidP="00222E2A">
      <w:pPr>
        <w:pStyle w:val="Paragraph"/>
        <w:jc w:val="both"/>
        <w:rPr>
          <w:lang w:val="en-US"/>
        </w:rPr>
      </w:pPr>
      <w:r w:rsidRPr="00867BB6">
        <w:rPr>
          <w:lang w:val="en-US"/>
        </w:rPr>
        <w:t xml:space="preserve">To shed light on this tension we have undertaken the first </w:t>
      </w:r>
      <w:r w:rsidR="00556B9F" w:rsidRPr="00867BB6">
        <w:rPr>
          <w:lang w:val="en-US"/>
        </w:rPr>
        <w:t>systematic collection</w:t>
      </w:r>
      <w:r w:rsidRPr="00867BB6">
        <w:rPr>
          <w:lang w:val="en-US"/>
        </w:rPr>
        <w:t xml:space="preserve">, collation and analysis of English language policy documents related to sargassum management in Caribbean SIDS. Peer-reviewed literature is sparse, </w:t>
      </w:r>
      <w:r w:rsidR="00277F10" w:rsidRPr="00867BB6">
        <w:rPr>
          <w:lang w:val="en-US"/>
        </w:rPr>
        <w:t>and</w:t>
      </w:r>
      <w:r w:rsidRPr="00867BB6">
        <w:rPr>
          <w:lang w:val="en-US"/>
        </w:rPr>
        <w:t xml:space="preserve"> regional and national sargassum policy briefs and reports emphasize the need for further research [14] (</w:t>
      </w:r>
      <w:r w:rsidR="00402229" w:rsidRPr="00867BB6">
        <w:rPr>
          <w:lang w:val="en-US"/>
        </w:rPr>
        <w:t xml:space="preserve">Cox, Oxenford and </w:t>
      </w:r>
      <w:proofErr w:type="spellStart"/>
      <w:r w:rsidR="00402229" w:rsidRPr="00867BB6">
        <w:rPr>
          <w:lang w:val="en-US"/>
        </w:rPr>
        <w:t>McConney</w:t>
      </w:r>
      <w:proofErr w:type="spellEnd"/>
      <w:r w:rsidR="00402229" w:rsidRPr="00867BB6">
        <w:rPr>
          <w:lang w:val="en-US"/>
        </w:rPr>
        <w:t xml:space="preserve"> 2019; </w:t>
      </w:r>
      <w:r w:rsidRPr="00867BB6">
        <w:rPr>
          <w:lang w:val="en-US"/>
        </w:rPr>
        <w:t>UNEP-CEP 2018). Research has progressed in monitoring sargassum using satellite data and modelling the possible origins of the recent influxes (</w:t>
      </w:r>
      <w:r w:rsidR="00402229" w:rsidRPr="00867BB6">
        <w:rPr>
          <w:lang w:val="en-US"/>
        </w:rPr>
        <w:t xml:space="preserve">Johns et al. 2020; </w:t>
      </w:r>
      <w:r w:rsidRPr="00867BB6">
        <w:rPr>
          <w:lang w:val="en-US"/>
        </w:rPr>
        <w:t>Wang et al. 2019), but there remains a significant dearth of governance research into the policy coordination of responses to this environmental phenomenon (</w:t>
      </w:r>
      <w:r w:rsidR="00643FF1" w:rsidRPr="00867BB6">
        <w:rPr>
          <w:lang w:val="en-US"/>
        </w:rPr>
        <w:t>Fidai et al. 2020</w:t>
      </w:r>
      <w:r w:rsidRPr="00867BB6">
        <w:rPr>
          <w:lang w:val="en-US"/>
        </w:rPr>
        <w:t xml:space="preserve">). </w:t>
      </w:r>
    </w:p>
    <w:p w14:paraId="3A19A4E2" w14:textId="5A60B07C" w:rsidR="009A4D67" w:rsidRPr="00867BB6" w:rsidRDefault="0007286E" w:rsidP="000334D6">
      <w:pPr>
        <w:pStyle w:val="Paragraph"/>
        <w:ind w:firstLine="720"/>
        <w:jc w:val="both"/>
        <w:rPr>
          <w:lang w:val="en-US"/>
        </w:rPr>
      </w:pPr>
      <w:r w:rsidRPr="00867BB6">
        <w:rPr>
          <w:lang w:val="en-US"/>
        </w:rPr>
        <w:t>Our</w:t>
      </w:r>
      <w:r w:rsidR="00866BC7" w:rsidRPr="00867BB6">
        <w:rPr>
          <w:lang w:val="en-US"/>
        </w:rPr>
        <w:t xml:space="preserve"> inventory and analysis </w:t>
      </w:r>
      <w:r w:rsidRPr="00867BB6">
        <w:rPr>
          <w:lang w:val="en-US"/>
        </w:rPr>
        <w:t>relies on</w:t>
      </w:r>
      <w:r w:rsidR="00866BC7" w:rsidRPr="00867BB6">
        <w:rPr>
          <w:lang w:val="en-US"/>
        </w:rPr>
        <w:t xml:space="preserve"> two </w:t>
      </w:r>
      <w:r w:rsidRPr="00867BB6">
        <w:rPr>
          <w:lang w:val="en-US"/>
        </w:rPr>
        <w:t>data</w:t>
      </w:r>
      <w:r w:rsidR="00161BCE" w:rsidRPr="00867BB6">
        <w:rPr>
          <w:lang w:val="en-US"/>
        </w:rPr>
        <w:t>sets</w:t>
      </w:r>
      <w:r w:rsidR="00866BC7" w:rsidRPr="00867BB6">
        <w:rPr>
          <w:lang w:val="en-US"/>
        </w:rPr>
        <w:t xml:space="preserve">: </w:t>
      </w:r>
      <w:r w:rsidR="006F268B" w:rsidRPr="00867BB6">
        <w:rPr>
          <w:lang w:val="en-US"/>
        </w:rPr>
        <w:t xml:space="preserve">(1) </w:t>
      </w:r>
      <w:r w:rsidR="00B41FBC" w:rsidRPr="00867BB6">
        <w:rPr>
          <w:lang w:val="en-US"/>
        </w:rPr>
        <w:t xml:space="preserve">sargassum management policies at national and island scales, with (2) </w:t>
      </w:r>
      <w:r w:rsidR="00684898" w:rsidRPr="00867BB6">
        <w:rPr>
          <w:lang w:val="en-US"/>
        </w:rPr>
        <w:t>regional conferences</w:t>
      </w:r>
      <w:r w:rsidR="006F268B" w:rsidRPr="00867BB6">
        <w:rPr>
          <w:lang w:val="en-US"/>
        </w:rPr>
        <w:t xml:space="preserve">, technical sessions and other communication mechanisms </w:t>
      </w:r>
      <w:r w:rsidR="00B41FBC" w:rsidRPr="00867BB6">
        <w:rPr>
          <w:lang w:val="en-US"/>
        </w:rPr>
        <w:t>held and established since 2011</w:t>
      </w:r>
      <w:r w:rsidR="00684898" w:rsidRPr="00867BB6">
        <w:rPr>
          <w:lang w:val="en-US"/>
        </w:rPr>
        <w:t>.</w:t>
      </w:r>
      <w:r w:rsidR="00E64679" w:rsidRPr="00867BB6">
        <w:rPr>
          <w:lang w:val="en-US"/>
        </w:rPr>
        <w:t xml:space="preserve"> </w:t>
      </w:r>
      <w:r w:rsidR="00300D0B" w:rsidRPr="00867BB6">
        <w:rPr>
          <w:lang w:val="en-US"/>
        </w:rPr>
        <w:t xml:space="preserve">In </w:t>
      </w:r>
      <w:r w:rsidRPr="00867BB6">
        <w:rPr>
          <w:lang w:val="en-US"/>
        </w:rPr>
        <w:t xml:space="preserve">addition, </w:t>
      </w:r>
      <w:r w:rsidR="00300D0B" w:rsidRPr="00867BB6">
        <w:rPr>
          <w:lang w:val="en-US"/>
        </w:rPr>
        <w:t xml:space="preserve">several of the authors of this paper have served as consultants to develop some of </w:t>
      </w:r>
      <w:r w:rsidR="00866BC7" w:rsidRPr="00867BB6">
        <w:rPr>
          <w:lang w:val="en-US"/>
        </w:rPr>
        <w:t>the policy</w:t>
      </w:r>
      <w:r w:rsidR="00300D0B" w:rsidRPr="00867BB6">
        <w:rPr>
          <w:lang w:val="en-US"/>
        </w:rPr>
        <w:t xml:space="preserve"> documents. We draw on their insider knowledge of how the policies were developed and the types of challenges they faced.</w:t>
      </w:r>
      <w:r w:rsidR="00BA41BC" w:rsidRPr="00867BB6">
        <w:rPr>
          <w:lang w:val="en-US"/>
        </w:rPr>
        <w:t xml:space="preserve"> </w:t>
      </w:r>
      <w:r w:rsidR="006917A4" w:rsidRPr="00867BB6">
        <w:rPr>
          <w:lang w:val="en-US"/>
        </w:rPr>
        <w:t xml:space="preserve">The configuration of sargassum into a policy problem has not been studied to date, </w:t>
      </w:r>
      <w:r w:rsidR="005611A3" w:rsidRPr="00867BB6">
        <w:rPr>
          <w:lang w:val="en-US"/>
        </w:rPr>
        <w:t xml:space="preserve">and </w:t>
      </w:r>
      <w:r w:rsidRPr="00867BB6">
        <w:rPr>
          <w:lang w:val="en-US"/>
        </w:rPr>
        <w:t>so our</w:t>
      </w:r>
      <w:r w:rsidR="005611A3" w:rsidRPr="00867BB6">
        <w:rPr>
          <w:lang w:val="en-US"/>
        </w:rPr>
        <w:t xml:space="preserve"> policy-led approach allows us to explore how the problem is being framed </w:t>
      </w:r>
      <w:r w:rsidR="00517841" w:rsidRPr="00867BB6">
        <w:rPr>
          <w:lang w:val="en-US"/>
        </w:rPr>
        <w:t>and</w:t>
      </w:r>
      <w:r w:rsidR="005611A3" w:rsidRPr="00867BB6">
        <w:rPr>
          <w:lang w:val="en-US"/>
        </w:rPr>
        <w:t xml:space="preserve"> translated</w:t>
      </w:r>
      <w:r w:rsidR="00680FE9" w:rsidRPr="00867BB6">
        <w:rPr>
          <w:lang w:val="en-US"/>
        </w:rPr>
        <w:t xml:space="preserve">, with in-document references to coordinating mechanisms, events and stakeholders </w:t>
      </w:r>
      <w:r w:rsidR="007843CA" w:rsidRPr="00867BB6">
        <w:rPr>
          <w:lang w:val="en-US"/>
        </w:rPr>
        <w:t>used to assess</w:t>
      </w:r>
      <w:r w:rsidR="00680FE9" w:rsidRPr="00867BB6">
        <w:rPr>
          <w:lang w:val="en-US"/>
        </w:rPr>
        <w:t xml:space="preserve"> the</w:t>
      </w:r>
      <w:r w:rsidR="007843CA" w:rsidRPr="00867BB6">
        <w:rPr>
          <w:lang w:val="en-US"/>
        </w:rPr>
        <w:t xml:space="preserve"> </w:t>
      </w:r>
      <w:r w:rsidRPr="00867BB6">
        <w:rPr>
          <w:lang w:val="en-US"/>
        </w:rPr>
        <w:t>involvement</w:t>
      </w:r>
      <w:r w:rsidR="00876EA1" w:rsidRPr="00867BB6">
        <w:rPr>
          <w:lang w:val="en-US"/>
        </w:rPr>
        <w:t xml:space="preserve"> </w:t>
      </w:r>
      <w:r w:rsidRPr="00867BB6">
        <w:rPr>
          <w:lang w:val="en-US"/>
        </w:rPr>
        <w:t>of different</w:t>
      </w:r>
      <w:r w:rsidR="00876EA1" w:rsidRPr="00867BB6">
        <w:rPr>
          <w:lang w:val="en-US"/>
        </w:rPr>
        <w:t xml:space="preserve"> organizations, </w:t>
      </w:r>
      <w:r w:rsidRPr="00867BB6">
        <w:rPr>
          <w:lang w:val="en-US"/>
        </w:rPr>
        <w:t xml:space="preserve">and </w:t>
      </w:r>
      <w:r w:rsidR="00876EA1" w:rsidRPr="00867BB6">
        <w:rPr>
          <w:lang w:val="en-US"/>
        </w:rPr>
        <w:t xml:space="preserve">learning and cooperation </w:t>
      </w:r>
      <w:r w:rsidRPr="00867BB6">
        <w:rPr>
          <w:lang w:val="en-US"/>
        </w:rPr>
        <w:t xml:space="preserve">between them </w:t>
      </w:r>
      <w:r w:rsidR="00876EA1" w:rsidRPr="00867BB6">
        <w:rPr>
          <w:lang w:val="en-US"/>
        </w:rPr>
        <w:t>(</w:t>
      </w:r>
      <w:proofErr w:type="spellStart"/>
      <w:r w:rsidR="00876EA1" w:rsidRPr="00867BB6">
        <w:rPr>
          <w:lang w:val="en-US"/>
        </w:rPr>
        <w:t>Dorsch</w:t>
      </w:r>
      <w:proofErr w:type="spellEnd"/>
      <w:r w:rsidR="00876EA1" w:rsidRPr="00867BB6">
        <w:rPr>
          <w:lang w:val="en-US"/>
        </w:rPr>
        <w:t xml:space="preserve"> and </w:t>
      </w:r>
      <w:proofErr w:type="spellStart"/>
      <w:r w:rsidR="00876EA1" w:rsidRPr="00867BB6">
        <w:rPr>
          <w:lang w:val="en-US"/>
        </w:rPr>
        <w:t>Flachsland</w:t>
      </w:r>
      <w:proofErr w:type="spellEnd"/>
      <w:r w:rsidR="00876EA1" w:rsidRPr="00867BB6">
        <w:rPr>
          <w:lang w:val="en-US"/>
        </w:rPr>
        <w:t xml:space="preserve"> 2017).</w:t>
      </w:r>
      <w:r w:rsidR="00680FE9" w:rsidRPr="00867BB6">
        <w:rPr>
          <w:lang w:val="en-US"/>
        </w:rPr>
        <w:t xml:space="preserve"> </w:t>
      </w:r>
      <w:r w:rsidR="002E3CD6" w:rsidRPr="00867BB6">
        <w:rPr>
          <w:lang w:val="en-US"/>
        </w:rPr>
        <w:t xml:space="preserve">The </w:t>
      </w:r>
      <w:r w:rsidRPr="00867BB6">
        <w:rPr>
          <w:lang w:val="en-US"/>
        </w:rPr>
        <w:t>absence of the type of data we have collected</w:t>
      </w:r>
      <w:r w:rsidR="002E3CD6" w:rsidRPr="00867BB6">
        <w:rPr>
          <w:lang w:val="en-US"/>
        </w:rPr>
        <w:t xml:space="preserve"> has been lamented</w:t>
      </w:r>
      <w:r w:rsidR="00405177" w:rsidRPr="00867BB6">
        <w:rPr>
          <w:lang w:val="en-US"/>
        </w:rPr>
        <w:t xml:space="preserve"> (Jordan et al. 2015)</w:t>
      </w:r>
      <w:r w:rsidR="002E3CD6" w:rsidRPr="00867BB6">
        <w:rPr>
          <w:lang w:val="en-US"/>
        </w:rPr>
        <w:t xml:space="preserve">, </w:t>
      </w:r>
      <w:r w:rsidRPr="00867BB6">
        <w:rPr>
          <w:lang w:val="en-US"/>
        </w:rPr>
        <w:t xml:space="preserve">and so in addition to our analysis we also provide an empirical contribution by </w:t>
      </w:r>
      <w:r w:rsidR="002E3CD6" w:rsidRPr="00867BB6">
        <w:rPr>
          <w:lang w:val="en-US"/>
        </w:rPr>
        <w:t xml:space="preserve">constructing </w:t>
      </w:r>
      <w:r w:rsidRPr="00867BB6">
        <w:rPr>
          <w:lang w:val="en-US"/>
        </w:rPr>
        <w:t>these</w:t>
      </w:r>
      <w:r w:rsidR="002E3CD6" w:rsidRPr="00867BB6">
        <w:rPr>
          <w:lang w:val="en-US"/>
        </w:rPr>
        <w:t xml:space="preserve"> consistent, replicable dataset</w:t>
      </w:r>
      <w:r w:rsidRPr="00867BB6">
        <w:rPr>
          <w:lang w:val="en-US"/>
        </w:rPr>
        <w:t>s</w:t>
      </w:r>
      <w:r w:rsidR="002E3CD6" w:rsidRPr="00867BB6">
        <w:rPr>
          <w:lang w:val="en-US"/>
        </w:rPr>
        <w:t xml:space="preserve"> for </w:t>
      </w:r>
      <w:r w:rsidRPr="00867BB6">
        <w:rPr>
          <w:lang w:val="en-US"/>
        </w:rPr>
        <w:t>other researchers</w:t>
      </w:r>
      <w:r w:rsidR="002E3CD6" w:rsidRPr="00867BB6">
        <w:rPr>
          <w:lang w:val="en-US"/>
        </w:rPr>
        <w:t xml:space="preserve">. </w:t>
      </w:r>
      <w:r w:rsidR="0081594E" w:rsidRPr="00867BB6">
        <w:rPr>
          <w:lang w:val="en-US"/>
        </w:rPr>
        <w:t xml:space="preserve">The policy documents were analyzed on attributes outlined in Table 1; policy documents are numbered in square brackets and references are provided in the annex. </w:t>
      </w:r>
    </w:p>
    <w:p w14:paraId="67E90455" w14:textId="77777777" w:rsidR="009C2DE4" w:rsidRPr="00867BB6" w:rsidRDefault="009C2DE4" w:rsidP="009C2DE4">
      <w:pPr>
        <w:pStyle w:val="Newparagraph"/>
        <w:ind w:firstLine="0"/>
      </w:pPr>
    </w:p>
    <w:p w14:paraId="22DDF1EF" w14:textId="16439929" w:rsidR="00DF54F1" w:rsidRPr="00867BB6" w:rsidRDefault="00DF54F1" w:rsidP="009C2DE4">
      <w:pPr>
        <w:pStyle w:val="Newparagraph"/>
        <w:ind w:firstLine="0"/>
      </w:pPr>
      <w:r w:rsidRPr="00867BB6">
        <w:t>[Table 1 near here]</w:t>
      </w:r>
    </w:p>
    <w:p w14:paraId="3A5783C6" w14:textId="77777777" w:rsidR="009C2DE4" w:rsidRPr="00867BB6" w:rsidRDefault="009C2DE4" w:rsidP="004C352F">
      <w:pPr>
        <w:pStyle w:val="Newparagraph"/>
        <w:ind w:firstLine="0"/>
        <w:rPr>
          <w:lang w:val="en-US"/>
        </w:rPr>
      </w:pPr>
    </w:p>
    <w:p w14:paraId="6CFA52D6" w14:textId="5FBBB972" w:rsidR="00517841" w:rsidRPr="00867BB6" w:rsidRDefault="001C4F4B" w:rsidP="003B4448">
      <w:pPr>
        <w:pStyle w:val="Paragraph"/>
        <w:ind w:firstLine="720"/>
        <w:jc w:val="both"/>
        <w:rPr>
          <w:lang w:val="en-US"/>
        </w:rPr>
      </w:pPr>
      <w:r w:rsidRPr="00867BB6">
        <w:rPr>
          <w:lang w:val="en-US"/>
        </w:rPr>
        <w:t>The policy analysis builds on existing work on functional polycentricity (Carlisle and Gruby 201</w:t>
      </w:r>
      <w:r w:rsidR="00F216A1" w:rsidRPr="00867BB6">
        <w:rPr>
          <w:lang w:val="en-US"/>
        </w:rPr>
        <w:t>9</w:t>
      </w:r>
      <w:r w:rsidRPr="00867BB6">
        <w:rPr>
          <w:lang w:val="en-US"/>
        </w:rPr>
        <w:t xml:space="preserve">; </w:t>
      </w:r>
      <w:proofErr w:type="spellStart"/>
      <w:r w:rsidRPr="00867BB6">
        <w:rPr>
          <w:lang w:val="en-US"/>
        </w:rPr>
        <w:t>Dorsch</w:t>
      </w:r>
      <w:proofErr w:type="spellEnd"/>
      <w:r w:rsidRPr="00867BB6">
        <w:rPr>
          <w:lang w:val="en-US"/>
        </w:rPr>
        <w:t xml:space="preserve"> and </w:t>
      </w:r>
      <w:proofErr w:type="spellStart"/>
      <w:r w:rsidRPr="00867BB6">
        <w:rPr>
          <w:lang w:val="en-US"/>
        </w:rPr>
        <w:t>Flachsland</w:t>
      </w:r>
      <w:proofErr w:type="spellEnd"/>
      <w:r w:rsidRPr="00867BB6">
        <w:rPr>
          <w:lang w:val="en-US"/>
        </w:rPr>
        <w:t xml:space="preserve"> 2017</w:t>
      </w:r>
      <w:r w:rsidR="00797A46" w:rsidRPr="00867BB6">
        <w:rPr>
          <w:lang w:val="en-US"/>
        </w:rPr>
        <w:t>; Jordan et al 2018</w:t>
      </w:r>
      <w:r w:rsidRPr="00867BB6">
        <w:rPr>
          <w:lang w:val="en-US"/>
        </w:rPr>
        <w:t xml:space="preserve">), whilst adapting the variables of analysis </w:t>
      </w:r>
      <w:r w:rsidR="0007286E" w:rsidRPr="00867BB6">
        <w:rPr>
          <w:lang w:val="en-US"/>
        </w:rPr>
        <w:t>to s</w:t>
      </w:r>
      <w:r w:rsidRPr="00867BB6">
        <w:rPr>
          <w:lang w:val="en-US"/>
        </w:rPr>
        <w:t xml:space="preserve">argassum. </w:t>
      </w:r>
      <w:r w:rsidR="00CA60CD" w:rsidRPr="00867BB6">
        <w:rPr>
          <w:lang w:val="en-US"/>
        </w:rPr>
        <w:t>We identify four categories of variables for analysis</w:t>
      </w:r>
      <w:r w:rsidR="00F47AB4" w:rsidRPr="00867BB6">
        <w:rPr>
          <w:lang w:val="en-US"/>
        </w:rPr>
        <w:t xml:space="preserve"> of the country-level policy documents. First, country/territory </w:t>
      </w:r>
      <w:r w:rsidR="004839F0" w:rsidRPr="00867BB6">
        <w:rPr>
          <w:lang w:val="en-US"/>
        </w:rPr>
        <w:t xml:space="preserve">characteristics </w:t>
      </w:r>
      <w:r w:rsidR="00F47AB4" w:rsidRPr="00867BB6">
        <w:rPr>
          <w:lang w:val="en-US"/>
        </w:rPr>
        <w:t xml:space="preserve">that </w:t>
      </w:r>
      <w:r w:rsidR="00B5278B" w:rsidRPr="00867BB6">
        <w:rPr>
          <w:lang w:val="en-US"/>
        </w:rPr>
        <w:t xml:space="preserve">indicate its </w:t>
      </w:r>
      <w:r w:rsidR="00EF1262" w:rsidRPr="00867BB6">
        <w:rPr>
          <w:lang w:val="en-US"/>
        </w:rPr>
        <w:t>situation</w:t>
      </w:r>
      <w:r w:rsidR="00730AD4" w:rsidRPr="00867BB6">
        <w:rPr>
          <w:lang w:val="en-US"/>
        </w:rPr>
        <w:t xml:space="preserve"> within t</w:t>
      </w:r>
      <w:r w:rsidR="00F47AB4" w:rsidRPr="00867BB6">
        <w:rPr>
          <w:lang w:val="en-US"/>
        </w:rPr>
        <w:t>he</w:t>
      </w:r>
      <w:r w:rsidR="00EF1262" w:rsidRPr="00867BB6">
        <w:rPr>
          <w:lang w:val="en-US"/>
        </w:rPr>
        <w:t xml:space="preserve"> complex Caribbean context</w:t>
      </w:r>
      <w:r w:rsidR="0059092C" w:rsidRPr="00867BB6">
        <w:rPr>
          <w:lang w:val="en-US"/>
        </w:rPr>
        <w:t xml:space="preserve">; </w:t>
      </w:r>
      <w:r w:rsidR="00D5392E" w:rsidRPr="00867BB6">
        <w:rPr>
          <w:lang w:val="en-US"/>
        </w:rPr>
        <w:t>language, foreign aid, sovereignty, and membership of regional organizations (</w:t>
      </w:r>
      <w:r w:rsidR="000C6B08" w:rsidRPr="00867BB6">
        <w:rPr>
          <w:lang w:val="en-US"/>
        </w:rPr>
        <w:t>Fanning et al. 2021</w:t>
      </w:r>
      <w:r w:rsidR="00D5392E" w:rsidRPr="00867BB6">
        <w:rPr>
          <w:lang w:val="en-US"/>
        </w:rPr>
        <w:t>).</w:t>
      </w:r>
      <w:r w:rsidR="004072AE" w:rsidRPr="00867BB6">
        <w:rPr>
          <w:lang w:val="en-US"/>
        </w:rPr>
        <w:t xml:space="preserve"> </w:t>
      </w:r>
      <w:r w:rsidR="00F6123E" w:rsidRPr="00867BB6">
        <w:rPr>
          <w:lang w:val="en-US"/>
        </w:rPr>
        <w:t xml:space="preserve">Second, </w:t>
      </w:r>
      <w:r w:rsidR="00ED0DA6" w:rsidRPr="00867BB6">
        <w:rPr>
          <w:lang w:val="en-US"/>
        </w:rPr>
        <w:t xml:space="preserve">in the context of an emerging threat with </w:t>
      </w:r>
      <w:r w:rsidR="008E1B69" w:rsidRPr="00867BB6">
        <w:rPr>
          <w:lang w:val="en-US"/>
        </w:rPr>
        <w:t>sparse</w:t>
      </w:r>
      <w:r w:rsidR="00ED0DA6" w:rsidRPr="00867BB6">
        <w:rPr>
          <w:lang w:val="en-US"/>
        </w:rPr>
        <w:t xml:space="preserve"> scientific certainty about </w:t>
      </w:r>
      <w:r w:rsidR="00997CBD" w:rsidRPr="00867BB6">
        <w:rPr>
          <w:lang w:val="en-US"/>
        </w:rPr>
        <w:t>cause</w:t>
      </w:r>
      <w:r w:rsidR="003201B4" w:rsidRPr="00867BB6">
        <w:rPr>
          <w:lang w:val="en-US"/>
        </w:rPr>
        <w:t xml:space="preserve">, </w:t>
      </w:r>
      <w:r w:rsidR="009C65B9" w:rsidRPr="00867BB6">
        <w:rPr>
          <w:lang w:val="en-US"/>
        </w:rPr>
        <w:t>extent</w:t>
      </w:r>
      <w:r w:rsidR="003201B4" w:rsidRPr="00867BB6">
        <w:rPr>
          <w:lang w:val="en-US"/>
        </w:rPr>
        <w:t xml:space="preserve">, severity and recurrence </w:t>
      </w:r>
      <w:r w:rsidR="00300D0B" w:rsidRPr="00867BB6">
        <w:rPr>
          <w:lang w:val="en-US"/>
        </w:rPr>
        <w:t>(</w:t>
      </w:r>
      <w:r w:rsidR="00A43906" w:rsidRPr="00867BB6">
        <w:rPr>
          <w:lang w:val="en-US"/>
        </w:rPr>
        <w:t>Fidai et al. 202</w:t>
      </w:r>
      <w:r w:rsidR="009846CB" w:rsidRPr="00867BB6">
        <w:rPr>
          <w:lang w:val="en-US"/>
        </w:rPr>
        <w:t>0</w:t>
      </w:r>
      <w:r w:rsidR="00766CB9" w:rsidRPr="00867BB6">
        <w:rPr>
          <w:lang w:val="en-US"/>
        </w:rPr>
        <w:t>)</w:t>
      </w:r>
      <w:r w:rsidR="003201B4" w:rsidRPr="00867BB6">
        <w:rPr>
          <w:lang w:val="en-US"/>
        </w:rPr>
        <w:t xml:space="preserve">, we </w:t>
      </w:r>
      <w:r w:rsidR="00A0798B" w:rsidRPr="00867BB6">
        <w:rPr>
          <w:lang w:val="en-US"/>
        </w:rPr>
        <w:t>examined</w:t>
      </w:r>
      <w:r w:rsidR="003201B4" w:rsidRPr="00867BB6">
        <w:rPr>
          <w:lang w:val="en-US"/>
        </w:rPr>
        <w:t xml:space="preserve"> </w:t>
      </w:r>
      <w:r w:rsidR="00A0798B" w:rsidRPr="00867BB6">
        <w:rPr>
          <w:lang w:val="en-US"/>
        </w:rPr>
        <w:t>how</w:t>
      </w:r>
      <w:r w:rsidR="003201B4" w:rsidRPr="00867BB6">
        <w:rPr>
          <w:lang w:val="en-US"/>
        </w:rPr>
        <w:t xml:space="preserve"> </w:t>
      </w:r>
      <w:r w:rsidR="00A0798B" w:rsidRPr="00867BB6">
        <w:rPr>
          <w:lang w:val="en-US"/>
        </w:rPr>
        <w:t xml:space="preserve">these hazard-specific variables </w:t>
      </w:r>
      <w:r w:rsidR="00EF1262" w:rsidRPr="00867BB6">
        <w:rPr>
          <w:lang w:val="en-US"/>
        </w:rPr>
        <w:t>are</w:t>
      </w:r>
      <w:r w:rsidR="00A0798B" w:rsidRPr="00867BB6">
        <w:rPr>
          <w:lang w:val="en-US"/>
        </w:rPr>
        <w:t xml:space="preserve"> being captured in policy</w:t>
      </w:r>
      <w:r w:rsidR="003D0B5F" w:rsidRPr="00867BB6">
        <w:rPr>
          <w:lang w:val="en-US"/>
        </w:rPr>
        <w:t xml:space="preserve"> to identify emerging norms and </w:t>
      </w:r>
      <w:r w:rsidR="0045366C" w:rsidRPr="00867BB6">
        <w:rPr>
          <w:lang w:val="en-US"/>
        </w:rPr>
        <w:t>knowledge diffusion.</w:t>
      </w:r>
      <w:r w:rsidR="003D0B5F" w:rsidRPr="00867BB6">
        <w:rPr>
          <w:lang w:val="en-US"/>
        </w:rPr>
        <w:t xml:space="preserve"> </w:t>
      </w:r>
      <w:r w:rsidR="006E4096" w:rsidRPr="00867BB6">
        <w:rPr>
          <w:lang w:val="en-US"/>
        </w:rPr>
        <w:t xml:space="preserve">Third, we </w:t>
      </w:r>
      <w:r w:rsidR="00821518" w:rsidRPr="00867BB6">
        <w:rPr>
          <w:lang w:val="en-US"/>
        </w:rPr>
        <w:t>assessed</w:t>
      </w:r>
      <w:r w:rsidR="006E4096" w:rsidRPr="00867BB6">
        <w:rPr>
          <w:lang w:val="en-US"/>
        </w:rPr>
        <w:t xml:space="preserve"> opportunities for and examples of cooperation across policies, </w:t>
      </w:r>
      <w:r w:rsidR="00821518" w:rsidRPr="00867BB6">
        <w:rPr>
          <w:lang w:val="en-US"/>
        </w:rPr>
        <w:t xml:space="preserve">cataloging the stakeholders </w:t>
      </w:r>
      <w:r w:rsidR="00700602" w:rsidRPr="00867BB6">
        <w:rPr>
          <w:lang w:val="en-US"/>
        </w:rPr>
        <w:t xml:space="preserve">included in each policy and any cross-references between policy documents. </w:t>
      </w:r>
      <w:r w:rsidR="0062535C" w:rsidRPr="00867BB6">
        <w:rPr>
          <w:lang w:val="en-US"/>
        </w:rPr>
        <w:t xml:space="preserve">Fourth, </w:t>
      </w:r>
      <w:r w:rsidR="005D320C" w:rsidRPr="00867BB6">
        <w:rPr>
          <w:lang w:val="en-US"/>
        </w:rPr>
        <w:t xml:space="preserve">like many natural phenomena, sargassum </w:t>
      </w:r>
      <w:r w:rsidR="001349B2" w:rsidRPr="00867BB6">
        <w:rPr>
          <w:lang w:val="en-US"/>
        </w:rPr>
        <w:t xml:space="preserve">is characterized as a hazard or an opportunity dependent on factors including </w:t>
      </w:r>
      <w:r w:rsidR="00444DF7" w:rsidRPr="00867BB6">
        <w:rPr>
          <w:lang w:val="en-US"/>
        </w:rPr>
        <w:t xml:space="preserve">the severity of the influxes, the perceived reuse value, and </w:t>
      </w:r>
      <w:r w:rsidR="00AC5EBD" w:rsidRPr="00867BB6">
        <w:rPr>
          <w:lang w:val="en-US"/>
        </w:rPr>
        <w:t xml:space="preserve">the market and institutional capacity to facilitate reuse. We therefore examined the policy preferences regarding sargassum, and </w:t>
      </w:r>
      <w:r w:rsidR="00425B7D" w:rsidRPr="00867BB6">
        <w:rPr>
          <w:lang w:val="en-US"/>
        </w:rPr>
        <w:t xml:space="preserve">how influx events were framed in terms of threat, opportunity and adaptation. </w:t>
      </w:r>
    </w:p>
    <w:p w14:paraId="3737052C" w14:textId="59AE079D" w:rsidR="00F91365" w:rsidRPr="00867BB6" w:rsidRDefault="0081594E" w:rsidP="00222E2A">
      <w:pPr>
        <w:pStyle w:val="Heading1"/>
        <w:jc w:val="both"/>
        <w:rPr>
          <w:rFonts w:cs="Times New Roman"/>
          <w:szCs w:val="24"/>
          <w:lang w:val="en-US"/>
        </w:rPr>
      </w:pPr>
      <w:r w:rsidRPr="00867BB6">
        <w:rPr>
          <w:rFonts w:cs="Times New Roman"/>
          <w:szCs w:val="24"/>
          <w:lang w:val="en-US"/>
        </w:rPr>
        <w:t>Sargassum management policies and practices</w:t>
      </w:r>
    </w:p>
    <w:p w14:paraId="7C49EE72" w14:textId="441CBCF5" w:rsidR="00F91365" w:rsidRPr="00867BB6" w:rsidRDefault="005B1EA6">
      <w:pPr>
        <w:jc w:val="both"/>
        <w:rPr>
          <w:lang w:val="en-US"/>
        </w:rPr>
      </w:pPr>
      <w:r w:rsidRPr="00867BB6">
        <w:rPr>
          <w:lang w:val="en-US"/>
        </w:rPr>
        <w:t>Regional action on sargassum</w:t>
      </w:r>
      <w:r w:rsidRPr="00867BB6">
        <w:rPr>
          <w:i/>
          <w:iCs/>
          <w:lang w:val="en-US"/>
        </w:rPr>
        <w:t xml:space="preserve"> </w:t>
      </w:r>
      <w:r w:rsidRPr="00867BB6">
        <w:rPr>
          <w:lang w:val="en-US"/>
        </w:rPr>
        <w:t xml:space="preserve">influxes has included symposia, conferences, official statements, webinar series, podcasts, management briefs, tracking tools and outlook bulletins. An overview of these actions is in Table 2, which illustrates the wide range of media, approaches and forums being utilized in the WCR to address sargassum influxes. </w:t>
      </w:r>
      <w:r w:rsidR="005C072F" w:rsidRPr="00867BB6">
        <w:rPr>
          <w:lang w:val="en-US"/>
        </w:rPr>
        <w:lastRenderedPageBreak/>
        <w:t xml:space="preserve">Since 2015, several national strategic documents have been developed (Table 3). We unpack these strategies through the lens of multilevel polycentric governance, analyzing the extent to which the multi-actor, multi-scale nature of sargassum policy development has benefitted Caribbean SIDS in their response to </w:t>
      </w:r>
      <w:r w:rsidR="00513623" w:rsidRPr="00867BB6">
        <w:rPr>
          <w:lang w:val="en-US"/>
        </w:rPr>
        <w:t xml:space="preserve">sargassum </w:t>
      </w:r>
      <w:r w:rsidR="005C072F" w:rsidRPr="00867BB6">
        <w:rPr>
          <w:lang w:val="en-US"/>
        </w:rPr>
        <w:t>influxes.</w:t>
      </w:r>
    </w:p>
    <w:p w14:paraId="27646741" w14:textId="38B32137" w:rsidR="009C2DE4" w:rsidRPr="00867BB6" w:rsidRDefault="009C2DE4">
      <w:pPr>
        <w:jc w:val="both"/>
        <w:rPr>
          <w:lang w:val="en-US"/>
        </w:rPr>
      </w:pPr>
    </w:p>
    <w:p w14:paraId="4B0E06CF" w14:textId="68745F17" w:rsidR="009C2DE4" w:rsidRPr="00867BB6" w:rsidRDefault="009C2DE4">
      <w:pPr>
        <w:jc w:val="both"/>
      </w:pPr>
      <w:r w:rsidRPr="00867BB6">
        <w:t>[Table 2 near here]</w:t>
      </w:r>
    </w:p>
    <w:p w14:paraId="0A7B9F83" w14:textId="6AC38D60" w:rsidR="009C2DE4" w:rsidRPr="00867BB6" w:rsidRDefault="009C2DE4">
      <w:pPr>
        <w:jc w:val="both"/>
      </w:pPr>
      <w:r w:rsidRPr="00867BB6">
        <w:t>[Table 3 near here]</w:t>
      </w:r>
    </w:p>
    <w:p w14:paraId="6B1387EB" w14:textId="77777777" w:rsidR="009C2DE4" w:rsidRPr="00867BB6" w:rsidRDefault="009C2DE4" w:rsidP="004C352F">
      <w:pPr>
        <w:jc w:val="both"/>
        <w:rPr>
          <w:lang w:val="en-US"/>
        </w:rPr>
      </w:pPr>
    </w:p>
    <w:p w14:paraId="1F0B2DD0" w14:textId="62179366" w:rsidR="00CD5BEB" w:rsidRPr="00867BB6" w:rsidRDefault="00CD5BEB" w:rsidP="00222E2A">
      <w:pPr>
        <w:pStyle w:val="Newparagraph"/>
        <w:jc w:val="both"/>
        <w:rPr>
          <w:lang w:val="en-US"/>
        </w:rPr>
      </w:pPr>
      <w:r w:rsidRPr="00867BB6">
        <w:rPr>
          <w:lang w:val="en-US"/>
        </w:rPr>
        <w:t xml:space="preserve">Immediate responses to the inundations of sargassum on Caribbean beaches in 2011 generally favored one of two approaches: either leave the sargassum to nature or remove it from the beach. The exception is Bermuda, who manages sargassum in the context of </w:t>
      </w:r>
      <w:r w:rsidR="00CA1AF8" w:rsidRPr="00867BB6">
        <w:rPr>
          <w:lang w:val="en-US"/>
        </w:rPr>
        <w:t>their proximity to a source area of sargassum and</w:t>
      </w:r>
      <w:r w:rsidRPr="00867BB6">
        <w:rPr>
          <w:lang w:val="en-US"/>
        </w:rPr>
        <w:t xml:space="preserve"> </w:t>
      </w:r>
      <w:r w:rsidR="00CA1AF8" w:rsidRPr="00867BB6">
        <w:rPr>
          <w:lang w:val="en-US"/>
        </w:rPr>
        <w:t xml:space="preserve">longer history of mild to moderate sargassum stranding events, </w:t>
      </w:r>
      <w:r w:rsidR="0007286E" w:rsidRPr="00867BB6">
        <w:rPr>
          <w:lang w:val="en-US"/>
        </w:rPr>
        <w:t>with</w:t>
      </w:r>
      <w:r w:rsidR="00CA1AF8" w:rsidRPr="00867BB6">
        <w:rPr>
          <w:lang w:val="en-US"/>
        </w:rPr>
        <w:t xml:space="preserve"> the Sargasso Sea </w:t>
      </w:r>
      <w:r w:rsidR="0007286E" w:rsidRPr="00867BB6">
        <w:rPr>
          <w:lang w:val="en-US"/>
        </w:rPr>
        <w:t xml:space="preserve">designated </w:t>
      </w:r>
      <w:r w:rsidRPr="00867BB6">
        <w:rPr>
          <w:lang w:val="en-US"/>
        </w:rPr>
        <w:t>as an area in need of conservation [8]. In the ensuing years, organizations and states developed more detailed plans for possible inundations. The Cayman Islands Department of Environment [12</w:t>
      </w:r>
      <w:r w:rsidR="000F60DE" w:rsidRPr="00867BB6">
        <w:rPr>
          <w:lang w:val="en-US"/>
        </w:rPr>
        <w:t>]</w:t>
      </w:r>
      <w:r w:rsidRPr="00867BB6">
        <w:rPr>
          <w:lang w:val="en-US"/>
        </w:rPr>
        <w:t xml:space="preserve"> specifically prefers leaving sargassum on the beach where possible</w:t>
      </w:r>
      <w:r w:rsidR="002C3F21" w:rsidRPr="00867BB6">
        <w:rPr>
          <w:lang w:val="en-US"/>
        </w:rPr>
        <w:t>;</w:t>
      </w:r>
      <w:r w:rsidRPr="00867BB6">
        <w:rPr>
          <w:lang w:val="en-US"/>
        </w:rPr>
        <w:t xml:space="preserve"> any form of mechanized clean-up </w:t>
      </w:r>
      <w:r w:rsidR="002C3F21" w:rsidRPr="00867BB6">
        <w:rPr>
          <w:lang w:val="en-US"/>
        </w:rPr>
        <w:t xml:space="preserve">requires </w:t>
      </w:r>
      <w:r w:rsidRPr="00867BB6">
        <w:rPr>
          <w:lang w:val="en-US"/>
        </w:rPr>
        <w:t>consultation. Other states have developed longer-term strategies, with Dominica’s plan outlining both current year and long-term (1-5 years) intentions [1</w:t>
      </w:r>
      <w:r w:rsidR="00691B93" w:rsidRPr="00867BB6">
        <w:rPr>
          <w:lang w:val="en-US"/>
        </w:rPr>
        <w:t>5</w:t>
      </w:r>
      <w:r w:rsidRPr="00867BB6">
        <w:rPr>
          <w:lang w:val="en-US"/>
        </w:rPr>
        <w:t xml:space="preserve">]. While Table 3 illustrates the widespread uptake of management briefs by Caribbean states and territories, it also flags that there are states severely impacted by sargassum without a publicly available guidance document, including Belize and Suriname. </w:t>
      </w:r>
    </w:p>
    <w:p w14:paraId="380C55D0" w14:textId="635B23CF" w:rsidR="004A7C9A" w:rsidRPr="00867BB6" w:rsidRDefault="00CD5BEB" w:rsidP="00222E2A">
      <w:pPr>
        <w:pStyle w:val="Newparagraph"/>
        <w:jc w:val="both"/>
        <w:rPr>
          <w:lang w:val="en-US"/>
        </w:rPr>
      </w:pPr>
      <w:r w:rsidRPr="00867BB6">
        <w:rPr>
          <w:lang w:val="en-US"/>
        </w:rPr>
        <w:t>Even for those states with formalized national policy briefs, the contents and level of detail range</w:t>
      </w:r>
      <w:r w:rsidR="009F6FE0" w:rsidRPr="00867BB6">
        <w:rPr>
          <w:lang w:val="en-US"/>
        </w:rPr>
        <w:t>s</w:t>
      </w:r>
      <w:r w:rsidRPr="00867BB6">
        <w:rPr>
          <w:lang w:val="en-US"/>
        </w:rPr>
        <w:t xml:space="preserve"> from in-depth, country- and site-specific analysis and recommendations [1</w:t>
      </w:r>
      <w:r w:rsidR="00691B93" w:rsidRPr="00867BB6">
        <w:rPr>
          <w:lang w:val="en-US"/>
        </w:rPr>
        <w:t>5</w:t>
      </w:r>
      <w:r w:rsidRPr="00867BB6">
        <w:rPr>
          <w:lang w:val="en-US"/>
        </w:rPr>
        <w:t>, 1</w:t>
      </w:r>
      <w:r w:rsidR="00691B93" w:rsidRPr="00867BB6">
        <w:rPr>
          <w:lang w:val="en-US"/>
        </w:rPr>
        <w:t>9</w:t>
      </w:r>
      <w:r w:rsidRPr="00867BB6">
        <w:rPr>
          <w:lang w:val="en-US"/>
        </w:rPr>
        <w:t xml:space="preserve">], to the development and use of model protocols – model protocols which include </w:t>
      </w:r>
      <w:r w:rsidRPr="00867BB6">
        <w:rPr>
          <w:lang w:val="en-US"/>
        </w:rPr>
        <w:lastRenderedPageBreak/>
        <w:t>Puerto Rico and Grenada’s management briefs</w:t>
      </w:r>
      <w:r w:rsidR="00D30092" w:rsidRPr="00867BB6">
        <w:rPr>
          <w:lang w:val="en-US"/>
        </w:rPr>
        <w:t xml:space="preserve"> [27, 17]</w:t>
      </w:r>
      <w:r w:rsidRPr="00867BB6">
        <w:rPr>
          <w:lang w:val="en-US"/>
        </w:rPr>
        <w:t xml:space="preserve">, </w:t>
      </w:r>
      <w:r w:rsidR="00A31039" w:rsidRPr="00867BB6">
        <w:rPr>
          <w:lang w:val="en-US"/>
        </w:rPr>
        <w:t xml:space="preserve">and </w:t>
      </w:r>
      <w:r w:rsidRPr="00867BB6">
        <w:rPr>
          <w:lang w:val="en-US"/>
        </w:rPr>
        <w:t>CRFM</w:t>
      </w:r>
      <w:r w:rsidR="00EC426E" w:rsidRPr="00867BB6">
        <w:rPr>
          <w:lang w:val="en-US"/>
        </w:rPr>
        <w:t xml:space="preserve"> Secretariat</w:t>
      </w:r>
      <w:r w:rsidRPr="00867BB6">
        <w:rPr>
          <w:lang w:val="en-US"/>
        </w:rPr>
        <w:t xml:space="preserve"> and </w:t>
      </w:r>
      <w:r w:rsidR="00EC426E" w:rsidRPr="00867BB6">
        <w:rPr>
          <w:lang w:val="en-US"/>
        </w:rPr>
        <w:t>UWI-</w:t>
      </w:r>
      <w:r w:rsidRPr="00867BB6">
        <w:rPr>
          <w:lang w:val="en-US"/>
        </w:rPr>
        <w:t>CERMES briefs (CRFM 2016; Hinds et al. 2016) [1</w:t>
      </w:r>
      <w:r w:rsidR="00691B93" w:rsidRPr="00867BB6">
        <w:rPr>
          <w:lang w:val="en-US"/>
        </w:rPr>
        <w:t>7</w:t>
      </w:r>
      <w:r w:rsidRPr="00867BB6">
        <w:rPr>
          <w:lang w:val="en-US"/>
        </w:rPr>
        <w:t xml:space="preserve">]. Some protocols remained in draft status for years </w:t>
      </w:r>
      <w:r w:rsidR="003F7970" w:rsidRPr="00867BB6">
        <w:rPr>
          <w:lang w:val="en-US"/>
        </w:rPr>
        <w:t>before being</w:t>
      </w:r>
      <w:r w:rsidRPr="00867BB6">
        <w:rPr>
          <w:lang w:val="en-US"/>
        </w:rPr>
        <w:t xml:space="preserve"> updated to </w:t>
      </w:r>
      <w:r w:rsidR="00941B43" w:rsidRPr="00867BB6">
        <w:rPr>
          <w:lang w:val="en-US"/>
        </w:rPr>
        <w:t>adaptive management strategies</w:t>
      </w:r>
      <w:r w:rsidR="00EC426E" w:rsidRPr="00867BB6">
        <w:rPr>
          <w:lang w:val="en-US"/>
        </w:rPr>
        <w:t xml:space="preserve"> [5</w:t>
      </w:r>
      <w:r w:rsidR="00DE4E3E" w:rsidRPr="00867BB6">
        <w:rPr>
          <w:lang w:val="en-US"/>
        </w:rPr>
        <w:t>/6, 17/18, 36/37, 39/40</w:t>
      </w:r>
      <w:r w:rsidR="00EC426E" w:rsidRPr="00867BB6">
        <w:rPr>
          <w:lang w:val="en-US"/>
        </w:rPr>
        <w:t>]</w:t>
      </w:r>
      <w:r w:rsidRPr="00867BB6">
        <w:rPr>
          <w:lang w:val="en-US"/>
        </w:rPr>
        <w:t xml:space="preserve">. </w:t>
      </w:r>
      <w:r w:rsidR="004A7C9A" w:rsidRPr="00867BB6">
        <w:rPr>
          <w:lang w:val="en-US"/>
        </w:rPr>
        <w:t xml:space="preserve">From the outside it is </w:t>
      </w:r>
      <w:r w:rsidRPr="00867BB6">
        <w:rPr>
          <w:lang w:val="en-US"/>
        </w:rPr>
        <w:t>unclear</w:t>
      </w:r>
      <w:r w:rsidR="004A7C9A" w:rsidRPr="00867BB6">
        <w:rPr>
          <w:lang w:val="en-US"/>
        </w:rPr>
        <w:t xml:space="preserve"> </w:t>
      </w:r>
      <w:r w:rsidRPr="00867BB6">
        <w:rPr>
          <w:lang w:val="en-US"/>
        </w:rPr>
        <w:t xml:space="preserve">how many have been adopted by government departments or </w:t>
      </w:r>
      <w:r w:rsidR="001F1AAE" w:rsidRPr="00867BB6">
        <w:rPr>
          <w:lang w:val="en-US"/>
        </w:rPr>
        <w:t xml:space="preserve">have </w:t>
      </w:r>
      <w:r w:rsidRPr="00867BB6">
        <w:rPr>
          <w:lang w:val="en-US"/>
        </w:rPr>
        <w:t xml:space="preserve">received </w:t>
      </w:r>
      <w:r w:rsidR="004A7C9A" w:rsidRPr="00867BB6">
        <w:rPr>
          <w:lang w:val="en-US"/>
        </w:rPr>
        <w:t xml:space="preserve">executive </w:t>
      </w:r>
      <w:r w:rsidRPr="00867BB6">
        <w:rPr>
          <w:lang w:val="en-US"/>
        </w:rPr>
        <w:t xml:space="preserve">approval. </w:t>
      </w:r>
    </w:p>
    <w:p w14:paraId="318A789F" w14:textId="7CAE6AE6" w:rsidR="00CD5BEB" w:rsidRPr="00867BB6" w:rsidRDefault="00CD5BEB" w:rsidP="00222E2A">
      <w:pPr>
        <w:pStyle w:val="Newparagraph"/>
        <w:jc w:val="both"/>
        <w:rPr>
          <w:lang w:val="en-US"/>
        </w:rPr>
      </w:pPr>
      <w:r w:rsidRPr="00867BB6">
        <w:rPr>
          <w:lang w:val="en-US"/>
        </w:rPr>
        <w:t>Most states and territories in the Caribbean have some form of sargassum management strategy in place, but there is a marked difference in detail among them. Several independent states have released (draft) management reports, including Dominica [1</w:t>
      </w:r>
      <w:r w:rsidR="00691B93" w:rsidRPr="00867BB6">
        <w:rPr>
          <w:lang w:val="en-US"/>
        </w:rPr>
        <w:t>5</w:t>
      </w:r>
      <w:r w:rsidRPr="00867BB6">
        <w:rPr>
          <w:lang w:val="en-US"/>
        </w:rPr>
        <w:t>], Jamaica [2</w:t>
      </w:r>
      <w:r w:rsidR="00691B93" w:rsidRPr="00867BB6">
        <w:rPr>
          <w:lang w:val="en-US"/>
        </w:rPr>
        <w:t>4</w:t>
      </w:r>
      <w:r w:rsidRPr="00867BB6">
        <w:rPr>
          <w:lang w:val="en-US"/>
        </w:rPr>
        <w:t>], Saint Lucia [3</w:t>
      </w:r>
      <w:r w:rsidR="00691B93" w:rsidRPr="00867BB6">
        <w:rPr>
          <w:lang w:val="en-US"/>
        </w:rPr>
        <w:t>2</w:t>
      </w:r>
      <w:r w:rsidRPr="00867BB6">
        <w:rPr>
          <w:lang w:val="en-US"/>
        </w:rPr>
        <w:t>, 3</w:t>
      </w:r>
      <w:r w:rsidR="00691B93" w:rsidRPr="00867BB6">
        <w:rPr>
          <w:lang w:val="en-US"/>
        </w:rPr>
        <w:t>3</w:t>
      </w:r>
      <w:r w:rsidRPr="00867BB6">
        <w:rPr>
          <w:lang w:val="en-US"/>
        </w:rPr>
        <w:t>], St. Vincent and the Grenadines [3</w:t>
      </w:r>
      <w:r w:rsidR="00691B93" w:rsidRPr="00867BB6">
        <w:rPr>
          <w:lang w:val="en-US"/>
        </w:rPr>
        <w:t>6</w:t>
      </w:r>
      <w:r w:rsidRPr="00867BB6">
        <w:rPr>
          <w:lang w:val="en-US"/>
        </w:rPr>
        <w:t>, 3</w:t>
      </w:r>
      <w:r w:rsidR="00691B93" w:rsidRPr="00867BB6">
        <w:rPr>
          <w:lang w:val="en-US"/>
        </w:rPr>
        <w:t>7</w:t>
      </w:r>
      <w:r w:rsidRPr="00867BB6">
        <w:rPr>
          <w:lang w:val="en-US"/>
        </w:rPr>
        <w:t>], St. Kitts and Nevis [</w:t>
      </w:r>
      <w:r w:rsidR="00691B93" w:rsidRPr="00867BB6">
        <w:rPr>
          <w:lang w:val="en-US"/>
        </w:rPr>
        <w:t>30</w:t>
      </w:r>
      <w:r w:rsidRPr="00867BB6">
        <w:rPr>
          <w:lang w:val="en-US"/>
        </w:rPr>
        <w:t>, 3</w:t>
      </w:r>
      <w:r w:rsidR="00691B93" w:rsidRPr="00867BB6">
        <w:rPr>
          <w:lang w:val="en-US"/>
        </w:rPr>
        <w:t>1</w:t>
      </w:r>
      <w:r w:rsidRPr="00867BB6">
        <w:rPr>
          <w:lang w:val="en-US"/>
        </w:rPr>
        <w:t>], Grenada [1</w:t>
      </w:r>
      <w:r w:rsidR="00691B93" w:rsidRPr="00867BB6">
        <w:rPr>
          <w:lang w:val="en-US"/>
        </w:rPr>
        <w:t>7</w:t>
      </w:r>
      <w:r w:rsidRPr="00867BB6">
        <w:rPr>
          <w:lang w:val="en-US"/>
        </w:rPr>
        <w:t>, 1</w:t>
      </w:r>
      <w:r w:rsidR="00691B93" w:rsidRPr="00867BB6">
        <w:rPr>
          <w:lang w:val="en-US"/>
        </w:rPr>
        <w:t>8</w:t>
      </w:r>
      <w:r w:rsidRPr="00867BB6">
        <w:rPr>
          <w:lang w:val="en-US"/>
        </w:rPr>
        <w:t>], and Trinidad and Tobago [3</w:t>
      </w:r>
      <w:r w:rsidR="00691B93" w:rsidRPr="00867BB6">
        <w:rPr>
          <w:lang w:val="en-US"/>
        </w:rPr>
        <w:t>9</w:t>
      </w:r>
      <w:r w:rsidRPr="00867BB6">
        <w:rPr>
          <w:lang w:val="en-US"/>
        </w:rPr>
        <w:t xml:space="preserve">, </w:t>
      </w:r>
      <w:r w:rsidR="00691B93" w:rsidRPr="00867BB6">
        <w:rPr>
          <w:lang w:val="en-US"/>
        </w:rPr>
        <w:t>40</w:t>
      </w:r>
      <w:r w:rsidRPr="00867BB6">
        <w:rPr>
          <w:lang w:val="en-US"/>
        </w:rPr>
        <w:t xml:space="preserve">]. Other strategies were released by sovereign European states to encompass their Caribbean constituent territories. For example, the Dutch Caribbean Nature Alliance [3] released its prevention and clean-up strategy in 2019, which addresses the impacts in the Dutch Caribbean. </w:t>
      </w:r>
      <w:r w:rsidR="00723098" w:rsidRPr="00867BB6">
        <w:rPr>
          <w:lang w:val="en-US"/>
        </w:rPr>
        <w:t xml:space="preserve">Most of this strategy is based on the Hinds et al. (2016) brief, exemplifying </w:t>
      </w:r>
      <w:r w:rsidRPr="00867BB6">
        <w:rPr>
          <w:lang w:val="en-US"/>
        </w:rPr>
        <w:t xml:space="preserve">the benefits of regional networks. </w:t>
      </w:r>
    </w:p>
    <w:p w14:paraId="12358DF5" w14:textId="19E27A5C" w:rsidR="00CD5BEB" w:rsidRPr="00867BB6" w:rsidRDefault="00CD5BEB" w:rsidP="00222E2A">
      <w:pPr>
        <w:pStyle w:val="Newparagraph"/>
        <w:jc w:val="both"/>
        <w:rPr>
          <w:lang w:val="en-US"/>
        </w:rPr>
      </w:pPr>
      <w:r w:rsidRPr="00867BB6">
        <w:rPr>
          <w:lang w:val="en-US"/>
        </w:rPr>
        <w:t>The documentation reveals that there is a lack of knowledge on sargassum influxes to support strategy development and management decisions. All the strategies studied here lament the dearth of evidence on which to base decision-making. Regional collaboration and investment in research are highlighted as priorities by Martinique [1</w:t>
      </w:r>
      <w:r w:rsidR="00691B93" w:rsidRPr="00867BB6">
        <w:rPr>
          <w:lang w:val="en-US"/>
        </w:rPr>
        <w:t>9</w:t>
      </w:r>
      <w:r w:rsidRPr="00867BB6">
        <w:rPr>
          <w:lang w:val="en-US"/>
        </w:rPr>
        <w:t>], St Maarten [3], and Trinidad and Tobago [3</w:t>
      </w:r>
      <w:r w:rsidR="00691B93" w:rsidRPr="00867BB6">
        <w:rPr>
          <w:lang w:val="en-US"/>
        </w:rPr>
        <w:t>9</w:t>
      </w:r>
      <w:r w:rsidRPr="00867BB6">
        <w:rPr>
          <w:lang w:val="en-US"/>
        </w:rPr>
        <w:t>], and developing and improving the monitoring of sargassum at sea is identified in almost all national policies. Of those policies hypothesizing the causes of the influxes, many rely on the Hinds et al. (2016) report [3, 1</w:t>
      </w:r>
      <w:r w:rsidR="00691B93" w:rsidRPr="00867BB6">
        <w:rPr>
          <w:lang w:val="en-US"/>
        </w:rPr>
        <w:t>5</w:t>
      </w:r>
      <w:r w:rsidRPr="00867BB6">
        <w:rPr>
          <w:lang w:val="en-US"/>
        </w:rPr>
        <w:t xml:space="preserve">], point out the </w:t>
      </w:r>
      <w:r w:rsidR="000F60DE" w:rsidRPr="00867BB6">
        <w:rPr>
          <w:lang w:val="en-US"/>
        </w:rPr>
        <w:t>competing</w:t>
      </w:r>
      <w:r w:rsidRPr="00867BB6">
        <w:rPr>
          <w:lang w:val="en-US"/>
        </w:rPr>
        <w:t xml:space="preserve"> theories regarding the origins of sargassum influxes [1</w:t>
      </w:r>
      <w:r w:rsidR="00691B93" w:rsidRPr="00867BB6">
        <w:rPr>
          <w:lang w:val="en-US"/>
        </w:rPr>
        <w:t>7</w:t>
      </w:r>
      <w:r w:rsidRPr="00867BB6">
        <w:rPr>
          <w:lang w:val="en-US"/>
        </w:rPr>
        <w:t>, 2</w:t>
      </w:r>
      <w:r w:rsidR="00691B93" w:rsidRPr="00867BB6">
        <w:rPr>
          <w:lang w:val="en-US"/>
        </w:rPr>
        <w:t>4</w:t>
      </w:r>
      <w:r w:rsidRPr="00867BB6">
        <w:rPr>
          <w:lang w:val="en-US"/>
        </w:rPr>
        <w:t>, 3</w:t>
      </w:r>
      <w:r w:rsidR="00691B93" w:rsidRPr="00867BB6">
        <w:rPr>
          <w:lang w:val="en-US"/>
        </w:rPr>
        <w:t>9</w:t>
      </w:r>
      <w:r w:rsidRPr="00867BB6">
        <w:rPr>
          <w:lang w:val="en-US"/>
        </w:rPr>
        <w:t xml:space="preserve">], and </w:t>
      </w:r>
      <w:r w:rsidR="000F60DE" w:rsidRPr="00867BB6">
        <w:rPr>
          <w:lang w:val="en-US"/>
        </w:rPr>
        <w:t xml:space="preserve">stress </w:t>
      </w:r>
      <w:r w:rsidRPr="00867BB6">
        <w:rPr>
          <w:lang w:val="en-US"/>
        </w:rPr>
        <w:t>the need for further research to understand the effect of environmental parameters on the transport of sargassum [3, 1</w:t>
      </w:r>
      <w:r w:rsidR="00691B93" w:rsidRPr="00867BB6">
        <w:rPr>
          <w:lang w:val="en-US"/>
        </w:rPr>
        <w:t>5</w:t>
      </w:r>
      <w:r w:rsidRPr="00867BB6">
        <w:rPr>
          <w:lang w:val="en-US"/>
        </w:rPr>
        <w:t xml:space="preserve">, </w:t>
      </w:r>
      <w:r w:rsidR="00691B93" w:rsidRPr="00867BB6">
        <w:rPr>
          <w:lang w:val="en-US"/>
        </w:rPr>
        <w:t>30</w:t>
      </w:r>
      <w:r w:rsidRPr="00867BB6">
        <w:rPr>
          <w:lang w:val="en-US"/>
        </w:rPr>
        <w:t>, 3</w:t>
      </w:r>
      <w:r w:rsidR="00691B93" w:rsidRPr="00867BB6">
        <w:rPr>
          <w:lang w:val="en-US"/>
        </w:rPr>
        <w:t>2</w:t>
      </w:r>
      <w:r w:rsidRPr="00867BB6">
        <w:rPr>
          <w:lang w:val="en-US"/>
        </w:rPr>
        <w:t>, 3</w:t>
      </w:r>
      <w:r w:rsidR="00691B93" w:rsidRPr="00867BB6">
        <w:rPr>
          <w:lang w:val="en-US"/>
        </w:rPr>
        <w:t>9</w:t>
      </w:r>
      <w:r w:rsidRPr="00867BB6">
        <w:rPr>
          <w:lang w:val="en-US"/>
        </w:rPr>
        <w:t xml:space="preserve">]. </w:t>
      </w:r>
    </w:p>
    <w:p w14:paraId="567B8BE5" w14:textId="4026F2C1" w:rsidR="00CD5BEB" w:rsidRPr="00867BB6" w:rsidRDefault="00CD5BEB" w:rsidP="00222E2A">
      <w:pPr>
        <w:pStyle w:val="Newparagraph"/>
        <w:jc w:val="both"/>
        <w:rPr>
          <w:lang w:val="en-US"/>
        </w:rPr>
      </w:pPr>
      <w:r w:rsidRPr="00867BB6">
        <w:rPr>
          <w:lang w:val="en-US"/>
        </w:rPr>
        <w:lastRenderedPageBreak/>
        <w:t>Despite regional and national efforts to manage Sargassum, the limited resources for policy development and implementation hinder universal development and adoption of management strateg</w:t>
      </w:r>
      <w:r w:rsidR="00670C03" w:rsidRPr="00867BB6">
        <w:rPr>
          <w:lang w:val="en-US"/>
        </w:rPr>
        <w:t>ies</w:t>
      </w:r>
      <w:r w:rsidRPr="00867BB6">
        <w:rPr>
          <w:lang w:val="en-US"/>
        </w:rPr>
        <w:t xml:space="preserve"> across </w:t>
      </w:r>
      <w:r w:rsidR="00674216" w:rsidRPr="00867BB6">
        <w:rPr>
          <w:lang w:val="en-US"/>
        </w:rPr>
        <w:t>the WCR</w:t>
      </w:r>
      <w:r w:rsidRPr="00867BB6">
        <w:rPr>
          <w:lang w:val="en-US"/>
        </w:rPr>
        <w:t>. These limitations are identified in multiple national strategies and reports [1</w:t>
      </w:r>
      <w:r w:rsidR="00691B93" w:rsidRPr="00867BB6">
        <w:rPr>
          <w:lang w:val="en-US"/>
        </w:rPr>
        <w:t>5</w:t>
      </w:r>
      <w:r w:rsidRPr="00867BB6">
        <w:rPr>
          <w:lang w:val="en-US"/>
        </w:rPr>
        <w:t>, 3</w:t>
      </w:r>
      <w:r w:rsidR="00691B93" w:rsidRPr="00867BB6">
        <w:rPr>
          <w:lang w:val="en-US"/>
        </w:rPr>
        <w:t>2</w:t>
      </w:r>
      <w:r w:rsidRPr="00867BB6">
        <w:rPr>
          <w:lang w:val="en-US"/>
        </w:rPr>
        <w:t xml:space="preserve">] (UNEP-CEP 2018). Furthermore, although the production of a single policy brief by the Dutch Caribbean Nature Alliance ensures Dutch constituent countries and special municipalities have </w:t>
      </w:r>
      <w:r w:rsidR="00012C32">
        <w:rPr>
          <w:lang w:val="en-US"/>
        </w:rPr>
        <w:t xml:space="preserve">a coordinated </w:t>
      </w:r>
      <w:r w:rsidRPr="00867BB6">
        <w:rPr>
          <w:lang w:val="en-US"/>
        </w:rPr>
        <w:t>policy direction, this single brief is a generic report largely based on the work of Hinds et al. (2016) [3]</w:t>
      </w:r>
      <w:r w:rsidR="004A7C9A" w:rsidRPr="00867BB6">
        <w:rPr>
          <w:lang w:val="en-US"/>
        </w:rPr>
        <w:t xml:space="preserve"> and thus has limited island-specific information</w:t>
      </w:r>
      <w:r w:rsidRPr="00867BB6">
        <w:rPr>
          <w:lang w:val="en-US"/>
        </w:rPr>
        <w:t xml:space="preserve">. It is evident that multi-level policy development has facilitated institutional buy-in, with various regional and state briefs drawing on information across levels and actors as well as through lateral linkages within levels to facilitate management processes nationally. Nevertheless, despite the benefits of partnership, questions remain as to whether (a) policy integration is stifling policy innovation, and (b) the policies are being effectively tailored to island-specific needs, and (c) </w:t>
      </w:r>
      <w:r w:rsidR="00EA2EE7" w:rsidRPr="00867BB6">
        <w:rPr>
          <w:lang w:val="en-US"/>
        </w:rPr>
        <w:t xml:space="preserve">WCR </w:t>
      </w:r>
      <w:r w:rsidRPr="00867BB6">
        <w:rPr>
          <w:lang w:val="en-US"/>
        </w:rPr>
        <w:t>SIDS are better able to manage Sargassum because of the multi-scale governance.</w:t>
      </w:r>
    </w:p>
    <w:p w14:paraId="3B4D83C0" w14:textId="4624B3C7" w:rsidR="00F91365" w:rsidRPr="00867BB6" w:rsidRDefault="00CD5BEB" w:rsidP="00222E2A">
      <w:pPr>
        <w:pStyle w:val="Heading1"/>
        <w:jc w:val="both"/>
        <w:rPr>
          <w:rFonts w:cs="Times New Roman"/>
          <w:szCs w:val="24"/>
          <w:lang w:val="en-US"/>
        </w:rPr>
      </w:pPr>
      <w:r w:rsidRPr="00867BB6">
        <w:rPr>
          <w:rFonts w:cs="Times New Roman"/>
          <w:szCs w:val="24"/>
          <w:lang w:val="en-US"/>
        </w:rPr>
        <w:t>Capacity constraints and the limits of coordination</w:t>
      </w:r>
    </w:p>
    <w:p w14:paraId="678768E8" w14:textId="52C00210" w:rsidR="00E3166F" w:rsidRPr="00867BB6" w:rsidRDefault="00E3166F" w:rsidP="00FE6F52">
      <w:pPr>
        <w:pStyle w:val="Newparagraph"/>
        <w:ind w:firstLine="0"/>
        <w:jc w:val="both"/>
        <w:rPr>
          <w:lang w:val="en-US"/>
        </w:rPr>
      </w:pPr>
      <w:r w:rsidRPr="00867BB6">
        <w:rPr>
          <w:lang w:val="en-US"/>
        </w:rPr>
        <w:t>Our policy analysis</w:t>
      </w:r>
      <w:r w:rsidR="00AA49D6" w:rsidRPr="00867BB6">
        <w:rPr>
          <w:lang w:val="en-US"/>
        </w:rPr>
        <w:t xml:space="preserve"> found limited evidence that capacity for regional organization as measured by </w:t>
      </w:r>
      <w:r w:rsidRPr="00867BB6">
        <w:rPr>
          <w:lang w:val="en-US"/>
        </w:rPr>
        <w:t xml:space="preserve">sovereignty, population size, </w:t>
      </w:r>
      <w:r w:rsidR="004A7C9A" w:rsidRPr="00867BB6">
        <w:rPr>
          <w:lang w:val="en-US"/>
        </w:rPr>
        <w:t xml:space="preserve">level of </w:t>
      </w:r>
      <w:r w:rsidRPr="00867BB6">
        <w:rPr>
          <w:lang w:val="en-US"/>
        </w:rPr>
        <w:t xml:space="preserve">development, and regional organizational membership </w:t>
      </w:r>
      <w:r w:rsidR="00AA49D6" w:rsidRPr="00867BB6">
        <w:rPr>
          <w:lang w:val="en-US"/>
        </w:rPr>
        <w:t xml:space="preserve">affected </w:t>
      </w:r>
      <w:r w:rsidRPr="00867BB6">
        <w:rPr>
          <w:lang w:val="en-US"/>
        </w:rPr>
        <w:t xml:space="preserve">the presence or absence of a </w:t>
      </w:r>
      <w:r w:rsidR="00AA49D6" w:rsidRPr="00867BB6">
        <w:rPr>
          <w:lang w:val="en-US"/>
        </w:rPr>
        <w:t xml:space="preserve">sargassum </w:t>
      </w:r>
      <w:r w:rsidRPr="00867BB6">
        <w:rPr>
          <w:lang w:val="en-US"/>
        </w:rPr>
        <w:t>policy. States with both relatively large populations in the region and those with small populations do not have a sargassum policy; for example, no briefs were identified for more populous Suriname</w:t>
      </w:r>
      <w:r w:rsidR="00E12FBC" w:rsidRPr="00867BB6">
        <w:rPr>
          <w:lang w:val="en-US"/>
        </w:rPr>
        <w:t xml:space="preserve"> [3</w:t>
      </w:r>
      <w:r w:rsidR="0052506E" w:rsidRPr="00867BB6">
        <w:rPr>
          <w:lang w:val="en-US"/>
        </w:rPr>
        <w:t>8</w:t>
      </w:r>
      <w:r w:rsidR="00E12FBC" w:rsidRPr="00867BB6">
        <w:rPr>
          <w:lang w:val="en-US"/>
        </w:rPr>
        <w:t>]</w:t>
      </w:r>
      <w:r w:rsidRPr="00867BB6">
        <w:rPr>
          <w:lang w:val="en-US"/>
        </w:rPr>
        <w:t xml:space="preserve"> nor for</w:t>
      </w:r>
      <w:r w:rsidR="00BA3B5A" w:rsidRPr="00867BB6">
        <w:rPr>
          <w:lang w:val="en-US"/>
        </w:rPr>
        <w:t xml:space="preserve"> </w:t>
      </w:r>
      <w:r w:rsidRPr="00867BB6">
        <w:rPr>
          <w:lang w:val="en-US"/>
        </w:rPr>
        <w:t>less populous Turks and Caicos Islands</w:t>
      </w:r>
      <w:r w:rsidR="00BA3B5A" w:rsidRPr="00867BB6">
        <w:rPr>
          <w:lang w:val="en-US"/>
        </w:rPr>
        <w:t xml:space="preserve"> [4</w:t>
      </w:r>
      <w:r w:rsidR="0052506E" w:rsidRPr="00867BB6">
        <w:rPr>
          <w:lang w:val="en-US"/>
        </w:rPr>
        <w:t>1</w:t>
      </w:r>
      <w:r w:rsidR="00BA3B5A" w:rsidRPr="00867BB6">
        <w:rPr>
          <w:lang w:val="en-US"/>
        </w:rPr>
        <w:t>]</w:t>
      </w:r>
      <w:r w:rsidRPr="00867BB6">
        <w:rPr>
          <w:lang w:val="en-US"/>
        </w:rPr>
        <w:t xml:space="preserve">. </w:t>
      </w:r>
      <w:r w:rsidR="00E3760D" w:rsidRPr="00867BB6">
        <w:rPr>
          <w:lang w:val="en-US"/>
        </w:rPr>
        <w:t xml:space="preserve">Most </w:t>
      </w:r>
      <w:r w:rsidR="00905D7F" w:rsidRPr="00867BB6">
        <w:rPr>
          <w:lang w:val="en-US"/>
        </w:rPr>
        <w:t xml:space="preserve">ODA </w:t>
      </w:r>
      <w:r w:rsidR="00855340" w:rsidRPr="00867BB6">
        <w:rPr>
          <w:lang w:val="en-US"/>
        </w:rPr>
        <w:t>eligible</w:t>
      </w:r>
      <w:r w:rsidR="00905D7F" w:rsidRPr="00867BB6">
        <w:rPr>
          <w:lang w:val="en-US"/>
        </w:rPr>
        <w:t xml:space="preserve"> countries</w:t>
      </w:r>
      <w:r w:rsidRPr="00867BB6">
        <w:rPr>
          <w:lang w:val="en-US"/>
        </w:rPr>
        <w:t xml:space="preserve"> </w:t>
      </w:r>
      <w:r w:rsidR="00DF4FD0" w:rsidRPr="00867BB6">
        <w:rPr>
          <w:lang w:val="en-US"/>
        </w:rPr>
        <w:t>[2, 7, 1</w:t>
      </w:r>
      <w:r w:rsidR="0052506E" w:rsidRPr="00867BB6">
        <w:rPr>
          <w:lang w:val="en-US"/>
        </w:rPr>
        <w:t>5</w:t>
      </w:r>
      <w:r w:rsidR="00DF4FD0" w:rsidRPr="00867BB6">
        <w:rPr>
          <w:lang w:val="en-US"/>
        </w:rPr>
        <w:t xml:space="preserve">, </w:t>
      </w:r>
      <w:r w:rsidR="00F526D0" w:rsidRPr="00867BB6">
        <w:rPr>
          <w:lang w:val="en-US"/>
        </w:rPr>
        <w:t>16, 17</w:t>
      </w:r>
      <w:r w:rsidR="007B7DA9" w:rsidRPr="00867BB6">
        <w:rPr>
          <w:lang w:val="en-US"/>
        </w:rPr>
        <w:t>/</w:t>
      </w:r>
      <w:r w:rsidR="00F526D0" w:rsidRPr="00867BB6">
        <w:rPr>
          <w:lang w:val="en-US"/>
        </w:rPr>
        <w:t>18, 24, 32</w:t>
      </w:r>
      <w:r w:rsidR="007B7DA9" w:rsidRPr="00867BB6">
        <w:rPr>
          <w:lang w:val="en-US"/>
        </w:rPr>
        <w:t>/</w:t>
      </w:r>
      <w:r w:rsidR="00F526D0" w:rsidRPr="00867BB6">
        <w:rPr>
          <w:lang w:val="en-US"/>
        </w:rPr>
        <w:t>33, 36</w:t>
      </w:r>
      <w:r w:rsidR="007B7DA9" w:rsidRPr="00867BB6">
        <w:rPr>
          <w:lang w:val="en-US"/>
        </w:rPr>
        <w:t>/</w:t>
      </w:r>
      <w:r w:rsidR="00F526D0" w:rsidRPr="00867BB6">
        <w:rPr>
          <w:lang w:val="en-US"/>
        </w:rPr>
        <w:t>37</w:t>
      </w:r>
      <w:r w:rsidR="00DF4FD0" w:rsidRPr="00867BB6">
        <w:rPr>
          <w:lang w:val="en-US"/>
        </w:rPr>
        <w:t>]</w:t>
      </w:r>
      <w:r w:rsidRPr="00867BB6">
        <w:rPr>
          <w:lang w:val="en-US"/>
        </w:rPr>
        <w:t xml:space="preserve">, </w:t>
      </w:r>
      <w:r w:rsidR="00E3760D" w:rsidRPr="00867BB6">
        <w:rPr>
          <w:lang w:val="en-US"/>
        </w:rPr>
        <w:t>excepting</w:t>
      </w:r>
      <w:r w:rsidRPr="00867BB6">
        <w:rPr>
          <w:lang w:val="en-US"/>
        </w:rPr>
        <w:t xml:space="preserve"> </w:t>
      </w:r>
      <w:r w:rsidR="00810578" w:rsidRPr="00867BB6">
        <w:rPr>
          <w:lang w:val="en-US"/>
        </w:rPr>
        <w:t xml:space="preserve">Cuba, </w:t>
      </w:r>
      <w:r w:rsidR="00F526D0" w:rsidRPr="00867BB6">
        <w:rPr>
          <w:lang w:val="en-US"/>
        </w:rPr>
        <w:t xml:space="preserve">Guyana, </w:t>
      </w:r>
      <w:r w:rsidRPr="00867BB6">
        <w:rPr>
          <w:lang w:val="en-US"/>
        </w:rPr>
        <w:t>Suriname and Montserrat</w:t>
      </w:r>
      <w:r w:rsidR="00034EA0" w:rsidRPr="00867BB6">
        <w:rPr>
          <w:lang w:val="en-US"/>
        </w:rPr>
        <w:t xml:space="preserve"> [</w:t>
      </w:r>
      <w:r w:rsidR="00810578" w:rsidRPr="00867BB6">
        <w:rPr>
          <w:lang w:val="en-US"/>
        </w:rPr>
        <w:t xml:space="preserve">13, </w:t>
      </w:r>
      <w:r w:rsidR="00F526D0" w:rsidRPr="00867BB6">
        <w:rPr>
          <w:lang w:val="en-US"/>
        </w:rPr>
        <w:t xml:space="preserve">21. </w:t>
      </w:r>
      <w:r w:rsidR="00034EA0" w:rsidRPr="00867BB6">
        <w:rPr>
          <w:lang w:val="en-US"/>
        </w:rPr>
        <w:t>3</w:t>
      </w:r>
      <w:r w:rsidR="0052506E" w:rsidRPr="00867BB6">
        <w:rPr>
          <w:lang w:val="en-US"/>
        </w:rPr>
        <w:t>8</w:t>
      </w:r>
      <w:r w:rsidR="00034EA0" w:rsidRPr="00867BB6">
        <w:rPr>
          <w:lang w:val="en-US"/>
        </w:rPr>
        <w:t>, 2</w:t>
      </w:r>
      <w:r w:rsidR="0052506E" w:rsidRPr="00867BB6">
        <w:rPr>
          <w:lang w:val="en-US"/>
        </w:rPr>
        <w:t>6</w:t>
      </w:r>
      <w:r w:rsidR="00034EA0" w:rsidRPr="00867BB6">
        <w:rPr>
          <w:lang w:val="en-US"/>
        </w:rPr>
        <w:t>]</w:t>
      </w:r>
      <w:r w:rsidRPr="00867BB6">
        <w:rPr>
          <w:lang w:val="en-US"/>
        </w:rPr>
        <w:t xml:space="preserve">, have some form of sargassum policy and plan. Despite the CRFM </w:t>
      </w:r>
      <w:r w:rsidR="008E262A" w:rsidRPr="00867BB6">
        <w:rPr>
          <w:lang w:val="en-US"/>
        </w:rPr>
        <w:t xml:space="preserve">Secretariat </w:t>
      </w:r>
      <w:r w:rsidRPr="00867BB6">
        <w:rPr>
          <w:lang w:val="en-US"/>
        </w:rPr>
        <w:t xml:space="preserve">releasing a framework protocol for member states, Suriname, </w:t>
      </w:r>
      <w:r w:rsidRPr="00867BB6">
        <w:rPr>
          <w:lang w:val="en-US"/>
        </w:rPr>
        <w:lastRenderedPageBreak/>
        <w:t xml:space="preserve">Montserrat, the Bahamas and Turks and Caicos (CRFM members) </w:t>
      </w:r>
      <w:r w:rsidR="00905D7F" w:rsidRPr="00867BB6">
        <w:rPr>
          <w:lang w:val="en-US"/>
        </w:rPr>
        <w:t xml:space="preserve">appear to </w:t>
      </w:r>
      <w:r w:rsidR="00203121" w:rsidRPr="00867BB6">
        <w:rPr>
          <w:lang w:val="en-US"/>
        </w:rPr>
        <w:t>lack</w:t>
      </w:r>
      <w:r w:rsidRPr="00867BB6">
        <w:rPr>
          <w:lang w:val="en-US"/>
        </w:rPr>
        <w:t xml:space="preserve"> a sargassum management strategy</w:t>
      </w:r>
      <w:r w:rsidR="006B5E6A" w:rsidRPr="00867BB6">
        <w:rPr>
          <w:lang w:val="en-US"/>
        </w:rPr>
        <w:t xml:space="preserve"> [3</w:t>
      </w:r>
      <w:r w:rsidR="0052506E" w:rsidRPr="00867BB6">
        <w:rPr>
          <w:lang w:val="en-US"/>
        </w:rPr>
        <w:t>8</w:t>
      </w:r>
      <w:r w:rsidR="006B5E6A" w:rsidRPr="00867BB6">
        <w:rPr>
          <w:lang w:val="en-US"/>
        </w:rPr>
        <w:t>, 2</w:t>
      </w:r>
      <w:r w:rsidR="0052506E" w:rsidRPr="00867BB6">
        <w:rPr>
          <w:lang w:val="en-US"/>
        </w:rPr>
        <w:t>6</w:t>
      </w:r>
      <w:r w:rsidR="006B5E6A" w:rsidRPr="00867BB6">
        <w:rPr>
          <w:lang w:val="en-US"/>
        </w:rPr>
        <w:t>, 4, 4</w:t>
      </w:r>
      <w:r w:rsidR="0052506E" w:rsidRPr="00867BB6">
        <w:rPr>
          <w:lang w:val="en-US"/>
        </w:rPr>
        <w:t>1</w:t>
      </w:r>
      <w:r w:rsidR="006B5E6A" w:rsidRPr="00867BB6">
        <w:rPr>
          <w:lang w:val="en-US"/>
        </w:rPr>
        <w:t>]</w:t>
      </w:r>
      <w:r w:rsidRPr="00867BB6">
        <w:rPr>
          <w:lang w:val="en-US"/>
        </w:rPr>
        <w:t>. Of the CRFM members, Barbados, Suriname, Anguilla and Turks and Caicos were identified in the UNEP white paper on sargassum as experiencing very high impacts (2018)</w:t>
      </w:r>
      <w:r w:rsidR="00F17458" w:rsidRPr="00867BB6">
        <w:rPr>
          <w:lang w:val="en-US"/>
        </w:rPr>
        <w:t xml:space="preserve"> – half have policies, half do not</w:t>
      </w:r>
      <w:r w:rsidRPr="00867BB6">
        <w:rPr>
          <w:lang w:val="en-US"/>
        </w:rPr>
        <w:t>. It is therefore unclear whether membership in regional bodies, including those that have produced sargassum advice, has had any effect on the intrastate development and implementation of management policies</w:t>
      </w:r>
      <w:r w:rsidR="0086580E" w:rsidRPr="00867BB6">
        <w:rPr>
          <w:lang w:val="en-US"/>
        </w:rPr>
        <w:t xml:space="preserve">, </w:t>
      </w:r>
      <w:r w:rsidR="00AA49D6" w:rsidRPr="00867BB6">
        <w:rPr>
          <w:lang w:val="en-US"/>
        </w:rPr>
        <w:t>highlight</w:t>
      </w:r>
      <w:r w:rsidR="008E262A" w:rsidRPr="00867BB6">
        <w:rPr>
          <w:lang w:val="en-US"/>
        </w:rPr>
        <w:t>ing</w:t>
      </w:r>
      <w:r w:rsidR="00AA49D6" w:rsidRPr="00867BB6">
        <w:rPr>
          <w:lang w:val="en-US"/>
        </w:rPr>
        <w:t xml:space="preserve"> the</w:t>
      </w:r>
      <w:r w:rsidR="0086580E" w:rsidRPr="00867BB6">
        <w:rPr>
          <w:lang w:val="en-US"/>
        </w:rPr>
        <w:t xml:space="preserve"> current lack of overarching </w:t>
      </w:r>
      <w:r w:rsidR="00905D7F" w:rsidRPr="00867BB6">
        <w:rPr>
          <w:lang w:val="en-US"/>
        </w:rPr>
        <w:t>policy frameworks</w:t>
      </w:r>
      <w:r w:rsidR="0086580E" w:rsidRPr="00867BB6">
        <w:rPr>
          <w:lang w:val="en-US"/>
        </w:rPr>
        <w:t xml:space="preserve"> to coordinate sargassum governance in the C</w:t>
      </w:r>
      <w:r w:rsidR="00C4101B" w:rsidRPr="00867BB6">
        <w:rPr>
          <w:lang w:val="en-US"/>
        </w:rPr>
        <w:t>a</w:t>
      </w:r>
      <w:r w:rsidR="0086580E" w:rsidRPr="00867BB6">
        <w:rPr>
          <w:lang w:val="en-US"/>
        </w:rPr>
        <w:t>ribbean</w:t>
      </w:r>
      <w:r w:rsidRPr="00867BB6">
        <w:rPr>
          <w:lang w:val="en-US"/>
        </w:rPr>
        <w:t>.</w:t>
      </w:r>
    </w:p>
    <w:p w14:paraId="1AFE7E5C" w14:textId="17B9FFFE" w:rsidR="009C2DE4" w:rsidRPr="00867BB6" w:rsidRDefault="00A2600B">
      <w:pPr>
        <w:pStyle w:val="Newparagraph"/>
        <w:jc w:val="both"/>
        <w:rPr>
          <w:lang w:val="en-US"/>
        </w:rPr>
      </w:pPr>
      <w:r w:rsidRPr="00867BB6">
        <w:rPr>
          <w:lang w:val="en-US"/>
        </w:rPr>
        <w:t>The plethora of sargassum management approaches</w:t>
      </w:r>
      <w:r w:rsidR="00AA49D6" w:rsidRPr="00867BB6">
        <w:rPr>
          <w:lang w:val="en-US"/>
        </w:rPr>
        <w:t xml:space="preserve"> described in the </w:t>
      </w:r>
      <w:r w:rsidR="00905D7F" w:rsidRPr="00867BB6">
        <w:rPr>
          <w:lang w:val="en-US"/>
        </w:rPr>
        <w:t>documents, whether</w:t>
      </w:r>
      <w:r w:rsidR="00AA49D6" w:rsidRPr="00867BB6">
        <w:rPr>
          <w:lang w:val="en-US"/>
        </w:rPr>
        <w:t xml:space="preserve"> </w:t>
      </w:r>
      <w:r w:rsidRPr="00867BB6">
        <w:rPr>
          <w:lang w:val="en-US"/>
        </w:rPr>
        <w:t xml:space="preserve">conducted privately and by government bodies across multiple scales, suggest that the governance of sargassum in the WCR lies somewhere in the middle of </w:t>
      </w:r>
      <w:r w:rsidR="00905D7F" w:rsidRPr="00867BB6">
        <w:rPr>
          <w:lang w:val="en-US"/>
        </w:rPr>
        <w:t>Mahon and Fanning’s (2019)</w:t>
      </w:r>
      <w:r w:rsidRPr="00867BB6">
        <w:rPr>
          <w:lang w:val="en-US"/>
        </w:rPr>
        <w:t xml:space="preserve"> governance modality spectrum </w:t>
      </w:r>
      <w:r w:rsidR="00AA49D6" w:rsidRPr="00867BB6">
        <w:rPr>
          <w:lang w:val="en-US"/>
        </w:rPr>
        <w:t>(Figure 1)</w:t>
      </w:r>
      <w:r w:rsidRPr="00867BB6">
        <w:rPr>
          <w:lang w:val="en-US"/>
        </w:rPr>
        <w:t xml:space="preserve">. The </w:t>
      </w:r>
      <w:r w:rsidR="0039455C" w:rsidRPr="00867BB6">
        <w:rPr>
          <w:lang w:val="en-US"/>
        </w:rPr>
        <w:t xml:space="preserve">sargassum management policies </w:t>
      </w:r>
      <w:r w:rsidRPr="00867BB6">
        <w:rPr>
          <w:lang w:val="en-US"/>
        </w:rPr>
        <w:t>include</w:t>
      </w:r>
      <w:r w:rsidR="0039455C" w:rsidRPr="00867BB6">
        <w:rPr>
          <w:lang w:val="en-US"/>
        </w:rPr>
        <w:t xml:space="preserve"> examples of</w:t>
      </w:r>
      <w:r w:rsidRPr="00867BB6">
        <w:rPr>
          <w:lang w:val="en-US"/>
        </w:rPr>
        <w:t xml:space="preserve"> local action</w:t>
      </w:r>
      <w:r w:rsidR="00710BCE" w:rsidRPr="00867BB6">
        <w:rPr>
          <w:lang w:val="en-US"/>
        </w:rPr>
        <w:t xml:space="preserve"> (e.g. </w:t>
      </w:r>
      <w:r w:rsidR="00C94E94" w:rsidRPr="00867BB6">
        <w:rPr>
          <w:lang w:val="en-US"/>
        </w:rPr>
        <w:t>the establishment of green brigades in Guadeloupe to collect sargassum</w:t>
      </w:r>
      <w:r w:rsidR="001A6177" w:rsidRPr="00867BB6">
        <w:rPr>
          <w:lang w:val="en-US"/>
        </w:rPr>
        <w:t xml:space="preserve"> [19]</w:t>
      </w:r>
      <w:r w:rsidR="00710BCE" w:rsidRPr="00867BB6">
        <w:rPr>
          <w:lang w:val="en-US"/>
        </w:rPr>
        <w:t>)</w:t>
      </w:r>
      <w:r w:rsidR="00905D7F" w:rsidRPr="00867BB6">
        <w:rPr>
          <w:lang w:val="en-US"/>
        </w:rPr>
        <w:t xml:space="preserve">, </w:t>
      </w:r>
      <w:r w:rsidR="00583050" w:rsidRPr="00867BB6">
        <w:rPr>
          <w:lang w:val="en-US"/>
        </w:rPr>
        <w:t>with evidence of experimentation across national sargassum</w:t>
      </w:r>
      <w:r w:rsidR="00112699" w:rsidRPr="00867BB6">
        <w:rPr>
          <w:lang w:val="en-US"/>
        </w:rPr>
        <w:t xml:space="preserve"> policies (</w:t>
      </w:r>
      <w:r w:rsidR="00AE3B50" w:rsidRPr="00867BB6">
        <w:rPr>
          <w:lang w:val="en-US"/>
        </w:rPr>
        <w:t xml:space="preserve">e.g. the Dominican policy </w:t>
      </w:r>
      <w:r w:rsidR="002F3886" w:rsidRPr="00867BB6">
        <w:rPr>
          <w:lang w:val="en-US"/>
        </w:rPr>
        <w:t xml:space="preserve">citing different re-use </w:t>
      </w:r>
      <w:r w:rsidR="00503A87" w:rsidRPr="00867BB6">
        <w:rPr>
          <w:lang w:val="en-US"/>
        </w:rPr>
        <w:t>cases of</w:t>
      </w:r>
      <w:r w:rsidR="00AE3B50" w:rsidRPr="00867BB6">
        <w:rPr>
          <w:lang w:val="en-US"/>
        </w:rPr>
        <w:t xml:space="preserve"> sargassum</w:t>
      </w:r>
      <w:r w:rsidR="001A6177" w:rsidRPr="00867BB6">
        <w:rPr>
          <w:lang w:val="en-US"/>
        </w:rPr>
        <w:t xml:space="preserve"> [15]</w:t>
      </w:r>
      <w:r w:rsidR="00AE3B50" w:rsidRPr="00867BB6">
        <w:rPr>
          <w:lang w:val="en-US"/>
        </w:rPr>
        <w:t>)</w:t>
      </w:r>
      <w:r w:rsidR="00583050" w:rsidRPr="00867BB6">
        <w:rPr>
          <w:lang w:val="en-US"/>
        </w:rPr>
        <w:t>, as well as of</w:t>
      </w:r>
      <w:r w:rsidR="00112699" w:rsidRPr="00867BB6">
        <w:rPr>
          <w:lang w:val="en-US"/>
        </w:rPr>
        <w:t xml:space="preserve"> trust and</w:t>
      </w:r>
      <w:r w:rsidR="00583050" w:rsidRPr="00867BB6">
        <w:rPr>
          <w:lang w:val="en-US"/>
        </w:rPr>
        <w:t xml:space="preserve"> collaboration in the regional conferences between diverse stakeholders</w:t>
      </w:r>
      <w:r w:rsidR="00674A2C" w:rsidRPr="00867BB6">
        <w:rPr>
          <w:lang w:val="en-US"/>
        </w:rPr>
        <w:t xml:space="preserve"> (Table 2)</w:t>
      </w:r>
      <w:r w:rsidRPr="00867BB6">
        <w:rPr>
          <w:lang w:val="en-US"/>
        </w:rPr>
        <w:t xml:space="preserve">. </w:t>
      </w:r>
      <w:r w:rsidR="00556B9F" w:rsidRPr="00867BB6">
        <w:rPr>
          <w:lang w:val="en-US"/>
        </w:rPr>
        <w:t xml:space="preserve">But </w:t>
      </w:r>
      <w:r w:rsidR="00905D7F" w:rsidRPr="00867BB6">
        <w:rPr>
          <w:lang w:val="en-US"/>
        </w:rPr>
        <w:t xml:space="preserve">we did not find evidence for </w:t>
      </w:r>
      <w:r w:rsidRPr="00867BB6">
        <w:rPr>
          <w:lang w:val="en-US"/>
        </w:rPr>
        <w:t>the fifth criterio</w:t>
      </w:r>
      <w:r w:rsidR="00905D7F" w:rsidRPr="00867BB6">
        <w:rPr>
          <w:lang w:val="en-US"/>
        </w:rPr>
        <w:t>n--</w:t>
      </w:r>
      <w:r w:rsidRPr="00867BB6">
        <w:rPr>
          <w:lang w:val="en-US"/>
        </w:rPr>
        <w:t>coordination and a common set of rules</w:t>
      </w:r>
      <w:r w:rsidR="00905D7F" w:rsidRPr="00867BB6">
        <w:rPr>
          <w:lang w:val="en-US"/>
        </w:rPr>
        <w:t xml:space="preserve">—which </w:t>
      </w:r>
      <w:r w:rsidRPr="00867BB6">
        <w:rPr>
          <w:lang w:val="en-US"/>
        </w:rPr>
        <w:t xml:space="preserve"> are deemed to be critical for functional polycentricity (Carlisle and Gruby</w:t>
      </w:r>
      <w:r w:rsidR="00020D0E" w:rsidRPr="00867BB6">
        <w:rPr>
          <w:lang w:val="en-US"/>
        </w:rPr>
        <w:t xml:space="preserve"> 201</w:t>
      </w:r>
      <w:r w:rsidR="00451112" w:rsidRPr="00867BB6">
        <w:rPr>
          <w:lang w:val="en-US"/>
        </w:rPr>
        <w:t>9</w:t>
      </w:r>
      <w:r w:rsidRPr="00867BB6">
        <w:rPr>
          <w:lang w:val="en-US"/>
        </w:rPr>
        <w:t>; Jordan et al. 2018</w:t>
      </w:r>
      <w:r w:rsidR="00F216A1" w:rsidRPr="00867BB6">
        <w:rPr>
          <w:lang w:val="en-US"/>
        </w:rPr>
        <w:t xml:space="preserve">; </w:t>
      </w:r>
      <w:proofErr w:type="spellStart"/>
      <w:r w:rsidR="00F216A1" w:rsidRPr="00867BB6">
        <w:rPr>
          <w:lang w:val="en-US"/>
        </w:rPr>
        <w:t>Pahl-Wostl</w:t>
      </w:r>
      <w:proofErr w:type="spellEnd"/>
      <w:r w:rsidR="00F216A1" w:rsidRPr="00867BB6">
        <w:rPr>
          <w:lang w:val="en-US"/>
        </w:rPr>
        <w:t xml:space="preserve"> and </w:t>
      </w:r>
      <w:proofErr w:type="spellStart"/>
      <w:r w:rsidR="00F216A1" w:rsidRPr="00867BB6">
        <w:rPr>
          <w:lang w:val="en-US"/>
        </w:rPr>
        <w:t>Knieper</w:t>
      </w:r>
      <w:proofErr w:type="spellEnd"/>
      <w:r w:rsidR="00F216A1" w:rsidRPr="00867BB6">
        <w:rPr>
          <w:lang w:val="en-US"/>
        </w:rPr>
        <w:t xml:space="preserve"> 2014</w:t>
      </w:r>
      <w:r w:rsidR="00905D7F" w:rsidRPr="00867BB6">
        <w:rPr>
          <w:lang w:val="en-US"/>
        </w:rPr>
        <w:t>)</w:t>
      </w:r>
      <w:r w:rsidRPr="00867BB6">
        <w:rPr>
          <w:lang w:val="en-US"/>
        </w:rPr>
        <w:t xml:space="preserve">. </w:t>
      </w:r>
      <w:r w:rsidR="0027275A" w:rsidRPr="00867BB6">
        <w:rPr>
          <w:lang w:val="en-US"/>
        </w:rPr>
        <w:t>O</w:t>
      </w:r>
      <w:r w:rsidRPr="00867BB6">
        <w:rPr>
          <w:lang w:val="en-US"/>
        </w:rPr>
        <w:t>rganizations are making efforts at coordinating</w:t>
      </w:r>
      <w:r w:rsidR="005607E6" w:rsidRPr="00867BB6">
        <w:rPr>
          <w:lang w:val="en-US"/>
        </w:rPr>
        <w:t xml:space="preserve"> through regional symposia </w:t>
      </w:r>
      <w:r w:rsidR="00147569" w:rsidRPr="00867BB6">
        <w:rPr>
          <w:lang w:val="en-US"/>
        </w:rPr>
        <w:t>(Table 2)</w:t>
      </w:r>
      <w:r w:rsidR="00637358" w:rsidRPr="00867BB6">
        <w:rPr>
          <w:lang w:val="en-US"/>
        </w:rPr>
        <w:t>,</w:t>
      </w:r>
      <w:r w:rsidRPr="00867BB6">
        <w:rPr>
          <w:lang w:val="en-US"/>
        </w:rPr>
        <w:t xml:space="preserve"> but without agreement </w:t>
      </w:r>
      <w:r w:rsidR="00905D7F" w:rsidRPr="00867BB6">
        <w:rPr>
          <w:lang w:val="en-US"/>
        </w:rPr>
        <w:t>about roles</w:t>
      </w:r>
      <w:r w:rsidR="00F6521B" w:rsidRPr="00867BB6">
        <w:rPr>
          <w:lang w:val="en-US"/>
        </w:rPr>
        <w:t xml:space="preserve"> this suggests</w:t>
      </w:r>
      <w:r w:rsidRPr="00867BB6">
        <w:rPr>
          <w:lang w:val="en-US"/>
        </w:rPr>
        <w:t xml:space="preserve"> that sargassum governance is not at the stage of functional polycentricity.</w:t>
      </w:r>
    </w:p>
    <w:p w14:paraId="755782B4" w14:textId="4DC8A659" w:rsidR="00FF6CE8" w:rsidRPr="00867BB6" w:rsidRDefault="001B3E4C" w:rsidP="00222E2A">
      <w:pPr>
        <w:pStyle w:val="Heading2"/>
        <w:jc w:val="both"/>
        <w:rPr>
          <w:rFonts w:cs="Times New Roman"/>
          <w:szCs w:val="24"/>
          <w:lang w:val="en-US"/>
        </w:rPr>
      </w:pPr>
      <w:r w:rsidRPr="00867BB6">
        <w:rPr>
          <w:rFonts w:cs="Times New Roman"/>
          <w:szCs w:val="24"/>
          <w:lang w:val="en-US"/>
        </w:rPr>
        <w:t>Regional barriers and enablers</w:t>
      </w:r>
      <w:r w:rsidR="00DD4828" w:rsidRPr="00867BB6">
        <w:rPr>
          <w:rFonts w:cs="Times New Roman"/>
          <w:szCs w:val="24"/>
          <w:lang w:val="en-US"/>
        </w:rPr>
        <w:t xml:space="preserve"> in the governance of sargassum influxes</w:t>
      </w:r>
    </w:p>
    <w:p w14:paraId="4BB2CBEC" w14:textId="2B45E5F1" w:rsidR="004309AD" w:rsidRPr="00867BB6" w:rsidRDefault="007939F7" w:rsidP="00222E2A">
      <w:pPr>
        <w:jc w:val="both"/>
        <w:rPr>
          <w:lang w:val="en-US"/>
        </w:rPr>
      </w:pPr>
      <w:r w:rsidRPr="00867BB6">
        <w:rPr>
          <w:lang w:val="en-US"/>
        </w:rPr>
        <w:t xml:space="preserve">Several benefits of polycentric governance have been identified in this study. Regional bodies are developing model protocols to support intrastate policy development (Table </w:t>
      </w:r>
      <w:r w:rsidRPr="00867BB6">
        <w:rPr>
          <w:lang w:val="en-US"/>
        </w:rPr>
        <w:lastRenderedPageBreak/>
        <w:t xml:space="preserve">3). Conferences have been held by several organizations to support cross-state and industry discourse, </w:t>
      </w:r>
      <w:r w:rsidR="00777144" w:rsidRPr="00867BB6">
        <w:rPr>
          <w:lang w:val="en-US"/>
        </w:rPr>
        <w:t>such as the</w:t>
      </w:r>
      <w:r w:rsidRPr="00867BB6">
        <w:rPr>
          <w:lang w:val="en-US"/>
        </w:rPr>
        <w:t xml:space="preserve"> international conference and expo </w:t>
      </w:r>
      <w:r w:rsidR="003D26B6" w:rsidRPr="00867BB6">
        <w:rPr>
          <w:lang w:val="en-US"/>
        </w:rPr>
        <w:t>that resulted</w:t>
      </w:r>
      <w:r w:rsidR="00D92B80" w:rsidRPr="00867BB6">
        <w:rPr>
          <w:lang w:val="en-US"/>
        </w:rPr>
        <w:t xml:space="preserve"> in an initial declaration on the commitment to </w:t>
      </w:r>
      <w:r w:rsidR="003D26B6" w:rsidRPr="00867BB6">
        <w:rPr>
          <w:lang w:val="en-US"/>
        </w:rPr>
        <w:t>cooperate</w:t>
      </w:r>
      <w:r w:rsidR="00D92B80" w:rsidRPr="00867BB6">
        <w:rPr>
          <w:lang w:val="en-US"/>
        </w:rPr>
        <w:t xml:space="preserve"> in the Caribbean on sargassum (OECS 2019)</w:t>
      </w:r>
      <w:r w:rsidR="008A7BF0" w:rsidRPr="00867BB6">
        <w:rPr>
          <w:lang w:val="en-US"/>
        </w:rPr>
        <w:t xml:space="preserve">, and the establishment of the Sargassum Caribbean </w:t>
      </w:r>
      <w:proofErr w:type="spellStart"/>
      <w:r w:rsidR="008A7BF0" w:rsidRPr="00867BB6">
        <w:rPr>
          <w:lang w:val="en-US"/>
        </w:rPr>
        <w:t>Programme</w:t>
      </w:r>
      <w:proofErr w:type="spellEnd"/>
      <w:r w:rsidR="008A7BF0" w:rsidRPr="00867BB6">
        <w:rPr>
          <w:lang w:val="en-US"/>
        </w:rPr>
        <w:t xml:space="preserve"> (SARG’COOP)</w:t>
      </w:r>
      <w:r w:rsidRPr="00867BB6">
        <w:rPr>
          <w:lang w:val="en-US"/>
        </w:rPr>
        <w:t xml:space="preserve">. In these ways, </w:t>
      </w:r>
      <w:r w:rsidR="00905D7F" w:rsidRPr="00867BB6">
        <w:rPr>
          <w:lang w:val="en-US"/>
        </w:rPr>
        <w:t>governance of sargassum in</w:t>
      </w:r>
      <w:r w:rsidR="00905D7F" w:rsidRPr="00867BB6">
        <w:rPr>
          <w:i/>
          <w:iCs/>
          <w:lang w:val="en-US"/>
        </w:rPr>
        <w:t xml:space="preserve"> </w:t>
      </w:r>
      <w:r w:rsidRPr="00867BB6">
        <w:rPr>
          <w:lang w:val="en-US"/>
        </w:rPr>
        <w:t>the Caribbean exhibit</w:t>
      </w:r>
      <w:r w:rsidR="00905D7F" w:rsidRPr="00867BB6">
        <w:rPr>
          <w:lang w:val="en-US"/>
        </w:rPr>
        <w:t>s</w:t>
      </w:r>
      <w:r w:rsidRPr="00867BB6">
        <w:rPr>
          <w:lang w:val="en-US"/>
        </w:rPr>
        <w:t xml:space="preserve"> signs of self-organization </w:t>
      </w:r>
      <w:r w:rsidR="00D913C5" w:rsidRPr="00867BB6">
        <w:rPr>
          <w:lang w:val="en-US"/>
        </w:rPr>
        <w:t xml:space="preserve">with </w:t>
      </w:r>
      <w:r w:rsidRPr="00867BB6">
        <w:rPr>
          <w:lang w:val="en-US"/>
        </w:rPr>
        <w:t xml:space="preserve">multiple bodies </w:t>
      </w:r>
      <w:r w:rsidR="00D913C5" w:rsidRPr="00867BB6">
        <w:rPr>
          <w:lang w:val="en-US"/>
        </w:rPr>
        <w:t xml:space="preserve">encouraging </w:t>
      </w:r>
      <w:r w:rsidRPr="00867BB6">
        <w:rPr>
          <w:lang w:val="en-US"/>
        </w:rPr>
        <w:t xml:space="preserve">experimentation and learning. </w:t>
      </w:r>
      <w:r w:rsidR="00BC1A2A" w:rsidRPr="00867BB6">
        <w:rPr>
          <w:lang w:val="en-US"/>
        </w:rPr>
        <w:t>T</w:t>
      </w:r>
      <w:r w:rsidR="009F62B8" w:rsidRPr="00867BB6">
        <w:rPr>
          <w:lang w:val="en-US"/>
        </w:rPr>
        <w:t xml:space="preserve">he actors able to engage in the events and actions listed in Table </w:t>
      </w:r>
      <w:r w:rsidR="00687B62" w:rsidRPr="00867BB6">
        <w:rPr>
          <w:lang w:val="en-US"/>
        </w:rPr>
        <w:t>2</w:t>
      </w:r>
      <w:r w:rsidR="009F62B8" w:rsidRPr="00867BB6">
        <w:rPr>
          <w:lang w:val="en-US"/>
        </w:rPr>
        <w:t xml:space="preserve"> are largely </w:t>
      </w:r>
      <w:r w:rsidR="00F47B8D" w:rsidRPr="00867BB6">
        <w:rPr>
          <w:lang w:val="en-US"/>
        </w:rPr>
        <w:t xml:space="preserve">pre-existing, established </w:t>
      </w:r>
      <w:r w:rsidR="00506458" w:rsidRPr="00867BB6">
        <w:rPr>
          <w:lang w:val="en-US"/>
        </w:rPr>
        <w:t>centers</w:t>
      </w:r>
      <w:r w:rsidR="00F47B8D" w:rsidRPr="00867BB6">
        <w:rPr>
          <w:lang w:val="en-US"/>
        </w:rPr>
        <w:t xml:space="preserve"> </w:t>
      </w:r>
      <w:r w:rsidR="001B35F9" w:rsidRPr="00867BB6">
        <w:rPr>
          <w:lang w:val="en-US"/>
        </w:rPr>
        <w:t xml:space="preserve">in ocean governance, </w:t>
      </w:r>
      <w:r w:rsidR="0009216A" w:rsidRPr="00867BB6">
        <w:rPr>
          <w:lang w:val="en-US"/>
        </w:rPr>
        <w:t>including</w:t>
      </w:r>
      <w:r w:rsidR="001B35F9" w:rsidRPr="00867BB6">
        <w:rPr>
          <w:lang w:val="en-US"/>
        </w:rPr>
        <w:t xml:space="preserve"> the </w:t>
      </w:r>
      <w:r w:rsidR="00F47B8D" w:rsidRPr="00867BB6">
        <w:rPr>
          <w:lang w:val="en-US"/>
        </w:rPr>
        <w:t xml:space="preserve">science-policy </w:t>
      </w:r>
      <w:r w:rsidR="001B35F9" w:rsidRPr="00867BB6">
        <w:rPr>
          <w:lang w:val="en-US"/>
        </w:rPr>
        <w:t>interface</w:t>
      </w:r>
      <w:r w:rsidR="00F47B8D" w:rsidRPr="00867BB6">
        <w:rPr>
          <w:lang w:val="en-US"/>
        </w:rPr>
        <w:t xml:space="preserve"> (e.g. UWI-CERMES), </w:t>
      </w:r>
      <w:r w:rsidR="00E37FEC" w:rsidRPr="00867BB6">
        <w:rPr>
          <w:lang w:val="en-US"/>
        </w:rPr>
        <w:t xml:space="preserve">livelihood </w:t>
      </w:r>
      <w:r w:rsidR="00067FC4" w:rsidRPr="00867BB6">
        <w:rPr>
          <w:lang w:val="en-US"/>
        </w:rPr>
        <w:t xml:space="preserve">lobby groups </w:t>
      </w:r>
      <w:r w:rsidR="00B44797" w:rsidRPr="00867BB6">
        <w:rPr>
          <w:lang w:val="en-US"/>
        </w:rPr>
        <w:t xml:space="preserve">(e.g. </w:t>
      </w:r>
      <w:r w:rsidR="006A3259" w:rsidRPr="00867BB6">
        <w:rPr>
          <w:lang w:val="en-US"/>
        </w:rPr>
        <w:t xml:space="preserve">CHTA, </w:t>
      </w:r>
      <w:r w:rsidR="00543A24" w:rsidRPr="00867BB6">
        <w:rPr>
          <w:lang w:val="en-US"/>
        </w:rPr>
        <w:t>CRFM Secretariat</w:t>
      </w:r>
      <w:r w:rsidR="006A3259" w:rsidRPr="00867BB6">
        <w:rPr>
          <w:lang w:val="en-US"/>
        </w:rPr>
        <w:t>)</w:t>
      </w:r>
      <w:r w:rsidR="00316666" w:rsidRPr="00867BB6">
        <w:rPr>
          <w:lang w:val="en-US"/>
        </w:rPr>
        <w:t>, and international and regional institutions (SPAW-RAC, UNEP</w:t>
      </w:r>
      <w:r w:rsidR="00543A24" w:rsidRPr="00867BB6">
        <w:rPr>
          <w:lang w:val="en-US"/>
        </w:rPr>
        <w:t>, IOCARIBE</w:t>
      </w:r>
      <w:r w:rsidR="00316666" w:rsidRPr="00867BB6">
        <w:rPr>
          <w:lang w:val="en-US"/>
        </w:rPr>
        <w:t xml:space="preserve">). </w:t>
      </w:r>
      <w:r w:rsidR="007C5010" w:rsidRPr="00867BB6">
        <w:rPr>
          <w:lang w:val="en-US"/>
        </w:rPr>
        <w:t xml:space="preserve">Whilst this </w:t>
      </w:r>
      <w:r w:rsidR="00D42666" w:rsidRPr="00867BB6">
        <w:rPr>
          <w:lang w:val="en-US"/>
        </w:rPr>
        <w:t>demonstrates the range of</w:t>
      </w:r>
      <w:r w:rsidR="00EB1804" w:rsidRPr="00867BB6">
        <w:rPr>
          <w:lang w:val="en-US"/>
        </w:rPr>
        <w:t xml:space="preserve"> powerful</w:t>
      </w:r>
      <w:r w:rsidR="00D42666" w:rsidRPr="00867BB6">
        <w:rPr>
          <w:lang w:val="en-US"/>
        </w:rPr>
        <w:t xml:space="preserve"> actors engaged in sargassum governance, </w:t>
      </w:r>
      <w:r w:rsidR="002B3914" w:rsidRPr="00867BB6">
        <w:rPr>
          <w:lang w:val="en-US"/>
        </w:rPr>
        <w:t xml:space="preserve">the ability of local artisans and </w:t>
      </w:r>
      <w:r w:rsidR="009564BE" w:rsidRPr="00867BB6">
        <w:rPr>
          <w:lang w:val="en-US"/>
        </w:rPr>
        <w:t>smaller sectors</w:t>
      </w:r>
      <w:r w:rsidR="002B3914" w:rsidRPr="00867BB6">
        <w:rPr>
          <w:lang w:val="en-US"/>
        </w:rPr>
        <w:t xml:space="preserve"> to </w:t>
      </w:r>
      <w:r w:rsidR="00316263" w:rsidRPr="00867BB6">
        <w:rPr>
          <w:lang w:val="en-US"/>
        </w:rPr>
        <w:t xml:space="preserve">engage with the rules </w:t>
      </w:r>
      <w:r w:rsidR="00EC31DE" w:rsidRPr="00867BB6">
        <w:rPr>
          <w:lang w:val="en-US"/>
        </w:rPr>
        <w:t xml:space="preserve">around sargassum management are less </w:t>
      </w:r>
      <w:r w:rsidR="005C1837" w:rsidRPr="00867BB6">
        <w:rPr>
          <w:lang w:val="en-US"/>
        </w:rPr>
        <w:t>established</w:t>
      </w:r>
      <w:r w:rsidR="00840813" w:rsidRPr="00867BB6">
        <w:rPr>
          <w:lang w:val="en-US"/>
        </w:rPr>
        <w:t xml:space="preserve">, with public-facing </w:t>
      </w:r>
      <w:r w:rsidR="00E736B7" w:rsidRPr="00867BB6">
        <w:rPr>
          <w:lang w:val="en-US"/>
        </w:rPr>
        <w:t>mechanisms more limited to date.</w:t>
      </w:r>
      <w:r w:rsidR="009069E9" w:rsidRPr="00867BB6">
        <w:rPr>
          <w:lang w:val="en-US"/>
        </w:rPr>
        <w:t xml:space="preserve"> </w:t>
      </w:r>
      <w:r w:rsidR="001A1E90" w:rsidRPr="00867BB6">
        <w:rPr>
          <w:lang w:val="en-US"/>
        </w:rPr>
        <w:t>A</w:t>
      </w:r>
      <w:r w:rsidR="009069E9" w:rsidRPr="00867BB6">
        <w:rPr>
          <w:lang w:val="en-US"/>
        </w:rPr>
        <w:t xml:space="preserve">s observed by Gruby and </w:t>
      </w:r>
      <w:proofErr w:type="spellStart"/>
      <w:r w:rsidR="009069E9" w:rsidRPr="00867BB6">
        <w:rPr>
          <w:lang w:val="en-US"/>
        </w:rPr>
        <w:t>Basurto</w:t>
      </w:r>
      <w:proofErr w:type="spellEnd"/>
      <w:r w:rsidR="009069E9" w:rsidRPr="00867BB6">
        <w:rPr>
          <w:lang w:val="en-US"/>
        </w:rPr>
        <w:t xml:space="preserve"> (2013) in the conte</w:t>
      </w:r>
      <w:r w:rsidR="003C63CE" w:rsidRPr="00867BB6">
        <w:rPr>
          <w:lang w:val="en-US"/>
        </w:rPr>
        <w:t>x</w:t>
      </w:r>
      <w:r w:rsidR="009069E9" w:rsidRPr="00867BB6">
        <w:rPr>
          <w:lang w:val="en-US"/>
        </w:rPr>
        <w:t xml:space="preserve">t of marine commons in Palau, </w:t>
      </w:r>
      <w:r w:rsidR="000630D2" w:rsidRPr="00867BB6">
        <w:rPr>
          <w:lang w:val="en-US"/>
        </w:rPr>
        <w:t>while the interactions of stakeholders in adapting to sargassum influx events result</w:t>
      </w:r>
      <w:r w:rsidR="003C63CE" w:rsidRPr="00867BB6">
        <w:rPr>
          <w:lang w:val="en-US"/>
        </w:rPr>
        <w:t>s</w:t>
      </w:r>
      <w:r w:rsidR="000630D2" w:rsidRPr="00867BB6">
        <w:rPr>
          <w:lang w:val="en-US"/>
        </w:rPr>
        <w:t xml:space="preserve"> in further </w:t>
      </w:r>
      <w:r w:rsidR="004B3A22">
        <w:rPr>
          <w:lang w:val="en-US"/>
        </w:rPr>
        <w:t xml:space="preserve">embedding </w:t>
      </w:r>
      <w:r w:rsidR="000630D2" w:rsidRPr="00867BB6">
        <w:rPr>
          <w:lang w:val="en-US"/>
        </w:rPr>
        <w:t xml:space="preserve">of existing polycentric </w:t>
      </w:r>
      <w:r w:rsidR="006A790F" w:rsidRPr="00867BB6">
        <w:rPr>
          <w:lang w:val="en-US"/>
        </w:rPr>
        <w:t>arrangement</w:t>
      </w:r>
      <w:r w:rsidR="003C63CE" w:rsidRPr="00867BB6">
        <w:rPr>
          <w:lang w:val="en-US"/>
        </w:rPr>
        <w:t>s</w:t>
      </w:r>
      <w:r w:rsidR="006A790F" w:rsidRPr="00867BB6">
        <w:rPr>
          <w:lang w:val="en-US"/>
        </w:rPr>
        <w:t xml:space="preserve">, it may </w:t>
      </w:r>
      <w:r w:rsidR="003C63CE" w:rsidRPr="00867BB6">
        <w:rPr>
          <w:lang w:val="en-US"/>
        </w:rPr>
        <w:t>leave</w:t>
      </w:r>
      <w:r w:rsidR="006A790F" w:rsidRPr="00867BB6">
        <w:rPr>
          <w:lang w:val="en-US"/>
        </w:rPr>
        <w:t xml:space="preserve"> other actors overlooked or powerless to engage in the process.</w:t>
      </w:r>
      <w:r w:rsidR="00F47B8D" w:rsidRPr="00867BB6">
        <w:rPr>
          <w:lang w:val="en-US"/>
        </w:rPr>
        <w:t xml:space="preserve"> </w:t>
      </w:r>
      <w:r w:rsidRPr="00867BB6">
        <w:rPr>
          <w:lang w:val="en-US"/>
        </w:rPr>
        <w:t xml:space="preserve">It remains to be seen whether this self-organizing </w:t>
      </w:r>
      <w:r w:rsidR="00D06054" w:rsidRPr="00867BB6">
        <w:rPr>
          <w:lang w:val="en-US"/>
        </w:rPr>
        <w:t xml:space="preserve">mélange </w:t>
      </w:r>
      <w:r w:rsidRPr="00867BB6">
        <w:rPr>
          <w:lang w:val="en-US"/>
        </w:rPr>
        <w:t>of decision-making centers will advance to develop overarching rules and coordination, also identified as characteristics of a functional polycentric system.</w:t>
      </w:r>
    </w:p>
    <w:p w14:paraId="03DA331F" w14:textId="19040846" w:rsidR="004309AD" w:rsidRPr="00867BB6" w:rsidRDefault="007939F7" w:rsidP="00222E2A">
      <w:pPr>
        <w:pStyle w:val="Heading2"/>
        <w:jc w:val="both"/>
        <w:rPr>
          <w:rFonts w:cs="Times New Roman"/>
          <w:szCs w:val="24"/>
          <w:lang w:val="en-US"/>
        </w:rPr>
      </w:pPr>
      <w:r w:rsidRPr="00867BB6">
        <w:rPr>
          <w:rFonts w:cs="Times New Roman"/>
          <w:szCs w:val="24"/>
          <w:lang w:val="en-US"/>
        </w:rPr>
        <w:t>Leveraging regional ocean governance mechanisms</w:t>
      </w:r>
    </w:p>
    <w:p w14:paraId="07AC9B9B" w14:textId="79234F42" w:rsidR="004309AD" w:rsidRPr="00867BB6" w:rsidRDefault="0006778C" w:rsidP="00222E2A">
      <w:pPr>
        <w:pStyle w:val="NoSpacing"/>
        <w:spacing w:line="480" w:lineRule="auto"/>
        <w:jc w:val="both"/>
        <w:rPr>
          <w:lang w:val="en-US"/>
        </w:rPr>
      </w:pPr>
      <w:r w:rsidRPr="00867BB6">
        <w:rPr>
          <w:lang w:val="en-US"/>
        </w:rPr>
        <w:t xml:space="preserve">It is notable that </w:t>
      </w:r>
      <w:r w:rsidR="00D06054" w:rsidRPr="00867BB6">
        <w:rPr>
          <w:lang w:val="en-US"/>
        </w:rPr>
        <w:t xml:space="preserve">no regional organization has yet proposed a coordinated approach consistent with the CLME Initiative </w:t>
      </w:r>
      <w:r w:rsidRPr="00867BB6">
        <w:rPr>
          <w:lang w:val="en-US"/>
        </w:rPr>
        <w:t>despite</w:t>
      </w:r>
      <w:r w:rsidR="00D06054" w:rsidRPr="00867BB6">
        <w:rPr>
          <w:lang w:val="en-US"/>
        </w:rPr>
        <w:t>:</w:t>
      </w:r>
      <w:r w:rsidRPr="00867BB6">
        <w:rPr>
          <w:lang w:val="en-US"/>
        </w:rPr>
        <w:t xml:space="preserve"> (1) </w:t>
      </w:r>
      <w:r w:rsidR="00D06054" w:rsidRPr="00867BB6">
        <w:rPr>
          <w:lang w:val="en-US"/>
        </w:rPr>
        <w:t xml:space="preserve">the importance of </w:t>
      </w:r>
      <w:r w:rsidR="00780C68" w:rsidRPr="00867BB6">
        <w:rPr>
          <w:lang w:val="en-US"/>
        </w:rPr>
        <w:t xml:space="preserve">regional organizations </w:t>
      </w:r>
      <w:r w:rsidR="00D06054" w:rsidRPr="00867BB6">
        <w:rPr>
          <w:lang w:val="en-US"/>
        </w:rPr>
        <w:t>to</w:t>
      </w:r>
      <w:r w:rsidR="00780C68" w:rsidRPr="00867BB6">
        <w:rPr>
          <w:lang w:val="en-US"/>
        </w:rPr>
        <w:t xml:space="preserve"> the countries and territories in this study</w:t>
      </w:r>
      <w:r w:rsidR="00D06054" w:rsidRPr="00867BB6">
        <w:rPr>
          <w:lang w:val="en-US"/>
        </w:rPr>
        <w:t>;</w:t>
      </w:r>
      <w:r w:rsidR="00780C68" w:rsidRPr="00867BB6">
        <w:rPr>
          <w:lang w:val="en-US"/>
        </w:rPr>
        <w:t xml:space="preserve"> (2) </w:t>
      </w:r>
      <w:r w:rsidRPr="00867BB6">
        <w:rPr>
          <w:lang w:val="en-US"/>
        </w:rPr>
        <w:t>a focus on regional ocean governance in the WCR for at least two decades through the CLME Initiative</w:t>
      </w:r>
      <w:r w:rsidR="00D06054" w:rsidRPr="00867BB6">
        <w:rPr>
          <w:lang w:val="en-US"/>
        </w:rPr>
        <w:t>;</w:t>
      </w:r>
      <w:r w:rsidRPr="00867BB6">
        <w:rPr>
          <w:lang w:val="en-US"/>
        </w:rPr>
        <w:t xml:space="preserve"> and (</w:t>
      </w:r>
      <w:r w:rsidR="00C50956" w:rsidRPr="00867BB6">
        <w:rPr>
          <w:lang w:val="en-US"/>
        </w:rPr>
        <w:t>3</w:t>
      </w:r>
      <w:r w:rsidRPr="00867BB6">
        <w:rPr>
          <w:lang w:val="en-US"/>
        </w:rPr>
        <w:t xml:space="preserve">) the adoption of a polycentric Regional Ocean Governance Framework with coordination and collaboration </w:t>
      </w:r>
      <w:r w:rsidRPr="00867BB6">
        <w:rPr>
          <w:lang w:val="en-US"/>
        </w:rPr>
        <w:lastRenderedPageBreak/>
        <w:t xml:space="preserve">as a key component by the countries and organizations. It could be argued that none </w:t>
      </w:r>
      <w:r w:rsidR="00143585" w:rsidRPr="00867BB6">
        <w:rPr>
          <w:lang w:val="en-US"/>
        </w:rPr>
        <w:t xml:space="preserve">of the sectoral organizations </w:t>
      </w:r>
      <w:r w:rsidR="000248BE" w:rsidRPr="00867BB6">
        <w:rPr>
          <w:lang w:val="en-US"/>
        </w:rPr>
        <w:t xml:space="preserve">have </w:t>
      </w:r>
      <w:r w:rsidRPr="00867BB6">
        <w:rPr>
          <w:lang w:val="en-US"/>
        </w:rPr>
        <w:t>the mandate to address the full scope of sargassum</w:t>
      </w:r>
      <w:r w:rsidR="00143585" w:rsidRPr="00867BB6">
        <w:rPr>
          <w:lang w:val="en-US"/>
        </w:rPr>
        <w:t>, and while</w:t>
      </w:r>
      <w:r w:rsidRPr="00867BB6">
        <w:rPr>
          <w:lang w:val="en-US"/>
        </w:rPr>
        <w:t xml:space="preserve"> the economic integration bodies do have mandates that cover the </w:t>
      </w:r>
      <w:r w:rsidR="00D06054" w:rsidRPr="00867BB6">
        <w:rPr>
          <w:lang w:val="en-US"/>
        </w:rPr>
        <w:t xml:space="preserve">relevant </w:t>
      </w:r>
      <w:r w:rsidRPr="00867BB6">
        <w:rPr>
          <w:lang w:val="en-US"/>
        </w:rPr>
        <w:t>scope of impacts and responses</w:t>
      </w:r>
      <w:r w:rsidR="00143585" w:rsidRPr="00867BB6">
        <w:rPr>
          <w:lang w:val="en-US"/>
        </w:rPr>
        <w:t xml:space="preserve">, </w:t>
      </w:r>
      <w:r w:rsidRPr="00867BB6">
        <w:rPr>
          <w:lang w:val="en-US"/>
        </w:rPr>
        <w:t xml:space="preserve"> neither CARICOM nor SICA have comprehensive ocean policies under which a coordination role for sargassum could </w:t>
      </w:r>
      <w:r w:rsidR="00143585" w:rsidRPr="00867BB6">
        <w:rPr>
          <w:lang w:val="en-US"/>
        </w:rPr>
        <w:t>be</w:t>
      </w:r>
      <w:r w:rsidRPr="00867BB6">
        <w:rPr>
          <w:lang w:val="en-US"/>
        </w:rPr>
        <w:t xml:space="preserve"> mobilized. The OECS </w:t>
      </w:r>
      <w:r w:rsidR="000248BE" w:rsidRPr="00867BB6">
        <w:rPr>
          <w:lang w:val="en-US"/>
        </w:rPr>
        <w:t>has</w:t>
      </w:r>
      <w:r w:rsidRPr="00867BB6">
        <w:rPr>
          <w:lang w:val="en-US"/>
        </w:rPr>
        <w:t xml:space="preserve"> an oceans policy and appears to have played a coordination role for its member</w:t>
      </w:r>
      <w:r w:rsidR="00D06054" w:rsidRPr="00867BB6">
        <w:rPr>
          <w:lang w:val="en-US"/>
        </w:rPr>
        <w:t>s</w:t>
      </w:r>
      <w:r w:rsidRPr="00867BB6">
        <w:rPr>
          <w:lang w:val="en-US"/>
        </w:rPr>
        <w:t xml:space="preserve"> (OECS 2013). This leaves only the ACS Caribbean Sea Commission with a mandate for region-wide coordination of oceans affairs</w:t>
      </w:r>
      <w:r w:rsidR="00D06054" w:rsidRPr="00867BB6">
        <w:rPr>
          <w:lang w:val="en-US"/>
        </w:rPr>
        <w:t>.</w:t>
      </w:r>
      <w:r w:rsidRPr="00867BB6">
        <w:rPr>
          <w:lang w:val="en-US"/>
        </w:rPr>
        <w:t xml:space="preserve"> </w:t>
      </w:r>
      <w:r w:rsidR="00D06054" w:rsidRPr="00867BB6">
        <w:rPr>
          <w:lang w:val="en-US"/>
        </w:rPr>
        <w:t>Y</w:t>
      </w:r>
      <w:r w:rsidRPr="00867BB6">
        <w:rPr>
          <w:lang w:val="en-US"/>
        </w:rPr>
        <w:t>et</w:t>
      </w:r>
      <w:r w:rsidR="00D06054" w:rsidRPr="00867BB6">
        <w:rPr>
          <w:lang w:val="en-US"/>
        </w:rPr>
        <w:t>,</w:t>
      </w:r>
      <w:r w:rsidRPr="00867BB6">
        <w:rPr>
          <w:lang w:val="en-US"/>
        </w:rPr>
        <w:t xml:space="preserve"> despite holding a conference on sargassum</w:t>
      </w:r>
      <w:r w:rsidR="0097686D" w:rsidRPr="00867BB6">
        <w:rPr>
          <w:lang w:val="en-US"/>
        </w:rPr>
        <w:t xml:space="preserve"> (CSC 2015)</w:t>
      </w:r>
      <w:r w:rsidRPr="00867BB6">
        <w:rPr>
          <w:lang w:val="en-US"/>
        </w:rPr>
        <w:t xml:space="preserve"> it </w:t>
      </w:r>
      <w:r w:rsidR="000248BE" w:rsidRPr="00867BB6">
        <w:rPr>
          <w:lang w:val="en-US"/>
        </w:rPr>
        <w:t>has not taken on</w:t>
      </w:r>
      <w:r w:rsidRPr="00867BB6">
        <w:rPr>
          <w:lang w:val="en-US"/>
        </w:rPr>
        <w:t xml:space="preserve"> a formal regional coordinating role. </w:t>
      </w:r>
      <w:r w:rsidR="00AD6155" w:rsidRPr="00867BB6">
        <w:rPr>
          <w:lang w:val="en-US"/>
        </w:rPr>
        <w:t xml:space="preserve">Sargassum governance </w:t>
      </w:r>
      <w:r w:rsidR="00D06054" w:rsidRPr="00867BB6">
        <w:rPr>
          <w:lang w:val="en-US"/>
        </w:rPr>
        <w:t xml:space="preserve">thus </w:t>
      </w:r>
      <w:r w:rsidR="00AD6155" w:rsidRPr="00867BB6">
        <w:rPr>
          <w:lang w:val="en-US"/>
        </w:rPr>
        <w:t>exhibits the advantages of polycentricity in terms of learning</w:t>
      </w:r>
      <w:r w:rsidR="002032E4" w:rsidRPr="00867BB6">
        <w:rPr>
          <w:lang w:val="en-US"/>
        </w:rPr>
        <w:t xml:space="preserve"> and</w:t>
      </w:r>
      <w:r w:rsidR="00AD6155" w:rsidRPr="00867BB6">
        <w:rPr>
          <w:lang w:val="en-US"/>
        </w:rPr>
        <w:t xml:space="preserve"> </w:t>
      </w:r>
      <w:r w:rsidR="00A76379" w:rsidRPr="00867BB6">
        <w:rPr>
          <w:lang w:val="en-US"/>
        </w:rPr>
        <w:t xml:space="preserve">collaboration but </w:t>
      </w:r>
      <w:r w:rsidR="00BD2BEE" w:rsidRPr="00867BB6">
        <w:rPr>
          <w:lang w:val="en-US"/>
        </w:rPr>
        <w:t>there is</w:t>
      </w:r>
      <w:r w:rsidR="003208EC" w:rsidRPr="00867BB6">
        <w:rPr>
          <w:lang w:val="en-US"/>
        </w:rPr>
        <w:t xml:space="preserve"> limited </w:t>
      </w:r>
      <w:r w:rsidR="00660453" w:rsidRPr="00867BB6">
        <w:rPr>
          <w:lang w:val="en-US"/>
        </w:rPr>
        <w:t xml:space="preserve">evidence of </w:t>
      </w:r>
      <w:r w:rsidR="0042102E" w:rsidRPr="00867BB6">
        <w:rPr>
          <w:lang w:val="en-US"/>
        </w:rPr>
        <w:t>tangible</w:t>
      </w:r>
      <w:r w:rsidR="00660453" w:rsidRPr="00867BB6">
        <w:rPr>
          <w:lang w:val="en-US"/>
        </w:rPr>
        <w:t xml:space="preserve"> </w:t>
      </w:r>
      <w:r w:rsidR="003208EC" w:rsidRPr="00867BB6">
        <w:rPr>
          <w:lang w:val="en-US"/>
        </w:rPr>
        <w:t xml:space="preserve">outcomes </w:t>
      </w:r>
      <w:r w:rsidR="00955B82" w:rsidRPr="00867BB6">
        <w:rPr>
          <w:lang w:val="en-US"/>
        </w:rPr>
        <w:t>from</w:t>
      </w:r>
      <w:r w:rsidR="003208EC" w:rsidRPr="00867BB6">
        <w:rPr>
          <w:lang w:val="en-US"/>
        </w:rPr>
        <w:t xml:space="preserve"> the interaction between the different bodies</w:t>
      </w:r>
      <w:r w:rsidR="002032E4" w:rsidRPr="00867BB6">
        <w:rPr>
          <w:lang w:val="en-US"/>
        </w:rPr>
        <w:t xml:space="preserve"> </w:t>
      </w:r>
      <w:r w:rsidR="00ED4852" w:rsidRPr="00867BB6">
        <w:rPr>
          <w:lang w:val="en-US"/>
        </w:rPr>
        <w:t>beyond the initial declaration of cooperation (OECS 2019)</w:t>
      </w:r>
      <w:r w:rsidR="002032E4" w:rsidRPr="00867BB6">
        <w:rPr>
          <w:lang w:val="en-US"/>
        </w:rPr>
        <w:t>.</w:t>
      </w:r>
      <w:r w:rsidR="00027117" w:rsidRPr="00867BB6">
        <w:rPr>
          <w:lang w:val="en-US"/>
        </w:rPr>
        <w:t xml:space="preserve"> </w:t>
      </w:r>
    </w:p>
    <w:p w14:paraId="11202029" w14:textId="6DBDACB3" w:rsidR="004309AD" w:rsidRPr="00867BB6" w:rsidRDefault="0006778C" w:rsidP="00222E2A">
      <w:pPr>
        <w:pStyle w:val="Heading2"/>
        <w:jc w:val="both"/>
        <w:rPr>
          <w:rFonts w:cs="Times New Roman"/>
          <w:szCs w:val="24"/>
          <w:lang w:val="en-US"/>
        </w:rPr>
      </w:pPr>
      <w:r w:rsidRPr="00867BB6">
        <w:rPr>
          <w:rFonts w:cs="Times New Roman"/>
          <w:szCs w:val="24"/>
          <w:lang w:val="en-US"/>
        </w:rPr>
        <w:t xml:space="preserve">Polycentric governance and </w:t>
      </w:r>
      <w:r w:rsidR="00A21E8B" w:rsidRPr="00867BB6">
        <w:rPr>
          <w:rFonts w:cs="Times New Roman"/>
          <w:szCs w:val="24"/>
          <w:lang w:val="en-US"/>
        </w:rPr>
        <w:t>SIDS</w:t>
      </w:r>
    </w:p>
    <w:p w14:paraId="12884733" w14:textId="39420638" w:rsidR="004309AD" w:rsidRPr="00867BB6" w:rsidRDefault="00362958" w:rsidP="004A6114">
      <w:pPr>
        <w:pStyle w:val="Newparagraph"/>
        <w:jc w:val="both"/>
        <w:rPr>
          <w:lang w:val="en-US"/>
        </w:rPr>
      </w:pPr>
      <w:r w:rsidRPr="00867BB6">
        <w:rPr>
          <w:lang w:val="en-US"/>
        </w:rPr>
        <w:t xml:space="preserve">Another aspect of the polycentric approach to sargassum management is the extent to which limitations of small size and the complex government regimes of Caribbean </w:t>
      </w:r>
      <w:r w:rsidR="00D06054" w:rsidRPr="00867BB6">
        <w:rPr>
          <w:lang w:val="en-US"/>
        </w:rPr>
        <w:t xml:space="preserve">SIDS </w:t>
      </w:r>
      <w:r w:rsidRPr="00867BB6">
        <w:rPr>
          <w:lang w:val="en-US"/>
        </w:rPr>
        <w:t>ha</w:t>
      </w:r>
      <w:r w:rsidR="00D06054" w:rsidRPr="00867BB6">
        <w:rPr>
          <w:lang w:val="en-US"/>
        </w:rPr>
        <w:t>s</w:t>
      </w:r>
      <w:r w:rsidRPr="00867BB6">
        <w:rPr>
          <w:lang w:val="en-US"/>
        </w:rPr>
        <w:t xml:space="preserve"> led to system dysfunctionalities. Polycentric governance should theoretically deliver greater policy innovation (Cole 2015)</w:t>
      </w:r>
      <w:r w:rsidR="00DF3831" w:rsidRPr="00867BB6">
        <w:rPr>
          <w:lang w:val="en-US"/>
        </w:rPr>
        <w:t>;</w:t>
      </w:r>
      <w:r w:rsidR="00255C39" w:rsidRPr="00867BB6">
        <w:rPr>
          <w:lang w:val="en-US"/>
        </w:rPr>
        <w:t xml:space="preserve"> </w:t>
      </w:r>
      <w:r w:rsidR="00DF3831" w:rsidRPr="00867BB6">
        <w:rPr>
          <w:lang w:val="en-US"/>
        </w:rPr>
        <w:t>i</w:t>
      </w:r>
      <w:r w:rsidRPr="00867BB6">
        <w:rPr>
          <w:lang w:val="en-US"/>
        </w:rPr>
        <w:t xml:space="preserve">n some ways the Caribbean response to sargassum exemplifies that innovation, with varied local </w:t>
      </w:r>
      <w:r w:rsidR="00DF3831" w:rsidRPr="00867BB6">
        <w:rPr>
          <w:lang w:val="en-US"/>
        </w:rPr>
        <w:t>management approaches</w:t>
      </w:r>
      <w:r w:rsidR="00D06054" w:rsidRPr="00867BB6">
        <w:rPr>
          <w:lang w:val="en-US"/>
        </w:rPr>
        <w:t>, including, e.g.</w:t>
      </w:r>
      <w:r w:rsidRPr="00867BB6">
        <w:rPr>
          <w:lang w:val="en-US"/>
        </w:rPr>
        <w:t xml:space="preserve"> St Lucia and Dominica both emphasize the economic opportunities to be gained from sargassum product development</w:t>
      </w:r>
      <w:r w:rsidR="003D56CC" w:rsidRPr="00867BB6">
        <w:rPr>
          <w:lang w:val="en-US"/>
        </w:rPr>
        <w:t xml:space="preserve"> [</w:t>
      </w:r>
      <w:r w:rsidR="001515B5" w:rsidRPr="00867BB6">
        <w:rPr>
          <w:lang w:val="en-US"/>
        </w:rPr>
        <w:t>15, 32</w:t>
      </w:r>
      <w:r w:rsidR="00F70E5F" w:rsidRPr="00867BB6">
        <w:rPr>
          <w:lang w:val="en-US"/>
        </w:rPr>
        <w:t>/33</w:t>
      </w:r>
      <w:r w:rsidR="003D56CC" w:rsidRPr="00867BB6">
        <w:rPr>
          <w:lang w:val="en-US"/>
        </w:rPr>
        <w:t>]</w:t>
      </w:r>
      <w:r w:rsidR="00E2014B" w:rsidRPr="00867BB6">
        <w:rPr>
          <w:lang w:val="en-US"/>
        </w:rPr>
        <w:t>, w</w:t>
      </w:r>
      <w:r w:rsidRPr="00867BB6">
        <w:rPr>
          <w:lang w:val="en-US"/>
        </w:rPr>
        <w:t xml:space="preserve">hile the French Caribbean </w:t>
      </w:r>
      <w:r w:rsidR="003D56CC" w:rsidRPr="00867BB6">
        <w:rPr>
          <w:lang w:val="en-US"/>
        </w:rPr>
        <w:t>prioritizes</w:t>
      </w:r>
      <w:r w:rsidRPr="00867BB6">
        <w:rPr>
          <w:lang w:val="en-US"/>
        </w:rPr>
        <w:t xml:space="preserve"> rapid clean-up operations </w:t>
      </w:r>
      <w:r w:rsidR="00E2014B" w:rsidRPr="00867BB6">
        <w:rPr>
          <w:lang w:val="en-US"/>
        </w:rPr>
        <w:t>and</w:t>
      </w:r>
      <w:r w:rsidRPr="00867BB6">
        <w:rPr>
          <w:lang w:val="en-US"/>
        </w:rPr>
        <w:t xml:space="preserve"> the use of sargassum for agriculture</w:t>
      </w:r>
      <w:r w:rsidR="003D56CC" w:rsidRPr="00867BB6">
        <w:rPr>
          <w:lang w:val="en-US"/>
        </w:rPr>
        <w:t xml:space="preserve"> [</w:t>
      </w:r>
      <w:r w:rsidR="001515B5" w:rsidRPr="00867BB6">
        <w:rPr>
          <w:lang w:val="en-US"/>
        </w:rPr>
        <w:t xml:space="preserve">19/20, </w:t>
      </w:r>
      <w:r w:rsidR="00F70E5F" w:rsidRPr="00867BB6">
        <w:rPr>
          <w:lang w:val="en-US"/>
        </w:rPr>
        <w:t xml:space="preserve">22, </w:t>
      </w:r>
      <w:r w:rsidR="001515B5" w:rsidRPr="00867BB6">
        <w:rPr>
          <w:lang w:val="en-US"/>
        </w:rPr>
        <w:t xml:space="preserve">24, </w:t>
      </w:r>
      <w:r w:rsidR="00F70E5F" w:rsidRPr="00867BB6">
        <w:rPr>
          <w:lang w:val="en-US"/>
        </w:rPr>
        <w:t>34</w:t>
      </w:r>
      <w:r w:rsidR="003D56CC" w:rsidRPr="00867BB6">
        <w:rPr>
          <w:lang w:val="en-US"/>
        </w:rPr>
        <w:t>]</w:t>
      </w:r>
      <w:r w:rsidRPr="00867BB6">
        <w:rPr>
          <w:lang w:val="en-US"/>
        </w:rPr>
        <w:t xml:space="preserve">. </w:t>
      </w:r>
      <w:r w:rsidR="00D06054" w:rsidRPr="00867BB6">
        <w:rPr>
          <w:lang w:val="en-US"/>
        </w:rPr>
        <w:t>But</w:t>
      </w:r>
      <w:r w:rsidR="007A7D1D">
        <w:rPr>
          <w:lang w:val="en-US"/>
        </w:rPr>
        <w:t xml:space="preserve"> </w:t>
      </w:r>
      <w:r w:rsidR="00D06054" w:rsidRPr="00867BB6">
        <w:rPr>
          <w:lang w:val="en-US"/>
        </w:rPr>
        <w:t>f</w:t>
      </w:r>
      <w:r w:rsidR="00515C17" w:rsidRPr="00867BB6">
        <w:rPr>
          <w:lang w:val="en-US"/>
        </w:rPr>
        <w:t>or SIDS</w:t>
      </w:r>
      <w:r w:rsidR="003D56CC" w:rsidRPr="00867BB6">
        <w:rPr>
          <w:lang w:val="en-US"/>
        </w:rPr>
        <w:t>,</w:t>
      </w:r>
      <w:r w:rsidR="00515C17" w:rsidRPr="00867BB6">
        <w:rPr>
          <w:lang w:val="en-US"/>
        </w:rPr>
        <w:t xml:space="preserve"> engagement with a polycentric approach to governance has both advantages and disadvantages. The problem of low national capacity to engage effectively with regional and global processes has long been recognized in the WCR (Mahon et al. 2010). </w:t>
      </w:r>
      <w:r w:rsidR="005E26E9" w:rsidRPr="00867BB6">
        <w:rPr>
          <w:lang w:val="en-US"/>
        </w:rPr>
        <w:t xml:space="preserve">For example, </w:t>
      </w:r>
      <w:r w:rsidR="00515C17" w:rsidRPr="00867BB6">
        <w:rPr>
          <w:lang w:val="en-US"/>
        </w:rPr>
        <w:t xml:space="preserve">National Intersectoral </w:t>
      </w:r>
      <w:r w:rsidR="00543A24" w:rsidRPr="00867BB6">
        <w:rPr>
          <w:lang w:val="en-US"/>
        </w:rPr>
        <w:t xml:space="preserve">Coordination Mechanisms </w:t>
      </w:r>
      <w:r w:rsidR="00515C17" w:rsidRPr="00867BB6">
        <w:rPr>
          <w:lang w:val="en-US"/>
        </w:rPr>
        <w:lastRenderedPageBreak/>
        <w:t xml:space="preserve">(NICs) </w:t>
      </w:r>
      <w:r w:rsidR="00E0076A" w:rsidRPr="00867BB6">
        <w:rPr>
          <w:lang w:val="en-US"/>
        </w:rPr>
        <w:t>are</w:t>
      </w:r>
      <w:r w:rsidR="005E26E9" w:rsidRPr="00867BB6">
        <w:rPr>
          <w:lang w:val="en-US"/>
        </w:rPr>
        <w:t xml:space="preserve"> </w:t>
      </w:r>
      <w:r w:rsidR="00515C17" w:rsidRPr="00867BB6">
        <w:rPr>
          <w:lang w:val="en-US"/>
        </w:rPr>
        <w:t xml:space="preserve">a requirement of all GEF Projects and strengthening them in WCR countries </w:t>
      </w:r>
      <w:r w:rsidR="00AA16B2" w:rsidRPr="00867BB6">
        <w:rPr>
          <w:lang w:val="en-US"/>
        </w:rPr>
        <w:t>is</w:t>
      </w:r>
      <w:r w:rsidR="00515C17" w:rsidRPr="00867BB6">
        <w:rPr>
          <w:lang w:val="en-US"/>
        </w:rPr>
        <w:t xml:space="preserve"> an integral, funded, component of the CLME+ Initiative (</w:t>
      </w:r>
      <w:proofErr w:type="spellStart"/>
      <w:r w:rsidR="00515C17" w:rsidRPr="00867BB6">
        <w:rPr>
          <w:lang w:val="en-US"/>
        </w:rPr>
        <w:t>Debels</w:t>
      </w:r>
      <w:proofErr w:type="spellEnd"/>
      <w:r w:rsidR="00515C17" w:rsidRPr="00867BB6">
        <w:rPr>
          <w:lang w:val="en-US"/>
        </w:rPr>
        <w:t xml:space="preserve"> et al. 2017). </w:t>
      </w:r>
      <w:r w:rsidR="00AA16B2" w:rsidRPr="00867BB6">
        <w:rPr>
          <w:lang w:val="en-US"/>
        </w:rPr>
        <w:t>But p</w:t>
      </w:r>
      <w:r w:rsidR="00515C17" w:rsidRPr="00867BB6">
        <w:rPr>
          <w:lang w:val="en-US"/>
        </w:rPr>
        <w:t xml:space="preserve">rogress with NICs has been slow, especially for SIDS, further limiting their capacity to engage in regional ocean governance (Compton et al. 2020).  Had these NICs been operational in most countries they may have </w:t>
      </w:r>
      <w:r w:rsidR="00AA16B2" w:rsidRPr="00867BB6">
        <w:rPr>
          <w:lang w:val="en-US"/>
        </w:rPr>
        <w:t xml:space="preserve">questioned </w:t>
      </w:r>
      <w:r w:rsidR="00C301C5" w:rsidRPr="00867BB6">
        <w:rPr>
          <w:lang w:val="en-US"/>
        </w:rPr>
        <w:t xml:space="preserve">why </w:t>
      </w:r>
      <w:r w:rsidR="00515C17" w:rsidRPr="00867BB6">
        <w:rPr>
          <w:lang w:val="en-US"/>
        </w:rPr>
        <w:t>sargassum governance was being pursued</w:t>
      </w:r>
      <w:r w:rsidR="007C25AA" w:rsidRPr="00867BB6">
        <w:rPr>
          <w:lang w:val="en-US"/>
        </w:rPr>
        <w:t xml:space="preserve"> largely</w:t>
      </w:r>
      <w:r w:rsidR="00515C17" w:rsidRPr="00867BB6">
        <w:rPr>
          <w:lang w:val="en-US"/>
        </w:rPr>
        <w:t xml:space="preserve"> </w:t>
      </w:r>
      <w:r w:rsidR="007C25AA" w:rsidRPr="00867BB6">
        <w:rPr>
          <w:lang w:val="en-US"/>
        </w:rPr>
        <w:t xml:space="preserve">independent of regional </w:t>
      </w:r>
      <w:r w:rsidR="00355671" w:rsidRPr="00867BB6">
        <w:rPr>
          <w:lang w:val="en-US"/>
        </w:rPr>
        <w:t>institutions</w:t>
      </w:r>
      <w:r w:rsidR="007C25AA" w:rsidRPr="00867BB6">
        <w:rPr>
          <w:lang w:val="en-US"/>
        </w:rPr>
        <w:t xml:space="preserve"> </w:t>
      </w:r>
      <w:r w:rsidR="00515C17" w:rsidRPr="00867BB6">
        <w:rPr>
          <w:lang w:val="en-US"/>
        </w:rPr>
        <w:t>.</w:t>
      </w:r>
      <w:r w:rsidR="00355671" w:rsidRPr="00867BB6">
        <w:rPr>
          <w:lang w:val="en-US"/>
        </w:rPr>
        <w:t xml:space="preserve"> One lesson could</w:t>
      </w:r>
      <w:r w:rsidR="00515C17" w:rsidRPr="00867BB6">
        <w:rPr>
          <w:lang w:val="en-US"/>
        </w:rPr>
        <w:t xml:space="preserve"> be to address the governance questions early so as to (a) </w:t>
      </w:r>
      <w:r w:rsidR="007A0740" w:rsidRPr="00867BB6">
        <w:rPr>
          <w:lang w:val="en-US"/>
        </w:rPr>
        <w:t>identify</w:t>
      </w:r>
      <w:r w:rsidR="00515C17" w:rsidRPr="00867BB6">
        <w:rPr>
          <w:lang w:val="en-US"/>
        </w:rPr>
        <w:t xml:space="preserve"> </w:t>
      </w:r>
      <w:r w:rsidR="00056875" w:rsidRPr="00867BB6">
        <w:rPr>
          <w:lang w:val="en-US"/>
        </w:rPr>
        <w:t xml:space="preserve">and strengthen </w:t>
      </w:r>
      <w:r w:rsidR="00515C17" w:rsidRPr="00867BB6">
        <w:rPr>
          <w:lang w:val="en-US"/>
        </w:rPr>
        <w:t>regional science-policy arena</w:t>
      </w:r>
      <w:r w:rsidR="007A0740" w:rsidRPr="00867BB6">
        <w:rPr>
          <w:lang w:val="en-US"/>
        </w:rPr>
        <w:t>s</w:t>
      </w:r>
      <w:r w:rsidR="00515C17" w:rsidRPr="00867BB6">
        <w:rPr>
          <w:lang w:val="en-US"/>
        </w:rPr>
        <w:t xml:space="preserve"> into the work; (b) use existing national coordination mechanisms; </w:t>
      </w:r>
      <w:r w:rsidR="00323ACE" w:rsidRPr="00867BB6">
        <w:rPr>
          <w:lang w:val="en-US"/>
        </w:rPr>
        <w:t xml:space="preserve">and </w:t>
      </w:r>
      <w:r w:rsidR="00515C17" w:rsidRPr="00867BB6">
        <w:rPr>
          <w:lang w:val="en-US"/>
        </w:rPr>
        <w:t>(c) build on existing regional ocean governance efforts.</w:t>
      </w:r>
    </w:p>
    <w:p w14:paraId="1E512A7D" w14:textId="26C37997" w:rsidR="004309AD" w:rsidRPr="00867BB6" w:rsidRDefault="00515C17" w:rsidP="00222E2A">
      <w:pPr>
        <w:pStyle w:val="Heading2"/>
        <w:jc w:val="both"/>
        <w:rPr>
          <w:rFonts w:cs="Times New Roman"/>
          <w:szCs w:val="24"/>
          <w:lang w:val="en-US"/>
        </w:rPr>
      </w:pPr>
      <w:r w:rsidRPr="00867BB6">
        <w:rPr>
          <w:rFonts w:cs="Times New Roman"/>
          <w:szCs w:val="24"/>
          <w:lang w:val="en-US"/>
        </w:rPr>
        <w:t>National capacity gaps</w:t>
      </w:r>
    </w:p>
    <w:p w14:paraId="0666517F" w14:textId="2631356E" w:rsidR="004309AD" w:rsidRPr="00867BB6" w:rsidRDefault="00355671" w:rsidP="000334D6">
      <w:pPr>
        <w:pStyle w:val="Newparagraph"/>
        <w:ind w:firstLine="0"/>
        <w:jc w:val="both"/>
        <w:rPr>
          <w:lang w:val="en-US"/>
        </w:rPr>
      </w:pPr>
      <w:r w:rsidRPr="00867BB6">
        <w:rPr>
          <w:lang w:val="en-US"/>
        </w:rPr>
        <w:t>Limited</w:t>
      </w:r>
      <w:r w:rsidR="0006391E" w:rsidRPr="00867BB6">
        <w:rPr>
          <w:lang w:val="en-US"/>
        </w:rPr>
        <w:t xml:space="preserve"> national capacity to implement agreed actions</w:t>
      </w:r>
      <w:r w:rsidRPr="00867BB6">
        <w:rPr>
          <w:lang w:val="en-US"/>
        </w:rPr>
        <w:t xml:space="preserve"> is also a problem</w:t>
      </w:r>
      <w:r w:rsidR="0006391E" w:rsidRPr="00867BB6">
        <w:rPr>
          <w:lang w:val="en-US"/>
        </w:rPr>
        <w:t xml:space="preserve">. Despite state and regional policies outlining a multitude of management approaches encompassing prevention, clean-up, monitoring, public engagement, research, </w:t>
      </w:r>
      <w:r w:rsidR="005D630A" w:rsidRPr="00867BB6">
        <w:rPr>
          <w:lang w:val="en-US"/>
        </w:rPr>
        <w:t>and re</w:t>
      </w:r>
      <w:r w:rsidR="0006391E" w:rsidRPr="00867BB6">
        <w:rPr>
          <w:lang w:val="en-US"/>
        </w:rPr>
        <w:t xml:space="preserve">use, much of that action is beyond the </w:t>
      </w:r>
      <w:r w:rsidRPr="00867BB6">
        <w:rPr>
          <w:lang w:val="en-US"/>
        </w:rPr>
        <w:t xml:space="preserve">ability </w:t>
      </w:r>
      <w:r w:rsidR="0006391E" w:rsidRPr="00867BB6">
        <w:rPr>
          <w:lang w:val="en-US"/>
        </w:rPr>
        <w:t xml:space="preserve">of </w:t>
      </w:r>
      <w:r w:rsidRPr="00867BB6">
        <w:rPr>
          <w:lang w:val="en-US"/>
        </w:rPr>
        <w:t xml:space="preserve">many </w:t>
      </w:r>
      <w:r w:rsidR="0006391E" w:rsidRPr="00867BB6">
        <w:rPr>
          <w:lang w:val="en-US"/>
        </w:rPr>
        <w:t>SIDS and</w:t>
      </w:r>
      <w:r w:rsidRPr="00867BB6">
        <w:rPr>
          <w:lang w:val="en-US"/>
        </w:rPr>
        <w:t xml:space="preserve"> thus remains</w:t>
      </w:r>
      <w:r w:rsidR="0006391E" w:rsidRPr="00867BB6">
        <w:rPr>
          <w:lang w:val="en-US"/>
        </w:rPr>
        <w:t xml:space="preserve"> dependent on external input; for example</w:t>
      </w:r>
      <w:r w:rsidR="00A21E8B" w:rsidRPr="00867BB6">
        <w:rPr>
          <w:lang w:val="en-US"/>
        </w:rPr>
        <w:t>,</w:t>
      </w:r>
      <w:r w:rsidR="0006391E" w:rsidRPr="00867BB6">
        <w:rPr>
          <w:lang w:val="en-US"/>
        </w:rPr>
        <w:t xml:space="preserve"> the sargassum early-warning and monitoring systems, such as those generated by the University of South Florida (United States) and </w:t>
      </w:r>
      <w:proofErr w:type="spellStart"/>
      <w:r w:rsidR="0006391E" w:rsidRPr="00867BB6">
        <w:rPr>
          <w:lang w:val="en-US"/>
        </w:rPr>
        <w:t>Collecte</w:t>
      </w:r>
      <w:proofErr w:type="spellEnd"/>
      <w:r w:rsidR="0006391E" w:rsidRPr="00867BB6">
        <w:rPr>
          <w:lang w:val="en-US"/>
        </w:rPr>
        <w:t xml:space="preserve"> </w:t>
      </w:r>
      <w:proofErr w:type="spellStart"/>
      <w:r w:rsidR="0006391E" w:rsidRPr="00867BB6">
        <w:rPr>
          <w:lang w:val="en-US"/>
        </w:rPr>
        <w:t>Localisation</w:t>
      </w:r>
      <w:proofErr w:type="spellEnd"/>
      <w:r w:rsidR="0006391E" w:rsidRPr="00867BB6">
        <w:rPr>
          <w:lang w:val="en-US"/>
        </w:rPr>
        <w:t xml:space="preserve"> Satellites (France). </w:t>
      </w:r>
      <w:r w:rsidR="00F3079D" w:rsidRPr="00867BB6">
        <w:rPr>
          <w:lang w:val="en-US"/>
        </w:rPr>
        <w:t xml:space="preserve">The challenge of </w:t>
      </w:r>
      <w:r w:rsidR="00EA4AE0" w:rsidRPr="00867BB6">
        <w:rPr>
          <w:lang w:val="en-US"/>
        </w:rPr>
        <w:t xml:space="preserve">organisational capacity and </w:t>
      </w:r>
      <w:r w:rsidR="00F3079D" w:rsidRPr="00867BB6">
        <w:rPr>
          <w:lang w:val="en-US"/>
        </w:rPr>
        <w:t>accessing finance for climate change adaptation has been highlighted more generally</w:t>
      </w:r>
      <w:r w:rsidR="00CF03E7" w:rsidRPr="00867BB6">
        <w:rPr>
          <w:lang w:val="en-US"/>
        </w:rPr>
        <w:t xml:space="preserve">, </w:t>
      </w:r>
      <w:r w:rsidR="001E1B9A" w:rsidRPr="00867BB6">
        <w:rPr>
          <w:lang w:val="en-US"/>
        </w:rPr>
        <w:t xml:space="preserve">with (relatively high) national incomes often preventing access to </w:t>
      </w:r>
      <w:r w:rsidR="00AF1A40" w:rsidRPr="00867BB6">
        <w:rPr>
          <w:lang w:val="en-US"/>
        </w:rPr>
        <w:t xml:space="preserve">loans and grants (Robinson 2018). </w:t>
      </w:r>
      <w:r w:rsidR="00676477" w:rsidRPr="00867BB6">
        <w:rPr>
          <w:lang w:val="en-US"/>
        </w:rPr>
        <w:t xml:space="preserve">Part of the challenge in addressing these capacity gaps </w:t>
      </w:r>
      <w:r w:rsidR="00C95837" w:rsidRPr="00867BB6">
        <w:rPr>
          <w:lang w:val="en-US"/>
        </w:rPr>
        <w:t xml:space="preserve">may be </w:t>
      </w:r>
      <w:r w:rsidR="00C55366" w:rsidRPr="00867BB6">
        <w:rPr>
          <w:lang w:val="en-US"/>
        </w:rPr>
        <w:t xml:space="preserve">aggravated by the power dynamics of sargassum governance in the Caribbean, with </w:t>
      </w:r>
      <w:r w:rsidR="00966BB4" w:rsidRPr="00867BB6">
        <w:rPr>
          <w:lang w:val="en-US"/>
        </w:rPr>
        <w:t>different</w:t>
      </w:r>
      <w:r w:rsidR="00C55366" w:rsidRPr="00867BB6">
        <w:rPr>
          <w:lang w:val="en-US"/>
        </w:rPr>
        <w:t xml:space="preserve"> stakeholders </w:t>
      </w:r>
      <w:r w:rsidR="005D630A" w:rsidRPr="00867BB6">
        <w:rPr>
          <w:lang w:val="en-US"/>
        </w:rPr>
        <w:t>asserting their influence</w:t>
      </w:r>
      <w:r w:rsidR="00966BB4" w:rsidRPr="00867BB6">
        <w:rPr>
          <w:lang w:val="en-US"/>
        </w:rPr>
        <w:t xml:space="preserve"> across </w:t>
      </w:r>
      <w:r w:rsidR="00CC6364" w:rsidRPr="00867BB6">
        <w:rPr>
          <w:lang w:val="en-US"/>
        </w:rPr>
        <w:t xml:space="preserve">the design, practice and framing of sargassum influxes. </w:t>
      </w:r>
      <w:r w:rsidR="00B82C3A" w:rsidRPr="00867BB6">
        <w:rPr>
          <w:lang w:val="en-US"/>
        </w:rPr>
        <w:t>Morrison</w:t>
      </w:r>
      <w:r w:rsidR="00277F10" w:rsidRPr="00867BB6">
        <w:rPr>
          <w:lang w:val="en-US"/>
        </w:rPr>
        <w:t xml:space="preserve"> et al. (2017; 2019) identifies three forms of power to consider in polycentric analyses: power by design (formal, institutional, policy-making), pragmatic power (practical, social, day-to-day), and framing power (norms, discourse, construction). </w:t>
      </w:r>
      <w:r w:rsidR="00CD4A1C" w:rsidRPr="00867BB6">
        <w:rPr>
          <w:lang w:val="en-US"/>
        </w:rPr>
        <w:t xml:space="preserve">While states </w:t>
      </w:r>
      <w:r w:rsidR="00B751E2" w:rsidRPr="00867BB6">
        <w:rPr>
          <w:lang w:val="en-US"/>
        </w:rPr>
        <w:t>are leading</w:t>
      </w:r>
      <w:r w:rsidR="00CD4A1C" w:rsidRPr="00867BB6">
        <w:rPr>
          <w:lang w:val="en-US"/>
        </w:rPr>
        <w:t xml:space="preserve"> </w:t>
      </w:r>
      <w:r w:rsidR="005D630A" w:rsidRPr="00867BB6">
        <w:rPr>
          <w:lang w:val="en-US"/>
        </w:rPr>
        <w:lastRenderedPageBreak/>
        <w:t>sargassum policy development</w:t>
      </w:r>
      <w:r w:rsidR="00CD4A1C" w:rsidRPr="00867BB6">
        <w:rPr>
          <w:lang w:val="en-US"/>
        </w:rPr>
        <w:t xml:space="preserve"> (power by design), private entities </w:t>
      </w:r>
      <w:r w:rsidR="006A64FE" w:rsidRPr="00867BB6">
        <w:rPr>
          <w:lang w:val="en-US"/>
        </w:rPr>
        <w:t xml:space="preserve">such as hotels on tourist-dominated coastlines </w:t>
      </w:r>
      <w:r w:rsidR="00D72D8E" w:rsidRPr="00867BB6">
        <w:rPr>
          <w:lang w:val="en-US"/>
        </w:rPr>
        <w:t xml:space="preserve">often resource and </w:t>
      </w:r>
      <w:r w:rsidR="00B751E2" w:rsidRPr="00867BB6">
        <w:rPr>
          <w:lang w:val="en-US"/>
        </w:rPr>
        <w:t>oversee</w:t>
      </w:r>
      <w:r w:rsidR="00D72D8E" w:rsidRPr="00867BB6">
        <w:rPr>
          <w:lang w:val="en-US"/>
        </w:rPr>
        <w:t xml:space="preserve"> </w:t>
      </w:r>
      <w:r w:rsidR="009A2E0C" w:rsidRPr="00867BB6">
        <w:rPr>
          <w:lang w:val="en-US"/>
        </w:rPr>
        <w:t xml:space="preserve">clean-up operations (pragmatic power), and </w:t>
      </w:r>
      <w:r w:rsidR="007F00BA" w:rsidRPr="00867BB6">
        <w:rPr>
          <w:lang w:val="en-US"/>
        </w:rPr>
        <w:t xml:space="preserve">regional bodies </w:t>
      </w:r>
      <w:r w:rsidR="0023397E" w:rsidRPr="00867BB6">
        <w:rPr>
          <w:lang w:val="en-US"/>
        </w:rPr>
        <w:t xml:space="preserve">are driving the sargassum discourse, </w:t>
      </w:r>
      <w:r w:rsidR="00025638" w:rsidRPr="00867BB6">
        <w:rPr>
          <w:lang w:val="en-US"/>
        </w:rPr>
        <w:t>such as</w:t>
      </w:r>
      <w:r w:rsidR="0023397E" w:rsidRPr="00867BB6">
        <w:rPr>
          <w:lang w:val="en-US"/>
        </w:rPr>
        <w:t xml:space="preserve"> the </w:t>
      </w:r>
      <w:r w:rsidR="00DB6C22" w:rsidRPr="00867BB6">
        <w:rPr>
          <w:lang w:val="en-US"/>
        </w:rPr>
        <w:t xml:space="preserve">UNEP white paper </w:t>
      </w:r>
      <w:r w:rsidR="00876E97" w:rsidRPr="00867BB6">
        <w:rPr>
          <w:lang w:val="en-US"/>
        </w:rPr>
        <w:t>framing the influx events as an opportunity (</w:t>
      </w:r>
      <w:r w:rsidR="00F5341E" w:rsidRPr="00867BB6">
        <w:rPr>
          <w:lang w:val="en-US"/>
        </w:rPr>
        <w:t>UNEP-CEP 2021</w:t>
      </w:r>
      <w:r w:rsidR="00876E97" w:rsidRPr="00867BB6">
        <w:rPr>
          <w:lang w:val="en-US"/>
        </w:rPr>
        <w:t>) (</w:t>
      </w:r>
      <w:r w:rsidR="001C1DA4" w:rsidRPr="00867BB6">
        <w:rPr>
          <w:lang w:val="en-US"/>
        </w:rPr>
        <w:t xml:space="preserve">framing power). </w:t>
      </w:r>
      <w:r w:rsidR="00B76E24" w:rsidRPr="00867BB6">
        <w:rPr>
          <w:lang w:val="en-US"/>
        </w:rPr>
        <w:t xml:space="preserve">At best, this division of power further exemplifies the polycentric nature of sargassum governance in the Caribbean; at </w:t>
      </w:r>
      <w:r w:rsidR="00A233EA" w:rsidRPr="00867BB6">
        <w:rPr>
          <w:lang w:val="en-US"/>
        </w:rPr>
        <w:t xml:space="preserve">worst, it highlights </w:t>
      </w:r>
      <w:r w:rsidR="00AF5563" w:rsidRPr="00867BB6">
        <w:rPr>
          <w:lang w:val="en-US"/>
        </w:rPr>
        <w:t>its</w:t>
      </w:r>
      <w:r w:rsidR="00A233EA" w:rsidRPr="00867BB6">
        <w:rPr>
          <w:lang w:val="en-US"/>
        </w:rPr>
        <w:t xml:space="preserve"> </w:t>
      </w:r>
      <w:r w:rsidR="00234819" w:rsidRPr="00867BB6">
        <w:rPr>
          <w:lang w:val="en-US"/>
        </w:rPr>
        <w:t xml:space="preserve">currently </w:t>
      </w:r>
      <w:r w:rsidR="00A233EA" w:rsidRPr="00867BB6">
        <w:rPr>
          <w:lang w:val="en-US"/>
        </w:rPr>
        <w:t xml:space="preserve">fragmented </w:t>
      </w:r>
      <w:r w:rsidR="00CC3F75" w:rsidRPr="00867BB6">
        <w:rPr>
          <w:lang w:val="en-US"/>
        </w:rPr>
        <w:t>state</w:t>
      </w:r>
      <w:r w:rsidR="00716AD7" w:rsidRPr="00867BB6">
        <w:rPr>
          <w:lang w:val="en-US"/>
        </w:rPr>
        <w:t>.</w:t>
      </w:r>
    </w:p>
    <w:p w14:paraId="1F30275A" w14:textId="7C639CD9" w:rsidR="00F91365" w:rsidRPr="00867BB6" w:rsidRDefault="0006391E" w:rsidP="00222E2A">
      <w:pPr>
        <w:pStyle w:val="Heading1"/>
        <w:jc w:val="both"/>
        <w:rPr>
          <w:rFonts w:cs="Times New Roman"/>
          <w:szCs w:val="24"/>
          <w:lang w:val="en-US"/>
        </w:rPr>
      </w:pPr>
      <w:r w:rsidRPr="00867BB6">
        <w:rPr>
          <w:rFonts w:cs="Times New Roman"/>
          <w:szCs w:val="24"/>
          <w:lang w:val="en-US"/>
        </w:rPr>
        <w:t>Conclusions</w:t>
      </w:r>
    </w:p>
    <w:p w14:paraId="7BCD0C40" w14:textId="7BA1477E" w:rsidR="000D03BB" w:rsidRPr="00867BB6" w:rsidRDefault="00D06DBC" w:rsidP="00222E2A">
      <w:pPr>
        <w:pStyle w:val="Newparagraph"/>
        <w:ind w:firstLine="0"/>
        <w:jc w:val="both"/>
        <w:rPr>
          <w:lang w:val="en-US"/>
        </w:rPr>
      </w:pPr>
      <w:r w:rsidRPr="00867BB6">
        <w:rPr>
          <w:lang w:val="en-US"/>
        </w:rPr>
        <w:t xml:space="preserve">The case of sargassum in the WCR exemplifies the advantages of polycentric governance whilst simultaneously demonstrating the difficulty of achieving </w:t>
      </w:r>
      <w:r w:rsidR="00355671" w:rsidRPr="00867BB6">
        <w:rPr>
          <w:lang w:val="en-US"/>
        </w:rPr>
        <w:t xml:space="preserve">levels of </w:t>
      </w:r>
      <w:r w:rsidR="00A54D74" w:rsidRPr="00867BB6">
        <w:rPr>
          <w:lang w:val="en-US"/>
        </w:rPr>
        <w:t>regional</w:t>
      </w:r>
      <w:r w:rsidRPr="00867BB6">
        <w:rPr>
          <w:lang w:val="en-US"/>
        </w:rPr>
        <w:t xml:space="preserve"> coordination required for it to be fully functional. The sargassum case </w:t>
      </w:r>
      <w:r w:rsidR="00355671" w:rsidRPr="00867BB6">
        <w:rPr>
          <w:lang w:val="en-US"/>
        </w:rPr>
        <w:t xml:space="preserve">also </w:t>
      </w:r>
      <w:r w:rsidRPr="00867BB6">
        <w:rPr>
          <w:lang w:val="en-US"/>
        </w:rPr>
        <w:t xml:space="preserve">illustrates the challenges faced by SIDS in participating effectively in regional polycentric governance, </w:t>
      </w:r>
      <w:r w:rsidR="00355671" w:rsidRPr="00867BB6">
        <w:rPr>
          <w:lang w:val="en-US"/>
        </w:rPr>
        <w:t xml:space="preserve">while </w:t>
      </w:r>
      <w:r w:rsidRPr="00867BB6">
        <w:rPr>
          <w:lang w:val="en-US"/>
        </w:rPr>
        <w:t>highlight</w:t>
      </w:r>
      <w:r w:rsidR="00355671" w:rsidRPr="00867BB6">
        <w:rPr>
          <w:lang w:val="en-US"/>
        </w:rPr>
        <w:t xml:space="preserve">ing their </w:t>
      </w:r>
      <w:r w:rsidRPr="00867BB6">
        <w:rPr>
          <w:lang w:val="en-US"/>
        </w:rPr>
        <w:t>dependency on external financial and technical support. Sargassum is also affecting West African states and the issues we raise are relevant to those countries and regions</w:t>
      </w:r>
      <w:r w:rsidR="00355671" w:rsidRPr="00867BB6">
        <w:rPr>
          <w:lang w:val="en-US"/>
        </w:rPr>
        <w:t xml:space="preserve"> too</w:t>
      </w:r>
      <w:r w:rsidRPr="00867BB6">
        <w:rPr>
          <w:lang w:val="en-US"/>
        </w:rPr>
        <w:t>.</w:t>
      </w:r>
      <w:r w:rsidR="004A543E" w:rsidRPr="00867BB6">
        <w:rPr>
          <w:lang w:val="en-US"/>
        </w:rPr>
        <w:t xml:space="preserve"> </w:t>
      </w:r>
      <w:r w:rsidR="00876092" w:rsidRPr="00867BB6">
        <w:rPr>
          <w:lang w:val="en-US"/>
        </w:rPr>
        <w:t xml:space="preserve">In both the context of managing sargassum specifically and the more general governance challenges that will be posed by </w:t>
      </w:r>
      <w:r w:rsidR="001A02B2" w:rsidRPr="00867BB6">
        <w:rPr>
          <w:lang w:val="en-US"/>
        </w:rPr>
        <w:t>future emergent threats, our work highlight</w:t>
      </w:r>
      <w:r w:rsidR="00543A24" w:rsidRPr="00867BB6">
        <w:rPr>
          <w:lang w:val="en-US"/>
        </w:rPr>
        <w:t>s</w:t>
      </w:r>
      <w:r w:rsidR="001A02B2" w:rsidRPr="00867BB6">
        <w:rPr>
          <w:lang w:val="en-US"/>
        </w:rPr>
        <w:t xml:space="preserve"> the importance of </w:t>
      </w:r>
      <w:r w:rsidR="00355671" w:rsidRPr="00867BB6">
        <w:rPr>
          <w:lang w:val="en-US"/>
        </w:rPr>
        <w:t xml:space="preserve">rapidly </w:t>
      </w:r>
      <w:r w:rsidR="001A02B2" w:rsidRPr="00867BB6">
        <w:rPr>
          <w:lang w:val="en-US"/>
        </w:rPr>
        <w:t xml:space="preserve">establishing </w:t>
      </w:r>
      <w:r w:rsidR="00DC6808" w:rsidRPr="00867BB6">
        <w:rPr>
          <w:lang w:val="en-US"/>
        </w:rPr>
        <w:t xml:space="preserve">clarity in the governance of transboundary threats. </w:t>
      </w:r>
      <w:r w:rsidR="00355671" w:rsidRPr="00867BB6">
        <w:rPr>
          <w:lang w:val="en-US"/>
        </w:rPr>
        <w:t>Quickly</w:t>
      </w:r>
      <w:r w:rsidR="00DC6808" w:rsidRPr="00867BB6">
        <w:rPr>
          <w:lang w:val="en-US"/>
        </w:rPr>
        <w:t xml:space="preserve"> establish</w:t>
      </w:r>
      <w:r w:rsidR="00355671" w:rsidRPr="00867BB6">
        <w:rPr>
          <w:lang w:val="en-US"/>
        </w:rPr>
        <w:t xml:space="preserve">ing </w:t>
      </w:r>
      <w:r w:rsidR="00DC6808" w:rsidRPr="00867BB6">
        <w:rPr>
          <w:lang w:val="en-US"/>
        </w:rPr>
        <w:t xml:space="preserve">clear governance </w:t>
      </w:r>
      <w:r w:rsidR="00976A73" w:rsidRPr="00867BB6">
        <w:rPr>
          <w:lang w:val="en-US"/>
        </w:rPr>
        <w:t>collaboration</w:t>
      </w:r>
      <w:r w:rsidR="00BD1692" w:rsidRPr="00867BB6">
        <w:rPr>
          <w:lang w:val="en-US"/>
        </w:rPr>
        <w:t xml:space="preserve"> and support </w:t>
      </w:r>
      <w:r w:rsidR="00DC6808" w:rsidRPr="00867BB6">
        <w:rPr>
          <w:lang w:val="en-US"/>
        </w:rPr>
        <w:t xml:space="preserve">structures can be </w:t>
      </w:r>
      <w:r w:rsidR="00807932" w:rsidRPr="00867BB6">
        <w:rPr>
          <w:lang w:val="en-US"/>
        </w:rPr>
        <w:t xml:space="preserve">enabled by leveraging existing regional coordinating bodies </w:t>
      </w:r>
      <w:r w:rsidR="00B259D5" w:rsidRPr="00867BB6">
        <w:rPr>
          <w:lang w:val="en-US"/>
        </w:rPr>
        <w:t xml:space="preserve">for ocean governance </w:t>
      </w:r>
      <w:r w:rsidR="00807932" w:rsidRPr="00867BB6">
        <w:rPr>
          <w:lang w:val="en-US"/>
        </w:rPr>
        <w:t>and agreeing on – at least an initial – set of rules</w:t>
      </w:r>
      <w:r w:rsidR="004E79C4" w:rsidRPr="00867BB6">
        <w:rPr>
          <w:lang w:val="en-US"/>
        </w:rPr>
        <w:t xml:space="preserve">. </w:t>
      </w:r>
      <w:r w:rsidR="00B259D5" w:rsidRPr="00867BB6">
        <w:rPr>
          <w:lang w:val="en-US"/>
        </w:rPr>
        <w:t xml:space="preserve">Similarly, by coordinating </w:t>
      </w:r>
      <w:r w:rsidR="005F2E48" w:rsidRPr="00867BB6">
        <w:rPr>
          <w:lang w:val="en-US"/>
        </w:rPr>
        <w:t>across and with</w:t>
      </w:r>
      <w:r w:rsidR="00574A94" w:rsidRPr="00867BB6">
        <w:rPr>
          <w:lang w:val="en-US"/>
        </w:rPr>
        <w:t>in</w:t>
      </w:r>
      <w:r w:rsidR="005F2E48" w:rsidRPr="00867BB6">
        <w:rPr>
          <w:lang w:val="en-US"/>
        </w:rPr>
        <w:t xml:space="preserve"> existing policy arenas</w:t>
      </w:r>
      <w:r w:rsidR="00355671" w:rsidRPr="00867BB6">
        <w:rPr>
          <w:lang w:val="en-US"/>
        </w:rPr>
        <w:t>,</w:t>
      </w:r>
      <w:r w:rsidR="005F2E48" w:rsidRPr="00867BB6">
        <w:rPr>
          <w:lang w:val="en-US"/>
        </w:rPr>
        <w:t xml:space="preserve"> such as </w:t>
      </w:r>
      <w:r w:rsidR="00B4743E" w:rsidRPr="00867BB6">
        <w:rPr>
          <w:lang w:val="en-US"/>
        </w:rPr>
        <w:t>disaster</w:t>
      </w:r>
      <w:r w:rsidR="005F2E48" w:rsidRPr="00867BB6">
        <w:rPr>
          <w:lang w:val="en-US"/>
        </w:rPr>
        <w:t xml:space="preserve"> management</w:t>
      </w:r>
      <w:r w:rsidR="00F663EE" w:rsidRPr="00867BB6">
        <w:rPr>
          <w:lang w:val="en-US"/>
        </w:rPr>
        <w:t xml:space="preserve"> or climate change</w:t>
      </w:r>
      <w:r w:rsidR="00543A24" w:rsidRPr="00867BB6">
        <w:rPr>
          <w:lang w:val="en-US"/>
        </w:rPr>
        <w:t xml:space="preserve"> adaptation</w:t>
      </w:r>
      <w:r w:rsidR="005F2E48" w:rsidRPr="00867BB6">
        <w:rPr>
          <w:lang w:val="en-US"/>
        </w:rPr>
        <w:t xml:space="preserve">, the governance of emergent threats can </w:t>
      </w:r>
      <w:r w:rsidR="00574A94" w:rsidRPr="00867BB6">
        <w:rPr>
          <w:lang w:val="en-US"/>
        </w:rPr>
        <w:t xml:space="preserve">be </w:t>
      </w:r>
      <w:r w:rsidR="00A5260B" w:rsidRPr="00867BB6">
        <w:rPr>
          <w:lang w:val="en-US"/>
        </w:rPr>
        <w:t xml:space="preserve">embedded into </w:t>
      </w:r>
      <w:r w:rsidR="00BD125A" w:rsidRPr="00867BB6">
        <w:rPr>
          <w:lang w:val="en-US"/>
        </w:rPr>
        <w:t>areas with existing resource</w:t>
      </w:r>
      <w:r w:rsidR="00355671" w:rsidRPr="00867BB6">
        <w:rPr>
          <w:lang w:val="en-US"/>
        </w:rPr>
        <w:t>s and</w:t>
      </w:r>
      <w:r w:rsidR="00BD125A" w:rsidRPr="00867BB6">
        <w:rPr>
          <w:lang w:val="en-US"/>
        </w:rPr>
        <w:t xml:space="preserve"> expertise</w:t>
      </w:r>
      <w:r w:rsidR="00504411" w:rsidRPr="00867BB6">
        <w:rPr>
          <w:lang w:val="en-US"/>
        </w:rPr>
        <w:t>.</w:t>
      </w:r>
    </w:p>
    <w:p w14:paraId="0788C453" w14:textId="16E136FB" w:rsidR="009F77ED" w:rsidRPr="00867BB6" w:rsidRDefault="009F77ED" w:rsidP="00222E2A">
      <w:pPr>
        <w:pStyle w:val="Newparagraph"/>
        <w:jc w:val="both"/>
        <w:rPr>
          <w:lang w:val="en-US"/>
        </w:rPr>
      </w:pPr>
      <w:r w:rsidRPr="00867BB6">
        <w:rPr>
          <w:lang w:val="en-US"/>
        </w:rPr>
        <w:t xml:space="preserve">In this article we have explored the governance of the sargassum challenge from the perspective of Caribbean SIDS. We found intensive efforts by institutions at national and regional levels to understand the problem and formulate a response since 2011, with </w:t>
      </w:r>
      <w:r w:rsidRPr="00867BB6">
        <w:rPr>
          <w:lang w:val="en-US"/>
        </w:rPr>
        <w:lastRenderedPageBreak/>
        <w:t xml:space="preserve">a particularly marked increase since 2015. A number of private and public players across these scales are being engaged </w:t>
      </w:r>
      <w:r w:rsidR="00C30AD5" w:rsidRPr="00867BB6">
        <w:rPr>
          <w:lang w:val="en-US"/>
        </w:rPr>
        <w:t xml:space="preserve">to </w:t>
      </w:r>
      <w:r w:rsidR="00A040A4" w:rsidRPr="00867BB6">
        <w:rPr>
          <w:lang w:val="en-US"/>
        </w:rPr>
        <w:t>adapt to</w:t>
      </w:r>
      <w:r w:rsidRPr="00867BB6">
        <w:rPr>
          <w:lang w:val="en-US"/>
        </w:rPr>
        <w:t xml:space="preserve"> these influxes, treating the seaweed inundations both as a threat and opportunity. In many cases there is evidence of a desire for cooperation to create a collaborative approach that maximizes shared strengths and resources. We also found examples where that desire had been realized in practice. </w:t>
      </w:r>
      <w:r w:rsidR="00B24F60" w:rsidRPr="00867BB6">
        <w:rPr>
          <w:lang w:val="en-US"/>
        </w:rPr>
        <w:t>The policies we examined evidence how sargassum management is being tailored to local needs, as well as drawing from regional learning and experiencing support from UWI-CERMES, SPAW-RAC and the OEC</w:t>
      </w:r>
      <w:r w:rsidR="001E35AD" w:rsidRPr="00867BB6">
        <w:rPr>
          <w:lang w:val="en-US"/>
        </w:rPr>
        <w:t>S</w:t>
      </w:r>
      <w:r w:rsidR="00B24F60" w:rsidRPr="00867BB6">
        <w:rPr>
          <w:lang w:val="en-US"/>
        </w:rPr>
        <w:t>, thus demonstrating how power differentials between regional, national and local bodies are not inherently detrimental to polycentric governance (</w:t>
      </w:r>
      <w:r w:rsidR="008B4521" w:rsidRPr="00867BB6">
        <w:rPr>
          <w:lang w:val="en-US"/>
        </w:rPr>
        <w:t xml:space="preserve">Gruby and </w:t>
      </w:r>
      <w:proofErr w:type="spellStart"/>
      <w:r w:rsidR="008B4521" w:rsidRPr="00867BB6">
        <w:rPr>
          <w:lang w:val="en-US"/>
        </w:rPr>
        <w:t>Basurto</w:t>
      </w:r>
      <w:proofErr w:type="spellEnd"/>
      <w:r w:rsidR="008B4521" w:rsidRPr="00867BB6">
        <w:rPr>
          <w:lang w:val="en-US"/>
        </w:rPr>
        <w:t xml:space="preserve"> 2013; </w:t>
      </w:r>
      <w:r w:rsidR="00B24F60" w:rsidRPr="00867BB6">
        <w:rPr>
          <w:lang w:val="en-US"/>
        </w:rPr>
        <w:t xml:space="preserve">Morrison et al. 2017). </w:t>
      </w:r>
      <w:r w:rsidRPr="00867BB6">
        <w:rPr>
          <w:lang w:val="en-US"/>
        </w:rPr>
        <w:t xml:space="preserve">Despite these successes, we noted the highly complex nature of the response, the multiplicity of actors, and the scalar dynamics in a region made up of sovereign and non-sovereign states and territories, regional institutions and extra-regional academics and technocrats. In these circumstances, the ability of individual islands, states and territories to navigate </w:t>
      </w:r>
      <w:r w:rsidR="001B5F81" w:rsidRPr="00867BB6">
        <w:rPr>
          <w:lang w:val="en-US"/>
        </w:rPr>
        <w:t xml:space="preserve">the </w:t>
      </w:r>
      <w:r w:rsidRPr="00867BB6">
        <w:rPr>
          <w:lang w:val="en-US"/>
        </w:rPr>
        <w:t xml:space="preserve">system, </w:t>
      </w:r>
      <w:r w:rsidR="001B5F81" w:rsidRPr="00867BB6">
        <w:rPr>
          <w:lang w:val="en-US"/>
        </w:rPr>
        <w:t>effectively engage</w:t>
      </w:r>
      <w:r w:rsidRPr="00867BB6">
        <w:rPr>
          <w:lang w:val="en-US"/>
        </w:rPr>
        <w:t xml:space="preserve"> to ensure their interests are </w:t>
      </w:r>
      <w:r w:rsidR="00AD09C2" w:rsidRPr="00867BB6">
        <w:rPr>
          <w:lang w:val="en-US"/>
        </w:rPr>
        <w:t>considered</w:t>
      </w:r>
      <w:r w:rsidRPr="00867BB6">
        <w:rPr>
          <w:lang w:val="en-US"/>
        </w:rPr>
        <w:t xml:space="preserve">, and to coordinate assistance to their benefit, is curtailed by well-documented capacity constraints.  </w:t>
      </w:r>
    </w:p>
    <w:p w14:paraId="127DAA4A" w14:textId="2C402DCA" w:rsidR="00F91365" w:rsidRPr="00867BB6" w:rsidRDefault="009F77ED" w:rsidP="00222E2A">
      <w:pPr>
        <w:pStyle w:val="Newparagraph"/>
        <w:jc w:val="both"/>
        <w:rPr>
          <w:lang w:val="en-US"/>
        </w:rPr>
      </w:pPr>
      <w:r w:rsidRPr="00867BB6">
        <w:rPr>
          <w:lang w:val="en-US"/>
        </w:rPr>
        <w:t xml:space="preserve">Our findings reveal that there are benefits to be found in the multilevel, polycentric system that emerged to deal with sargassum </w:t>
      </w:r>
      <w:r w:rsidR="005B2BBC" w:rsidRPr="00867BB6">
        <w:rPr>
          <w:lang w:val="en-US"/>
        </w:rPr>
        <w:t>influxes</w:t>
      </w:r>
      <w:r w:rsidRPr="00867BB6">
        <w:rPr>
          <w:lang w:val="en-US"/>
        </w:rPr>
        <w:t>, but also that the lack of a critical coordinating component linked to an identified political process imposed further limitations and emphasizes the importance of addressing the structure and function of polycentric systems explicitly rather than letting them emerge organically. Specifically, we highlight that unless this type of regime is explicitly designed to intersect with related processes such a regional ocean governance</w:t>
      </w:r>
      <w:r w:rsidR="009632A3" w:rsidRPr="00867BB6">
        <w:rPr>
          <w:lang w:val="en-US"/>
        </w:rPr>
        <w:t>,</w:t>
      </w:r>
      <w:r w:rsidRPr="00867BB6">
        <w:rPr>
          <w:lang w:val="en-US"/>
        </w:rPr>
        <w:t xml:space="preserve"> the burden of coordination falls on those with the least resources to undertake that task. The characteristics of the emergent threat of sargassum </w:t>
      </w:r>
      <w:r w:rsidR="005B2BBC" w:rsidRPr="00867BB6">
        <w:rPr>
          <w:lang w:val="en-US"/>
        </w:rPr>
        <w:t xml:space="preserve">influxes </w:t>
      </w:r>
      <w:r w:rsidRPr="00867BB6">
        <w:rPr>
          <w:lang w:val="en-US"/>
        </w:rPr>
        <w:t xml:space="preserve">– cross-sectoral, cross-boundary impacts of an as-yet unpredictable </w:t>
      </w:r>
      <w:r w:rsidRPr="00867BB6">
        <w:rPr>
          <w:lang w:val="en-US"/>
        </w:rPr>
        <w:lastRenderedPageBreak/>
        <w:t xml:space="preserve">recurrence – challenges efforts at adaptation at all scales, and a durable governance mechanism to coordinate and facilitate the effort is yet to be established.  </w:t>
      </w:r>
    </w:p>
    <w:p w14:paraId="7C0F86C2" w14:textId="77777777" w:rsidR="004F4EC2" w:rsidRPr="00867BB6" w:rsidRDefault="004F4EC2" w:rsidP="004F4EC2">
      <w:pPr>
        <w:pStyle w:val="Newparagraph"/>
        <w:rPr>
          <w:lang w:val="en-US"/>
        </w:rPr>
      </w:pPr>
    </w:p>
    <w:p w14:paraId="23093CDA" w14:textId="358C24DF" w:rsidR="00F13941" w:rsidRPr="00867BB6" w:rsidRDefault="00ED4CBB" w:rsidP="00E66188">
      <w:pPr>
        <w:pStyle w:val="References"/>
        <w:rPr>
          <w:lang w:val="en-US"/>
        </w:rPr>
      </w:pPr>
      <w:r w:rsidRPr="00867BB6">
        <w:rPr>
          <w:lang w:val="en-US"/>
        </w:rPr>
        <w:t xml:space="preserve">Acknowledgements: </w:t>
      </w:r>
      <w:r w:rsidR="00F82C14" w:rsidRPr="00867BB6">
        <w:rPr>
          <w:lang w:val="en-US"/>
        </w:rPr>
        <w:t>This work was supported by the Economic and Social Research Council [grant number ES/T002964/1].</w:t>
      </w:r>
    </w:p>
    <w:p w14:paraId="4D9D1526" w14:textId="4D90A3E6" w:rsidR="004F4EC2" w:rsidRPr="00867BB6" w:rsidRDefault="004F4EC2" w:rsidP="00E66188">
      <w:pPr>
        <w:pStyle w:val="References"/>
        <w:rPr>
          <w:lang w:val="en-US"/>
        </w:rPr>
      </w:pPr>
    </w:p>
    <w:p w14:paraId="40EC9C2D" w14:textId="583EEE6A" w:rsidR="000038E6" w:rsidRPr="00867BB6" w:rsidRDefault="000038E6" w:rsidP="00E66188">
      <w:pPr>
        <w:pStyle w:val="References"/>
        <w:rPr>
          <w:lang w:val="en-US"/>
        </w:rPr>
      </w:pPr>
      <w:r w:rsidRPr="00867BB6">
        <w:rPr>
          <w:lang w:val="en-US"/>
        </w:rPr>
        <w:t>Disclosure statement: The authors report there are no competing interests to declare.</w:t>
      </w:r>
    </w:p>
    <w:p w14:paraId="51693464" w14:textId="77777777" w:rsidR="00F13941" w:rsidRPr="00867BB6" w:rsidRDefault="00F13941" w:rsidP="00E66188">
      <w:pPr>
        <w:pStyle w:val="References"/>
        <w:rPr>
          <w:lang w:val="en-US"/>
        </w:rPr>
      </w:pPr>
    </w:p>
    <w:p w14:paraId="5AB6DD1A" w14:textId="2299A68C" w:rsidR="00E66188" w:rsidRPr="00867BB6" w:rsidRDefault="00161344" w:rsidP="00E66188">
      <w:pPr>
        <w:pStyle w:val="References"/>
        <w:rPr>
          <w:lang w:val="en-US"/>
        </w:rPr>
      </w:pPr>
      <w:r w:rsidRPr="00867BB6">
        <w:rPr>
          <w:lang w:val="en-US"/>
        </w:rPr>
        <w:t>References</w:t>
      </w:r>
      <w:r w:rsidR="00615B0A" w:rsidRPr="00867BB6">
        <w:rPr>
          <w:lang w:val="en-US"/>
        </w:rPr>
        <w:t>:</w:t>
      </w:r>
    </w:p>
    <w:p w14:paraId="57A17861" w14:textId="77777777" w:rsidR="00EE3FD6" w:rsidRPr="00EE25B9" w:rsidRDefault="00EE3FD6" w:rsidP="00EE3FD6">
      <w:pPr>
        <w:pStyle w:val="References"/>
        <w:jc w:val="both"/>
        <w:rPr>
          <w:lang w:val="en-US"/>
        </w:rPr>
      </w:pPr>
      <w:r w:rsidRPr="00EE25B9">
        <w:rPr>
          <w:lang w:val="en-US"/>
        </w:rPr>
        <w:t xml:space="preserve">Bakker, K., and C. </w:t>
      </w:r>
      <w:proofErr w:type="spellStart"/>
      <w:r w:rsidRPr="00EE25B9">
        <w:rPr>
          <w:lang w:val="en-US"/>
        </w:rPr>
        <w:t>Morinville</w:t>
      </w:r>
      <w:proofErr w:type="spellEnd"/>
      <w:r w:rsidRPr="00EE25B9">
        <w:rPr>
          <w:lang w:val="en-US"/>
        </w:rPr>
        <w:t xml:space="preserve">. 2013. The governance dimensions of water security: a review. </w:t>
      </w:r>
      <w:r w:rsidRPr="00EE25B9">
        <w:rPr>
          <w:i/>
          <w:iCs/>
          <w:lang w:val="en-US"/>
        </w:rPr>
        <w:t>Philosophical Transactions of the Royal Society A: Mathematical, Physical and Engineering Sciences</w:t>
      </w:r>
      <w:r w:rsidRPr="00EE25B9">
        <w:rPr>
          <w:lang w:val="en-US"/>
        </w:rPr>
        <w:t xml:space="preserve">, 371 (20130116). </w:t>
      </w:r>
      <w:proofErr w:type="spellStart"/>
      <w:r w:rsidRPr="00EE25B9">
        <w:rPr>
          <w:lang w:val="en-US"/>
        </w:rPr>
        <w:t>doi</w:t>
      </w:r>
      <w:proofErr w:type="spellEnd"/>
      <w:r w:rsidRPr="00EE25B9">
        <w:rPr>
          <w:lang w:val="en-US"/>
        </w:rPr>
        <w:t>: 10.1098/rsta.2013.0116.</w:t>
      </w:r>
    </w:p>
    <w:p w14:paraId="689410BB" w14:textId="77777777" w:rsidR="00EE3FD6" w:rsidRPr="00EE25B9" w:rsidRDefault="00EE3FD6" w:rsidP="00EE3FD6">
      <w:pPr>
        <w:pStyle w:val="References"/>
        <w:jc w:val="both"/>
        <w:rPr>
          <w:lang w:val="en-US"/>
        </w:rPr>
      </w:pPr>
      <w:proofErr w:type="spellStart"/>
      <w:r w:rsidRPr="00EE25B9">
        <w:rPr>
          <w:lang w:val="en-US"/>
        </w:rPr>
        <w:t>Briguglio</w:t>
      </w:r>
      <w:proofErr w:type="spellEnd"/>
      <w:r w:rsidRPr="00EE25B9">
        <w:rPr>
          <w:lang w:val="en-US"/>
        </w:rPr>
        <w:t xml:space="preserve">, L. 1995. Small Island Developing States and Their Economic Vulnerabilities. </w:t>
      </w:r>
      <w:r w:rsidRPr="00EE25B9">
        <w:rPr>
          <w:i/>
          <w:iCs/>
          <w:lang w:val="en-US"/>
        </w:rPr>
        <w:t>World Development</w:t>
      </w:r>
      <w:r w:rsidRPr="00EE25B9">
        <w:rPr>
          <w:lang w:val="en-US"/>
        </w:rPr>
        <w:t xml:space="preserve"> 23 (9): 1615–32. </w:t>
      </w:r>
      <w:proofErr w:type="spellStart"/>
      <w:r w:rsidRPr="00EE25B9">
        <w:rPr>
          <w:lang w:val="en-US"/>
        </w:rPr>
        <w:t>doi</w:t>
      </w:r>
      <w:proofErr w:type="spellEnd"/>
      <w:r w:rsidRPr="00EE25B9">
        <w:rPr>
          <w:lang w:val="en-US"/>
        </w:rPr>
        <w:t>: 10.1016/0305-750X(95)00065-K.</w:t>
      </w:r>
    </w:p>
    <w:p w14:paraId="0A7D844E" w14:textId="77777777" w:rsidR="00DC2445" w:rsidRPr="00EE25B9" w:rsidRDefault="00DC2445" w:rsidP="00DC2445">
      <w:pPr>
        <w:pStyle w:val="References"/>
        <w:jc w:val="both"/>
        <w:rPr>
          <w:lang w:val="en-US"/>
        </w:rPr>
      </w:pPr>
      <w:r w:rsidRPr="00EE25B9">
        <w:rPr>
          <w:lang w:val="en-US"/>
        </w:rPr>
        <w:t xml:space="preserve">CARICOM (Caribbean Community). 2018. The State of Biodiversity in the Caribbean Community: A Review of Progress towards the Aichi Biodiversity Targets. UNEP. Accessed 12 June 2020, https://www.unep.org/resources/publication/state-biodiversity-caribbean-community-review-progress-towards-aichi. </w:t>
      </w:r>
    </w:p>
    <w:p w14:paraId="096A706C" w14:textId="77777777" w:rsidR="00DC2445" w:rsidRPr="00EE25B9" w:rsidRDefault="00DC2445" w:rsidP="00DC2445">
      <w:pPr>
        <w:pStyle w:val="References"/>
        <w:jc w:val="both"/>
        <w:rPr>
          <w:lang w:val="en-US"/>
        </w:rPr>
      </w:pPr>
      <w:r w:rsidRPr="00EE25B9">
        <w:rPr>
          <w:lang w:val="en-US"/>
        </w:rPr>
        <w:t xml:space="preserve">Carlisle, K., and R. L. Gruby. 2019. Polycentric Systems of Governance: A Theoretical Model for the Commons. </w:t>
      </w:r>
      <w:r w:rsidRPr="00EE25B9">
        <w:rPr>
          <w:i/>
          <w:iCs/>
          <w:lang w:val="en-US"/>
        </w:rPr>
        <w:t>Policy Studies Journal</w:t>
      </w:r>
      <w:r w:rsidRPr="00EE25B9">
        <w:rPr>
          <w:lang w:val="en-US"/>
        </w:rPr>
        <w:t xml:space="preserve"> 47 (4): 927–52. </w:t>
      </w:r>
      <w:proofErr w:type="spellStart"/>
      <w:r w:rsidRPr="00EE25B9">
        <w:rPr>
          <w:lang w:val="en-US"/>
        </w:rPr>
        <w:t>doi</w:t>
      </w:r>
      <w:proofErr w:type="spellEnd"/>
      <w:r w:rsidRPr="00EE25B9">
        <w:rPr>
          <w:lang w:val="en-US"/>
        </w:rPr>
        <w:t>: 10.1111/psj.12212.</w:t>
      </w:r>
    </w:p>
    <w:p w14:paraId="3E1113FE" w14:textId="77777777" w:rsidR="00DC2445" w:rsidRPr="00EE25B9" w:rsidRDefault="00DC2445" w:rsidP="00DC2445">
      <w:pPr>
        <w:pStyle w:val="References"/>
        <w:jc w:val="both"/>
        <w:rPr>
          <w:lang w:val="en-US"/>
        </w:rPr>
      </w:pPr>
      <w:r w:rsidRPr="00EE25B9">
        <w:rPr>
          <w:lang w:val="en-US"/>
        </w:rPr>
        <w:t>CHTA (Caribbean Hotel and Tourism Association). 2015. Sargassum: A Resource Guide for the Caribbean. Accessed 23 May 2020, https://www.onecaribbean.org/wp-content/uploads/SargassumResourceGuideFinal.pdf.</w:t>
      </w:r>
    </w:p>
    <w:p w14:paraId="51E955D2" w14:textId="77777777" w:rsidR="00DC2445" w:rsidRPr="00EE25B9" w:rsidRDefault="00DC2445" w:rsidP="00DC2445">
      <w:pPr>
        <w:pStyle w:val="References"/>
        <w:jc w:val="both"/>
        <w:rPr>
          <w:lang w:val="en-US"/>
        </w:rPr>
      </w:pPr>
      <w:r w:rsidRPr="00EE25B9">
        <w:rPr>
          <w:lang w:val="en-US"/>
        </w:rPr>
        <w:t xml:space="preserve">Cole, D. H. 2015. Advantages of a Polycentric Approach to Climate Change Policy. </w:t>
      </w:r>
      <w:r w:rsidRPr="00EE25B9">
        <w:rPr>
          <w:i/>
          <w:iCs/>
          <w:lang w:val="en-US"/>
        </w:rPr>
        <w:t>Nature Climate Change</w:t>
      </w:r>
      <w:r w:rsidRPr="00EE25B9">
        <w:rPr>
          <w:lang w:val="en-US"/>
        </w:rPr>
        <w:t xml:space="preserve"> 5 (2): 114–18. </w:t>
      </w:r>
      <w:proofErr w:type="spellStart"/>
      <w:r w:rsidRPr="00EE25B9">
        <w:rPr>
          <w:lang w:val="en-US"/>
        </w:rPr>
        <w:t>doi</w:t>
      </w:r>
      <w:proofErr w:type="spellEnd"/>
      <w:r w:rsidRPr="00EE25B9">
        <w:rPr>
          <w:lang w:val="en-US"/>
        </w:rPr>
        <w:t>: 10.1038/nclimate2490.</w:t>
      </w:r>
    </w:p>
    <w:p w14:paraId="7F8E3453" w14:textId="77777777" w:rsidR="00DC2445" w:rsidRPr="00EE25B9" w:rsidRDefault="00DC2445" w:rsidP="00DC2445">
      <w:pPr>
        <w:pStyle w:val="References"/>
        <w:jc w:val="both"/>
        <w:rPr>
          <w:lang w:val="en-US"/>
        </w:rPr>
      </w:pPr>
      <w:r w:rsidRPr="00EE25B9">
        <w:rPr>
          <w:lang w:val="en-US"/>
        </w:rPr>
        <w:t xml:space="preserve">Compton, S., P. </w:t>
      </w:r>
      <w:proofErr w:type="spellStart"/>
      <w:r w:rsidRPr="00EE25B9">
        <w:rPr>
          <w:lang w:val="en-US"/>
        </w:rPr>
        <w:t>McConney</w:t>
      </w:r>
      <w:proofErr w:type="spellEnd"/>
      <w:r w:rsidRPr="00EE25B9">
        <w:rPr>
          <w:lang w:val="en-US"/>
        </w:rPr>
        <w:t xml:space="preserve">, I. </w:t>
      </w:r>
      <w:proofErr w:type="spellStart"/>
      <w:r w:rsidRPr="00EE25B9">
        <w:rPr>
          <w:lang w:val="en-US"/>
        </w:rPr>
        <w:t>Monnereau</w:t>
      </w:r>
      <w:proofErr w:type="spellEnd"/>
      <w:r w:rsidRPr="00EE25B9">
        <w:rPr>
          <w:lang w:val="en-US"/>
        </w:rPr>
        <w:t xml:space="preserve">, B. Simmons and R. Mahon. 2020. Good practice guidelines for successful National Intersectoral Coordination Mechanisms: Second Edition. CERMES Technical Report. No. 88. Accessed 2 July 2021, </w:t>
      </w:r>
      <w:r w:rsidRPr="00EE25B9">
        <w:rPr>
          <w:lang w:val="en-US"/>
        </w:rPr>
        <w:lastRenderedPageBreak/>
        <w:t>https://www.cavehill.uwi.edu/cermes/docs/technical_reports/compton_et_al_2020_nic_guidelines_ctr_88_2nd.aspx.</w:t>
      </w:r>
    </w:p>
    <w:p w14:paraId="0D7A4898" w14:textId="77777777" w:rsidR="00DC2445" w:rsidRPr="00EE25B9" w:rsidRDefault="00DC2445" w:rsidP="00DC2445">
      <w:pPr>
        <w:pStyle w:val="References"/>
        <w:jc w:val="both"/>
        <w:rPr>
          <w:lang w:val="en-US"/>
        </w:rPr>
      </w:pPr>
      <w:r w:rsidRPr="00EE25B9">
        <w:rPr>
          <w:lang w:val="en-US"/>
        </w:rPr>
        <w:t xml:space="preserve">Connell, J. 2013. </w:t>
      </w:r>
      <w:r w:rsidRPr="00EE25B9">
        <w:rPr>
          <w:i/>
          <w:iCs/>
          <w:lang w:val="en-US"/>
        </w:rPr>
        <w:t>Islands at Risk?: Environments, Economies and Contemporary Change</w:t>
      </w:r>
      <w:r w:rsidRPr="00EE25B9">
        <w:rPr>
          <w:lang w:val="en-US"/>
        </w:rPr>
        <w:t>. Edward Elgar Publishing.</w:t>
      </w:r>
    </w:p>
    <w:p w14:paraId="273FAD30" w14:textId="77777777" w:rsidR="00DC2445" w:rsidRPr="00EE25B9" w:rsidRDefault="00DC2445" w:rsidP="00DC2445">
      <w:pPr>
        <w:pStyle w:val="References"/>
        <w:jc w:val="both"/>
        <w:rPr>
          <w:lang w:val="en-US"/>
        </w:rPr>
      </w:pPr>
      <w:r w:rsidRPr="00EE25B9">
        <w:rPr>
          <w:lang w:val="en-US"/>
        </w:rPr>
        <w:t xml:space="preserve">Corbett, J., Y. Xu, and P. Weller. 2021. </w:t>
      </w:r>
      <w:r w:rsidRPr="00EE25B9">
        <w:rPr>
          <w:i/>
          <w:iCs/>
          <w:lang w:val="en-US"/>
        </w:rPr>
        <w:t>International Organizations and Small States: Participation, Vulnerability and Legitimacy</w:t>
      </w:r>
      <w:r w:rsidRPr="00EE25B9">
        <w:rPr>
          <w:lang w:val="en-US"/>
        </w:rPr>
        <w:t xml:space="preserve">. Bristol University Press. </w:t>
      </w:r>
    </w:p>
    <w:p w14:paraId="50E3C63B" w14:textId="26ABA870" w:rsidR="00DC2445" w:rsidRPr="00EE25B9" w:rsidRDefault="00DC2445" w:rsidP="00DC2445">
      <w:pPr>
        <w:pStyle w:val="References"/>
        <w:jc w:val="both"/>
        <w:rPr>
          <w:lang w:val="en-US"/>
        </w:rPr>
      </w:pPr>
      <w:r w:rsidRPr="00EE25B9">
        <w:rPr>
          <w:lang w:val="en-US"/>
        </w:rPr>
        <w:t>Cox, S., H.</w:t>
      </w:r>
      <w:r w:rsidR="0041694B">
        <w:rPr>
          <w:lang w:val="en-US"/>
        </w:rPr>
        <w:t xml:space="preserve"> </w:t>
      </w:r>
      <w:r w:rsidRPr="00EE25B9">
        <w:rPr>
          <w:lang w:val="en-US"/>
        </w:rPr>
        <w:t xml:space="preserve">A. Oxenford, and P. </w:t>
      </w:r>
      <w:proofErr w:type="spellStart"/>
      <w:r w:rsidRPr="00EE25B9">
        <w:rPr>
          <w:lang w:val="en-US"/>
        </w:rPr>
        <w:t>McConney</w:t>
      </w:r>
      <w:proofErr w:type="spellEnd"/>
      <w:r w:rsidRPr="00EE25B9">
        <w:rPr>
          <w:lang w:val="en-US"/>
        </w:rPr>
        <w:t>. 2019. Summary Report on the Review of Draft National Sargassum Plans for Four Countries in the Eastern Caribbean. CERMES, Barbados. Accessed 19 June 2020, https://www.cavehill.uwi.edu/cermes/projects/sargassum/docs/cc4fish/d20_review_of_draft_national_sargassum_plans.aspx.</w:t>
      </w:r>
    </w:p>
    <w:p w14:paraId="47ECAF1B" w14:textId="77777777" w:rsidR="002666BD" w:rsidRPr="00EE25B9" w:rsidRDefault="002666BD" w:rsidP="002666BD">
      <w:pPr>
        <w:pStyle w:val="References"/>
        <w:jc w:val="both"/>
        <w:rPr>
          <w:lang w:val="en-US"/>
        </w:rPr>
      </w:pPr>
      <w:r w:rsidRPr="00EE25B9">
        <w:rPr>
          <w:lang w:val="en-US"/>
        </w:rPr>
        <w:t>CRFM (Caribbean Regional Fisheries Mechanism). 2016. Model Protocol for the Management of Extreme Accumulations of Sargassum on the Coasts of CRFM Member States. CRFM Technical and Advisory Document Series Number 2016/5. CRFM Secretariat, Belize and St. Vincent and the Grenadines. Accessed 4 June 2020, http://www.sargassoseacommission.org/storage/FINAL_MODEL_PROTOCOL_FOR_THE_MANAGEMENT_OF_EXTREME_ACCUMULATIONS_OF_SARGASSUM.pdf.</w:t>
      </w:r>
    </w:p>
    <w:p w14:paraId="1352BA91" w14:textId="77777777" w:rsidR="00EE3FD6" w:rsidRPr="00EE25B9" w:rsidRDefault="00EE3FD6" w:rsidP="00EE3FD6">
      <w:pPr>
        <w:pStyle w:val="References"/>
        <w:jc w:val="both"/>
        <w:rPr>
          <w:lang w:val="en-US"/>
        </w:rPr>
      </w:pPr>
      <w:r w:rsidRPr="00EE25B9">
        <w:rPr>
          <w:lang w:val="en-US"/>
        </w:rPr>
        <w:t xml:space="preserve">CSC (Caribbean Sea Commission). 2015. Symposium: Challenges, Dialogue and Cooperation towards the Sustainability of the Caribbean Sea. Association of Caribbean States. Accessed 18 June 2020, http://www.acs-aec.org/sites/default/files/csc_brochure_eng.pdf. </w:t>
      </w:r>
    </w:p>
    <w:p w14:paraId="3E24B623" w14:textId="77777777" w:rsidR="00EE3FD6" w:rsidRPr="00EE25B9" w:rsidRDefault="00EE3FD6" w:rsidP="00EE3FD6">
      <w:pPr>
        <w:pStyle w:val="References"/>
        <w:jc w:val="both"/>
        <w:rPr>
          <w:lang w:val="en-US"/>
        </w:rPr>
      </w:pPr>
      <w:proofErr w:type="spellStart"/>
      <w:r w:rsidRPr="00EE25B9">
        <w:rPr>
          <w:lang w:val="en-US"/>
        </w:rPr>
        <w:t>Debels</w:t>
      </w:r>
      <w:proofErr w:type="spellEnd"/>
      <w:r w:rsidRPr="00EE25B9">
        <w:rPr>
          <w:lang w:val="en-US"/>
        </w:rPr>
        <w:t xml:space="preserve">, P., L. Fanning, R. Mahon, P. </w:t>
      </w:r>
      <w:proofErr w:type="spellStart"/>
      <w:r w:rsidRPr="00EE25B9">
        <w:rPr>
          <w:lang w:val="en-US"/>
        </w:rPr>
        <w:t>McConney</w:t>
      </w:r>
      <w:proofErr w:type="spellEnd"/>
      <w:r w:rsidRPr="00EE25B9">
        <w:rPr>
          <w:lang w:val="en-US"/>
        </w:rPr>
        <w:t xml:space="preserve">, L. Walker, T. </w:t>
      </w:r>
      <w:proofErr w:type="spellStart"/>
      <w:r w:rsidRPr="00EE25B9">
        <w:rPr>
          <w:lang w:val="en-US"/>
        </w:rPr>
        <w:t>Bahri</w:t>
      </w:r>
      <w:proofErr w:type="spellEnd"/>
      <w:r w:rsidRPr="00EE25B9">
        <w:rPr>
          <w:lang w:val="en-US"/>
        </w:rPr>
        <w:t xml:space="preserve">, M. Haughton, K. McDonald, M. Perez, S. Singh-Renton, et al. 2017. The CLME+ Strategic Action </w:t>
      </w:r>
      <w:proofErr w:type="spellStart"/>
      <w:r w:rsidRPr="00EE25B9">
        <w:rPr>
          <w:lang w:val="en-US"/>
        </w:rPr>
        <w:t>Programme</w:t>
      </w:r>
      <w:proofErr w:type="spellEnd"/>
      <w:r w:rsidRPr="00EE25B9">
        <w:rPr>
          <w:lang w:val="en-US"/>
        </w:rPr>
        <w:t xml:space="preserve">: An ecosystems approach for assessing and managing the Caribbean Sea and North Brazil Shelf Large Marine Ecosystems. </w:t>
      </w:r>
      <w:r w:rsidRPr="00EE25B9">
        <w:rPr>
          <w:i/>
          <w:iCs/>
          <w:lang w:val="en-US"/>
        </w:rPr>
        <w:t>Environmental Development</w:t>
      </w:r>
      <w:r w:rsidRPr="00EE25B9">
        <w:rPr>
          <w:lang w:val="en-US"/>
        </w:rPr>
        <w:t xml:space="preserve"> 22: 191-205. Doi:10.1016/j.envdev.2016.10.004.</w:t>
      </w:r>
    </w:p>
    <w:p w14:paraId="216C2207" w14:textId="77777777" w:rsidR="00EE3FD6" w:rsidRPr="00EE25B9" w:rsidRDefault="00EE3FD6" w:rsidP="00EE3FD6">
      <w:pPr>
        <w:pStyle w:val="References"/>
        <w:jc w:val="both"/>
        <w:rPr>
          <w:lang w:val="en-US"/>
        </w:rPr>
      </w:pPr>
      <w:r w:rsidRPr="00EE25B9">
        <w:rPr>
          <w:lang w:val="en-US"/>
        </w:rPr>
        <w:t xml:space="preserve">Demas, W. G. 1965. </w:t>
      </w:r>
      <w:r w:rsidRPr="00EE25B9">
        <w:rPr>
          <w:i/>
          <w:iCs/>
          <w:lang w:val="en-US"/>
        </w:rPr>
        <w:t>The economics of development in small countries: with special reference to the Caribbean</w:t>
      </w:r>
      <w:r w:rsidRPr="00EE25B9">
        <w:rPr>
          <w:lang w:val="en-US"/>
        </w:rPr>
        <w:t>. McGill-Queen's Press-MQUP.</w:t>
      </w:r>
    </w:p>
    <w:p w14:paraId="4C621AB1" w14:textId="77777777" w:rsidR="00EE3FD6" w:rsidRPr="00EE25B9" w:rsidRDefault="00EE3FD6" w:rsidP="00EE3FD6">
      <w:pPr>
        <w:pStyle w:val="References"/>
        <w:jc w:val="both"/>
        <w:rPr>
          <w:lang w:val="en-US"/>
        </w:rPr>
      </w:pPr>
      <w:r w:rsidRPr="00EE25B9">
        <w:rPr>
          <w:lang w:val="en-US"/>
        </w:rPr>
        <w:t xml:space="preserve">Desrochers, A., S-A. Cox, H.A. Oxenford and B. van </w:t>
      </w:r>
      <w:proofErr w:type="spellStart"/>
      <w:r w:rsidRPr="00EE25B9">
        <w:rPr>
          <w:lang w:val="en-US"/>
        </w:rPr>
        <w:t>Tussenbroek</w:t>
      </w:r>
      <w:proofErr w:type="spellEnd"/>
      <w:r w:rsidRPr="00EE25B9">
        <w:rPr>
          <w:lang w:val="en-US"/>
        </w:rPr>
        <w:t xml:space="preserve">. 2020. Sargassum uses guide: a resource for Caribbean researchers, entrepreneurs and policy makers. CERMES Technical Report No. 97. CERMES, FAO. Accessed on 25 May 2021, </w:t>
      </w:r>
      <w:r w:rsidRPr="00EE25B9">
        <w:rPr>
          <w:lang w:val="en-US"/>
        </w:rPr>
        <w:lastRenderedPageBreak/>
        <w:t>https://www.cavehill.uwi.edu/cermes/projects/sargassum/docs/desrochers_et_al_2020_sargassum_uses_guide_advance.aspx.</w:t>
      </w:r>
    </w:p>
    <w:p w14:paraId="6AA6E252" w14:textId="77777777" w:rsidR="00EE3FD6" w:rsidRPr="00EE25B9" w:rsidRDefault="00EE3FD6" w:rsidP="00EE3FD6">
      <w:pPr>
        <w:pStyle w:val="References"/>
        <w:jc w:val="both"/>
        <w:rPr>
          <w:lang w:val="en-US"/>
        </w:rPr>
      </w:pPr>
      <w:r w:rsidRPr="00EE25B9">
        <w:rPr>
          <w:lang w:val="de-DE"/>
        </w:rPr>
        <w:t xml:space="preserve">Dorsch, M. J. and C. Flachsland. </w:t>
      </w:r>
      <w:r w:rsidRPr="00EE25B9">
        <w:t xml:space="preserve">2017. </w:t>
      </w:r>
      <w:r w:rsidRPr="00EE25B9">
        <w:rPr>
          <w:lang w:val="en-US"/>
        </w:rPr>
        <w:t xml:space="preserve">A Polycentric Approach to Global Climate Governance. </w:t>
      </w:r>
      <w:r w:rsidRPr="00EE25B9">
        <w:rPr>
          <w:i/>
          <w:iCs/>
          <w:lang w:val="en-US"/>
        </w:rPr>
        <w:t xml:space="preserve">Global Environmental Politics </w:t>
      </w:r>
      <w:r w:rsidRPr="00EE25B9">
        <w:rPr>
          <w:lang w:val="en-US"/>
        </w:rPr>
        <w:t>17(2): 45-64.</w:t>
      </w:r>
    </w:p>
    <w:p w14:paraId="1F4564D1" w14:textId="77777777" w:rsidR="00EE3FD6" w:rsidRPr="00EE25B9" w:rsidRDefault="00EE3FD6" w:rsidP="00EE3FD6">
      <w:pPr>
        <w:pStyle w:val="References"/>
        <w:jc w:val="both"/>
        <w:rPr>
          <w:lang w:val="en-US"/>
        </w:rPr>
      </w:pPr>
      <w:r w:rsidRPr="00EE25B9">
        <w:rPr>
          <w:lang w:val="en-US"/>
        </w:rPr>
        <w:t xml:space="preserve">Doyle, E, and J. Franks. 2015. Sargassum Fact Sheet. GCFI. Accessed 4 June 2020, http://www.sargassoseacommission.org/storage/documents/GCFI_Sargassum_Fact_Sheet_Doyle__and_Franks_Sept_2015.pdf. </w:t>
      </w:r>
    </w:p>
    <w:p w14:paraId="44397786" w14:textId="77777777" w:rsidR="00EE3FD6" w:rsidRPr="00EE25B9" w:rsidRDefault="00EE3FD6" w:rsidP="00EE3FD6">
      <w:pPr>
        <w:pStyle w:val="References"/>
        <w:jc w:val="both"/>
        <w:rPr>
          <w:lang w:val="en-US"/>
        </w:rPr>
      </w:pPr>
      <w:r w:rsidRPr="00EE25B9">
        <w:rPr>
          <w:lang w:val="en-US"/>
        </w:rPr>
        <w:t xml:space="preserve">Fanning, L., R. Mahon, S. Compton, C. Corbin, P. </w:t>
      </w:r>
      <w:proofErr w:type="spellStart"/>
      <w:r w:rsidRPr="00EE25B9">
        <w:rPr>
          <w:lang w:val="en-US"/>
        </w:rPr>
        <w:t>Debels</w:t>
      </w:r>
      <w:proofErr w:type="spellEnd"/>
      <w:r w:rsidRPr="00EE25B9">
        <w:rPr>
          <w:lang w:val="en-US"/>
        </w:rPr>
        <w:t xml:space="preserve">, M. Haughton, S. </w:t>
      </w:r>
      <w:proofErr w:type="spellStart"/>
      <w:r w:rsidRPr="00EE25B9">
        <w:rPr>
          <w:lang w:val="en-US"/>
        </w:rPr>
        <w:t>Heileman</w:t>
      </w:r>
      <w:proofErr w:type="spellEnd"/>
      <w:r w:rsidRPr="00EE25B9">
        <w:rPr>
          <w:lang w:val="en-US"/>
        </w:rPr>
        <w:t xml:space="preserve">, N. </w:t>
      </w:r>
      <w:proofErr w:type="spellStart"/>
      <w:r w:rsidRPr="00EE25B9">
        <w:rPr>
          <w:lang w:val="en-US"/>
        </w:rPr>
        <w:t>Leotaud</w:t>
      </w:r>
      <w:proofErr w:type="spellEnd"/>
      <w:r w:rsidRPr="00EE25B9">
        <w:rPr>
          <w:lang w:val="en-US"/>
        </w:rPr>
        <w:t xml:space="preserve">, P. </w:t>
      </w:r>
      <w:proofErr w:type="spellStart"/>
      <w:r w:rsidRPr="00EE25B9">
        <w:rPr>
          <w:lang w:val="en-US"/>
        </w:rPr>
        <w:t>McConney</w:t>
      </w:r>
      <w:proofErr w:type="spellEnd"/>
      <w:r w:rsidRPr="00EE25B9">
        <w:rPr>
          <w:lang w:val="en-US"/>
        </w:rPr>
        <w:t xml:space="preserve">, M. Perez Moreno, et al. 2021. Challenges to Implementing Regional Ocean Governance in the Wider Caribbean Region. </w:t>
      </w:r>
      <w:r w:rsidRPr="00EE25B9">
        <w:rPr>
          <w:i/>
          <w:iCs/>
          <w:lang w:val="en-US"/>
        </w:rPr>
        <w:t>Frontiers in Marine Science</w:t>
      </w:r>
      <w:r w:rsidRPr="00EE25B9">
        <w:rPr>
          <w:lang w:val="en-US"/>
        </w:rPr>
        <w:t xml:space="preserve"> 8(286). </w:t>
      </w:r>
      <w:proofErr w:type="spellStart"/>
      <w:r w:rsidRPr="00EE25B9">
        <w:rPr>
          <w:lang w:val="en-US"/>
        </w:rPr>
        <w:t>doi</w:t>
      </w:r>
      <w:proofErr w:type="spellEnd"/>
      <w:r w:rsidRPr="00EE25B9">
        <w:rPr>
          <w:lang w:val="en-US"/>
        </w:rPr>
        <w:t>: 10.3389/fmars.2021.667273.</w:t>
      </w:r>
    </w:p>
    <w:p w14:paraId="6BAB2219" w14:textId="7404E55C" w:rsidR="00EE3FD6" w:rsidRPr="00EE25B9" w:rsidRDefault="00EE3FD6" w:rsidP="00EE3FD6">
      <w:pPr>
        <w:pStyle w:val="References"/>
        <w:jc w:val="both"/>
        <w:rPr>
          <w:lang w:val="en-US"/>
        </w:rPr>
      </w:pPr>
      <w:r w:rsidRPr="00EE25B9">
        <w:rPr>
          <w:lang w:val="en-US"/>
        </w:rPr>
        <w:t>Fidai, Y. A., J. Dash, E.</w:t>
      </w:r>
      <w:r w:rsidR="0041694B">
        <w:rPr>
          <w:lang w:val="en-US"/>
        </w:rPr>
        <w:t xml:space="preserve"> </w:t>
      </w:r>
      <w:r w:rsidRPr="00EE25B9">
        <w:rPr>
          <w:lang w:val="en-US"/>
        </w:rPr>
        <w:t xml:space="preserve">L. Tompkins, and T. Tonon. 2020. A systematic review of floating and beach landing records of Sargassum beyond the Sargasso Sea. </w:t>
      </w:r>
      <w:r w:rsidRPr="00EE25B9">
        <w:rPr>
          <w:i/>
          <w:iCs/>
          <w:lang w:val="en-US"/>
        </w:rPr>
        <w:t>Environmental Research Communications</w:t>
      </w:r>
      <w:r w:rsidRPr="00EE25B9">
        <w:rPr>
          <w:lang w:val="en-US"/>
        </w:rPr>
        <w:t xml:space="preserve"> 2(12): 122001. </w:t>
      </w:r>
      <w:proofErr w:type="spellStart"/>
      <w:r w:rsidRPr="00EE25B9">
        <w:rPr>
          <w:lang w:val="en-US"/>
        </w:rPr>
        <w:t>doi</w:t>
      </w:r>
      <w:proofErr w:type="spellEnd"/>
      <w:r w:rsidRPr="00EE25B9">
        <w:rPr>
          <w:lang w:val="en-US"/>
        </w:rPr>
        <w:t>: 10.1088/2515-7620/abd109.</w:t>
      </w:r>
    </w:p>
    <w:p w14:paraId="1F4811CB" w14:textId="7FA66526" w:rsidR="00EE3FD6" w:rsidRPr="00EE25B9" w:rsidRDefault="00EE3FD6" w:rsidP="00EE3FD6">
      <w:pPr>
        <w:pStyle w:val="References"/>
        <w:jc w:val="both"/>
        <w:rPr>
          <w:lang w:val="en-US"/>
        </w:rPr>
      </w:pPr>
      <w:r w:rsidRPr="00EE25B9">
        <w:rPr>
          <w:lang w:val="en-US"/>
        </w:rPr>
        <w:t>Gruby, R.</w:t>
      </w:r>
      <w:r w:rsidR="0041694B">
        <w:rPr>
          <w:lang w:val="en-US"/>
        </w:rPr>
        <w:t xml:space="preserve"> </w:t>
      </w:r>
      <w:r w:rsidRPr="00EE25B9">
        <w:rPr>
          <w:lang w:val="en-US"/>
        </w:rPr>
        <w:t xml:space="preserve">L. and X. </w:t>
      </w:r>
      <w:proofErr w:type="spellStart"/>
      <w:r w:rsidRPr="00EE25B9">
        <w:rPr>
          <w:lang w:val="en-US"/>
        </w:rPr>
        <w:t>Basurto</w:t>
      </w:r>
      <w:proofErr w:type="spellEnd"/>
      <w:r w:rsidRPr="00EE25B9">
        <w:rPr>
          <w:lang w:val="en-US"/>
        </w:rPr>
        <w:t xml:space="preserve">. 2013. Multi-level governance for large marine commons: politics and polycentricity in Palau's protected area network. </w:t>
      </w:r>
      <w:r w:rsidRPr="00EE25B9">
        <w:rPr>
          <w:i/>
          <w:iCs/>
          <w:lang w:val="en-US"/>
        </w:rPr>
        <w:t>Environmental Science &amp; Policy</w:t>
      </w:r>
      <w:r w:rsidRPr="00EE25B9">
        <w:rPr>
          <w:lang w:val="en-US"/>
        </w:rPr>
        <w:t xml:space="preserve"> 33</w:t>
      </w:r>
      <w:r w:rsidR="0097411A">
        <w:rPr>
          <w:lang w:val="en-US"/>
        </w:rPr>
        <w:t xml:space="preserve">: </w:t>
      </w:r>
      <w:r w:rsidRPr="00EE25B9">
        <w:rPr>
          <w:lang w:val="en-US"/>
        </w:rPr>
        <w:t>260-72.</w:t>
      </w:r>
    </w:p>
    <w:p w14:paraId="2ADF6433" w14:textId="12D87101" w:rsidR="00EE3FD6" w:rsidRPr="00EE25B9" w:rsidRDefault="00EE3FD6" w:rsidP="00EE3FD6">
      <w:pPr>
        <w:pStyle w:val="References"/>
        <w:jc w:val="both"/>
        <w:rPr>
          <w:lang w:val="en-US"/>
        </w:rPr>
      </w:pPr>
      <w:r w:rsidRPr="00EE25B9">
        <w:rPr>
          <w:lang w:val="en-US"/>
        </w:rPr>
        <w:t xml:space="preserve">Heikkila, T., S. </w:t>
      </w:r>
      <w:proofErr w:type="spellStart"/>
      <w:r w:rsidRPr="00EE25B9">
        <w:rPr>
          <w:lang w:val="en-US"/>
        </w:rPr>
        <w:t>Villamayor</w:t>
      </w:r>
      <w:proofErr w:type="spellEnd"/>
      <w:r w:rsidRPr="00EE25B9">
        <w:rPr>
          <w:lang w:val="en-US"/>
        </w:rPr>
        <w:t xml:space="preserve">‐Tomas and D. Garrick. 2018. Bringing polycentric systems into focus for environmental governance. </w:t>
      </w:r>
      <w:r w:rsidRPr="00EE25B9">
        <w:rPr>
          <w:i/>
          <w:iCs/>
          <w:lang w:val="en-US"/>
        </w:rPr>
        <w:t>Environmental Policy and Governance</w:t>
      </w:r>
      <w:r w:rsidRPr="00EE25B9">
        <w:rPr>
          <w:lang w:val="en-US"/>
        </w:rPr>
        <w:t xml:space="preserve"> 28: 207–11 </w:t>
      </w:r>
      <w:proofErr w:type="spellStart"/>
      <w:r w:rsidRPr="00EE25B9">
        <w:rPr>
          <w:lang w:val="en-US"/>
        </w:rPr>
        <w:t>doi</w:t>
      </w:r>
      <w:proofErr w:type="spellEnd"/>
      <w:r w:rsidRPr="00EE25B9">
        <w:rPr>
          <w:lang w:val="en-US"/>
        </w:rPr>
        <w:t>: 10.1002/eet.1809.</w:t>
      </w:r>
    </w:p>
    <w:p w14:paraId="5713CEFE" w14:textId="77777777" w:rsidR="00EE3FD6" w:rsidRPr="00EE25B9" w:rsidRDefault="00EE3FD6" w:rsidP="00EE3FD6">
      <w:pPr>
        <w:pStyle w:val="References"/>
        <w:jc w:val="both"/>
        <w:rPr>
          <w:lang w:val="en-US"/>
        </w:rPr>
      </w:pPr>
      <w:r w:rsidRPr="00EE25B9">
        <w:rPr>
          <w:lang w:val="en-US"/>
        </w:rPr>
        <w:t xml:space="preserve">Hinds, C., H. Oxenford, J. Cumberbatch, F. </w:t>
      </w:r>
      <w:proofErr w:type="spellStart"/>
      <w:r w:rsidRPr="00EE25B9">
        <w:rPr>
          <w:lang w:val="en-US"/>
        </w:rPr>
        <w:t>Fardin</w:t>
      </w:r>
      <w:proofErr w:type="spellEnd"/>
      <w:r w:rsidRPr="00EE25B9">
        <w:rPr>
          <w:lang w:val="en-US"/>
        </w:rPr>
        <w:t xml:space="preserve">, E. Doyle, and A. Cashman. 2016. Golden Tides: Management Best Practices for Influxes of Sargassum in the Caribbean with a Focus on Clean-Up. CERMES. Accessed 4 June 2020, http://dx.doi.org/10.25607/OBP-786. </w:t>
      </w:r>
    </w:p>
    <w:p w14:paraId="2DF8D7A4" w14:textId="77777777" w:rsidR="00EE3FD6" w:rsidRPr="00EE25B9" w:rsidRDefault="00EE3FD6" w:rsidP="00EE3FD6">
      <w:pPr>
        <w:pStyle w:val="References"/>
        <w:jc w:val="both"/>
        <w:rPr>
          <w:lang w:val="en-US"/>
        </w:rPr>
      </w:pPr>
      <w:r w:rsidRPr="00EE25B9">
        <w:rPr>
          <w:lang w:val="en-US"/>
        </w:rPr>
        <w:t>Johns, E. M., R. Lumpkin, N. F. Putman, R. H. Smith, F. E. Muller-Karger, D. T. Rueda-</w:t>
      </w:r>
      <w:proofErr w:type="spellStart"/>
      <w:r w:rsidRPr="00EE25B9">
        <w:rPr>
          <w:lang w:val="en-US"/>
        </w:rPr>
        <w:t>Roa</w:t>
      </w:r>
      <w:proofErr w:type="spellEnd"/>
      <w:r w:rsidRPr="00EE25B9">
        <w:rPr>
          <w:lang w:val="en-US"/>
        </w:rPr>
        <w:t xml:space="preserve">, C. Hu, M. Wang, M.T. Brooks, L.J. </w:t>
      </w:r>
      <w:proofErr w:type="spellStart"/>
      <w:r w:rsidRPr="00EE25B9">
        <w:rPr>
          <w:lang w:val="en-US"/>
        </w:rPr>
        <w:t>Gramer</w:t>
      </w:r>
      <w:proofErr w:type="spellEnd"/>
      <w:r w:rsidRPr="00EE25B9">
        <w:rPr>
          <w:lang w:val="en-US"/>
        </w:rPr>
        <w:t xml:space="preserve">, et al. 2020. The Establishment of a Pelagic Sargassum Population in the Tropical Atlantic: Biological Consequences of a Basin-Scale Long Distance Dispersal Event. </w:t>
      </w:r>
      <w:r w:rsidRPr="00EE25B9">
        <w:rPr>
          <w:i/>
          <w:iCs/>
          <w:lang w:val="en-US"/>
        </w:rPr>
        <w:t>Progress in Oceanography</w:t>
      </w:r>
      <w:r w:rsidRPr="00EE25B9">
        <w:rPr>
          <w:lang w:val="en-US"/>
        </w:rPr>
        <w:t xml:space="preserve"> 182: 102269. </w:t>
      </w:r>
      <w:proofErr w:type="spellStart"/>
      <w:r w:rsidRPr="00EE25B9">
        <w:rPr>
          <w:lang w:val="en-US"/>
        </w:rPr>
        <w:t>doi</w:t>
      </w:r>
      <w:proofErr w:type="spellEnd"/>
      <w:r w:rsidRPr="00EE25B9">
        <w:rPr>
          <w:lang w:val="en-US"/>
        </w:rPr>
        <w:t>: 10.1016/j.pocean.2020.102269.</w:t>
      </w:r>
    </w:p>
    <w:p w14:paraId="3E758199" w14:textId="62FF4044" w:rsidR="00EE3FD6" w:rsidRPr="00EE25B9" w:rsidRDefault="00EE3FD6" w:rsidP="00EE3FD6">
      <w:pPr>
        <w:pStyle w:val="References"/>
        <w:jc w:val="both"/>
        <w:rPr>
          <w:lang w:val="en-US"/>
        </w:rPr>
      </w:pPr>
      <w:r w:rsidRPr="00EE25B9">
        <w:rPr>
          <w:lang w:val="en-US"/>
        </w:rPr>
        <w:t>Jordan, A.</w:t>
      </w:r>
      <w:r w:rsidR="00F43915">
        <w:rPr>
          <w:lang w:val="en-US"/>
        </w:rPr>
        <w:t xml:space="preserve"> </w:t>
      </w:r>
      <w:r w:rsidRPr="00EE25B9">
        <w:rPr>
          <w:lang w:val="en-US"/>
        </w:rPr>
        <w:t xml:space="preserve">J., D. Huitema, M. </w:t>
      </w:r>
      <w:proofErr w:type="spellStart"/>
      <w:r w:rsidRPr="00EE25B9">
        <w:rPr>
          <w:lang w:val="en-US"/>
        </w:rPr>
        <w:t>Hildén</w:t>
      </w:r>
      <w:proofErr w:type="spellEnd"/>
      <w:r w:rsidRPr="00EE25B9">
        <w:rPr>
          <w:lang w:val="en-US"/>
        </w:rPr>
        <w:t xml:space="preserve">, H. van Asselt, T. J. Rayner, J. J. </w:t>
      </w:r>
      <w:proofErr w:type="spellStart"/>
      <w:r w:rsidRPr="00EE25B9">
        <w:rPr>
          <w:lang w:val="en-US"/>
        </w:rPr>
        <w:t>Schoenefeld</w:t>
      </w:r>
      <w:proofErr w:type="spellEnd"/>
      <w:r w:rsidRPr="00EE25B9">
        <w:rPr>
          <w:lang w:val="en-US"/>
        </w:rPr>
        <w:t xml:space="preserve">, J. </w:t>
      </w:r>
      <w:proofErr w:type="spellStart"/>
      <w:r w:rsidRPr="00EE25B9">
        <w:rPr>
          <w:lang w:val="en-US"/>
        </w:rPr>
        <w:t>Tosun</w:t>
      </w:r>
      <w:proofErr w:type="spellEnd"/>
      <w:r w:rsidRPr="00EE25B9">
        <w:rPr>
          <w:lang w:val="en-US"/>
        </w:rPr>
        <w:t xml:space="preserve">, J. Forster, and E. L. Boasson. 2015. Emergence of Polycentric Climate Governance and Its Future Prospects. </w:t>
      </w:r>
      <w:r w:rsidRPr="00EE25B9">
        <w:rPr>
          <w:i/>
          <w:iCs/>
          <w:lang w:val="en-US"/>
        </w:rPr>
        <w:t>Nature Climate Change</w:t>
      </w:r>
      <w:r w:rsidRPr="00EE25B9">
        <w:rPr>
          <w:lang w:val="en-US"/>
        </w:rPr>
        <w:t xml:space="preserve"> 5(11): 977–82. </w:t>
      </w:r>
      <w:proofErr w:type="spellStart"/>
      <w:r w:rsidRPr="00EE25B9">
        <w:rPr>
          <w:lang w:val="en-US"/>
        </w:rPr>
        <w:t>doi</w:t>
      </w:r>
      <w:proofErr w:type="spellEnd"/>
      <w:r w:rsidRPr="00EE25B9">
        <w:rPr>
          <w:lang w:val="en-US"/>
        </w:rPr>
        <w:t>: 10.1038/nclimate2725.</w:t>
      </w:r>
    </w:p>
    <w:p w14:paraId="3CF9AE50" w14:textId="4C0DC275" w:rsidR="00EE3FD6" w:rsidRPr="00EE25B9" w:rsidRDefault="00EE3FD6" w:rsidP="00EE3FD6">
      <w:pPr>
        <w:pStyle w:val="References"/>
        <w:jc w:val="both"/>
        <w:rPr>
          <w:lang w:val="en-US"/>
        </w:rPr>
      </w:pPr>
      <w:r w:rsidRPr="00EE25B9">
        <w:rPr>
          <w:lang w:val="nl-NL"/>
        </w:rPr>
        <w:lastRenderedPageBreak/>
        <w:t>Jordan, A</w:t>
      </w:r>
      <w:r w:rsidR="00F43915">
        <w:rPr>
          <w:lang w:val="nl-NL"/>
        </w:rPr>
        <w:t xml:space="preserve">., </w:t>
      </w:r>
      <w:r w:rsidRPr="00EE25B9">
        <w:rPr>
          <w:lang w:val="nl-NL"/>
        </w:rPr>
        <w:t xml:space="preserve">D. </w:t>
      </w:r>
      <w:proofErr w:type="spellStart"/>
      <w:r w:rsidRPr="00EE25B9">
        <w:rPr>
          <w:lang w:val="nl-NL"/>
        </w:rPr>
        <w:t>Huitema</w:t>
      </w:r>
      <w:proofErr w:type="spellEnd"/>
      <w:r w:rsidRPr="00EE25B9">
        <w:rPr>
          <w:lang w:val="nl-NL"/>
        </w:rPr>
        <w:t xml:space="preserve">, H. Van Asselt, J. </w:t>
      </w:r>
      <w:proofErr w:type="spellStart"/>
      <w:r w:rsidRPr="00EE25B9">
        <w:rPr>
          <w:lang w:val="nl-NL"/>
        </w:rPr>
        <w:t>Forster</w:t>
      </w:r>
      <w:proofErr w:type="spellEnd"/>
      <w:r w:rsidRPr="00EE25B9">
        <w:rPr>
          <w:lang w:val="nl-NL"/>
        </w:rPr>
        <w:t xml:space="preserve">. </w:t>
      </w:r>
      <w:r w:rsidRPr="00EE25B9">
        <w:rPr>
          <w:lang w:val="en-US"/>
        </w:rPr>
        <w:t xml:space="preserve">2018. Governing Climate Change: the promise and limits of polycentric governance. In </w:t>
      </w:r>
      <w:r w:rsidRPr="00EE25B9">
        <w:rPr>
          <w:i/>
          <w:iCs/>
          <w:lang w:val="en-US"/>
        </w:rPr>
        <w:t>Governing climate change: Polycentricity in Action?</w:t>
      </w:r>
      <w:r w:rsidRPr="00EE25B9">
        <w:rPr>
          <w:lang w:val="en-US"/>
        </w:rPr>
        <w:t>, ed. A. Jordan, D. Huitema, H. Van Asselt, and J. Forster, 359-383. Cambridge: Cambridge University Press.</w:t>
      </w:r>
    </w:p>
    <w:p w14:paraId="51A103D6" w14:textId="77777777" w:rsidR="00EE3FD6" w:rsidRPr="00EE25B9" w:rsidRDefault="00EE3FD6" w:rsidP="00EE3FD6">
      <w:pPr>
        <w:pStyle w:val="References"/>
        <w:jc w:val="both"/>
        <w:rPr>
          <w:lang w:val="en-US"/>
        </w:rPr>
      </w:pPr>
      <w:r w:rsidRPr="00EE25B9">
        <w:rPr>
          <w:lang w:val="en-US"/>
        </w:rPr>
        <w:t xml:space="preserve">Laframboise, N., N. </w:t>
      </w:r>
      <w:proofErr w:type="spellStart"/>
      <w:r w:rsidRPr="00EE25B9">
        <w:rPr>
          <w:lang w:val="en-US"/>
        </w:rPr>
        <w:t>Mwase</w:t>
      </w:r>
      <w:proofErr w:type="spellEnd"/>
      <w:r w:rsidRPr="00EE25B9">
        <w:rPr>
          <w:lang w:val="en-US"/>
        </w:rPr>
        <w:t xml:space="preserve">, J. Park and Y. Zhou. 2014. Revisiting Tourism Flows to the Caribbean: What is Driving Arrivals? IMF Working Paper, International Monetary Fund. </w:t>
      </w:r>
    </w:p>
    <w:p w14:paraId="291CFB3D" w14:textId="7C6237F0" w:rsidR="00EE3FD6" w:rsidRPr="0041694B" w:rsidRDefault="00EE3FD6" w:rsidP="0041694B">
      <w:pPr>
        <w:pStyle w:val="References"/>
        <w:jc w:val="both"/>
        <w:rPr>
          <w:lang w:val="en-US"/>
        </w:rPr>
      </w:pPr>
      <w:r w:rsidRPr="00EE25B9">
        <w:rPr>
          <w:lang w:val="en-US"/>
        </w:rPr>
        <w:t>Lapointe, B.</w:t>
      </w:r>
      <w:r w:rsidR="0041694B">
        <w:rPr>
          <w:lang w:val="en-US"/>
        </w:rPr>
        <w:t xml:space="preserve"> </w:t>
      </w:r>
      <w:r w:rsidRPr="00EE25B9">
        <w:rPr>
          <w:lang w:val="en-US"/>
        </w:rPr>
        <w:t xml:space="preserve">E., </w:t>
      </w:r>
      <w:r w:rsidR="0041694B" w:rsidRPr="00EE25B9">
        <w:rPr>
          <w:lang w:val="en-US"/>
        </w:rPr>
        <w:t>R.</w:t>
      </w:r>
      <w:r w:rsidR="0041694B">
        <w:rPr>
          <w:lang w:val="en-US"/>
        </w:rPr>
        <w:t xml:space="preserve"> </w:t>
      </w:r>
      <w:r w:rsidR="0041694B" w:rsidRPr="00EE25B9">
        <w:rPr>
          <w:lang w:val="en-US"/>
        </w:rPr>
        <w:t>A.</w:t>
      </w:r>
      <w:r w:rsidR="0041694B">
        <w:rPr>
          <w:lang w:val="en-US"/>
        </w:rPr>
        <w:t xml:space="preserve"> </w:t>
      </w:r>
      <w:r w:rsidRPr="00EE25B9">
        <w:rPr>
          <w:lang w:val="en-US"/>
        </w:rPr>
        <w:t xml:space="preserve">Brewton, </w:t>
      </w:r>
      <w:r w:rsidR="0041694B" w:rsidRPr="00EE25B9">
        <w:rPr>
          <w:lang w:val="en-US"/>
        </w:rPr>
        <w:t>L.</w:t>
      </w:r>
      <w:r w:rsidR="0041694B">
        <w:rPr>
          <w:lang w:val="en-US"/>
        </w:rPr>
        <w:t xml:space="preserve"> </w:t>
      </w:r>
      <w:r w:rsidR="0041694B" w:rsidRPr="00EE25B9">
        <w:rPr>
          <w:lang w:val="en-US"/>
        </w:rPr>
        <w:t>W.</w:t>
      </w:r>
      <w:r w:rsidR="0041694B">
        <w:rPr>
          <w:lang w:val="en-US"/>
        </w:rPr>
        <w:t xml:space="preserve"> </w:t>
      </w:r>
      <w:r w:rsidRPr="00EE25B9">
        <w:rPr>
          <w:lang w:val="en-US"/>
        </w:rPr>
        <w:t xml:space="preserve">Herren, </w:t>
      </w:r>
      <w:r w:rsidR="0041694B" w:rsidRPr="00EE25B9">
        <w:rPr>
          <w:lang w:val="en-US"/>
        </w:rPr>
        <w:t>M.</w:t>
      </w:r>
      <w:r w:rsidR="0041694B">
        <w:rPr>
          <w:lang w:val="en-US"/>
        </w:rPr>
        <w:t xml:space="preserve"> </w:t>
      </w:r>
      <w:r w:rsidRPr="00EE25B9">
        <w:rPr>
          <w:lang w:val="en-US"/>
        </w:rPr>
        <w:t xml:space="preserve">Wang, </w:t>
      </w:r>
      <w:r w:rsidR="0041694B" w:rsidRPr="00EE25B9">
        <w:rPr>
          <w:lang w:val="en-US"/>
        </w:rPr>
        <w:t>C.</w:t>
      </w:r>
      <w:r w:rsidR="0041694B">
        <w:rPr>
          <w:lang w:val="en-US"/>
        </w:rPr>
        <w:t xml:space="preserve"> </w:t>
      </w:r>
      <w:r w:rsidRPr="00EE25B9">
        <w:rPr>
          <w:lang w:val="en-US"/>
        </w:rPr>
        <w:t xml:space="preserve">Hu, </w:t>
      </w:r>
      <w:r w:rsidR="0041694B" w:rsidRPr="00EE25B9">
        <w:rPr>
          <w:lang w:val="en-US"/>
        </w:rPr>
        <w:t>D.</w:t>
      </w:r>
      <w:r w:rsidR="0041694B">
        <w:rPr>
          <w:lang w:val="en-US"/>
        </w:rPr>
        <w:t xml:space="preserve"> </w:t>
      </w:r>
      <w:r w:rsidR="0041694B" w:rsidRPr="00EE25B9">
        <w:rPr>
          <w:lang w:val="en-US"/>
        </w:rPr>
        <w:t>J.</w:t>
      </w:r>
      <w:r w:rsidR="0041694B">
        <w:rPr>
          <w:lang w:val="en-US"/>
        </w:rPr>
        <w:t xml:space="preserve"> </w:t>
      </w:r>
      <w:proofErr w:type="spellStart"/>
      <w:r w:rsidRPr="00EE25B9">
        <w:rPr>
          <w:lang w:val="en-US"/>
        </w:rPr>
        <w:t>McGillicuddy</w:t>
      </w:r>
      <w:proofErr w:type="spellEnd"/>
      <w:r w:rsidRPr="00EE25B9">
        <w:rPr>
          <w:lang w:val="en-US"/>
        </w:rPr>
        <w:t xml:space="preserve"> Jr., </w:t>
      </w:r>
      <w:r w:rsidR="0041694B" w:rsidRPr="00EE25B9">
        <w:rPr>
          <w:lang w:val="en-US"/>
        </w:rPr>
        <w:t>S.</w:t>
      </w:r>
      <w:r w:rsidR="0041694B">
        <w:rPr>
          <w:lang w:val="en-US"/>
        </w:rPr>
        <w:t xml:space="preserve"> </w:t>
      </w:r>
      <w:r w:rsidRPr="00EE25B9">
        <w:rPr>
          <w:lang w:val="en-US"/>
        </w:rPr>
        <w:t xml:space="preserve">Lindell, </w:t>
      </w:r>
      <w:r w:rsidR="0041694B" w:rsidRPr="00EE25B9">
        <w:rPr>
          <w:lang w:val="en-US"/>
        </w:rPr>
        <w:t>F.</w:t>
      </w:r>
      <w:r w:rsidR="0041694B">
        <w:rPr>
          <w:lang w:val="en-US"/>
        </w:rPr>
        <w:t xml:space="preserve"> </w:t>
      </w:r>
      <w:r w:rsidR="0041694B" w:rsidRPr="00EE25B9">
        <w:rPr>
          <w:lang w:val="en-US"/>
        </w:rPr>
        <w:t>J.</w:t>
      </w:r>
      <w:r w:rsidR="0041694B">
        <w:rPr>
          <w:lang w:val="en-US"/>
        </w:rPr>
        <w:t xml:space="preserve"> </w:t>
      </w:r>
      <w:r w:rsidRPr="00EE25B9">
        <w:rPr>
          <w:lang w:val="en-US"/>
        </w:rPr>
        <w:t xml:space="preserve">Hernandez, and </w:t>
      </w:r>
      <w:r w:rsidR="0041694B" w:rsidRPr="00EE25B9">
        <w:rPr>
          <w:lang w:val="en-US"/>
        </w:rPr>
        <w:t>P.</w:t>
      </w:r>
      <w:r w:rsidR="0041694B">
        <w:rPr>
          <w:lang w:val="en-US"/>
        </w:rPr>
        <w:t xml:space="preserve"> </w:t>
      </w:r>
      <w:r w:rsidR="0041694B" w:rsidRPr="00EE25B9">
        <w:rPr>
          <w:lang w:val="en-US"/>
        </w:rPr>
        <w:t xml:space="preserve">L. </w:t>
      </w:r>
      <w:r w:rsidRPr="00EE25B9">
        <w:rPr>
          <w:lang w:val="en-US"/>
        </w:rPr>
        <w:t>Morton</w:t>
      </w:r>
      <w:r w:rsidR="0041694B">
        <w:rPr>
          <w:lang w:val="en-US"/>
        </w:rPr>
        <w:t xml:space="preserve">. </w:t>
      </w:r>
      <w:r w:rsidRPr="00EE25B9">
        <w:rPr>
          <w:lang w:val="en-US"/>
        </w:rPr>
        <w:t xml:space="preserve">2021. Nutrient content and stoichiometry of pelagic Sargassum reflects increasing nitrogen availability in the Atlantic Basin. </w:t>
      </w:r>
      <w:r w:rsidRPr="00EE25B9">
        <w:rPr>
          <w:i/>
          <w:iCs/>
          <w:lang w:val="nl-NL"/>
        </w:rPr>
        <w:t>Nature Communications</w:t>
      </w:r>
      <w:r w:rsidRPr="00EE25B9">
        <w:rPr>
          <w:lang w:val="nl-NL"/>
        </w:rPr>
        <w:t xml:space="preserve"> 12, 3060. </w:t>
      </w:r>
      <w:proofErr w:type="spellStart"/>
      <w:r w:rsidRPr="00EE25B9">
        <w:rPr>
          <w:lang w:val="nl-NL"/>
        </w:rPr>
        <w:t>doi</w:t>
      </w:r>
      <w:proofErr w:type="spellEnd"/>
      <w:r w:rsidRPr="00EE25B9">
        <w:rPr>
          <w:lang w:val="nl-NL"/>
        </w:rPr>
        <w:t>: 10.1038/s41467-021-23135-7.</w:t>
      </w:r>
    </w:p>
    <w:p w14:paraId="57DF2C79" w14:textId="47B08CE6" w:rsidR="00EE3FD6" w:rsidRPr="00EE25B9" w:rsidRDefault="00EE3FD6" w:rsidP="00EE3FD6">
      <w:pPr>
        <w:pStyle w:val="References"/>
        <w:jc w:val="both"/>
        <w:rPr>
          <w:lang w:val="en-US"/>
        </w:rPr>
      </w:pPr>
      <w:r w:rsidRPr="00EE25B9">
        <w:rPr>
          <w:lang w:val="nl-NL"/>
        </w:rPr>
        <w:t>López-</w:t>
      </w:r>
      <w:proofErr w:type="spellStart"/>
      <w:r w:rsidRPr="00EE25B9">
        <w:rPr>
          <w:lang w:val="nl-NL"/>
        </w:rPr>
        <w:t>Contretras</w:t>
      </w:r>
      <w:proofErr w:type="spellEnd"/>
      <w:r w:rsidRPr="00EE25B9">
        <w:rPr>
          <w:lang w:val="nl-NL"/>
        </w:rPr>
        <w:t>, A.</w:t>
      </w:r>
      <w:r w:rsidR="00E9792C">
        <w:rPr>
          <w:lang w:val="nl-NL"/>
        </w:rPr>
        <w:t xml:space="preserve"> </w:t>
      </w:r>
      <w:r w:rsidRPr="00EE25B9">
        <w:rPr>
          <w:lang w:val="nl-NL"/>
        </w:rPr>
        <w:t xml:space="preserve">M., M. van der Geest, B. </w:t>
      </w:r>
      <w:proofErr w:type="spellStart"/>
      <w:r w:rsidRPr="00EE25B9">
        <w:rPr>
          <w:lang w:val="nl-NL"/>
        </w:rPr>
        <w:t>Deetman</w:t>
      </w:r>
      <w:proofErr w:type="spellEnd"/>
      <w:r w:rsidRPr="00EE25B9">
        <w:rPr>
          <w:lang w:val="nl-NL"/>
        </w:rPr>
        <w:t xml:space="preserve">, S. van den Burg, H. Brust and T. de Vrije. </w:t>
      </w:r>
      <w:r w:rsidRPr="00EE25B9">
        <w:rPr>
          <w:lang w:val="en-US"/>
        </w:rPr>
        <w:t xml:space="preserve">2021. Opportunities for </w:t>
      </w:r>
      <w:proofErr w:type="spellStart"/>
      <w:r w:rsidRPr="00EE25B9">
        <w:rPr>
          <w:lang w:val="en-US"/>
        </w:rPr>
        <w:t>valorisation</w:t>
      </w:r>
      <w:proofErr w:type="spellEnd"/>
      <w:r w:rsidRPr="00EE25B9">
        <w:rPr>
          <w:lang w:val="en-US"/>
        </w:rPr>
        <w:t xml:space="preserve"> of pelagic Sargassum in the Dutch Caribbean. Public Wageningen Food &amp; Biobased Research-Report 2137, Wageningen, Netherlands. Accessed 17 June 2021, https://doi.org/10.18174/543797.</w:t>
      </w:r>
    </w:p>
    <w:p w14:paraId="27BA0B94" w14:textId="77777777" w:rsidR="00EE3FD6" w:rsidRPr="00EE25B9" w:rsidRDefault="00EE3FD6" w:rsidP="00EE3FD6">
      <w:pPr>
        <w:pStyle w:val="References"/>
        <w:jc w:val="both"/>
        <w:rPr>
          <w:lang w:val="en-US"/>
        </w:rPr>
      </w:pPr>
      <w:r w:rsidRPr="00EE25B9">
        <w:rPr>
          <w:lang w:val="en-US"/>
        </w:rPr>
        <w:t xml:space="preserve">Mahon, R., and L. Fanning. 2019. Regional ocean governance: Integrating and coordinating mechanisms for polycentric systems. </w:t>
      </w:r>
      <w:r w:rsidRPr="00EE25B9">
        <w:rPr>
          <w:i/>
          <w:iCs/>
          <w:lang w:val="en-US"/>
        </w:rPr>
        <w:t>Marine Policy</w:t>
      </w:r>
      <w:r w:rsidRPr="00EE25B9">
        <w:rPr>
          <w:lang w:val="en-US"/>
        </w:rPr>
        <w:t xml:space="preserve"> 107: 103589. </w:t>
      </w:r>
      <w:proofErr w:type="spellStart"/>
      <w:r w:rsidRPr="00EE25B9">
        <w:rPr>
          <w:lang w:val="en-US"/>
        </w:rPr>
        <w:t>doi</w:t>
      </w:r>
      <w:proofErr w:type="spellEnd"/>
      <w:r w:rsidRPr="00EE25B9">
        <w:rPr>
          <w:lang w:val="en-US"/>
        </w:rPr>
        <w:t>: 10.1016/j.marpol.2019.103589.</w:t>
      </w:r>
    </w:p>
    <w:p w14:paraId="275AFCA4" w14:textId="20F428E2" w:rsidR="00EE3FD6" w:rsidRPr="00EE25B9" w:rsidRDefault="00EE3FD6" w:rsidP="00EE3FD6">
      <w:pPr>
        <w:pStyle w:val="References"/>
        <w:jc w:val="both"/>
        <w:rPr>
          <w:lang w:val="en-US"/>
        </w:rPr>
      </w:pPr>
      <w:r w:rsidRPr="00EE25B9">
        <w:rPr>
          <w:lang w:val="en-US"/>
        </w:rPr>
        <w:t xml:space="preserve">Mahon, R., P. </w:t>
      </w:r>
      <w:proofErr w:type="spellStart"/>
      <w:r w:rsidRPr="00EE25B9">
        <w:rPr>
          <w:lang w:val="en-US"/>
        </w:rPr>
        <w:t>McConney</w:t>
      </w:r>
      <w:proofErr w:type="spellEnd"/>
      <w:r w:rsidRPr="00EE25B9">
        <w:rPr>
          <w:lang w:val="en-US"/>
        </w:rPr>
        <w:t xml:space="preserve">, K. </w:t>
      </w:r>
      <w:proofErr w:type="spellStart"/>
      <w:r w:rsidRPr="00EE25B9">
        <w:rPr>
          <w:lang w:val="en-US"/>
        </w:rPr>
        <w:t>Parsram</w:t>
      </w:r>
      <w:proofErr w:type="spellEnd"/>
      <w:r w:rsidRPr="00EE25B9">
        <w:rPr>
          <w:lang w:val="en-US"/>
        </w:rPr>
        <w:t>, B. Simmons, M. Didier, L. Fanning, P. Goff, B.</w:t>
      </w:r>
      <w:r w:rsidR="00E9792C">
        <w:rPr>
          <w:lang w:val="en-US"/>
        </w:rPr>
        <w:t xml:space="preserve"> </w:t>
      </w:r>
      <w:r w:rsidRPr="00EE25B9">
        <w:rPr>
          <w:lang w:val="en-US"/>
        </w:rPr>
        <w:t xml:space="preserve">Haywood and T. Shaw. 2010. Ocean governance in the Wider Caribbean Region: Communication and coordination mechanisms by which states interact with regional </w:t>
      </w:r>
      <w:proofErr w:type="spellStart"/>
      <w:r w:rsidRPr="00EE25B9">
        <w:rPr>
          <w:lang w:val="en-US"/>
        </w:rPr>
        <w:t>organisations</w:t>
      </w:r>
      <w:proofErr w:type="spellEnd"/>
      <w:r w:rsidRPr="00EE25B9">
        <w:rPr>
          <w:lang w:val="en-US"/>
        </w:rPr>
        <w:t xml:space="preserve"> and projects. CERMES Technical Report No. 40. Accessed 2 </w:t>
      </w:r>
      <w:proofErr w:type="spellStart"/>
      <w:r w:rsidRPr="00EE25B9">
        <w:rPr>
          <w:lang w:val="en-US"/>
        </w:rPr>
        <w:t>Jult</w:t>
      </w:r>
      <w:proofErr w:type="spellEnd"/>
      <w:r w:rsidRPr="00EE25B9">
        <w:rPr>
          <w:lang w:val="en-US"/>
        </w:rPr>
        <w:t xml:space="preserve"> 2021, https://www.cavehill.uwi.edu/cermes/docs/technical_reports/mahon_2010_ocean_governance_in_the_wider_caribbean.aspx.</w:t>
      </w:r>
    </w:p>
    <w:p w14:paraId="689AEB2E" w14:textId="3CD2F5E6" w:rsidR="00EE3FD6" w:rsidRPr="00EE25B9" w:rsidRDefault="00EE3FD6" w:rsidP="00EE3FD6">
      <w:pPr>
        <w:pStyle w:val="References"/>
        <w:jc w:val="both"/>
        <w:rPr>
          <w:lang w:val="en-US"/>
        </w:rPr>
      </w:pPr>
      <w:proofErr w:type="spellStart"/>
      <w:r w:rsidRPr="00EE25B9">
        <w:rPr>
          <w:lang w:val="en-US"/>
        </w:rPr>
        <w:t>McConney</w:t>
      </w:r>
      <w:proofErr w:type="spellEnd"/>
      <w:r w:rsidRPr="00EE25B9">
        <w:rPr>
          <w:lang w:val="en-US"/>
        </w:rPr>
        <w:t>, P. and H.</w:t>
      </w:r>
      <w:r w:rsidR="00E9792C">
        <w:rPr>
          <w:lang w:val="en-US"/>
        </w:rPr>
        <w:t xml:space="preserve"> </w:t>
      </w:r>
      <w:r w:rsidRPr="00EE25B9">
        <w:rPr>
          <w:lang w:val="en-US"/>
        </w:rPr>
        <w:t xml:space="preserve">A. Oxenford. 2020. Caribbean Sargassum phenomenon: complexities of communicating. </w:t>
      </w:r>
      <w:r w:rsidRPr="00EE25B9">
        <w:rPr>
          <w:i/>
          <w:iCs/>
          <w:lang w:val="en-US"/>
        </w:rPr>
        <w:t xml:space="preserve">Journal of </w:t>
      </w:r>
      <w:proofErr w:type="spellStart"/>
      <w:r w:rsidRPr="00EE25B9">
        <w:rPr>
          <w:i/>
          <w:iCs/>
          <w:lang w:val="en-US"/>
        </w:rPr>
        <w:t>CESaRE</w:t>
      </w:r>
      <w:proofErr w:type="spellEnd"/>
      <w:r w:rsidRPr="00EE25B9">
        <w:rPr>
          <w:i/>
          <w:iCs/>
          <w:lang w:val="en-US"/>
        </w:rPr>
        <w:t xml:space="preserve"> </w:t>
      </w:r>
      <w:r w:rsidRPr="00EE25B9">
        <w:rPr>
          <w:lang w:val="en-US"/>
        </w:rPr>
        <w:t xml:space="preserve">3(2). </w:t>
      </w:r>
      <w:proofErr w:type="spellStart"/>
      <w:r w:rsidRPr="00EE25B9">
        <w:rPr>
          <w:lang w:val="en-US"/>
        </w:rPr>
        <w:t>doi</w:t>
      </w:r>
      <w:proofErr w:type="spellEnd"/>
      <w:r w:rsidRPr="00EE25B9">
        <w:rPr>
          <w:lang w:val="en-US"/>
        </w:rPr>
        <w:t>: 10.33277/</w:t>
      </w:r>
      <w:proofErr w:type="spellStart"/>
      <w:r w:rsidRPr="00EE25B9">
        <w:rPr>
          <w:lang w:val="en-US"/>
        </w:rPr>
        <w:t>cesare</w:t>
      </w:r>
      <w:proofErr w:type="spellEnd"/>
      <w:r w:rsidRPr="00EE25B9">
        <w:rPr>
          <w:lang w:val="en-US"/>
        </w:rPr>
        <w:t>/003.002/02.</w:t>
      </w:r>
    </w:p>
    <w:p w14:paraId="1A3D281E" w14:textId="39144D7F" w:rsidR="00EE3FD6" w:rsidRPr="00EE25B9" w:rsidRDefault="00EE3FD6" w:rsidP="00EE3FD6">
      <w:pPr>
        <w:pStyle w:val="References"/>
        <w:jc w:val="both"/>
        <w:rPr>
          <w:lang w:val="en-US"/>
        </w:rPr>
      </w:pPr>
      <w:r w:rsidRPr="00EE25B9">
        <w:rPr>
          <w:lang w:val="en-US"/>
        </w:rPr>
        <w:t>Morrison, T.</w:t>
      </w:r>
      <w:r w:rsidR="00E9792C">
        <w:rPr>
          <w:lang w:val="en-US"/>
        </w:rPr>
        <w:t xml:space="preserve"> </w:t>
      </w:r>
      <w:r w:rsidRPr="00EE25B9">
        <w:rPr>
          <w:lang w:val="en-US"/>
        </w:rPr>
        <w:t xml:space="preserve">H., </w:t>
      </w:r>
      <w:r w:rsidRPr="00EE25B9">
        <w:t>W.</w:t>
      </w:r>
      <w:r w:rsidR="00E9792C">
        <w:t xml:space="preserve"> </w:t>
      </w:r>
      <w:r w:rsidRPr="00EE25B9">
        <w:t xml:space="preserve">N. </w:t>
      </w:r>
      <w:proofErr w:type="spellStart"/>
      <w:r w:rsidRPr="00EE25B9">
        <w:t>Adger</w:t>
      </w:r>
      <w:proofErr w:type="spellEnd"/>
      <w:r w:rsidRPr="00EE25B9">
        <w:t>, K. Brown, M.</w:t>
      </w:r>
      <w:r w:rsidR="00E9792C">
        <w:t xml:space="preserve"> </w:t>
      </w:r>
      <w:r w:rsidRPr="00EE25B9">
        <w:t xml:space="preserve">C. </w:t>
      </w:r>
      <w:proofErr w:type="spellStart"/>
      <w:r w:rsidRPr="00EE25B9">
        <w:t>Lemos</w:t>
      </w:r>
      <w:proofErr w:type="spellEnd"/>
      <w:r w:rsidRPr="00EE25B9">
        <w:t>, D. Huitema and T.</w:t>
      </w:r>
      <w:r w:rsidR="00E9792C">
        <w:t xml:space="preserve"> </w:t>
      </w:r>
      <w:r w:rsidRPr="00EE25B9">
        <w:t>P. Hughes</w:t>
      </w:r>
      <w:r w:rsidRPr="00EE25B9">
        <w:rPr>
          <w:lang w:val="en-US"/>
        </w:rPr>
        <w:t xml:space="preserve">. 2017. Mitigation and adaptation in polycentric systems: sources of power in the pursuit of collective goals. </w:t>
      </w:r>
      <w:r w:rsidRPr="00EE25B9">
        <w:rPr>
          <w:i/>
          <w:iCs/>
          <w:lang w:val="en-US"/>
        </w:rPr>
        <w:t>WIREs Climate Change</w:t>
      </w:r>
      <w:r w:rsidRPr="00EE25B9">
        <w:rPr>
          <w:lang w:val="en-US"/>
        </w:rPr>
        <w:t xml:space="preserve"> 8(5): e479.</w:t>
      </w:r>
    </w:p>
    <w:p w14:paraId="3738C9A9" w14:textId="5020EBE9" w:rsidR="00EE3FD6" w:rsidRPr="00EE25B9" w:rsidRDefault="00EE3FD6" w:rsidP="00EE3FD6">
      <w:pPr>
        <w:pStyle w:val="References"/>
        <w:jc w:val="both"/>
        <w:rPr>
          <w:lang w:val="en-US"/>
        </w:rPr>
      </w:pPr>
      <w:r w:rsidRPr="00EE25B9">
        <w:rPr>
          <w:lang w:val="en-US"/>
        </w:rPr>
        <w:lastRenderedPageBreak/>
        <w:t>Morrison, T.</w:t>
      </w:r>
      <w:r w:rsidR="00E9792C">
        <w:rPr>
          <w:lang w:val="en-US"/>
        </w:rPr>
        <w:t xml:space="preserve"> </w:t>
      </w:r>
      <w:r w:rsidRPr="00EE25B9">
        <w:rPr>
          <w:lang w:val="en-US"/>
        </w:rPr>
        <w:t>H., W.</w:t>
      </w:r>
      <w:r w:rsidR="00E9792C">
        <w:rPr>
          <w:lang w:val="en-US"/>
        </w:rPr>
        <w:t xml:space="preserve"> </w:t>
      </w:r>
      <w:r w:rsidRPr="00EE25B9">
        <w:rPr>
          <w:lang w:val="en-US"/>
        </w:rPr>
        <w:t xml:space="preserve">N. </w:t>
      </w:r>
      <w:proofErr w:type="spellStart"/>
      <w:r w:rsidRPr="00EE25B9">
        <w:rPr>
          <w:lang w:val="en-US"/>
        </w:rPr>
        <w:t>Adger</w:t>
      </w:r>
      <w:proofErr w:type="spellEnd"/>
      <w:r w:rsidRPr="00EE25B9">
        <w:rPr>
          <w:lang w:val="en-US"/>
        </w:rPr>
        <w:t>, K. Brown, M.</w:t>
      </w:r>
      <w:r w:rsidR="00E9792C">
        <w:rPr>
          <w:lang w:val="en-US"/>
        </w:rPr>
        <w:t xml:space="preserve"> </w:t>
      </w:r>
      <w:r w:rsidRPr="00EE25B9">
        <w:rPr>
          <w:lang w:val="en-US"/>
        </w:rPr>
        <w:t xml:space="preserve">C. </w:t>
      </w:r>
      <w:proofErr w:type="spellStart"/>
      <w:r w:rsidRPr="00EE25B9">
        <w:rPr>
          <w:lang w:val="en-US"/>
        </w:rPr>
        <w:t>Lemos</w:t>
      </w:r>
      <w:proofErr w:type="spellEnd"/>
      <w:r w:rsidRPr="00EE25B9">
        <w:rPr>
          <w:lang w:val="en-US"/>
        </w:rPr>
        <w:t>, D. Huitema, J. Phelps, L. Evans, P. Cohen, A.</w:t>
      </w:r>
      <w:r w:rsidR="00E9792C">
        <w:rPr>
          <w:lang w:val="en-US"/>
        </w:rPr>
        <w:t xml:space="preserve"> </w:t>
      </w:r>
      <w:r w:rsidRPr="00EE25B9">
        <w:rPr>
          <w:lang w:val="en-US"/>
        </w:rPr>
        <w:t xml:space="preserve">M. Song, R. Turner, and T. Quinn. 2019. The black box of power in polycentric environmental governance. </w:t>
      </w:r>
      <w:r w:rsidRPr="00EE25B9">
        <w:rPr>
          <w:i/>
          <w:iCs/>
          <w:lang w:val="en-US"/>
        </w:rPr>
        <w:t>Global Environmental Change</w:t>
      </w:r>
      <w:r w:rsidRPr="00EE25B9">
        <w:rPr>
          <w:lang w:val="en-US"/>
        </w:rPr>
        <w:t xml:space="preserve"> 57, p.101934.</w:t>
      </w:r>
    </w:p>
    <w:p w14:paraId="189D2C2B" w14:textId="77777777" w:rsidR="00EE3FD6" w:rsidRPr="00EE25B9" w:rsidRDefault="00EE3FD6" w:rsidP="00EE3FD6">
      <w:pPr>
        <w:pStyle w:val="References"/>
        <w:jc w:val="both"/>
        <w:rPr>
          <w:lang w:val="en-US"/>
        </w:rPr>
      </w:pPr>
      <w:r w:rsidRPr="00EE25B9">
        <w:rPr>
          <w:lang w:val="en-US"/>
        </w:rPr>
        <w:t xml:space="preserve">Mulder, N. 2020. The impact of the COVID-19 pandemic on the tourism sector in Latin America and the Caribbean, and options for a sustainable and resilient recovery.  International Trade series, No. 157 (LC/TS.2020/147), Economic Commission for Latin America and the Caribbean (ECLAC), Santiago. Accessed 2 July 2021, https://www.cepal.org/en/publications/46502-impact-covid-19-pandemic-tourism-sector-latin-america-and-caribbean-and-options. </w:t>
      </w:r>
    </w:p>
    <w:p w14:paraId="60B423F1" w14:textId="2BD38D35" w:rsidR="00EE3FD6" w:rsidRPr="00EE25B9" w:rsidRDefault="00EE3FD6" w:rsidP="00EE3FD6">
      <w:pPr>
        <w:pStyle w:val="References"/>
        <w:jc w:val="both"/>
        <w:rPr>
          <w:lang w:val="en-US"/>
        </w:rPr>
      </w:pPr>
      <w:r w:rsidRPr="00EE25B9">
        <w:rPr>
          <w:lang w:val="en-US"/>
        </w:rPr>
        <w:t>Nurse, L.</w:t>
      </w:r>
      <w:r w:rsidR="00E9792C">
        <w:rPr>
          <w:lang w:val="en-US"/>
        </w:rPr>
        <w:t xml:space="preserve"> </w:t>
      </w:r>
      <w:r w:rsidRPr="00EE25B9">
        <w:rPr>
          <w:lang w:val="en-US"/>
        </w:rPr>
        <w:t>A., R.</w:t>
      </w:r>
      <w:r w:rsidR="00E9792C">
        <w:rPr>
          <w:lang w:val="en-US"/>
        </w:rPr>
        <w:t xml:space="preserve"> </w:t>
      </w:r>
      <w:r w:rsidRPr="00EE25B9">
        <w:rPr>
          <w:lang w:val="en-US"/>
        </w:rPr>
        <w:t xml:space="preserve">F. McLean, J. </w:t>
      </w:r>
      <w:proofErr w:type="spellStart"/>
      <w:r w:rsidRPr="00EE25B9">
        <w:rPr>
          <w:lang w:val="en-US"/>
        </w:rPr>
        <w:t>Agard</w:t>
      </w:r>
      <w:proofErr w:type="spellEnd"/>
      <w:r w:rsidRPr="00EE25B9">
        <w:rPr>
          <w:lang w:val="en-US"/>
        </w:rPr>
        <w:t>, L.</w:t>
      </w:r>
      <w:r w:rsidR="00E9792C">
        <w:rPr>
          <w:lang w:val="en-US"/>
        </w:rPr>
        <w:t xml:space="preserve"> </w:t>
      </w:r>
      <w:r w:rsidRPr="00EE25B9">
        <w:rPr>
          <w:lang w:val="en-US"/>
        </w:rPr>
        <w:t xml:space="preserve">P. </w:t>
      </w:r>
      <w:proofErr w:type="spellStart"/>
      <w:r w:rsidRPr="00EE25B9">
        <w:rPr>
          <w:lang w:val="en-US"/>
        </w:rPr>
        <w:t>Briguglio</w:t>
      </w:r>
      <w:proofErr w:type="spellEnd"/>
      <w:r w:rsidRPr="00EE25B9">
        <w:rPr>
          <w:lang w:val="en-US"/>
        </w:rPr>
        <w:t xml:space="preserve">, V. </w:t>
      </w:r>
      <w:proofErr w:type="spellStart"/>
      <w:r w:rsidRPr="00EE25B9">
        <w:rPr>
          <w:lang w:val="en-US"/>
        </w:rPr>
        <w:t>Duvat-Magnan</w:t>
      </w:r>
      <w:proofErr w:type="spellEnd"/>
      <w:r w:rsidRPr="00EE25B9">
        <w:rPr>
          <w:lang w:val="en-US"/>
        </w:rPr>
        <w:t xml:space="preserve">, N. </w:t>
      </w:r>
      <w:proofErr w:type="spellStart"/>
      <w:r w:rsidRPr="00EE25B9">
        <w:rPr>
          <w:lang w:val="en-US"/>
        </w:rPr>
        <w:t>Pelesikoti</w:t>
      </w:r>
      <w:proofErr w:type="spellEnd"/>
      <w:r w:rsidRPr="00EE25B9">
        <w:rPr>
          <w:lang w:val="en-US"/>
        </w:rPr>
        <w:t xml:space="preserve">, E. Tompkins, and A. Webb, 2014: Small islands. In: </w:t>
      </w:r>
      <w:r w:rsidRPr="00EE25B9">
        <w:rPr>
          <w:i/>
          <w:iCs/>
          <w:lang w:val="en-US"/>
        </w:rPr>
        <w:t>Climate Change 2014: Impacts, Adaptation, and Vulnerability. Part B: Regional Aspects. Contribution of Working Group II to the Fifth Assessment Report of the Intergovernmental Panel on Climate Change</w:t>
      </w:r>
      <w:r w:rsidRPr="00EE25B9">
        <w:rPr>
          <w:lang w:val="en-US"/>
        </w:rPr>
        <w:t xml:space="preserve"> [Barros, V.</w:t>
      </w:r>
      <w:r w:rsidR="00E9792C">
        <w:rPr>
          <w:lang w:val="en-US"/>
        </w:rPr>
        <w:t xml:space="preserve"> </w:t>
      </w:r>
      <w:r w:rsidRPr="00EE25B9">
        <w:rPr>
          <w:lang w:val="en-US"/>
        </w:rPr>
        <w:t>R., C.</w:t>
      </w:r>
      <w:r w:rsidR="00E9792C">
        <w:rPr>
          <w:lang w:val="en-US"/>
        </w:rPr>
        <w:t xml:space="preserve"> </w:t>
      </w:r>
      <w:r w:rsidRPr="00EE25B9">
        <w:rPr>
          <w:lang w:val="en-US"/>
        </w:rPr>
        <w:t>B. Field, D.</w:t>
      </w:r>
      <w:r w:rsidR="00E9792C">
        <w:rPr>
          <w:lang w:val="en-US"/>
        </w:rPr>
        <w:t xml:space="preserve"> </w:t>
      </w:r>
      <w:r w:rsidRPr="00EE25B9">
        <w:rPr>
          <w:lang w:val="en-US"/>
        </w:rPr>
        <w:t>J. Dokken, M.</w:t>
      </w:r>
      <w:r w:rsidR="00E9792C">
        <w:rPr>
          <w:lang w:val="en-US"/>
        </w:rPr>
        <w:t xml:space="preserve"> </w:t>
      </w:r>
      <w:r w:rsidRPr="00EE25B9">
        <w:rPr>
          <w:lang w:val="en-US"/>
        </w:rPr>
        <w:t xml:space="preserve">D. </w:t>
      </w:r>
      <w:proofErr w:type="spellStart"/>
      <w:r w:rsidRPr="00EE25B9">
        <w:rPr>
          <w:lang w:val="en-US"/>
        </w:rPr>
        <w:t>Mastrandrea</w:t>
      </w:r>
      <w:proofErr w:type="spellEnd"/>
      <w:r w:rsidRPr="00EE25B9">
        <w:rPr>
          <w:lang w:val="en-US"/>
        </w:rPr>
        <w:t>, K.</w:t>
      </w:r>
      <w:r w:rsidR="00E9792C">
        <w:rPr>
          <w:lang w:val="en-US"/>
        </w:rPr>
        <w:t xml:space="preserve"> </w:t>
      </w:r>
      <w:r w:rsidRPr="00EE25B9">
        <w:rPr>
          <w:lang w:val="en-US"/>
        </w:rPr>
        <w:t>J. Mach, T.</w:t>
      </w:r>
      <w:r w:rsidR="00E9792C">
        <w:rPr>
          <w:lang w:val="en-US"/>
        </w:rPr>
        <w:t xml:space="preserve"> </w:t>
      </w:r>
      <w:r w:rsidRPr="00EE25B9">
        <w:rPr>
          <w:lang w:val="en-US"/>
        </w:rPr>
        <w:t xml:space="preserve">E. </w:t>
      </w:r>
      <w:proofErr w:type="spellStart"/>
      <w:r w:rsidRPr="00EE25B9">
        <w:rPr>
          <w:lang w:val="en-US"/>
        </w:rPr>
        <w:t>Bilir</w:t>
      </w:r>
      <w:proofErr w:type="spellEnd"/>
      <w:r w:rsidRPr="00EE25B9">
        <w:rPr>
          <w:lang w:val="en-US"/>
        </w:rPr>
        <w:t>, M. Chatterjee, K.</w:t>
      </w:r>
      <w:r w:rsidR="00E9792C">
        <w:rPr>
          <w:lang w:val="en-US"/>
        </w:rPr>
        <w:t xml:space="preserve"> </w:t>
      </w:r>
      <w:r w:rsidRPr="00EE25B9">
        <w:rPr>
          <w:lang w:val="en-US"/>
        </w:rPr>
        <w:t xml:space="preserve">L. </w:t>
      </w:r>
      <w:proofErr w:type="spellStart"/>
      <w:r w:rsidRPr="00EE25B9">
        <w:rPr>
          <w:lang w:val="en-US"/>
        </w:rPr>
        <w:t>Ebi</w:t>
      </w:r>
      <w:proofErr w:type="spellEnd"/>
      <w:r w:rsidRPr="00EE25B9">
        <w:rPr>
          <w:lang w:val="en-US"/>
        </w:rPr>
        <w:t>, Y.</w:t>
      </w:r>
      <w:r w:rsidR="00E9792C">
        <w:rPr>
          <w:lang w:val="en-US"/>
        </w:rPr>
        <w:t xml:space="preserve"> </w:t>
      </w:r>
      <w:r w:rsidRPr="00EE25B9">
        <w:rPr>
          <w:lang w:val="en-US"/>
        </w:rPr>
        <w:t>O. Estrada, R.</w:t>
      </w:r>
      <w:r w:rsidR="00E9792C">
        <w:rPr>
          <w:lang w:val="en-US"/>
        </w:rPr>
        <w:t xml:space="preserve"> </w:t>
      </w:r>
      <w:r w:rsidRPr="00EE25B9">
        <w:rPr>
          <w:lang w:val="en-US"/>
        </w:rPr>
        <w:t xml:space="preserve">C. Genova, et al. (eds.)]. Cambridge University Press, Cambridge, United Kingdom and New York, NY, USA. Accessed 7 June 2021, https://www.ipcc.ch/site/assets/uploads/2018/02/WGIIAR5-Chap29_FINAL.pdf. </w:t>
      </w:r>
    </w:p>
    <w:p w14:paraId="79D3C8D6" w14:textId="77777777" w:rsidR="00EE3FD6" w:rsidRPr="00EE25B9" w:rsidRDefault="00EE3FD6" w:rsidP="00EE3FD6">
      <w:pPr>
        <w:pStyle w:val="References"/>
        <w:jc w:val="both"/>
        <w:rPr>
          <w:lang w:val="en-US"/>
        </w:rPr>
      </w:pPr>
      <w:r w:rsidRPr="00EE25B9">
        <w:rPr>
          <w:lang w:val="en-US"/>
        </w:rPr>
        <w:t>OECS (</w:t>
      </w:r>
      <w:proofErr w:type="spellStart"/>
      <w:r w:rsidRPr="00EE25B9">
        <w:rPr>
          <w:lang w:val="en-US"/>
        </w:rPr>
        <w:t>Organisation</w:t>
      </w:r>
      <w:proofErr w:type="spellEnd"/>
      <w:r w:rsidRPr="00EE25B9">
        <w:rPr>
          <w:lang w:val="en-US"/>
        </w:rPr>
        <w:t xml:space="preserve"> of Eastern Caribbean States). 2013. Eastern Caribbean Regional Ocean Policy. Castries. Accessed 2 July 2021, http://www.caribbeanelections.com/eDocs/strategy/oecs_strategy/OECS_Eastern_Caribbean_Ocean_Policy_2013.pdf.</w:t>
      </w:r>
    </w:p>
    <w:p w14:paraId="4CCCB659" w14:textId="77777777" w:rsidR="00EE3FD6" w:rsidRPr="00EE25B9" w:rsidRDefault="00EE3FD6" w:rsidP="00EE3FD6">
      <w:pPr>
        <w:pStyle w:val="References"/>
        <w:jc w:val="both"/>
        <w:rPr>
          <w:lang w:val="en-US"/>
        </w:rPr>
      </w:pPr>
      <w:r w:rsidRPr="00EE25B9">
        <w:rPr>
          <w:lang w:val="en-US"/>
        </w:rPr>
        <w:t>OECS (</w:t>
      </w:r>
      <w:proofErr w:type="spellStart"/>
      <w:r w:rsidRPr="00EE25B9">
        <w:rPr>
          <w:lang w:val="en-US"/>
        </w:rPr>
        <w:t>Organisation</w:t>
      </w:r>
      <w:proofErr w:type="spellEnd"/>
      <w:r w:rsidRPr="00EE25B9">
        <w:rPr>
          <w:lang w:val="en-US"/>
        </w:rPr>
        <w:t xml:space="preserve"> of Eastern Caribbean States). 2019. Final Declaration of the International Conference on Sargassum: A commitment to Cooperation in the Caribbean. Accessed 17 June 2021, https://pressroom.oecs.org/final-declaration-of-the-international-conference-on-sargassum-a-commitment-to-cooperation-in-the-caribbean#.</w:t>
      </w:r>
    </w:p>
    <w:p w14:paraId="69DF0E61" w14:textId="77777777" w:rsidR="0034274C" w:rsidRPr="00EE25B9" w:rsidRDefault="0034274C" w:rsidP="0034274C">
      <w:pPr>
        <w:pStyle w:val="References"/>
        <w:jc w:val="both"/>
        <w:rPr>
          <w:lang w:val="en-US"/>
        </w:rPr>
      </w:pPr>
      <w:r w:rsidRPr="00EE25B9">
        <w:rPr>
          <w:lang w:val="en-US"/>
        </w:rPr>
        <w:t xml:space="preserve">Ostrom, E. 2010. Polycentric Systems for Coping with Collective Action and Global Environmental Change. </w:t>
      </w:r>
      <w:r w:rsidRPr="00EE25B9">
        <w:rPr>
          <w:i/>
          <w:iCs/>
          <w:lang w:val="en-US"/>
        </w:rPr>
        <w:t>Global Environmental Change</w:t>
      </w:r>
      <w:r w:rsidRPr="00EE25B9">
        <w:rPr>
          <w:lang w:val="en-US"/>
        </w:rPr>
        <w:t xml:space="preserve"> 20 (4): 550–57. </w:t>
      </w:r>
      <w:proofErr w:type="spellStart"/>
      <w:r w:rsidRPr="00EE25B9">
        <w:rPr>
          <w:lang w:val="en-US"/>
        </w:rPr>
        <w:t>doi</w:t>
      </w:r>
      <w:proofErr w:type="spellEnd"/>
      <w:r w:rsidRPr="00EE25B9">
        <w:rPr>
          <w:lang w:val="en-US"/>
        </w:rPr>
        <w:t>: 10.1016/j.gloenvcha.2010.07.004.</w:t>
      </w:r>
    </w:p>
    <w:p w14:paraId="647C50DE" w14:textId="4A7DCB61" w:rsidR="00EE3FD6" w:rsidRPr="00EE25B9" w:rsidRDefault="00EE3FD6" w:rsidP="00EE3FD6">
      <w:pPr>
        <w:pStyle w:val="References"/>
        <w:jc w:val="both"/>
        <w:rPr>
          <w:lang w:val="en-US"/>
        </w:rPr>
      </w:pPr>
      <w:proofErr w:type="spellStart"/>
      <w:r w:rsidRPr="00EE25B9">
        <w:rPr>
          <w:lang w:val="nl-NL"/>
        </w:rPr>
        <w:t>Ostrom</w:t>
      </w:r>
      <w:proofErr w:type="spellEnd"/>
      <w:r w:rsidRPr="00EE25B9">
        <w:rPr>
          <w:lang w:val="nl-NL"/>
        </w:rPr>
        <w:t>, E., M.</w:t>
      </w:r>
      <w:r w:rsidR="0041694B">
        <w:rPr>
          <w:lang w:val="nl-NL"/>
        </w:rPr>
        <w:t xml:space="preserve"> </w:t>
      </w:r>
      <w:r w:rsidRPr="00EE25B9">
        <w:rPr>
          <w:lang w:val="nl-NL"/>
        </w:rPr>
        <w:t xml:space="preserve">A. Janssen, and J. M. </w:t>
      </w:r>
      <w:proofErr w:type="spellStart"/>
      <w:r w:rsidRPr="00EE25B9">
        <w:rPr>
          <w:lang w:val="nl-NL"/>
        </w:rPr>
        <w:t>Anderies</w:t>
      </w:r>
      <w:proofErr w:type="spellEnd"/>
      <w:r w:rsidRPr="00EE25B9">
        <w:rPr>
          <w:lang w:val="nl-NL"/>
        </w:rPr>
        <w:t xml:space="preserve">. </w:t>
      </w:r>
      <w:r w:rsidRPr="00EE25B9">
        <w:t xml:space="preserve">2007. </w:t>
      </w:r>
      <w:r w:rsidRPr="00EE25B9">
        <w:rPr>
          <w:lang w:val="en-US"/>
        </w:rPr>
        <w:t xml:space="preserve">Going beyond panaceas. </w:t>
      </w:r>
      <w:r w:rsidRPr="00EE25B9">
        <w:rPr>
          <w:i/>
          <w:iCs/>
          <w:lang w:val="en-US"/>
        </w:rPr>
        <w:t>PNAS</w:t>
      </w:r>
      <w:r w:rsidRPr="00EE25B9">
        <w:rPr>
          <w:lang w:val="en-US"/>
        </w:rPr>
        <w:t xml:space="preserve"> 104: 15176–178. </w:t>
      </w:r>
      <w:proofErr w:type="spellStart"/>
      <w:r w:rsidRPr="00EE25B9">
        <w:rPr>
          <w:lang w:val="en-US"/>
        </w:rPr>
        <w:t>doi</w:t>
      </w:r>
      <w:proofErr w:type="spellEnd"/>
      <w:r w:rsidRPr="00EE25B9">
        <w:rPr>
          <w:lang w:val="en-US"/>
        </w:rPr>
        <w:t>: 10.1073/pnas.0701886104.</w:t>
      </w:r>
    </w:p>
    <w:p w14:paraId="31DF4D7C" w14:textId="09A88590" w:rsidR="00EE3FD6" w:rsidRPr="00EE25B9" w:rsidRDefault="00EE3FD6" w:rsidP="00EE3FD6">
      <w:pPr>
        <w:pStyle w:val="References"/>
        <w:jc w:val="both"/>
        <w:rPr>
          <w:lang w:val="en-US"/>
        </w:rPr>
      </w:pPr>
      <w:r w:rsidRPr="00EE25B9">
        <w:rPr>
          <w:lang w:val="en-US"/>
        </w:rPr>
        <w:lastRenderedPageBreak/>
        <w:t>Oxenford, H.</w:t>
      </w:r>
      <w:r w:rsidR="00C76073">
        <w:rPr>
          <w:lang w:val="en-US"/>
        </w:rPr>
        <w:t xml:space="preserve"> </w:t>
      </w:r>
      <w:r w:rsidRPr="00EE25B9">
        <w:rPr>
          <w:lang w:val="en-US"/>
        </w:rPr>
        <w:t xml:space="preserve">A., D. Johnson, S-A. Cox and J. Franks. 2019. Report on the Relationships between Sargassum Events, Oceanic variables and Dolphinfish and </w:t>
      </w:r>
      <w:proofErr w:type="spellStart"/>
      <w:r w:rsidRPr="00EE25B9">
        <w:rPr>
          <w:lang w:val="en-US"/>
        </w:rPr>
        <w:t>Flyingfish</w:t>
      </w:r>
      <w:proofErr w:type="spellEnd"/>
      <w:r w:rsidRPr="00EE25B9">
        <w:rPr>
          <w:lang w:val="en-US"/>
        </w:rPr>
        <w:t xml:space="preserve"> Fisheries. CERMES, Bridgetown, Barbados. Accessed on 30 July 2020, https://www.cavehill.uwi.edu/cermes/projects/sargassum/docs/cc4fish/d30_cc4fish_report_on_the_relationships_between_sa.aspx.</w:t>
      </w:r>
    </w:p>
    <w:p w14:paraId="5EAC69C2" w14:textId="67C6A1AE" w:rsidR="00EE3FD6" w:rsidRPr="00EE25B9" w:rsidRDefault="00EE3FD6" w:rsidP="00EE3FD6">
      <w:pPr>
        <w:pStyle w:val="References"/>
        <w:jc w:val="both"/>
        <w:rPr>
          <w:lang w:val="en-US"/>
        </w:rPr>
      </w:pPr>
      <w:proofErr w:type="spellStart"/>
      <w:r w:rsidRPr="00EE25B9">
        <w:rPr>
          <w:lang w:val="en-US"/>
        </w:rPr>
        <w:t>Pahl-Wostl</w:t>
      </w:r>
      <w:proofErr w:type="spellEnd"/>
      <w:r w:rsidRPr="00EE25B9">
        <w:rPr>
          <w:lang w:val="en-US"/>
        </w:rPr>
        <w:t xml:space="preserve">, C. and C. </w:t>
      </w:r>
      <w:proofErr w:type="spellStart"/>
      <w:r w:rsidRPr="00EE25B9">
        <w:rPr>
          <w:lang w:val="en-US"/>
        </w:rPr>
        <w:t>Knieper</w:t>
      </w:r>
      <w:proofErr w:type="spellEnd"/>
      <w:r w:rsidRPr="00EE25B9">
        <w:rPr>
          <w:lang w:val="en-US"/>
        </w:rPr>
        <w:t xml:space="preserve">. 2014. The capacity of water governance to deal with the climate change adaptation challenge: Using fuzzy set Qualitative Comparative Analysis to distinguish between polycentric, fragmented and centralized regimes. </w:t>
      </w:r>
      <w:r w:rsidRPr="00EE25B9">
        <w:rPr>
          <w:i/>
          <w:iCs/>
          <w:lang w:val="en-US"/>
        </w:rPr>
        <w:t>Global Environmental Change</w:t>
      </w:r>
      <w:r w:rsidRPr="00EE25B9">
        <w:rPr>
          <w:lang w:val="en-US"/>
        </w:rPr>
        <w:t xml:space="preserve"> 29: 139–54. </w:t>
      </w:r>
      <w:proofErr w:type="spellStart"/>
      <w:r w:rsidRPr="00EE25B9">
        <w:rPr>
          <w:lang w:val="en-US"/>
        </w:rPr>
        <w:t>doi</w:t>
      </w:r>
      <w:proofErr w:type="spellEnd"/>
      <w:r w:rsidRPr="00EE25B9">
        <w:rPr>
          <w:lang w:val="en-US"/>
        </w:rPr>
        <w:t>: 10.1016/j.gloenvcha.2014.09.003.</w:t>
      </w:r>
    </w:p>
    <w:p w14:paraId="17621DE8" w14:textId="77777777" w:rsidR="00EE3FD6" w:rsidRPr="00EE25B9" w:rsidRDefault="00EE3FD6" w:rsidP="00EE3FD6">
      <w:pPr>
        <w:pStyle w:val="References"/>
        <w:jc w:val="both"/>
        <w:rPr>
          <w:lang w:val="en-US"/>
        </w:rPr>
      </w:pPr>
      <w:r w:rsidRPr="00EE25B9">
        <w:rPr>
          <w:lang w:val="en-US"/>
        </w:rPr>
        <w:t xml:space="preserve">Robinson, S‐A. 2018. Adapting to climate change at the national level in Caribbean small island developing states. </w:t>
      </w:r>
      <w:r w:rsidRPr="00EE25B9">
        <w:rPr>
          <w:i/>
          <w:iCs/>
          <w:lang w:val="en-US"/>
        </w:rPr>
        <w:t>Island Studies Journal</w:t>
      </w:r>
      <w:r w:rsidRPr="00EE25B9">
        <w:rPr>
          <w:lang w:val="en-US"/>
        </w:rPr>
        <w:t>, 13(1).</w:t>
      </w:r>
    </w:p>
    <w:p w14:paraId="2A220C5F" w14:textId="77777777" w:rsidR="00EE3FD6" w:rsidRPr="00EE25B9" w:rsidRDefault="00EE3FD6" w:rsidP="00EE3FD6">
      <w:pPr>
        <w:pStyle w:val="References"/>
        <w:jc w:val="both"/>
        <w:rPr>
          <w:lang w:val="en-US"/>
        </w:rPr>
      </w:pPr>
      <w:r w:rsidRPr="00EE25B9">
        <w:rPr>
          <w:lang w:val="en-US"/>
        </w:rPr>
        <w:t xml:space="preserve">Robinson, S-A. 2020. Climate change adaptation in SIDS: A systematic review of the literature pre and post the IPCC Fifth Assessment Report. </w:t>
      </w:r>
      <w:r w:rsidRPr="00EE25B9">
        <w:rPr>
          <w:i/>
          <w:iCs/>
          <w:lang w:val="en-US"/>
        </w:rPr>
        <w:t xml:space="preserve">Wiley Interdisciplinary Reviews: Climate Change </w:t>
      </w:r>
      <w:r w:rsidRPr="00EE25B9">
        <w:rPr>
          <w:lang w:val="en-US"/>
        </w:rPr>
        <w:t xml:space="preserve">11(4). </w:t>
      </w:r>
      <w:proofErr w:type="spellStart"/>
      <w:r w:rsidRPr="00EE25B9">
        <w:rPr>
          <w:lang w:val="en-US"/>
        </w:rPr>
        <w:t>doi</w:t>
      </w:r>
      <w:proofErr w:type="spellEnd"/>
      <w:r w:rsidRPr="00EE25B9">
        <w:rPr>
          <w:lang w:val="en-US"/>
        </w:rPr>
        <w:t>: 10.1002/wcc.653.</w:t>
      </w:r>
    </w:p>
    <w:p w14:paraId="7741701A" w14:textId="77777777" w:rsidR="00EE3FD6" w:rsidRPr="00EE25B9" w:rsidRDefault="00EE3FD6" w:rsidP="00EE3FD6">
      <w:pPr>
        <w:pStyle w:val="References"/>
        <w:rPr>
          <w:lang w:eastAsia="en-US"/>
        </w:rPr>
      </w:pPr>
      <w:r w:rsidRPr="00EE25B9">
        <w:rPr>
          <w:lang w:val="en-US"/>
        </w:rPr>
        <w:t>Scobie</w:t>
      </w:r>
      <w:r w:rsidRPr="00EE25B9">
        <w:rPr>
          <w:color w:val="222222"/>
          <w:shd w:val="clear" w:color="auto" w:fill="FFFFFF"/>
          <w:lang w:eastAsia="en-US"/>
        </w:rPr>
        <w:t>, Michelle. </w:t>
      </w:r>
      <w:r w:rsidRPr="00EE25B9">
        <w:rPr>
          <w:i/>
          <w:iCs/>
          <w:color w:val="222222"/>
          <w:lang w:eastAsia="en-US"/>
        </w:rPr>
        <w:t>Global environmental governance and small states: Architectures and agency in the Caribbean</w:t>
      </w:r>
      <w:r w:rsidRPr="00EE25B9">
        <w:rPr>
          <w:color w:val="222222"/>
          <w:shd w:val="clear" w:color="auto" w:fill="FFFFFF"/>
          <w:lang w:eastAsia="en-US"/>
        </w:rPr>
        <w:t>. Edward Elgar Publishing, 2019</w:t>
      </w:r>
    </w:p>
    <w:p w14:paraId="24767C40" w14:textId="2C8EC4F2" w:rsidR="00EE3FD6" w:rsidRPr="00EE25B9" w:rsidRDefault="00EE3FD6" w:rsidP="00EE3FD6">
      <w:pPr>
        <w:pStyle w:val="References"/>
        <w:jc w:val="both"/>
        <w:rPr>
          <w:lang w:val="en-US"/>
        </w:rPr>
      </w:pPr>
      <w:r w:rsidRPr="00EE25B9">
        <w:rPr>
          <w:lang w:val="en-US"/>
        </w:rPr>
        <w:t>Siegel, K.</w:t>
      </w:r>
      <w:r w:rsidR="00C76073">
        <w:rPr>
          <w:lang w:val="en-US"/>
        </w:rPr>
        <w:t xml:space="preserve"> </w:t>
      </w:r>
      <w:r w:rsidRPr="00EE25B9">
        <w:rPr>
          <w:lang w:val="en-US"/>
        </w:rPr>
        <w:t>J., R.</w:t>
      </w:r>
      <w:r w:rsidR="00C76073">
        <w:rPr>
          <w:lang w:val="en-US"/>
        </w:rPr>
        <w:t xml:space="preserve"> </w:t>
      </w:r>
      <w:r w:rsidRPr="00EE25B9">
        <w:rPr>
          <w:lang w:val="en-US"/>
        </w:rPr>
        <w:t xml:space="preserve">B. Cabral, J. McHenry, E. </w:t>
      </w:r>
      <w:proofErr w:type="spellStart"/>
      <w:r w:rsidRPr="00EE25B9">
        <w:rPr>
          <w:lang w:val="en-US"/>
        </w:rPr>
        <w:t>Ojea</w:t>
      </w:r>
      <w:proofErr w:type="spellEnd"/>
      <w:r w:rsidRPr="00EE25B9">
        <w:rPr>
          <w:lang w:val="en-US"/>
        </w:rPr>
        <w:t xml:space="preserve">, B. </w:t>
      </w:r>
      <w:proofErr w:type="spellStart"/>
      <w:r w:rsidRPr="00EE25B9">
        <w:rPr>
          <w:lang w:val="en-US"/>
        </w:rPr>
        <w:t>Owashi</w:t>
      </w:r>
      <w:proofErr w:type="spellEnd"/>
      <w:r w:rsidRPr="00EE25B9">
        <w:rPr>
          <w:lang w:val="en-US"/>
        </w:rPr>
        <w:t>, and S.</w:t>
      </w:r>
      <w:r w:rsidR="00C76073">
        <w:rPr>
          <w:lang w:val="en-US"/>
        </w:rPr>
        <w:t xml:space="preserve"> </w:t>
      </w:r>
      <w:r w:rsidRPr="00EE25B9">
        <w:rPr>
          <w:lang w:val="en-US"/>
        </w:rPr>
        <w:t xml:space="preserve">E. Lester. 2019. Sovereign states in the Caribbean have lower social-ecological vulnerability to coral bleaching than overseas territories. </w:t>
      </w:r>
      <w:r w:rsidRPr="00EE25B9">
        <w:rPr>
          <w:i/>
          <w:iCs/>
          <w:lang w:val="en-US"/>
        </w:rPr>
        <w:t>Proceedings of the Royal Society B</w:t>
      </w:r>
      <w:r w:rsidRPr="00EE25B9">
        <w:rPr>
          <w:lang w:val="en-US"/>
        </w:rPr>
        <w:t xml:space="preserve"> 286(1897), p.20182365.</w:t>
      </w:r>
    </w:p>
    <w:p w14:paraId="70895ED1" w14:textId="4F7A9646" w:rsidR="00EE3FD6" w:rsidRPr="00EE25B9" w:rsidRDefault="00EE3FD6" w:rsidP="00EE3FD6">
      <w:pPr>
        <w:pStyle w:val="References"/>
        <w:jc w:val="both"/>
        <w:rPr>
          <w:lang w:val="en-US"/>
        </w:rPr>
      </w:pPr>
      <w:proofErr w:type="spellStart"/>
      <w:r w:rsidRPr="00EE25B9">
        <w:rPr>
          <w:lang w:val="en-US"/>
        </w:rPr>
        <w:t>Speede</w:t>
      </w:r>
      <w:proofErr w:type="spellEnd"/>
      <w:r w:rsidRPr="00EE25B9">
        <w:rPr>
          <w:lang w:val="en-US"/>
        </w:rPr>
        <w:t>, R.</w:t>
      </w:r>
      <w:r w:rsidR="00C76073">
        <w:rPr>
          <w:lang w:val="en-US"/>
        </w:rPr>
        <w:t xml:space="preserve"> </w:t>
      </w:r>
      <w:r w:rsidRPr="00EE25B9">
        <w:rPr>
          <w:lang w:val="en-US"/>
        </w:rPr>
        <w:t>F., S. Cox, and H.</w:t>
      </w:r>
      <w:r w:rsidR="00C76073">
        <w:rPr>
          <w:lang w:val="en-US"/>
        </w:rPr>
        <w:t xml:space="preserve"> </w:t>
      </w:r>
      <w:r w:rsidRPr="00EE25B9">
        <w:rPr>
          <w:lang w:val="en-US"/>
        </w:rPr>
        <w:t>A. Oxenford. 2019. Best Practices for Fisherfolk coping with Sargassum. Cave Hill, Barbados, CERMES, The University of the West Indies, 23pp.</w:t>
      </w:r>
    </w:p>
    <w:p w14:paraId="61076146" w14:textId="1BF6AFF3" w:rsidR="00EE3FD6" w:rsidRPr="00EE25B9" w:rsidRDefault="00EE3FD6" w:rsidP="00EE3FD6">
      <w:pPr>
        <w:pStyle w:val="References"/>
        <w:jc w:val="both"/>
        <w:rPr>
          <w:lang w:val="en-US"/>
        </w:rPr>
      </w:pPr>
      <w:r w:rsidRPr="00EE25B9">
        <w:rPr>
          <w:lang w:val="en-US"/>
        </w:rPr>
        <w:t xml:space="preserve">Tierney, K. 2012. Disaster Governance: Social, Political, and Economic Dimensions. </w:t>
      </w:r>
      <w:r w:rsidRPr="00EE25B9">
        <w:rPr>
          <w:i/>
          <w:iCs/>
          <w:lang w:val="en-US"/>
        </w:rPr>
        <w:t>Annual Review of Environment and Resources</w:t>
      </w:r>
      <w:r w:rsidRPr="00EE25B9">
        <w:rPr>
          <w:lang w:val="en-US"/>
        </w:rPr>
        <w:t xml:space="preserve"> 37: 341-63.</w:t>
      </w:r>
    </w:p>
    <w:p w14:paraId="732BA340" w14:textId="77777777" w:rsidR="00EE3FD6" w:rsidRDefault="00EE3FD6" w:rsidP="00EE3FD6">
      <w:pPr>
        <w:pStyle w:val="References"/>
        <w:jc w:val="both"/>
      </w:pPr>
      <w:r w:rsidRPr="001D5E77">
        <w:t>UNEP (United Nations Environment Programme) and Sargasso Sea Commission.</w:t>
      </w:r>
      <w:r>
        <w:t xml:space="preserve"> 2017. Memorandum of Understanding Between The United Nations Environment Programme and The Sargasso Sea Commission. Accessed 17 June 2021, </w:t>
      </w:r>
      <w:r w:rsidRPr="000478B7">
        <w:t>https://wedocs.unep.org/handle/20.500.11822/30776</w:t>
      </w:r>
      <w:r>
        <w:t>.</w:t>
      </w:r>
    </w:p>
    <w:p w14:paraId="6C22D2DF" w14:textId="77777777" w:rsidR="00EE3FD6" w:rsidRPr="00EE25B9" w:rsidRDefault="00EE3FD6" w:rsidP="00EE3FD6">
      <w:pPr>
        <w:pStyle w:val="References"/>
        <w:jc w:val="both"/>
        <w:rPr>
          <w:lang w:val="en-US"/>
        </w:rPr>
      </w:pPr>
      <w:r w:rsidRPr="00EE3FD6">
        <w:t xml:space="preserve">UNEP-CEP (United Nations Environment Programme – Caribbean Environment Programme). </w:t>
      </w:r>
      <w:r w:rsidRPr="00EE25B9">
        <w:t xml:space="preserve">2018. </w:t>
      </w:r>
      <w:r w:rsidRPr="00EE25B9">
        <w:rPr>
          <w:lang w:val="en-US"/>
        </w:rPr>
        <w:t xml:space="preserve">Sargassum White Paper - Sargassum Outbreak in the Caribbean: Challenges, Opportunities and Regional Situation. Eighth Meeting of the Scientific and STAC to the SPAW in the Wider Caribbean Region. Panama </w:t>
      </w:r>
      <w:r w:rsidRPr="00EE25B9">
        <w:rPr>
          <w:lang w:val="en-US"/>
        </w:rPr>
        <w:lastRenderedPageBreak/>
        <w:t xml:space="preserve">City, Panama. Accessed 12 June 2020, http://gefcrew.org/carrcu/SPAWSTAC8/Info-Docs/WG.40_INF8-en.pdf. </w:t>
      </w:r>
    </w:p>
    <w:p w14:paraId="0F00A256" w14:textId="77777777" w:rsidR="00EE3FD6" w:rsidRPr="00EE25B9" w:rsidRDefault="00EE3FD6" w:rsidP="00EE3FD6">
      <w:pPr>
        <w:pStyle w:val="References"/>
        <w:jc w:val="both"/>
        <w:rPr>
          <w:lang w:val="en-US"/>
        </w:rPr>
      </w:pPr>
      <w:r w:rsidRPr="00EE25B9">
        <w:rPr>
          <w:lang w:val="en-US"/>
        </w:rPr>
        <w:t xml:space="preserve">UNEP-CEP (United Nations Environment </w:t>
      </w:r>
      <w:proofErr w:type="spellStart"/>
      <w:r w:rsidRPr="00EE25B9">
        <w:rPr>
          <w:lang w:val="en-US"/>
        </w:rPr>
        <w:t>Programme</w:t>
      </w:r>
      <w:proofErr w:type="spellEnd"/>
      <w:r w:rsidRPr="00EE25B9">
        <w:rPr>
          <w:lang w:val="en-US"/>
        </w:rPr>
        <w:t xml:space="preserve"> – Caribbean Environment </w:t>
      </w:r>
      <w:proofErr w:type="spellStart"/>
      <w:r w:rsidRPr="00EE25B9">
        <w:rPr>
          <w:lang w:val="en-US"/>
        </w:rPr>
        <w:t>Programme</w:t>
      </w:r>
      <w:proofErr w:type="spellEnd"/>
      <w:r w:rsidRPr="00EE25B9">
        <w:rPr>
          <w:lang w:val="en-US"/>
        </w:rPr>
        <w:t xml:space="preserve">). 2021. Sargassum White Paper – Turning the crisis into an opportunity. Ninth Meeting of the STAC to the SPAW in the Wider Caribbean Region. Kingston, Jamaica. Accessed 1 July 2021, https://wedocs.unep.org/handle/20.500.11822/36244. </w:t>
      </w:r>
    </w:p>
    <w:p w14:paraId="26607152" w14:textId="77777777" w:rsidR="00EE3FD6" w:rsidRPr="00EE25B9" w:rsidRDefault="00EE3FD6" w:rsidP="00EE3FD6">
      <w:pPr>
        <w:pStyle w:val="References"/>
        <w:jc w:val="both"/>
        <w:rPr>
          <w:lang w:val="en-US"/>
        </w:rPr>
      </w:pPr>
      <w:r w:rsidRPr="00EE25B9">
        <w:rPr>
          <w:lang w:val="en-US"/>
        </w:rPr>
        <w:t xml:space="preserve">Van der Plank, S., J. Corbett, J. Cumberbatch, B. Thomas, and E. Tompkins. 2020. Management of Sargassum influxes in the Caribbean: national and regional governance of a transboundary marine species. SARTRAC Working Paper 1. Accessed 20 June 2021, https://www.sartrac.org/outputs/. </w:t>
      </w:r>
    </w:p>
    <w:p w14:paraId="5CE8137B" w14:textId="77777777" w:rsidR="00EE3FD6" w:rsidRPr="00EE25B9" w:rsidRDefault="00EE3FD6" w:rsidP="00EE3FD6">
      <w:pPr>
        <w:pStyle w:val="References"/>
        <w:jc w:val="both"/>
        <w:rPr>
          <w:lang w:val="en-US"/>
        </w:rPr>
      </w:pPr>
      <w:r w:rsidRPr="00EE25B9">
        <w:rPr>
          <w:lang w:val="en-US"/>
        </w:rPr>
        <w:t xml:space="preserve">Wang, M, C. Hu, B. B. Barnes, G. </w:t>
      </w:r>
      <w:proofErr w:type="spellStart"/>
      <w:r w:rsidRPr="00EE25B9">
        <w:rPr>
          <w:lang w:val="en-US"/>
        </w:rPr>
        <w:t>Mitchum</w:t>
      </w:r>
      <w:proofErr w:type="spellEnd"/>
      <w:r w:rsidRPr="00EE25B9">
        <w:rPr>
          <w:lang w:val="en-US"/>
        </w:rPr>
        <w:t xml:space="preserve">, B. Lapointe, and J.P. Montoya. 2019. The Great Atlantic Sargassum Belt. </w:t>
      </w:r>
      <w:r w:rsidRPr="00EE25B9">
        <w:rPr>
          <w:i/>
          <w:iCs/>
          <w:lang w:val="en-US"/>
        </w:rPr>
        <w:t>Science</w:t>
      </w:r>
      <w:r w:rsidRPr="00EE25B9">
        <w:rPr>
          <w:lang w:val="en-US"/>
        </w:rPr>
        <w:t xml:space="preserve"> 365(6448): 83–87. </w:t>
      </w:r>
      <w:proofErr w:type="spellStart"/>
      <w:r w:rsidRPr="00EE25B9">
        <w:rPr>
          <w:lang w:val="en-US"/>
        </w:rPr>
        <w:t>doi</w:t>
      </w:r>
      <w:proofErr w:type="spellEnd"/>
      <w:r w:rsidRPr="00EE25B9">
        <w:rPr>
          <w:lang w:val="en-US"/>
        </w:rPr>
        <w:t>: 10.1126/science.aaw7912.</w:t>
      </w:r>
    </w:p>
    <w:p w14:paraId="4E403478" w14:textId="77777777" w:rsidR="00EE3FD6" w:rsidRPr="00EE25B9" w:rsidRDefault="00EE3FD6" w:rsidP="00EE3FD6">
      <w:pPr>
        <w:pStyle w:val="References"/>
        <w:jc w:val="both"/>
        <w:rPr>
          <w:lang w:val="en-US"/>
        </w:rPr>
      </w:pPr>
      <w:r w:rsidRPr="00EE25B9">
        <w:rPr>
          <w:lang w:val="en-US"/>
        </w:rPr>
        <w:t xml:space="preserve">Wright, G., S. Schmidt, J. Rochette, J. </w:t>
      </w:r>
      <w:proofErr w:type="spellStart"/>
      <w:r w:rsidRPr="00EE25B9">
        <w:rPr>
          <w:lang w:val="en-US"/>
        </w:rPr>
        <w:t>Shackeroff</w:t>
      </w:r>
      <w:proofErr w:type="spellEnd"/>
      <w:r w:rsidRPr="00EE25B9">
        <w:rPr>
          <w:lang w:val="en-US"/>
        </w:rPr>
        <w:t xml:space="preserve">, S. Unger, Y. Waweru, and A. Muller.  2017. Partnering for a Sustainable Ocean: The Role of Regional Ocean Governance in Implementing SDG14. Partnership for Regional Ocean Governance PROG: IDDRI, IASS, TMG &amp; UN Environment. Accessed 2 July 2021, https://www.iddri.org/en/publications-and-events/report/partnering-sustainable-ocean-role-regional-ocean-governance. </w:t>
      </w:r>
    </w:p>
    <w:p w14:paraId="7B971AE7" w14:textId="69ACD4C6" w:rsidR="00E33F94" w:rsidRPr="00867BB6" w:rsidRDefault="00EE3FD6" w:rsidP="00EE3FD6">
      <w:pPr>
        <w:pStyle w:val="References"/>
        <w:jc w:val="both"/>
        <w:rPr>
          <w:lang w:val="en-US"/>
        </w:rPr>
      </w:pPr>
      <w:proofErr w:type="spellStart"/>
      <w:r w:rsidRPr="00EE25B9">
        <w:rPr>
          <w:lang w:val="nl-NL"/>
        </w:rPr>
        <w:t>Zelli</w:t>
      </w:r>
      <w:proofErr w:type="spellEnd"/>
      <w:r w:rsidRPr="00EE25B9">
        <w:rPr>
          <w:lang w:val="nl-NL"/>
        </w:rPr>
        <w:t xml:space="preserve">, F., and H. van Asselt. </w:t>
      </w:r>
      <w:r w:rsidRPr="00EE25B9">
        <w:rPr>
          <w:lang w:val="en-US"/>
        </w:rPr>
        <w:t xml:space="preserve">2013. The Institutional Fragmentation of Global Environmental Governance: Causes, Consequences, and Responses. </w:t>
      </w:r>
      <w:r w:rsidRPr="00EE25B9">
        <w:rPr>
          <w:i/>
          <w:iCs/>
          <w:lang w:val="en-US"/>
        </w:rPr>
        <w:t>Global Environmental Politics</w:t>
      </w:r>
      <w:r w:rsidRPr="00EE25B9">
        <w:rPr>
          <w:lang w:val="en-US"/>
        </w:rPr>
        <w:t xml:space="preserve"> 13(3): 1–13. </w:t>
      </w:r>
      <w:proofErr w:type="spellStart"/>
      <w:r w:rsidRPr="00EE25B9">
        <w:rPr>
          <w:lang w:val="en-US"/>
        </w:rPr>
        <w:t>doi</w:t>
      </w:r>
      <w:proofErr w:type="spellEnd"/>
      <w:r w:rsidRPr="00EE25B9">
        <w:rPr>
          <w:lang w:val="en-US"/>
        </w:rPr>
        <w:t>: 10.1162/GLEP_a_00180.</w:t>
      </w:r>
    </w:p>
    <w:p w14:paraId="416A172C" w14:textId="77777777" w:rsidR="00B02634" w:rsidRPr="00867BB6" w:rsidRDefault="005B3FBA">
      <w:pPr>
        <w:spacing w:line="240" w:lineRule="auto"/>
        <w:rPr>
          <w:lang w:val="en-US"/>
        </w:rPr>
      </w:pPr>
      <w:r w:rsidRPr="00867BB6">
        <w:rPr>
          <w:lang w:val="en-US"/>
        </w:rPr>
        <w:br w:type="page"/>
      </w:r>
      <w:r w:rsidR="004E107B" w:rsidRPr="00867BB6">
        <w:rPr>
          <w:lang w:val="en-US"/>
        </w:rPr>
        <w:lastRenderedPageBreak/>
        <w:t>Appendix 1.</w:t>
      </w:r>
    </w:p>
    <w:p w14:paraId="6D0512B6" w14:textId="77777777" w:rsidR="000A02A3" w:rsidRPr="00867BB6" w:rsidRDefault="000A02A3" w:rsidP="00B02634">
      <w:pPr>
        <w:rPr>
          <w:lang w:val="en-US"/>
        </w:rPr>
      </w:pPr>
    </w:p>
    <w:p w14:paraId="0024DFE4" w14:textId="13D4FD46" w:rsidR="00B02634" w:rsidRPr="00867BB6" w:rsidRDefault="00B02634" w:rsidP="00B02634">
      <w:pPr>
        <w:rPr>
          <w:lang w:val="en-US"/>
        </w:rPr>
      </w:pPr>
      <w:r w:rsidRPr="00867BB6">
        <w:rPr>
          <w:lang w:val="en-US"/>
        </w:rPr>
        <w:t>Reference list for Table 3 of National policy documents addressing sargassum influxes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306"/>
        <w:gridCol w:w="4537"/>
        <w:gridCol w:w="2115"/>
      </w:tblGrid>
      <w:tr w:rsidR="00B02634" w:rsidRPr="00867BB6" w14:paraId="409BB329" w14:textId="77777777" w:rsidTr="00946ACF">
        <w:trPr>
          <w:trHeight w:val="670"/>
        </w:trPr>
        <w:tc>
          <w:tcPr>
            <w:tcW w:w="313" w:type="pct"/>
            <w:vAlign w:val="center"/>
          </w:tcPr>
          <w:p w14:paraId="276136BC" w14:textId="77777777" w:rsidR="00B02634" w:rsidRPr="00867BB6" w:rsidRDefault="00B02634" w:rsidP="00E33F94">
            <w:pPr>
              <w:pStyle w:val="NoSpacing"/>
              <w:rPr>
                <w:b/>
                <w:bCs/>
                <w:sz w:val="21"/>
                <w:szCs w:val="21"/>
                <w:lang w:val="en-US" w:eastAsia="en-AU"/>
              </w:rPr>
            </w:pPr>
            <w:r w:rsidRPr="00867BB6">
              <w:rPr>
                <w:b/>
                <w:bCs/>
                <w:sz w:val="21"/>
                <w:szCs w:val="21"/>
                <w:lang w:val="en-US" w:eastAsia="en-AU"/>
              </w:rPr>
              <w:t>No.</w:t>
            </w:r>
          </w:p>
        </w:tc>
        <w:tc>
          <w:tcPr>
            <w:tcW w:w="769" w:type="pct"/>
            <w:shd w:val="clear" w:color="auto" w:fill="auto"/>
            <w:noWrap/>
            <w:vAlign w:val="center"/>
            <w:hideMark/>
          </w:tcPr>
          <w:p w14:paraId="577D9081" w14:textId="77777777" w:rsidR="00B02634" w:rsidRPr="00867BB6" w:rsidRDefault="00B02634" w:rsidP="00E33F94">
            <w:pPr>
              <w:pStyle w:val="NoSpacing"/>
              <w:rPr>
                <w:b/>
                <w:bCs/>
                <w:sz w:val="21"/>
                <w:szCs w:val="21"/>
                <w:lang w:val="en-US" w:eastAsia="en-AU"/>
              </w:rPr>
            </w:pPr>
            <w:r w:rsidRPr="00867BB6">
              <w:rPr>
                <w:b/>
                <w:bCs/>
                <w:sz w:val="21"/>
                <w:szCs w:val="21"/>
                <w:lang w:val="en-US" w:eastAsia="en-AU"/>
              </w:rPr>
              <w:t>State</w:t>
            </w:r>
          </w:p>
        </w:tc>
        <w:tc>
          <w:tcPr>
            <w:tcW w:w="2672" w:type="pct"/>
            <w:shd w:val="clear" w:color="auto" w:fill="auto"/>
            <w:vAlign w:val="center"/>
          </w:tcPr>
          <w:p w14:paraId="071D8646" w14:textId="77777777" w:rsidR="00B02634" w:rsidRPr="00867BB6" w:rsidRDefault="00B02634" w:rsidP="00E33F94">
            <w:pPr>
              <w:pStyle w:val="NoSpacing"/>
              <w:rPr>
                <w:b/>
                <w:bCs/>
                <w:sz w:val="21"/>
                <w:szCs w:val="21"/>
                <w:lang w:val="en-US" w:eastAsia="en-AU"/>
              </w:rPr>
            </w:pPr>
            <w:r w:rsidRPr="00867BB6">
              <w:rPr>
                <w:b/>
                <w:bCs/>
                <w:sz w:val="21"/>
                <w:szCs w:val="21"/>
                <w:lang w:val="en-US" w:eastAsia="en-AU"/>
              </w:rPr>
              <w:t>Reference</w:t>
            </w:r>
          </w:p>
        </w:tc>
        <w:tc>
          <w:tcPr>
            <w:tcW w:w="1246" w:type="pct"/>
            <w:vAlign w:val="center"/>
          </w:tcPr>
          <w:p w14:paraId="12B4E401" w14:textId="77777777" w:rsidR="00B02634" w:rsidRPr="00867BB6" w:rsidRDefault="00B02634" w:rsidP="00E33F94">
            <w:pPr>
              <w:pStyle w:val="NoSpacing"/>
              <w:rPr>
                <w:b/>
                <w:bCs/>
                <w:sz w:val="21"/>
                <w:szCs w:val="21"/>
                <w:lang w:val="en-US" w:eastAsia="en-AU"/>
              </w:rPr>
            </w:pPr>
            <w:r w:rsidRPr="00867BB6">
              <w:rPr>
                <w:b/>
                <w:bCs/>
                <w:sz w:val="21"/>
                <w:szCs w:val="21"/>
                <w:lang w:val="en-US" w:eastAsia="en-AU"/>
              </w:rPr>
              <w:t>Open access</w:t>
            </w:r>
          </w:p>
        </w:tc>
      </w:tr>
      <w:tr w:rsidR="00B02634" w:rsidRPr="00867BB6" w14:paraId="54A73759" w14:textId="77777777" w:rsidTr="00946ACF">
        <w:trPr>
          <w:trHeight w:val="400"/>
        </w:trPr>
        <w:tc>
          <w:tcPr>
            <w:tcW w:w="313" w:type="pct"/>
            <w:vAlign w:val="center"/>
          </w:tcPr>
          <w:p w14:paraId="3034F999" w14:textId="77777777" w:rsidR="00B02634" w:rsidRPr="00867BB6" w:rsidRDefault="00B02634" w:rsidP="00E33F94">
            <w:pPr>
              <w:pStyle w:val="NoSpacing"/>
              <w:rPr>
                <w:sz w:val="21"/>
                <w:szCs w:val="21"/>
                <w:lang w:val="en-US" w:eastAsia="en-AU"/>
              </w:rPr>
            </w:pPr>
            <w:r w:rsidRPr="00867BB6">
              <w:rPr>
                <w:sz w:val="21"/>
                <w:szCs w:val="21"/>
                <w:lang w:val="en-US" w:eastAsia="en-AU"/>
              </w:rPr>
              <w:t>1</w:t>
            </w:r>
          </w:p>
        </w:tc>
        <w:tc>
          <w:tcPr>
            <w:tcW w:w="769" w:type="pct"/>
            <w:shd w:val="clear" w:color="auto" w:fill="auto"/>
            <w:noWrap/>
            <w:vAlign w:val="center"/>
            <w:hideMark/>
          </w:tcPr>
          <w:p w14:paraId="7B5823EB" w14:textId="77777777" w:rsidR="00B02634" w:rsidRPr="00867BB6" w:rsidRDefault="00B02634" w:rsidP="00E33F94">
            <w:pPr>
              <w:pStyle w:val="NoSpacing"/>
              <w:rPr>
                <w:sz w:val="21"/>
                <w:szCs w:val="21"/>
                <w:lang w:val="en-US" w:eastAsia="en-AU"/>
              </w:rPr>
            </w:pPr>
            <w:r w:rsidRPr="00867BB6">
              <w:rPr>
                <w:sz w:val="21"/>
                <w:szCs w:val="21"/>
                <w:lang w:val="en-US" w:eastAsia="en-AU"/>
              </w:rPr>
              <w:t>Anguilla (UK)</w:t>
            </w:r>
          </w:p>
        </w:tc>
        <w:tc>
          <w:tcPr>
            <w:tcW w:w="2672" w:type="pct"/>
            <w:shd w:val="clear" w:color="auto" w:fill="auto"/>
            <w:vAlign w:val="center"/>
          </w:tcPr>
          <w:p w14:paraId="7F66D731" w14:textId="023741B4" w:rsidR="00B02634" w:rsidRPr="00867BB6" w:rsidRDefault="00D217FB" w:rsidP="00E33F94">
            <w:pPr>
              <w:pStyle w:val="NoSpacing"/>
              <w:rPr>
                <w:sz w:val="21"/>
                <w:szCs w:val="21"/>
                <w:lang w:val="en-US" w:eastAsia="en-AU"/>
              </w:rPr>
            </w:pPr>
            <w:r w:rsidRPr="00867BB6">
              <w:rPr>
                <w:sz w:val="21"/>
                <w:szCs w:val="21"/>
                <w:lang w:val="en-US" w:eastAsia="en-AU"/>
              </w:rPr>
              <w:t xml:space="preserve">Government of Anguilla. </w:t>
            </w:r>
            <w:r w:rsidR="00B02634" w:rsidRPr="00867BB6">
              <w:rPr>
                <w:sz w:val="21"/>
                <w:szCs w:val="21"/>
                <w:lang w:val="en-US" w:eastAsia="en-AU"/>
              </w:rPr>
              <w:t xml:space="preserve">2015. </w:t>
            </w:r>
            <w:r w:rsidR="00B02634" w:rsidRPr="00867BB6">
              <w:rPr>
                <w:i/>
                <w:iCs/>
                <w:sz w:val="21"/>
                <w:szCs w:val="21"/>
                <w:lang w:val="en-US" w:eastAsia="en-AU"/>
              </w:rPr>
              <w:t>Draft Sargassum management plan</w:t>
            </w:r>
            <w:r w:rsidRPr="00867BB6">
              <w:rPr>
                <w:i/>
                <w:iCs/>
                <w:sz w:val="21"/>
                <w:szCs w:val="21"/>
                <w:lang w:val="en-US" w:eastAsia="en-AU"/>
              </w:rPr>
              <w:t xml:space="preserve">. </w:t>
            </w:r>
            <w:r w:rsidRPr="00867BB6">
              <w:rPr>
                <w:sz w:val="21"/>
                <w:szCs w:val="21"/>
                <w:lang w:val="en-US" w:eastAsia="en-AU"/>
              </w:rPr>
              <w:t>The Valley, Anguilla.</w:t>
            </w:r>
            <w:r w:rsidR="001B42E2" w:rsidRPr="00867BB6">
              <w:rPr>
                <w:sz w:val="21"/>
                <w:szCs w:val="21"/>
                <w:lang w:val="en-US" w:eastAsia="en-AU"/>
              </w:rPr>
              <w:t xml:space="preserve"> </w:t>
            </w:r>
          </w:p>
        </w:tc>
        <w:tc>
          <w:tcPr>
            <w:tcW w:w="1246" w:type="pct"/>
            <w:vAlign w:val="center"/>
          </w:tcPr>
          <w:p w14:paraId="275A7780" w14:textId="77777777" w:rsidR="00B02634" w:rsidRPr="00867BB6" w:rsidRDefault="00B02634" w:rsidP="00E33F94">
            <w:pPr>
              <w:pStyle w:val="NoSpacing"/>
              <w:rPr>
                <w:sz w:val="21"/>
                <w:szCs w:val="21"/>
                <w:lang w:val="en-US" w:eastAsia="en-AU"/>
              </w:rPr>
            </w:pPr>
            <w:r w:rsidRPr="00867BB6">
              <w:rPr>
                <w:sz w:val="21"/>
                <w:szCs w:val="21"/>
                <w:lang w:val="en-US" w:eastAsia="en-AU"/>
              </w:rPr>
              <w:t>Accessed through personal correspondence.</w:t>
            </w:r>
          </w:p>
        </w:tc>
      </w:tr>
      <w:tr w:rsidR="00B02634" w:rsidRPr="00867BB6" w14:paraId="2DE15F85" w14:textId="77777777" w:rsidTr="00946ACF">
        <w:trPr>
          <w:trHeight w:val="400"/>
        </w:trPr>
        <w:tc>
          <w:tcPr>
            <w:tcW w:w="313" w:type="pct"/>
            <w:vAlign w:val="center"/>
          </w:tcPr>
          <w:p w14:paraId="2E0346F9" w14:textId="77777777" w:rsidR="00B02634" w:rsidRPr="00867BB6" w:rsidRDefault="00B02634" w:rsidP="00E33F94">
            <w:pPr>
              <w:pStyle w:val="NoSpacing"/>
              <w:rPr>
                <w:sz w:val="21"/>
                <w:szCs w:val="21"/>
                <w:lang w:val="en-US" w:eastAsia="en-AU"/>
              </w:rPr>
            </w:pPr>
            <w:r w:rsidRPr="00867BB6">
              <w:rPr>
                <w:sz w:val="21"/>
                <w:szCs w:val="21"/>
                <w:lang w:val="en-US" w:eastAsia="en-AU"/>
              </w:rPr>
              <w:t>2</w:t>
            </w:r>
          </w:p>
        </w:tc>
        <w:tc>
          <w:tcPr>
            <w:tcW w:w="769" w:type="pct"/>
            <w:shd w:val="clear" w:color="auto" w:fill="auto"/>
            <w:noWrap/>
            <w:vAlign w:val="center"/>
            <w:hideMark/>
          </w:tcPr>
          <w:p w14:paraId="4EC678AD" w14:textId="77777777" w:rsidR="00B02634" w:rsidRPr="00867BB6" w:rsidRDefault="00B02634" w:rsidP="00E33F94">
            <w:pPr>
              <w:pStyle w:val="NoSpacing"/>
              <w:rPr>
                <w:sz w:val="21"/>
                <w:szCs w:val="21"/>
                <w:lang w:val="en-US" w:eastAsia="en-AU"/>
              </w:rPr>
            </w:pPr>
            <w:r w:rsidRPr="00867BB6">
              <w:rPr>
                <w:sz w:val="21"/>
                <w:szCs w:val="21"/>
                <w:lang w:val="en-US" w:eastAsia="en-AU"/>
              </w:rPr>
              <w:t>Antigua and Barbuda</w:t>
            </w:r>
          </w:p>
        </w:tc>
        <w:tc>
          <w:tcPr>
            <w:tcW w:w="2672" w:type="pct"/>
            <w:shd w:val="clear" w:color="auto" w:fill="auto"/>
            <w:vAlign w:val="center"/>
          </w:tcPr>
          <w:p w14:paraId="2F1063DC" w14:textId="77777777" w:rsidR="00B02634" w:rsidRPr="00867BB6" w:rsidRDefault="00B02634" w:rsidP="00E33F94">
            <w:pPr>
              <w:pStyle w:val="NoSpacing"/>
              <w:rPr>
                <w:sz w:val="21"/>
                <w:szCs w:val="21"/>
                <w:lang w:val="en-US" w:eastAsia="en-AU"/>
              </w:rPr>
            </w:pPr>
            <w:r w:rsidRPr="00867BB6">
              <w:rPr>
                <w:sz w:val="21"/>
                <w:szCs w:val="21"/>
                <w:lang w:val="en-US" w:eastAsia="en-AU"/>
              </w:rPr>
              <w:t xml:space="preserve">Government of Antigua and Barbuda. 2018. </w:t>
            </w:r>
            <w:r w:rsidRPr="00867BB6">
              <w:rPr>
                <w:i/>
                <w:iCs/>
                <w:color w:val="000000"/>
                <w:sz w:val="21"/>
                <w:szCs w:val="21"/>
                <w:lang w:val="en-US"/>
              </w:rPr>
              <w:t>Request for Expression of Interest for the Supply of Equipment and Machinery for Aquatic Sargassum seaweed removal in Antigua and Barbuda.</w:t>
            </w:r>
            <w:r w:rsidRPr="00867BB6">
              <w:rPr>
                <w:color w:val="000000"/>
                <w:sz w:val="21"/>
                <w:szCs w:val="21"/>
                <w:lang w:val="en-US"/>
              </w:rPr>
              <w:t xml:space="preserve"> </w:t>
            </w:r>
            <w:r w:rsidRPr="00867BB6">
              <w:rPr>
                <w:sz w:val="21"/>
                <w:szCs w:val="21"/>
                <w:lang w:val="en-US" w:eastAsia="en-AU"/>
              </w:rPr>
              <w:t xml:space="preserve">Available at: </w:t>
            </w:r>
            <w:hyperlink r:id="rId9" w:history="1">
              <w:r w:rsidRPr="00867BB6">
                <w:rPr>
                  <w:rStyle w:val="Hyperlink"/>
                  <w:sz w:val="21"/>
                  <w:szCs w:val="21"/>
                  <w:lang w:val="en-US" w:eastAsia="en-AU"/>
                </w:rPr>
                <w:t>https://environment.gov.ag/assets/uploads/attachments/68574-expression-of-interest-sargassum-removal-in-antigua.pdf</w:t>
              </w:r>
            </w:hyperlink>
            <w:r w:rsidRPr="00867BB6">
              <w:rPr>
                <w:sz w:val="21"/>
                <w:szCs w:val="21"/>
                <w:lang w:val="en-US" w:eastAsia="en-AU"/>
              </w:rPr>
              <w:t xml:space="preserve"> </w:t>
            </w:r>
          </w:p>
        </w:tc>
        <w:tc>
          <w:tcPr>
            <w:tcW w:w="1246" w:type="pct"/>
            <w:vAlign w:val="center"/>
          </w:tcPr>
          <w:p w14:paraId="22D3AEB0" w14:textId="77777777" w:rsidR="00B02634" w:rsidRPr="00867BB6" w:rsidRDefault="00B02634" w:rsidP="00E33F94">
            <w:pPr>
              <w:pStyle w:val="NoSpacing"/>
              <w:rPr>
                <w:sz w:val="21"/>
                <w:szCs w:val="21"/>
                <w:lang w:val="en-US" w:eastAsia="en-AU"/>
              </w:rPr>
            </w:pPr>
            <w:r w:rsidRPr="00867BB6">
              <w:rPr>
                <w:sz w:val="21"/>
                <w:szCs w:val="21"/>
                <w:lang w:val="en-US" w:eastAsia="en-AU"/>
              </w:rPr>
              <w:t>Open access</w:t>
            </w:r>
          </w:p>
        </w:tc>
      </w:tr>
      <w:tr w:rsidR="00B02634" w:rsidRPr="00867BB6" w14:paraId="06B9DD8B" w14:textId="77777777" w:rsidTr="00946ACF">
        <w:trPr>
          <w:trHeight w:val="400"/>
        </w:trPr>
        <w:tc>
          <w:tcPr>
            <w:tcW w:w="313" w:type="pct"/>
            <w:vAlign w:val="center"/>
          </w:tcPr>
          <w:p w14:paraId="3A1A3307" w14:textId="77777777" w:rsidR="00B02634" w:rsidRPr="00867BB6" w:rsidRDefault="00B02634" w:rsidP="00E33F94">
            <w:pPr>
              <w:pStyle w:val="NoSpacing"/>
              <w:rPr>
                <w:sz w:val="21"/>
                <w:szCs w:val="21"/>
                <w:lang w:val="en-US" w:eastAsia="en-AU"/>
              </w:rPr>
            </w:pPr>
            <w:r w:rsidRPr="00867BB6">
              <w:rPr>
                <w:sz w:val="21"/>
                <w:szCs w:val="21"/>
                <w:lang w:val="en-US" w:eastAsia="en-AU"/>
              </w:rPr>
              <w:t>3</w:t>
            </w:r>
          </w:p>
        </w:tc>
        <w:tc>
          <w:tcPr>
            <w:tcW w:w="769" w:type="pct"/>
            <w:shd w:val="clear" w:color="auto" w:fill="auto"/>
            <w:noWrap/>
            <w:vAlign w:val="center"/>
            <w:hideMark/>
          </w:tcPr>
          <w:p w14:paraId="1A2478D9" w14:textId="77777777" w:rsidR="00B02634" w:rsidRPr="00867BB6" w:rsidRDefault="00B02634" w:rsidP="00E33F94">
            <w:pPr>
              <w:pStyle w:val="NoSpacing"/>
              <w:rPr>
                <w:sz w:val="21"/>
                <w:szCs w:val="21"/>
                <w:lang w:val="en-US" w:eastAsia="en-AU"/>
              </w:rPr>
            </w:pPr>
            <w:r w:rsidRPr="00867BB6">
              <w:rPr>
                <w:sz w:val="21"/>
                <w:szCs w:val="21"/>
                <w:lang w:val="en-US" w:eastAsia="en-AU"/>
              </w:rPr>
              <w:t>Aruba (NL)</w:t>
            </w:r>
          </w:p>
        </w:tc>
        <w:tc>
          <w:tcPr>
            <w:tcW w:w="2672" w:type="pct"/>
            <w:shd w:val="clear" w:color="auto" w:fill="auto"/>
            <w:vAlign w:val="center"/>
          </w:tcPr>
          <w:p w14:paraId="043CE67E" w14:textId="77777777" w:rsidR="00B02634" w:rsidRPr="00867BB6" w:rsidRDefault="00B02634" w:rsidP="00E33F94">
            <w:pPr>
              <w:pStyle w:val="NoSpacing"/>
              <w:rPr>
                <w:sz w:val="21"/>
                <w:szCs w:val="21"/>
                <w:lang w:val="en-US" w:eastAsia="en-AU"/>
              </w:rPr>
            </w:pPr>
            <w:r w:rsidRPr="00867BB6">
              <w:rPr>
                <w:sz w:val="21"/>
                <w:szCs w:val="21"/>
                <w:lang w:val="en-US" w:eastAsia="en-AU"/>
              </w:rPr>
              <w:t xml:space="preserve">Dutch Caribbean Nature Alliance. 2019. </w:t>
            </w:r>
            <w:r w:rsidRPr="00867BB6">
              <w:rPr>
                <w:i/>
                <w:iCs/>
                <w:sz w:val="21"/>
                <w:szCs w:val="21"/>
                <w:lang w:val="en-US" w:eastAsia="en-AU"/>
              </w:rPr>
              <w:t>Prevention and clean-up of Sargassum in the Dutch Caribbean</w:t>
            </w:r>
            <w:r w:rsidRPr="00867BB6">
              <w:rPr>
                <w:sz w:val="21"/>
                <w:szCs w:val="21"/>
                <w:lang w:val="en-US" w:eastAsia="en-AU"/>
              </w:rPr>
              <w:t xml:space="preserve">. Available at: </w:t>
            </w:r>
            <w:hyperlink r:id="rId10" w:history="1">
              <w:r w:rsidRPr="00867BB6">
                <w:rPr>
                  <w:rStyle w:val="Hyperlink"/>
                  <w:sz w:val="21"/>
                  <w:szCs w:val="21"/>
                  <w:lang w:val="en-US" w:eastAsia="en-AU"/>
                </w:rPr>
                <w:t>https://www.dcnanature.org/wp-content/uploads/2019/02/DCNA-Sargassum-Brief.pdf</w:t>
              </w:r>
            </w:hyperlink>
            <w:r w:rsidRPr="00867BB6">
              <w:rPr>
                <w:sz w:val="21"/>
                <w:szCs w:val="21"/>
                <w:lang w:val="en-US" w:eastAsia="en-AU"/>
              </w:rPr>
              <w:t xml:space="preserve"> </w:t>
            </w:r>
          </w:p>
        </w:tc>
        <w:tc>
          <w:tcPr>
            <w:tcW w:w="1246" w:type="pct"/>
            <w:vAlign w:val="center"/>
          </w:tcPr>
          <w:p w14:paraId="2F631218" w14:textId="77777777" w:rsidR="00B02634" w:rsidRPr="00867BB6" w:rsidRDefault="00B02634" w:rsidP="00E33F94">
            <w:pPr>
              <w:pStyle w:val="NoSpacing"/>
              <w:rPr>
                <w:sz w:val="21"/>
                <w:szCs w:val="21"/>
                <w:lang w:val="en-US" w:eastAsia="en-AU"/>
              </w:rPr>
            </w:pPr>
            <w:r w:rsidRPr="00867BB6">
              <w:rPr>
                <w:sz w:val="21"/>
                <w:szCs w:val="21"/>
                <w:lang w:val="en-US" w:eastAsia="en-AU"/>
              </w:rPr>
              <w:t>Open access</w:t>
            </w:r>
          </w:p>
        </w:tc>
      </w:tr>
      <w:tr w:rsidR="00B02634" w:rsidRPr="00867BB6" w14:paraId="0FD59621" w14:textId="77777777" w:rsidTr="00946ACF">
        <w:trPr>
          <w:trHeight w:val="400"/>
        </w:trPr>
        <w:tc>
          <w:tcPr>
            <w:tcW w:w="313" w:type="pct"/>
            <w:vAlign w:val="center"/>
          </w:tcPr>
          <w:p w14:paraId="2374C12A" w14:textId="77777777" w:rsidR="00B02634" w:rsidRPr="00867BB6" w:rsidRDefault="00B02634" w:rsidP="00E33F94">
            <w:pPr>
              <w:pStyle w:val="NoSpacing"/>
              <w:rPr>
                <w:sz w:val="21"/>
                <w:szCs w:val="21"/>
                <w:lang w:val="en-US" w:eastAsia="en-AU"/>
              </w:rPr>
            </w:pPr>
            <w:r w:rsidRPr="00867BB6">
              <w:rPr>
                <w:sz w:val="21"/>
                <w:szCs w:val="21"/>
                <w:lang w:val="en-US" w:eastAsia="en-AU"/>
              </w:rPr>
              <w:t>4</w:t>
            </w:r>
          </w:p>
        </w:tc>
        <w:tc>
          <w:tcPr>
            <w:tcW w:w="769" w:type="pct"/>
            <w:shd w:val="clear" w:color="auto" w:fill="auto"/>
            <w:noWrap/>
            <w:vAlign w:val="center"/>
            <w:hideMark/>
          </w:tcPr>
          <w:p w14:paraId="51232D6A" w14:textId="77777777" w:rsidR="00B02634" w:rsidRPr="00867BB6" w:rsidRDefault="00B02634" w:rsidP="00E33F94">
            <w:pPr>
              <w:pStyle w:val="NoSpacing"/>
              <w:rPr>
                <w:sz w:val="21"/>
                <w:szCs w:val="21"/>
                <w:lang w:val="en-US" w:eastAsia="en-AU"/>
              </w:rPr>
            </w:pPr>
            <w:r w:rsidRPr="00867BB6">
              <w:rPr>
                <w:sz w:val="21"/>
                <w:szCs w:val="21"/>
                <w:lang w:val="en-US" w:eastAsia="en-AU"/>
              </w:rPr>
              <w:t>Bahamas</w:t>
            </w:r>
          </w:p>
        </w:tc>
        <w:tc>
          <w:tcPr>
            <w:tcW w:w="2672" w:type="pct"/>
            <w:shd w:val="clear" w:color="auto" w:fill="auto"/>
            <w:vAlign w:val="center"/>
          </w:tcPr>
          <w:p w14:paraId="4D922E73" w14:textId="77777777" w:rsidR="00B02634" w:rsidRPr="00867BB6" w:rsidRDefault="00B02634" w:rsidP="00E33F94">
            <w:pPr>
              <w:pStyle w:val="NoSpacing"/>
              <w:rPr>
                <w:sz w:val="21"/>
                <w:szCs w:val="21"/>
                <w:lang w:val="en-US" w:eastAsia="en-AU"/>
              </w:rPr>
            </w:pPr>
            <w:r w:rsidRPr="00867BB6">
              <w:rPr>
                <w:sz w:val="21"/>
                <w:szCs w:val="21"/>
                <w:lang w:val="en-US" w:eastAsia="en-AU"/>
              </w:rPr>
              <w:t>None found.</w:t>
            </w:r>
          </w:p>
        </w:tc>
        <w:tc>
          <w:tcPr>
            <w:tcW w:w="1246" w:type="pct"/>
            <w:vAlign w:val="center"/>
          </w:tcPr>
          <w:p w14:paraId="7C0CBDAD" w14:textId="77777777" w:rsidR="00B02634" w:rsidRPr="00867BB6" w:rsidRDefault="00B02634" w:rsidP="00E33F94">
            <w:pPr>
              <w:pStyle w:val="NoSpacing"/>
              <w:rPr>
                <w:sz w:val="21"/>
                <w:szCs w:val="21"/>
                <w:lang w:val="en-US" w:eastAsia="en-AU"/>
              </w:rPr>
            </w:pPr>
            <w:r w:rsidRPr="00867BB6">
              <w:rPr>
                <w:sz w:val="21"/>
                <w:szCs w:val="21"/>
                <w:lang w:val="en-US" w:eastAsia="en-AU"/>
              </w:rPr>
              <w:t>N/A</w:t>
            </w:r>
          </w:p>
        </w:tc>
      </w:tr>
      <w:tr w:rsidR="00B02634" w:rsidRPr="00867BB6" w14:paraId="7285ADF2" w14:textId="77777777" w:rsidTr="00946ACF">
        <w:trPr>
          <w:trHeight w:val="339"/>
        </w:trPr>
        <w:tc>
          <w:tcPr>
            <w:tcW w:w="313" w:type="pct"/>
            <w:vAlign w:val="center"/>
          </w:tcPr>
          <w:p w14:paraId="0FED2245" w14:textId="77777777" w:rsidR="00B02634" w:rsidRPr="00867BB6" w:rsidRDefault="00B02634" w:rsidP="00E33F94">
            <w:pPr>
              <w:pStyle w:val="NoSpacing"/>
              <w:rPr>
                <w:sz w:val="21"/>
                <w:szCs w:val="21"/>
                <w:lang w:val="en-US" w:eastAsia="en-AU"/>
              </w:rPr>
            </w:pPr>
            <w:r w:rsidRPr="00867BB6">
              <w:rPr>
                <w:sz w:val="21"/>
                <w:szCs w:val="21"/>
                <w:lang w:val="en-US" w:eastAsia="en-AU"/>
              </w:rPr>
              <w:t>5</w:t>
            </w:r>
          </w:p>
        </w:tc>
        <w:tc>
          <w:tcPr>
            <w:tcW w:w="769" w:type="pct"/>
            <w:vMerge w:val="restart"/>
            <w:shd w:val="clear" w:color="auto" w:fill="auto"/>
            <w:noWrap/>
            <w:vAlign w:val="center"/>
            <w:hideMark/>
          </w:tcPr>
          <w:p w14:paraId="17485FF9" w14:textId="77777777" w:rsidR="00B02634" w:rsidRPr="00867BB6" w:rsidRDefault="00B02634" w:rsidP="00E33F94">
            <w:pPr>
              <w:pStyle w:val="NoSpacing"/>
              <w:rPr>
                <w:sz w:val="21"/>
                <w:szCs w:val="21"/>
                <w:lang w:val="en-US" w:eastAsia="en-AU"/>
              </w:rPr>
            </w:pPr>
            <w:r w:rsidRPr="00867BB6">
              <w:rPr>
                <w:sz w:val="21"/>
                <w:szCs w:val="21"/>
                <w:lang w:val="en-US" w:eastAsia="en-AU"/>
              </w:rPr>
              <w:t>Barbados</w:t>
            </w:r>
          </w:p>
        </w:tc>
        <w:tc>
          <w:tcPr>
            <w:tcW w:w="2672" w:type="pct"/>
            <w:shd w:val="clear" w:color="auto" w:fill="auto"/>
            <w:vAlign w:val="center"/>
          </w:tcPr>
          <w:p w14:paraId="4E96A20E" w14:textId="77777777" w:rsidR="00B02634" w:rsidRPr="00867BB6" w:rsidRDefault="00B02634" w:rsidP="00E33F94">
            <w:pPr>
              <w:pStyle w:val="NoSpacing"/>
              <w:rPr>
                <w:sz w:val="21"/>
                <w:szCs w:val="21"/>
                <w:lang w:val="en-US" w:eastAsia="en-AU"/>
              </w:rPr>
            </w:pPr>
            <w:r w:rsidRPr="00867BB6">
              <w:rPr>
                <w:sz w:val="21"/>
                <w:szCs w:val="21"/>
                <w:lang w:val="en-US" w:eastAsia="en-AU"/>
              </w:rPr>
              <w:t xml:space="preserve">Husbands, F., and N. Rouse. 2019. </w:t>
            </w:r>
            <w:r w:rsidRPr="00867BB6">
              <w:rPr>
                <w:i/>
                <w:iCs/>
                <w:sz w:val="21"/>
                <w:szCs w:val="21"/>
                <w:lang w:val="en-US" w:eastAsia="en-AU"/>
              </w:rPr>
              <w:t xml:space="preserve">Barbados Sargassum Management Plan. </w:t>
            </w:r>
            <w:r w:rsidRPr="00867BB6">
              <w:rPr>
                <w:sz w:val="21"/>
                <w:szCs w:val="21"/>
                <w:lang w:val="en-US" w:eastAsia="en-AU"/>
              </w:rPr>
              <w:t>Barbados National Oil Company Limited. Woodbourne, St. Philip.</w:t>
            </w:r>
          </w:p>
        </w:tc>
        <w:tc>
          <w:tcPr>
            <w:tcW w:w="1246" w:type="pct"/>
            <w:vAlign w:val="center"/>
          </w:tcPr>
          <w:p w14:paraId="03D3E1AF" w14:textId="77777777" w:rsidR="00B02634" w:rsidRPr="00867BB6" w:rsidRDefault="00B02634" w:rsidP="00E33F94">
            <w:pPr>
              <w:pStyle w:val="NoSpacing"/>
              <w:rPr>
                <w:sz w:val="21"/>
                <w:szCs w:val="21"/>
                <w:lang w:val="en-US" w:eastAsia="en-AU"/>
              </w:rPr>
            </w:pPr>
            <w:r w:rsidRPr="00867BB6">
              <w:rPr>
                <w:sz w:val="21"/>
                <w:szCs w:val="21"/>
                <w:lang w:val="en-US" w:eastAsia="en-AU"/>
              </w:rPr>
              <w:t>Accessed through personal correspondence.</w:t>
            </w:r>
          </w:p>
        </w:tc>
      </w:tr>
      <w:tr w:rsidR="00B02634" w:rsidRPr="00867BB6" w14:paraId="2935E666" w14:textId="77777777" w:rsidTr="00946ACF">
        <w:trPr>
          <w:trHeight w:val="400"/>
        </w:trPr>
        <w:tc>
          <w:tcPr>
            <w:tcW w:w="313" w:type="pct"/>
            <w:vAlign w:val="center"/>
          </w:tcPr>
          <w:p w14:paraId="0D6EFFAC" w14:textId="77777777" w:rsidR="00B02634" w:rsidRPr="00867BB6" w:rsidRDefault="00B02634" w:rsidP="00E33F94">
            <w:pPr>
              <w:pStyle w:val="NoSpacing"/>
              <w:rPr>
                <w:sz w:val="21"/>
                <w:szCs w:val="21"/>
                <w:lang w:val="en-US" w:eastAsia="en-AU"/>
              </w:rPr>
            </w:pPr>
            <w:r w:rsidRPr="00867BB6">
              <w:rPr>
                <w:sz w:val="21"/>
                <w:szCs w:val="21"/>
                <w:lang w:val="en-US" w:eastAsia="en-AU"/>
              </w:rPr>
              <w:t>6</w:t>
            </w:r>
          </w:p>
        </w:tc>
        <w:tc>
          <w:tcPr>
            <w:tcW w:w="769" w:type="pct"/>
            <w:vMerge/>
            <w:shd w:val="clear" w:color="auto" w:fill="auto"/>
            <w:noWrap/>
            <w:vAlign w:val="center"/>
          </w:tcPr>
          <w:p w14:paraId="76532C8B" w14:textId="77777777" w:rsidR="00B02634" w:rsidRPr="00867BB6" w:rsidRDefault="00B02634" w:rsidP="00E33F94">
            <w:pPr>
              <w:pStyle w:val="NoSpacing"/>
              <w:rPr>
                <w:sz w:val="21"/>
                <w:szCs w:val="21"/>
                <w:lang w:val="en-US" w:eastAsia="en-AU"/>
              </w:rPr>
            </w:pPr>
          </w:p>
        </w:tc>
        <w:tc>
          <w:tcPr>
            <w:tcW w:w="2672" w:type="pct"/>
            <w:shd w:val="clear" w:color="auto" w:fill="auto"/>
            <w:vAlign w:val="center"/>
          </w:tcPr>
          <w:p w14:paraId="6FE0C023" w14:textId="13475946" w:rsidR="00844CB8" w:rsidRPr="00867BB6" w:rsidRDefault="00844CB8" w:rsidP="00844CB8">
            <w:pPr>
              <w:pStyle w:val="NoSpacing"/>
              <w:rPr>
                <w:sz w:val="21"/>
                <w:szCs w:val="21"/>
                <w:lang w:val="en-US" w:eastAsia="en-AU"/>
              </w:rPr>
            </w:pPr>
            <w:r w:rsidRPr="00867BB6">
              <w:rPr>
                <w:sz w:val="21"/>
                <w:szCs w:val="21"/>
                <w:lang w:val="en-US" w:eastAsia="en-AU"/>
              </w:rPr>
              <w:t xml:space="preserve">CERMES and Ministry of Maritime Affairs and Blue Economy. 2021. </w:t>
            </w:r>
            <w:r w:rsidRPr="00867BB6">
              <w:rPr>
                <w:i/>
                <w:iCs/>
                <w:sz w:val="21"/>
                <w:szCs w:val="21"/>
                <w:lang w:val="en-US" w:eastAsia="en-AU"/>
              </w:rPr>
              <w:t>Draft Barbados Sargassum Adaptive Management Strategy</w:t>
            </w:r>
            <w:r w:rsidRPr="00867BB6">
              <w:rPr>
                <w:sz w:val="21"/>
                <w:szCs w:val="21"/>
                <w:lang w:val="en-US" w:eastAsia="en-AU"/>
              </w:rPr>
              <w:t xml:space="preserve">. </w:t>
            </w:r>
            <w:r w:rsidRPr="00867BB6">
              <w:rPr>
                <w:i/>
                <w:iCs/>
                <w:sz w:val="21"/>
                <w:szCs w:val="21"/>
                <w:lang w:val="en-US" w:eastAsia="en-AU"/>
              </w:rPr>
              <w:t>Volume 1: Adaptive Strategy.</w:t>
            </w:r>
            <w:r w:rsidRPr="00867BB6">
              <w:rPr>
                <w:sz w:val="21"/>
                <w:szCs w:val="21"/>
                <w:lang w:val="en-US" w:eastAsia="en-AU"/>
              </w:rPr>
              <w:t xml:space="preserve"> Bridgetown, Barbados. 15 pp.</w:t>
            </w:r>
          </w:p>
        </w:tc>
        <w:tc>
          <w:tcPr>
            <w:tcW w:w="1246" w:type="pct"/>
            <w:vAlign w:val="center"/>
          </w:tcPr>
          <w:p w14:paraId="1C37F16F" w14:textId="66D3C388" w:rsidR="00B02634" w:rsidRPr="00867BB6" w:rsidRDefault="000251EC" w:rsidP="00E33F94">
            <w:pPr>
              <w:pStyle w:val="NoSpacing"/>
              <w:rPr>
                <w:sz w:val="21"/>
                <w:szCs w:val="21"/>
                <w:lang w:val="en-US" w:eastAsia="en-AU"/>
              </w:rPr>
            </w:pPr>
            <w:r w:rsidRPr="00867BB6">
              <w:rPr>
                <w:sz w:val="21"/>
                <w:szCs w:val="21"/>
                <w:lang w:val="en-US" w:eastAsia="en-AU"/>
              </w:rPr>
              <w:t>Open access</w:t>
            </w:r>
          </w:p>
        </w:tc>
      </w:tr>
      <w:tr w:rsidR="00B02634" w:rsidRPr="00867BB6" w14:paraId="2AC97788" w14:textId="77777777" w:rsidTr="00946ACF">
        <w:trPr>
          <w:trHeight w:val="400"/>
        </w:trPr>
        <w:tc>
          <w:tcPr>
            <w:tcW w:w="313" w:type="pct"/>
            <w:vAlign w:val="center"/>
          </w:tcPr>
          <w:p w14:paraId="13D49DF1" w14:textId="77777777" w:rsidR="00B02634" w:rsidRPr="00867BB6" w:rsidRDefault="00B02634" w:rsidP="00E33F94">
            <w:pPr>
              <w:pStyle w:val="NoSpacing"/>
              <w:rPr>
                <w:sz w:val="21"/>
                <w:szCs w:val="21"/>
                <w:lang w:val="en-US" w:eastAsia="en-AU"/>
              </w:rPr>
            </w:pPr>
            <w:r w:rsidRPr="00867BB6">
              <w:rPr>
                <w:sz w:val="21"/>
                <w:szCs w:val="21"/>
                <w:lang w:val="en-US" w:eastAsia="en-AU"/>
              </w:rPr>
              <w:t>7</w:t>
            </w:r>
          </w:p>
        </w:tc>
        <w:tc>
          <w:tcPr>
            <w:tcW w:w="769" w:type="pct"/>
            <w:shd w:val="clear" w:color="auto" w:fill="auto"/>
            <w:noWrap/>
            <w:vAlign w:val="center"/>
            <w:hideMark/>
          </w:tcPr>
          <w:p w14:paraId="5EBBD395" w14:textId="77777777" w:rsidR="00B02634" w:rsidRPr="00867BB6" w:rsidRDefault="00B02634" w:rsidP="00E33F94">
            <w:pPr>
              <w:pStyle w:val="NoSpacing"/>
              <w:rPr>
                <w:sz w:val="21"/>
                <w:szCs w:val="21"/>
                <w:lang w:val="en-US" w:eastAsia="en-AU"/>
              </w:rPr>
            </w:pPr>
            <w:r w:rsidRPr="00867BB6">
              <w:rPr>
                <w:sz w:val="21"/>
                <w:szCs w:val="21"/>
                <w:lang w:val="en-US" w:eastAsia="en-AU"/>
              </w:rPr>
              <w:t>Belize</w:t>
            </w:r>
          </w:p>
        </w:tc>
        <w:tc>
          <w:tcPr>
            <w:tcW w:w="2672" w:type="pct"/>
            <w:shd w:val="clear" w:color="auto" w:fill="auto"/>
            <w:vAlign w:val="center"/>
          </w:tcPr>
          <w:p w14:paraId="66B0DB56" w14:textId="77777777" w:rsidR="00B02634" w:rsidRPr="00867BB6" w:rsidRDefault="00B02634" w:rsidP="00E33F94">
            <w:pPr>
              <w:pStyle w:val="NoSpacing"/>
              <w:rPr>
                <w:sz w:val="21"/>
                <w:szCs w:val="21"/>
                <w:lang w:val="en-US" w:eastAsia="en-AU"/>
              </w:rPr>
            </w:pPr>
            <w:r w:rsidRPr="00867BB6">
              <w:rPr>
                <w:sz w:val="21"/>
                <w:szCs w:val="21"/>
                <w:lang w:val="en-US" w:eastAsia="en-AU"/>
              </w:rPr>
              <w:t>None found.</w:t>
            </w:r>
          </w:p>
          <w:p w14:paraId="29DB54C6" w14:textId="77777777" w:rsidR="00B02634" w:rsidRPr="00867BB6" w:rsidRDefault="00B02634" w:rsidP="00E33F94">
            <w:pPr>
              <w:pStyle w:val="NoSpacing"/>
              <w:rPr>
                <w:sz w:val="21"/>
                <w:szCs w:val="21"/>
                <w:lang w:val="en-US" w:eastAsia="en-AU"/>
              </w:rPr>
            </w:pPr>
          </w:p>
          <w:p w14:paraId="5E50044C" w14:textId="77777777" w:rsidR="00B02634" w:rsidRPr="00867BB6" w:rsidRDefault="00B02634" w:rsidP="00E33F94">
            <w:pPr>
              <w:pStyle w:val="NoSpacing"/>
              <w:rPr>
                <w:sz w:val="21"/>
                <w:szCs w:val="21"/>
                <w:lang w:val="en-US" w:eastAsia="en-AU"/>
              </w:rPr>
            </w:pPr>
            <w:r w:rsidRPr="00867BB6">
              <w:rPr>
                <w:sz w:val="21"/>
                <w:szCs w:val="21"/>
                <w:lang w:val="en-US" w:eastAsia="en-AU"/>
              </w:rPr>
              <w:t xml:space="preserve">For information on sargassum management advice in Belize, see </w:t>
            </w:r>
            <w:r w:rsidRPr="00867BB6">
              <w:rPr>
                <w:i/>
                <w:iCs/>
                <w:sz w:val="21"/>
                <w:szCs w:val="21"/>
                <w:lang w:val="en-US" w:eastAsia="en-AU"/>
              </w:rPr>
              <w:t xml:space="preserve">Sargassum Resource. </w:t>
            </w:r>
            <w:r w:rsidRPr="00867BB6">
              <w:rPr>
                <w:sz w:val="21"/>
                <w:szCs w:val="21"/>
                <w:lang w:val="en-US" w:eastAsia="en-AU"/>
              </w:rPr>
              <w:t xml:space="preserve">n.d. Belize Tourism Board. Available at: </w:t>
            </w:r>
            <w:hyperlink r:id="rId11" w:history="1">
              <w:r w:rsidRPr="00867BB6">
                <w:rPr>
                  <w:rStyle w:val="Hyperlink"/>
                  <w:sz w:val="21"/>
                  <w:szCs w:val="21"/>
                  <w:lang w:val="en-US" w:eastAsia="en-AU"/>
                </w:rPr>
                <w:t>https://belizetourismboard.org/tourism-resources/sargassum-resource</w:t>
              </w:r>
            </w:hyperlink>
            <w:r w:rsidRPr="00867BB6">
              <w:rPr>
                <w:sz w:val="21"/>
                <w:szCs w:val="21"/>
                <w:lang w:val="en-US" w:eastAsia="en-AU"/>
              </w:rPr>
              <w:t xml:space="preserve"> </w:t>
            </w:r>
          </w:p>
        </w:tc>
        <w:tc>
          <w:tcPr>
            <w:tcW w:w="1246" w:type="pct"/>
            <w:vAlign w:val="center"/>
          </w:tcPr>
          <w:p w14:paraId="3EC1C5AE" w14:textId="77777777" w:rsidR="00B02634" w:rsidRPr="00867BB6" w:rsidRDefault="00B02634" w:rsidP="00E33F94">
            <w:pPr>
              <w:pStyle w:val="NoSpacing"/>
              <w:rPr>
                <w:sz w:val="21"/>
                <w:szCs w:val="21"/>
                <w:lang w:val="en-US" w:eastAsia="en-AU"/>
              </w:rPr>
            </w:pPr>
            <w:r w:rsidRPr="00867BB6">
              <w:rPr>
                <w:sz w:val="21"/>
                <w:szCs w:val="21"/>
                <w:lang w:val="en-US" w:eastAsia="en-AU"/>
              </w:rPr>
              <w:t>N/A</w:t>
            </w:r>
          </w:p>
        </w:tc>
      </w:tr>
      <w:tr w:rsidR="00B02634" w:rsidRPr="00867BB6" w14:paraId="518C8D42" w14:textId="77777777" w:rsidTr="00946ACF">
        <w:trPr>
          <w:trHeight w:val="400"/>
        </w:trPr>
        <w:tc>
          <w:tcPr>
            <w:tcW w:w="313" w:type="pct"/>
            <w:vAlign w:val="center"/>
          </w:tcPr>
          <w:p w14:paraId="0DFB75A6" w14:textId="77777777" w:rsidR="00B02634" w:rsidRPr="00867BB6" w:rsidRDefault="00B02634" w:rsidP="00E33F94">
            <w:pPr>
              <w:pStyle w:val="NoSpacing"/>
              <w:rPr>
                <w:sz w:val="21"/>
                <w:szCs w:val="21"/>
                <w:lang w:val="en-US" w:eastAsia="en-AU"/>
              </w:rPr>
            </w:pPr>
            <w:r w:rsidRPr="00867BB6">
              <w:rPr>
                <w:sz w:val="21"/>
                <w:szCs w:val="21"/>
                <w:lang w:val="en-US" w:eastAsia="en-AU"/>
              </w:rPr>
              <w:t>8</w:t>
            </w:r>
          </w:p>
        </w:tc>
        <w:tc>
          <w:tcPr>
            <w:tcW w:w="769" w:type="pct"/>
            <w:shd w:val="clear" w:color="auto" w:fill="auto"/>
            <w:noWrap/>
            <w:vAlign w:val="center"/>
            <w:hideMark/>
          </w:tcPr>
          <w:p w14:paraId="02DD2199" w14:textId="77777777" w:rsidR="00B02634" w:rsidRPr="00867BB6" w:rsidRDefault="00B02634" w:rsidP="00E33F94">
            <w:pPr>
              <w:pStyle w:val="NoSpacing"/>
              <w:rPr>
                <w:sz w:val="21"/>
                <w:szCs w:val="21"/>
                <w:lang w:val="en-US" w:eastAsia="en-AU"/>
              </w:rPr>
            </w:pPr>
            <w:r w:rsidRPr="00867BB6">
              <w:rPr>
                <w:sz w:val="21"/>
                <w:szCs w:val="21"/>
                <w:lang w:val="en-US" w:eastAsia="en-AU"/>
              </w:rPr>
              <w:t>Bermuda (UK)</w:t>
            </w:r>
          </w:p>
        </w:tc>
        <w:tc>
          <w:tcPr>
            <w:tcW w:w="2672" w:type="pct"/>
            <w:shd w:val="clear" w:color="auto" w:fill="auto"/>
            <w:vAlign w:val="center"/>
          </w:tcPr>
          <w:p w14:paraId="785E9836" w14:textId="77777777" w:rsidR="00B02634" w:rsidRPr="00867BB6" w:rsidRDefault="00B02634" w:rsidP="00E33F94">
            <w:pPr>
              <w:pStyle w:val="NoSpacing"/>
              <w:rPr>
                <w:sz w:val="21"/>
                <w:szCs w:val="21"/>
                <w:lang w:val="en-US" w:eastAsia="en-AU"/>
              </w:rPr>
            </w:pPr>
            <w:proofErr w:type="spellStart"/>
            <w:r w:rsidRPr="00867BB6">
              <w:rPr>
                <w:sz w:val="21"/>
                <w:szCs w:val="21"/>
                <w:lang w:val="en-US" w:eastAsia="en-AU"/>
              </w:rPr>
              <w:t>Laffoley</w:t>
            </w:r>
            <w:proofErr w:type="spellEnd"/>
            <w:r w:rsidRPr="00867BB6">
              <w:rPr>
                <w:sz w:val="21"/>
                <w:szCs w:val="21"/>
                <w:lang w:val="en-US" w:eastAsia="en-AU"/>
              </w:rPr>
              <w:t xml:space="preserve">, </w:t>
            </w:r>
            <w:proofErr w:type="spellStart"/>
            <w:r w:rsidRPr="00867BB6">
              <w:rPr>
                <w:sz w:val="21"/>
                <w:szCs w:val="21"/>
                <w:lang w:val="en-US" w:eastAsia="en-AU"/>
              </w:rPr>
              <w:t>D.d’A</w:t>
            </w:r>
            <w:proofErr w:type="spellEnd"/>
            <w:r w:rsidRPr="00867BB6">
              <w:rPr>
                <w:sz w:val="21"/>
                <w:szCs w:val="21"/>
                <w:lang w:val="en-US" w:eastAsia="en-AU"/>
              </w:rPr>
              <w:t xml:space="preserve">., Roe, H.S.J., Angel, M.V., </w:t>
            </w:r>
            <w:proofErr w:type="spellStart"/>
            <w:r w:rsidRPr="00867BB6">
              <w:rPr>
                <w:sz w:val="21"/>
                <w:szCs w:val="21"/>
                <w:lang w:val="en-US" w:eastAsia="en-AU"/>
              </w:rPr>
              <w:t>Ardron</w:t>
            </w:r>
            <w:proofErr w:type="spellEnd"/>
            <w:r w:rsidRPr="00867BB6">
              <w:rPr>
                <w:sz w:val="21"/>
                <w:szCs w:val="21"/>
                <w:lang w:val="en-US" w:eastAsia="en-AU"/>
              </w:rPr>
              <w:t xml:space="preserve">, J., Bates, N.R., Boyd, I.L., Brooke, S., Buck, K.N., Carlson, C.A., Causey, B., Conte, M.H., Christiansen, S., Cleary, J., Donnelly, J., Earle, S.A., Edwards, R., </w:t>
            </w:r>
            <w:proofErr w:type="spellStart"/>
            <w:r w:rsidRPr="00867BB6">
              <w:rPr>
                <w:sz w:val="21"/>
                <w:szCs w:val="21"/>
                <w:lang w:val="en-US" w:eastAsia="en-AU"/>
              </w:rPr>
              <w:t>Gjerde</w:t>
            </w:r>
            <w:proofErr w:type="spellEnd"/>
            <w:r w:rsidRPr="00867BB6">
              <w:rPr>
                <w:sz w:val="21"/>
                <w:szCs w:val="21"/>
                <w:lang w:val="en-US" w:eastAsia="en-AU"/>
              </w:rPr>
              <w:t xml:space="preserve">, K.M., </w:t>
            </w:r>
            <w:proofErr w:type="spellStart"/>
            <w:r w:rsidRPr="00867BB6">
              <w:rPr>
                <w:sz w:val="21"/>
                <w:szCs w:val="21"/>
                <w:lang w:val="en-US" w:eastAsia="en-AU"/>
              </w:rPr>
              <w:t>Giovannoni</w:t>
            </w:r>
            <w:proofErr w:type="spellEnd"/>
            <w:r w:rsidRPr="00867BB6">
              <w:rPr>
                <w:sz w:val="21"/>
                <w:szCs w:val="21"/>
                <w:lang w:val="en-US" w:eastAsia="en-AU"/>
              </w:rPr>
              <w:t xml:space="preserve">, S.J., Gulick, S., </w:t>
            </w:r>
            <w:proofErr w:type="spellStart"/>
            <w:r w:rsidRPr="00867BB6">
              <w:rPr>
                <w:sz w:val="21"/>
                <w:szCs w:val="21"/>
                <w:lang w:val="en-US" w:eastAsia="en-AU"/>
              </w:rPr>
              <w:t>Gollock</w:t>
            </w:r>
            <w:proofErr w:type="spellEnd"/>
            <w:r w:rsidRPr="00867BB6">
              <w:rPr>
                <w:sz w:val="21"/>
                <w:szCs w:val="21"/>
                <w:lang w:val="en-US" w:eastAsia="en-AU"/>
              </w:rPr>
              <w:t xml:space="preserve">, M., Hallett, J., Halpin, P., </w:t>
            </w:r>
            <w:proofErr w:type="spellStart"/>
            <w:r w:rsidRPr="00867BB6">
              <w:rPr>
                <w:sz w:val="21"/>
                <w:szCs w:val="21"/>
                <w:lang w:val="en-US" w:eastAsia="en-AU"/>
              </w:rPr>
              <w:t>Hanel</w:t>
            </w:r>
            <w:proofErr w:type="spellEnd"/>
            <w:r w:rsidRPr="00867BB6">
              <w:rPr>
                <w:sz w:val="21"/>
                <w:szCs w:val="21"/>
                <w:lang w:val="en-US" w:eastAsia="en-AU"/>
              </w:rPr>
              <w:t xml:space="preserve">, R., Hemphill, A., Johnson, R.J., Knap, A.H., Lomas, M.W., McKenna, S.A., Miller, M.J., Miller, P.I., Ming, F.W., Moffitt, R., Nelson, N.B., Parson, L., Peters, A.J., Pitt, J., </w:t>
            </w:r>
            <w:proofErr w:type="spellStart"/>
            <w:r w:rsidRPr="00867BB6">
              <w:rPr>
                <w:sz w:val="21"/>
                <w:szCs w:val="21"/>
                <w:lang w:val="en-US" w:eastAsia="en-AU"/>
              </w:rPr>
              <w:t>Rouja</w:t>
            </w:r>
            <w:proofErr w:type="spellEnd"/>
            <w:r w:rsidRPr="00867BB6">
              <w:rPr>
                <w:sz w:val="21"/>
                <w:szCs w:val="21"/>
                <w:lang w:val="en-US" w:eastAsia="en-AU"/>
              </w:rPr>
              <w:t xml:space="preserve">, P., Roberts, J., Roberts, J., Seigel, D.A., </w:t>
            </w:r>
            <w:proofErr w:type="spellStart"/>
            <w:r w:rsidRPr="00867BB6">
              <w:rPr>
                <w:sz w:val="21"/>
                <w:szCs w:val="21"/>
                <w:lang w:val="en-US" w:eastAsia="en-AU"/>
              </w:rPr>
              <w:t>Siuda</w:t>
            </w:r>
            <w:proofErr w:type="spellEnd"/>
            <w:r w:rsidRPr="00867BB6">
              <w:rPr>
                <w:sz w:val="21"/>
                <w:szCs w:val="21"/>
                <w:lang w:val="en-US" w:eastAsia="en-AU"/>
              </w:rPr>
              <w:t xml:space="preserve">, A.N.S., Steinberg, D.K., Stevenson, A., </w:t>
            </w:r>
            <w:proofErr w:type="spellStart"/>
            <w:r w:rsidRPr="00867BB6">
              <w:rPr>
                <w:sz w:val="21"/>
                <w:szCs w:val="21"/>
                <w:lang w:val="en-US" w:eastAsia="en-AU"/>
              </w:rPr>
              <w:t>Sumaila</w:t>
            </w:r>
            <w:proofErr w:type="spellEnd"/>
            <w:r w:rsidRPr="00867BB6">
              <w:rPr>
                <w:sz w:val="21"/>
                <w:szCs w:val="21"/>
                <w:lang w:val="en-US" w:eastAsia="en-AU"/>
              </w:rPr>
              <w:t xml:space="preserve">, V.R., Swartz, W., </w:t>
            </w:r>
            <w:proofErr w:type="spellStart"/>
            <w:r w:rsidRPr="00867BB6">
              <w:rPr>
                <w:sz w:val="21"/>
                <w:szCs w:val="21"/>
                <w:lang w:val="en-US" w:eastAsia="en-AU"/>
              </w:rPr>
              <w:t>Thorrold</w:t>
            </w:r>
            <w:proofErr w:type="spellEnd"/>
            <w:r w:rsidRPr="00867BB6">
              <w:rPr>
                <w:sz w:val="21"/>
                <w:szCs w:val="21"/>
                <w:lang w:val="en-US" w:eastAsia="en-AU"/>
              </w:rPr>
              <w:t xml:space="preserve">, S., Trott, T.M. , and V. Vats. 2011. </w:t>
            </w:r>
            <w:r w:rsidRPr="00867BB6">
              <w:rPr>
                <w:i/>
                <w:iCs/>
                <w:sz w:val="21"/>
                <w:szCs w:val="21"/>
                <w:lang w:val="en-US" w:eastAsia="en-AU"/>
              </w:rPr>
              <w:t xml:space="preserve">The protection and management of the Sargasso Sea: The golden floating rainforest of the Atlantic Ocean. Summary </w:t>
            </w:r>
            <w:r w:rsidRPr="00867BB6">
              <w:rPr>
                <w:i/>
                <w:iCs/>
                <w:sz w:val="21"/>
                <w:szCs w:val="21"/>
                <w:lang w:val="en-US" w:eastAsia="en-AU"/>
              </w:rPr>
              <w:lastRenderedPageBreak/>
              <w:t>Science and Supporting Evidence Case.</w:t>
            </w:r>
            <w:r w:rsidRPr="00867BB6">
              <w:rPr>
                <w:sz w:val="21"/>
                <w:szCs w:val="21"/>
                <w:lang w:val="en-US" w:eastAsia="en-AU"/>
              </w:rPr>
              <w:t xml:space="preserve"> Sargasso Sea Alliance and Government of Bermuda, 44 pp. Available at: </w:t>
            </w:r>
            <w:hyperlink r:id="rId12" w:history="1">
              <w:r w:rsidRPr="00867BB6">
                <w:rPr>
                  <w:rStyle w:val="Hyperlink"/>
                  <w:sz w:val="21"/>
                  <w:szCs w:val="21"/>
                  <w:lang w:val="en-US" w:eastAsia="en-AU"/>
                </w:rPr>
                <w:t>http://www.sargassoseacommission.org/storage/documents/Sargasso.Report.9.12.pdf</w:t>
              </w:r>
            </w:hyperlink>
            <w:r w:rsidRPr="00867BB6">
              <w:rPr>
                <w:sz w:val="21"/>
                <w:szCs w:val="21"/>
                <w:lang w:val="en-US" w:eastAsia="en-AU"/>
              </w:rPr>
              <w:t xml:space="preserve"> </w:t>
            </w:r>
          </w:p>
        </w:tc>
        <w:tc>
          <w:tcPr>
            <w:tcW w:w="1246" w:type="pct"/>
            <w:vAlign w:val="center"/>
          </w:tcPr>
          <w:p w14:paraId="60024136" w14:textId="77777777" w:rsidR="00B02634" w:rsidRPr="00867BB6" w:rsidRDefault="00B02634" w:rsidP="00E33F94">
            <w:pPr>
              <w:pStyle w:val="NoSpacing"/>
              <w:rPr>
                <w:sz w:val="21"/>
                <w:szCs w:val="21"/>
                <w:lang w:val="en-US" w:eastAsia="en-AU"/>
              </w:rPr>
            </w:pPr>
            <w:r w:rsidRPr="00867BB6">
              <w:rPr>
                <w:sz w:val="21"/>
                <w:szCs w:val="21"/>
                <w:lang w:val="en-US" w:eastAsia="en-AU"/>
              </w:rPr>
              <w:lastRenderedPageBreak/>
              <w:t>Open access</w:t>
            </w:r>
          </w:p>
        </w:tc>
      </w:tr>
      <w:tr w:rsidR="00B02634" w:rsidRPr="00867BB6" w14:paraId="173B94E5" w14:textId="77777777" w:rsidTr="00946ACF">
        <w:trPr>
          <w:trHeight w:val="400"/>
        </w:trPr>
        <w:tc>
          <w:tcPr>
            <w:tcW w:w="313" w:type="pct"/>
            <w:vAlign w:val="center"/>
          </w:tcPr>
          <w:p w14:paraId="1813F23F" w14:textId="77777777" w:rsidR="00B02634" w:rsidRPr="00867BB6" w:rsidRDefault="00B02634" w:rsidP="00E33F94">
            <w:pPr>
              <w:pStyle w:val="NoSpacing"/>
              <w:rPr>
                <w:sz w:val="21"/>
                <w:szCs w:val="21"/>
                <w:lang w:val="en-US" w:eastAsia="en-AU"/>
              </w:rPr>
            </w:pPr>
            <w:r w:rsidRPr="00867BB6">
              <w:rPr>
                <w:sz w:val="21"/>
                <w:szCs w:val="21"/>
                <w:lang w:val="en-US" w:eastAsia="en-AU"/>
              </w:rPr>
              <w:t>9</w:t>
            </w:r>
          </w:p>
        </w:tc>
        <w:tc>
          <w:tcPr>
            <w:tcW w:w="769" w:type="pct"/>
            <w:vMerge w:val="restart"/>
            <w:shd w:val="clear" w:color="auto" w:fill="auto"/>
            <w:noWrap/>
            <w:vAlign w:val="center"/>
            <w:hideMark/>
          </w:tcPr>
          <w:p w14:paraId="5041297C" w14:textId="77777777" w:rsidR="00B02634" w:rsidRPr="00867BB6" w:rsidRDefault="00B02634" w:rsidP="00E33F94">
            <w:pPr>
              <w:pStyle w:val="NoSpacing"/>
              <w:rPr>
                <w:sz w:val="21"/>
                <w:szCs w:val="21"/>
                <w:lang w:val="en-US" w:eastAsia="en-AU"/>
              </w:rPr>
            </w:pPr>
            <w:r w:rsidRPr="00867BB6">
              <w:rPr>
                <w:sz w:val="21"/>
                <w:szCs w:val="21"/>
                <w:lang w:val="en-US" w:eastAsia="en-AU"/>
              </w:rPr>
              <w:t>Bonaire (NL)</w:t>
            </w:r>
          </w:p>
        </w:tc>
        <w:tc>
          <w:tcPr>
            <w:tcW w:w="2672" w:type="pct"/>
            <w:shd w:val="clear" w:color="auto" w:fill="auto"/>
            <w:vAlign w:val="center"/>
          </w:tcPr>
          <w:p w14:paraId="6EE168A3" w14:textId="77777777" w:rsidR="00B02634" w:rsidRPr="00867BB6" w:rsidRDefault="00B02634" w:rsidP="00E33F94">
            <w:pPr>
              <w:pStyle w:val="NoSpacing"/>
              <w:rPr>
                <w:sz w:val="21"/>
                <w:szCs w:val="21"/>
                <w:lang w:val="en-US" w:eastAsia="en-AU"/>
              </w:rPr>
            </w:pPr>
            <w:proofErr w:type="spellStart"/>
            <w:r w:rsidRPr="00867BB6">
              <w:rPr>
                <w:sz w:val="21"/>
                <w:szCs w:val="21"/>
                <w:lang w:val="en-US" w:eastAsia="en-AU"/>
              </w:rPr>
              <w:t>Stinapa</w:t>
            </w:r>
            <w:proofErr w:type="spellEnd"/>
            <w:r w:rsidRPr="00867BB6">
              <w:rPr>
                <w:sz w:val="21"/>
                <w:szCs w:val="21"/>
                <w:lang w:val="en-US" w:eastAsia="en-AU"/>
              </w:rPr>
              <w:t xml:space="preserve"> Bonaire National Parks Foundation. 2018. Sargassum Bonaire. Available at </w:t>
            </w:r>
            <w:hyperlink r:id="rId13" w:history="1">
              <w:r w:rsidRPr="00867BB6">
                <w:rPr>
                  <w:rStyle w:val="Hyperlink"/>
                  <w:sz w:val="21"/>
                  <w:szCs w:val="21"/>
                  <w:lang w:val="en-US" w:eastAsia="en-AU"/>
                </w:rPr>
                <w:t>https://stinapabonaire.org/wp-content/uploads/2018/09/20180315-STINAPA-Sargassum-ppt.pdf</w:t>
              </w:r>
            </w:hyperlink>
            <w:r w:rsidRPr="00867BB6">
              <w:rPr>
                <w:sz w:val="21"/>
                <w:szCs w:val="21"/>
                <w:lang w:val="en-US" w:eastAsia="en-AU"/>
              </w:rPr>
              <w:t xml:space="preserve"> </w:t>
            </w:r>
          </w:p>
        </w:tc>
        <w:tc>
          <w:tcPr>
            <w:tcW w:w="1246" w:type="pct"/>
            <w:vAlign w:val="center"/>
          </w:tcPr>
          <w:p w14:paraId="58783950" w14:textId="77777777" w:rsidR="00B02634" w:rsidRPr="00867BB6" w:rsidRDefault="00B02634" w:rsidP="00E33F94">
            <w:pPr>
              <w:pStyle w:val="NoSpacing"/>
              <w:rPr>
                <w:sz w:val="21"/>
                <w:szCs w:val="21"/>
                <w:lang w:val="en-US" w:eastAsia="en-AU"/>
              </w:rPr>
            </w:pPr>
            <w:r w:rsidRPr="00867BB6">
              <w:rPr>
                <w:sz w:val="21"/>
                <w:szCs w:val="21"/>
                <w:lang w:val="en-US" w:eastAsia="en-AU"/>
              </w:rPr>
              <w:t>Open access</w:t>
            </w:r>
          </w:p>
        </w:tc>
      </w:tr>
      <w:tr w:rsidR="00B02634" w:rsidRPr="00867BB6" w14:paraId="482B7AB5" w14:textId="77777777" w:rsidTr="00946ACF">
        <w:trPr>
          <w:trHeight w:val="400"/>
        </w:trPr>
        <w:tc>
          <w:tcPr>
            <w:tcW w:w="313" w:type="pct"/>
            <w:vAlign w:val="center"/>
          </w:tcPr>
          <w:p w14:paraId="63CBDF12" w14:textId="77777777" w:rsidR="00B02634" w:rsidRPr="00867BB6" w:rsidRDefault="00B02634" w:rsidP="00E33F94">
            <w:pPr>
              <w:pStyle w:val="NoSpacing"/>
              <w:rPr>
                <w:sz w:val="21"/>
                <w:szCs w:val="21"/>
                <w:lang w:val="en-US" w:eastAsia="en-AU"/>
              </w:rPr>
            </w:pPr>
            <w:r w:rsidRPr="00867BB6">
              <w:rPr>
                <w:sz w:val="21"/>
                <w:szCs w:val="21"/>
                <w:lang w:val="en-US" w:eastAsia="en-AU"/>
              </w:rPr>
              <w:t>10</w:t>
            </w:r>
          </w:p>
        </w:tc>
        <w:tc>
          <w:tcPr>
            <w:tcW w:w="769" w:type="pct"/>
            <w:vMerge/>
            <w:shd w:val="clear" w:color="auto" w:fill="auto"/>
            <w:noWrap/>
            <w:vAlign w:val="center"/>
          </w:tcPr>
          <w:p w14:paraId="1F399320" w14:textId="77777777" w:rsidR="00B02634" w:rsidRPr="00867BB6" w:rsidRDefault="00B02634" w:rsidP="00E33F94">
            <w:pPr>
              <w:pStyle w:val="NoSpacing"/>
              <w:rPr>
                <w:sz w:val="21"/>
                <w:szCs w:val="21"/>
                <w:lang w:val="en-US" w:eastAsia="en-AU"/>
              </w:rPr>
            </w:pPr>
          </w:p>
        </w:tc>
        <w:tc>
          <w:tcPr>
            <w:tcW w:w="2672" w:type="pct"/>
            <w:shd w:val="clear" w:color="auto" w:fill="auto"/>
            <w:vAlign w:val="center"/>
          </w:tcPr>
          <w:p w14:paraId="7ECE0771" w14:textId="77777777" w:rsidR="00B02634" w:rsidRPr="00867BB6" w:rsidRDefault="00B02634" w:rsidP="00E33F94">
            <w:pPr>
              <w:pStyle w:val="NoSpacing"/>
              <w:rPr>
                <w:sz w:val="21"/>
                <w:szCs w:val="21"/>
                <w:lang w:val="en-US" w:eastAsia="en-AU"/>
              </w:rPr>
            </w:pPr>
            <w:r w:rsidRPr="00867BB6">
              <w:rPr>
                <w:sz w:val="21"/>
                <w:szCs w:val="21"/>
                <w:lang w:val="en-US" w:eastAsia="en-AU"/>
              </w:rPr>
              <w:t>See [3]</w:t>
            </w:r>
          </w:p>
        </w:tc>
        <w:tc>
          <w:tcPr>
            <w:tcW w:w="1246" w:type="pct"/>
            <w:vAlign w:val="center"/>
          </w:tcPr>
          <w:p w14:paraId="41006B91" w14:textId="77777777" w:rsidR="00B02634" w:rsidRPr="00867BB6" w:rsidRDefault="00B02634" w:rsidP="00E33F94">
            <w:pPr>
              <w:pStyle w:val="NoSpacing"/>
              <w:rPr>
                <w:sz w:val="21"/>
                <w:szCs w:val="21"/>
                <w:lang w:val="en-US" w:eastAsia="en-AU"/>
              </w:rPr>
            </w:pPr>
            <w:r w:rsidRPr="00867BB6">
              <w:rPr>
                <w:sz w:val="21"/>
                <w:szCs w:val="21"/>
                <w:lang w:val="en-US" w:eastAsia="en-AU"/>
              </w:rPr>
              <w:t>Open access</w:t>
            </w:r>
          </w:p>
        </w:tc>
      </w:tr>
      <w:tr w:rsidR="00B02634" w:rsidRPr="00867BB6" w14:paraId="447BED3A" w14:textId="77777777" w:rsidTr="00946ACF">
        <w:trPr>
          <w:trHeight w:val="400"/>
        </w:trPr>
        <w:tc>
          <w:tcPr>
            <w:tcW w:w="313" w:type="pct"/>
            <w:vAlign w:val="center"/>
          </w:tcPr>
          <w:p w14:paraId="470F5436" w14:textId="77777777" w:rsidR="00B02634" w:rsidRPr="00867BB6" w:rsidRDefault="00B02634" w:rsidP="00E33F94">
            <w:pPr>
              <w:pStyle w:val="NoSpacing"/>
              <w:rPr>
                <w:sz w:val="21"/>
                <w:szCs w:val="21"/>
                <w:lang w:val="en-US" w:eastAsia="en-AU"/>
              </w:rPr>
            </w:pPr>
            <w:r w:rsidRPr="00867BB6">
              <w:rPr>
                <w:sz w:val="21"/>
                <w:szCs w:val="21"/>
                <w:lang w:val="en-US" w:eastAsia="en-AU"/>
              </w:rPr>
              <w:t>11</w:t>
            </w:r>
          </w:p>
        </w:tc>
        <w:tc>
          <w:tcPr>
            <w:tcW w:w="769" w:type="pct"/>
            <w:shd w:val="clear" w:color="auto" w:fill="auto"/>
            <w:noWrap/>
            <w:vAlign w:val="center"/>
            <w:hideMark/>
          </w:tcPr>
          <w:p w14:paraId="321E6905" w14:textId="77777777" w:rsidR="00B02634" w:rsidRPr="00867BB6" w:rsidRDefault="00B02634" w:rsidP="00E33F94">
            <w:pPr>
              <w:pStyle w:val="NoSpacing"/>
              <w:rPr>
                <w:sz w:val="21"/>
                <w:szCs w:val="21"/>
                <w:lang w:val="en-US" w:eastAsia="en-AU"/>
              </w:rPr>
            </w:pPr>
            <w:r w:rsidRPr="00867BB6">
              <w:rPr>
                <w:sz w:val="21"/>
                <w:szCs w:val="21"/>
                <w:lang w:val="en-US" w:eastAsia="en-AU"/>
              </w:rPr>
              <w:t>British Virgin Islands</w:t>
            </w:r>
          </w:p>
        </w:tc>
        <w:tc>
          <w:tcPr>
            <w:tcW w:w="2672" w:type="pct"/>
            <w:shd w:val="clear" w:color="auto" w:fill="auto"/>
            <w:vAlign w:val="center"/>
          </w:tcPr>
          <w:p w14:paraId="53AFB0A5" w14:textId="77777777" w:rsidR="00B02634" w:rsidRPr="00867BB6" w:rsidRDefault="00B02634" w:rsidP="00E33F94">
            <w:pPr>
              <w:pStyle w:val="NoSpacing"/>
              <w:rPr>
                <w:sz w:val="21"/>
                <w:szCs w:val="21"/>
                <w:lang w:val="en-US"/>
              </w:rPr>
            </w:pPr>
            <w:r w:rsidRPr="00867BB6">
              <w:rPr>
                <w:sz w:val="21"/>
                <w:szCs w:val="21"/>
                <w:lang w:val="en-US"/>
              </w:rPr>
              <w:t xml:space="preserve">Pickering, </w:t>
            </w:r>
            <w:proofErr w:type="spellStart"/>
            <w:r w:rsidRPr="00867BB6">
              <w:rPr>
                <w:sz w:val="21"/>
                <w:szCs w:val="21"/>
                <w:lang w:val="en-US"/>
              </w:rPr>
              <w:t>Kederick</w:t>
            </w:r>
            <w:proofErr w:type="spellEnd"/>
            <w:r w:rsidRPr="00867BB6">
              <w:rPr>
                <w:sz w:val="21"/>
                <w:szCs w:val="21"/>
                <w:lang w:val="en-US"/>
              </w:rPr>
              <w:t xml:space="preserve"> D. 2015. “Sargassum Seaweed Phenomenon”. Statement at the Fourth Sitting of the First Session of the Third House of Assembly, Government of Virgin Islands. Available at: </w:t>
            </w:r>
            <w:hyperlink r:id="rId14" w:history="1">
              <w:r w:rsidRPr="00867BB6">
                <w:rPr>
                  <w:rStyle w:val="Hyperlink"/>
                  <w:sz w:val="21"/>
                  <w:szCs w:val="21"/>
                  <w:lang w:val="en-US"/>
                </w:rPr>
                <w:t>http://www.bvi.gov.vg/media-centre/sargassum-seaweed-phenomenon</w:t>
              </w:r>
            </w:hyperlink>
            <w:r w:rsidRPr="00867BB6">
              <w:rPr>
                <w:sz w:val="21"/>
                <w:szCs w:val="21"/>
                <w:lang w:val="en-US"/>
              </w:rPr>
              <w:t xml:space="preserve"> </w:t>
            </w:r>
          </w:p>
        </w:tc>
        <w:tc>
          <w:tcPr>
            <w:tcW w:w="1246" w:type="pct"/>
            <w:vAlign w:val="center"/>
          </w:tcPr>
          <w:p w14:paraId="16187CE4" w14:textId="77777777" w:rsidR="00B02634" w:rsidRPr="00867BB6" w:rsidRDefault="00B02634" w:rsidP="00E33F94">
            <w:pPr>
              <w:pStyle w:val="NoSpacing"/>
              <w:rPr>
                <w:sz w:val="21"/>
                <w:szCs w:val="21"/>
                <w:lang w:val="en-US" w:eastAsia="en-AU"/>
              </w:rPr>
            </w:pPr>
            <w:r w:rsidRPr="00867BB6">
              <w:rPr>
                <w:sz w:val="21"/>
                <w:szCs w:val="21"/>
                <w:lang w:val="en-US" w:eastAsia="en-AU"/>
              </w:rPr>
              <w:t>Open access</w:t>
            </w:r>
          </w:p>
        </w:tc>
      </w:tr>
      <w:tr w:rsidR="00B02634" w:rsidRPr="00867BB6" w14:paraId="5ABD5891" w14:textId="77777777" w:rsidTr="00946ACF">
        <w:trPr>
          <w:trHeight w:val="400"/>
        </w:trPr>
        <w:tc>
          <w:tcPr>
            <w:tcW w:w="313" w:type="pct"/>
            <w:vAlign w:val="center"/>
          </w:tcPr>
          <w:p w14:paraId="61489EF6" w14:textId="77777777" w:rsidR="00B02634" w:rsidRPr="00867BB6" w:rsidRDefault="00B02634" w:rsidP="00E33F94">
            <w:pPr>
              <w:pStyle w:val="NoSpacing"/>
              <w:rPr>
                <w:sz w:val="21"/>
                <w:szCs w:val="21"/>
                <w:lang w:val="en-US" w:eastAsia="en-AU"/>
              </w:rPr>
            </w:pPr>
            <w:r w:rsidRPr="00867BB6">
              <w:rPr>
                <w:sz w:val="21"/>
                <w:szCs w:val="21"/>
                <w:lang w:val="en-US" w:eastAsia="en-AU"/>
              </w:rPr>
              <w:t>12</w:t>
            </w:r>
          </w:p>
        </w:tc>
        <w:tc>
          <w:tcPr>
            <w:tcW w:w="769" w:type="pct"/>
            <w:shd w:val="clear" w:color="auto" w:fill="auto"/>
            <w:noWrap/>
            <w:vAlign w:val="center"/>
            <w:hideMark/>
          </w:tcPr>
          <w:p w14:paraId="3A073BDA" w14:textId="77777777" w:rsidR="00B02634" w:rsidRPr="00867BB6" w:rsidRDefault="00B02634" w:rsidP="00E33F94">
            <w:pPr>
              <w:pStyle w:val="NoSpacing"/>
              <w:rPr>
                <w:sz w:val="21"/>
                <w:szCs w:val="21"/>
                <w:lang w:val="en-US" w:eastAsia="en-AU"/>
              </w:rPr>
            </w:pPr>
            <w:r w:rsidRPr="00867BB6">
              <w:rPr>
                <w:sz w:val="21"/>
                <w:szCs w:val="21"/>
                <w:lang w:val="en-US" w:eastAsia="en-AU"/>
              </w:rPr>
              <w:t>Cayman Islands (UK)</w:t>
            </w:r>
          </w:p>
        </w:tc>
        <w:tc>
          <w:tcPr>
            <w:tcW w:w="2672" w:type="pct"/>
            <w:shd w:val="clear" w:color="auto" w:fill="auto"/>
            <w:vAlign w:val="center"/>
          </w:tcPr>
          <w:p w14:paraId="428FF708" w14:textId="77777777" w:rsidR="00B02634" w:rsidRPr="00867BB6" w:rsidRDefault="00B02634" w:rsidP="00E33F94">
            <w:pPr>
              <w:pStyle w:val="NoSpacing"/>
              <w:rPr>
                <w:sz w:val="21"/>
                <w:szCs w:val="21"/>
                <w:lang w:val="en-US"/>
              </w:rPr>
            </w:pPr>
            <w:r w:rsidRPr="00867BB6">
              <w:rPr>
                <w:sz w:val="21"/>
                <w:szCs w:val="21"/>
                <w:lang w:val="en-US"/>
              </w:rPr>
              <w:t xml:space="preserve">Department of Environment. 2015. </w:t>
            </w:r>
            <w:r w:rsidRPr="00867BB6">
              <w:rPr>
                <w:i/>
                <w:iCs/>
                <w:sz w:val="21"/>
                <w:szCs w:val="21"/>
                <w:lang w:val="en-US"/>
              </w:rPr>
              <w:t xml:space="preserve">Guidelines on Removing Sargassum from Beaches. </w:t>
            </w:r>
            <w:r w:rsidRPr="00867BB6">
              <w:rPr>
                <w:sz w:val="21"/>
                <w:szCs w:val="21"/>
                <w:lang w:val="en-US"/>
              </w:rPr>
              <w:t xml:space="preserve">Cayman Islands Government. Available at: </w:t>
            </w:r>
            <w:hyperlink r:id="rId15" w:history="1">
              <w:r w:rsidRPr="00867BB6">
                <w:rPr>
                  <w:rStyle w:val="Hyperlink"/>
                  <w:sz w:val="21"/>
                  <w:szCs w:val="21"/>
                  <w:lang w:val="en-US"/>
                </w:rPr>
                <w:t>http://doe.ky/wp-content/uploads/2015/01/DoE-Guidelines-on-Removing-Sargassum-from-Beaches.pdf</w:t>
              </w:r>
            </w:hyperlink>
            <w:r w:rsidRPr="00867BB6">
              <w:rPr>
                <w:sz w:val="21"/>
                <w:szCs w:val="21"/>
                <w:lang w:val="en-US"/>
              </w:rPr>
              <w:t xml:space="preserve"> </w:t>
            </w:r>
          </w:p>
        </w:tc>
        <w:tc>
          <w:tcPr>
            <w:tcW w:w="1246" w:type="pct"/>
            <w:vAlign w:val="center"/>
          </w:tcPr>
          <w:p w14:paraId="2804C9C5" w14:textId="77777777" w:rsidR="00B02634" w:rsidRPr="00867BB6" w:rsidRDefault="00B02634" w:rsidP="00E33F94">
            <w:pPr>
              <w:pStyle w:val="NoSpacing"/>
              <w:rPr>
                <w:sz w:val="21"/>
                <w:szCs w:val="21"/>
                <w:lang w:val="en-US" w:eastAsia="en-AU"/>
              </w:rPr>
            </w:pPr>
            <w:r w:rsidRPr="00867BB6">
              <w:rPr>
                <w:sz w:val="21"/>
                <w:szCs w:val="21"/>
                <w:lang w:val="en-US" w:eastAsia="en-AU"/>
              </w:rPr>
              <w:t>Open access</w:t>
            </w:r>
          </w:p>
        </w:tc>
      </w:tr>
      <w:tr w:rsidR="00DF4FD0" w:rsidRPr="00867BB6" w14:paraId="0760D375" w14:textId="77777777" w:rsidTr="00946ACF">
        <w:trPr>
          <w:trHeight w:val="400"/>
        </w:trPr>
        <w:tc>
          <w:tcPr>
            <w:tcW w:w="313" w:type="pct"/>
            <w:vAlign w:val="center"/>
          </w:tcPr>
          <w:p w14:paraId="08C3D031" w14:textId="243E3A0F" w:rsidR="00DF4FD0" w:rsidRPr="00867BB6" w:rsidRDefault="00DF4FD0" w:rsidP="00E33F94">
            <w:pPr>
              <w:pStyle w:val="NoSpacing"/>
              <w:rPr>
                <w:sz w:val="21"/>
                <w:szCs w:val="21"/>
                <w:lang w:val="en-US" w:eastAsia="en-AU"/>
              </w:rPr>
            </w:pPr>
            <w:r w:rsidRPr="00867BB6">
              <w:rPr>
                <w:sz w:val="21"/>
                <w:szCs w:val="21"/>
                <w:lang w:val="en-US" w:eastAsia="en-AU"/>
              </w:rPr>
              <w:t>13</w:t>
            </w:r>
          </w:p>
        </w:tc>
        <w:tc>
          <w:tcPr>
            <w:tcW w:w="769" w:type="pct"/>
            <w:shd w:val="clear" w:color="auto" w:fill="auto"/>
            <w:noWrap/>
            <w:vAlign w:val="center"/>
          </w:tcPr>
          <w:p w14:paraId="5B169235" w14:textId="11C3BFD3" w:rsidR="00DF4FD0" w:rsidRPr="00867BB6" w:rsidRDefault="00DF4FD0" w:rsidP="00E33F94">
            <w:pPr>
              <w:pStyle w:val="NoSpacing"/>
              <w:rPr>
                <w:sz w:val="21"/>
                <w:szCs w:val="21"/>
                <w:lang w:val="en-US" w:eastAsia="en-AU"/>
              </w:rPr>
            </w:pPr>
            <w:r w:rsidRPr="00867BB6">
              <w:rPr>
                <w:sz w:val="21"/>
                <w:szCs w:val="21"/>
                <w:lang w:val="en-US" w:eastAsia="en-AU"/>
              </w:rPr>
              <w:t>Cuba</w:t>
            </w:r>
          </w:p>
        </w:tc>
        <w:tc>
          <w:tcPr>
            <w:tcW w:w="2672" w:type="pct"/>
            <w:shd w:val="clear" w:color="auto" w:fill="auto"/>
            <w:vAlign w:val="center"/>
          </w:tcPr>
          <w:p w14:paraId="0BF3F41E" w14:textId="3B78AC16" w:rsidR="00DF4FD0" w:rsidRPr="00867BB6" w:rsidRDefault="00DF4FD0" w:rsidP="00E33F94">
            <w:pPr>
              <w:pStyle w:val="NoSpacing"/>
              <w:rPr>
                <w:sz w:val="21"/>
                <w:szCs w:val="21"/>
                <w:lang w:val="en-US"/>
              </w:rPr>
            </w:pPr>
            <w:r w:rsidRPr="00867BB6">
              <w:rPr>
                <w:sz w:val="21"/>
                <w:szCs w:val="21"/>
                <w:lang w:val="en-US"/>
              </w:rPr>
              <w:t>None found</w:t>
            </w:r>
          </w:p>
        </w:tc>
        <w:tc>
          <w:tcPr>
            <w:tcW w:w="1246" w:type="pct"/>
            <w:vAlign w:val="center"/>
          </w:tcPr>
          <w:p w14:paraId="28E8D5DA" w14:textId="693A5982" w:rsidR="00DF4FD0" w:rsidRPr="00867BB6" w:rsidRDefault="00DF4FD0" w:rsidP="00E33F94">
            <w:pPr>
              <w:pStyle w:val="NoSpacing"/>
              <w:rPr>
                <w:sz w:val="21"/>
                <w:szCs w:val="21"/>
                <w:lang w:val="en-US" w:eastAsia="en-AU"/>
              </w:rPr>
            </w:pPr>
            <w:r w:rsidRPr="00867BB6">
              <w:rPr>
                <w:sz w:val="21"/>
                <w:szCs w:val="21"/>
                <w:lang w:val="en-US" w:eastAsia="en-AU"/>
              </w:rPr>
              <w:t>N/A</w:t>
            </w:r>
          </w:p>
        </w:tc>
      </w:tr>
      <w:tr w:rsidR="00B02634" w:rsidRPr="00867BB6" w14:paraId="6C00FE11" w14:textId="77777777" w:rsidTr="00946ACF">
        <w:trPr>
          <w:trHeight w:val="400"/>
        </w:trPr>
        <w:tc>
          <w:tcPr>
            <w:tcW w:w="313" w:type="pct"/>
            <w:vAlign w:val="center"/>
          </w:tcPr>
          <w:p w14:paraId="2CFB8FE3" w14:textId="6501262D" w:rsidR="00B02634" w:rsidRPr="00867BB6" w:rsidRDefault="00B02634" w:rsidP="00E33F94">
            <w:pPr>
              <w:pStyle w:val="NoSpacing"/>
              <w:rPr>
                <w:sz w:val="21"/>
                <w:szCs w:val="21"/>
                <w:lang w:val="en-US" w:eastAsia="en-AU"/>
              </w:rPr>
            </w:pPr>
            <w:r w:rsidRPr="00867BB6">
              <w:rPr>
                <w:sz w:val="21"/>
                <w:szCs w:val="21"/>
                <w:lang w:val="en-US" w:eastAsia="en-AU"/>
              </w:rPr>
              <w:t>1</w:t>
            </w:r>
            <w:r w:rsidR="00DF4FD0" w:rsidRPr="00867BB6">
              <w:rPr>
                <w:sz w:val="21"/>
                <w:szCs w:val="21"/>
                <w:lang w:val="en-US" w:eastAsia="en-AU"/>
              </w:rPr>
              <w:t>4</w:t>
            </w:r>
          </w:p>
        </w:tc>
        <w:tc>
          <w:tcPr>
            <w:tcW w:w="769" w:type="pct"/>
            <w:shd w:val="clear" w:color="auto" w:fill="auto"/>
            <w:noWrap/>
            <w:vAlign w:val="center"/>
            <w:hideMark/>
          </w:tcPr>
          <w:p w14:paraId="49CBCFCE" w14:textId="77777777" w:rsidR="00B02634" w:rsidRPr="00867BB6" w:rsidRDefault="00B02634" w:rsidP="00E33F94">
            <w:pPr>
              <w:pStyle w:val="NoSpacing"/>
              <w:rPr>
                <w:sz w:val="21"/>
                <w:szCs w:val="21"/>
                <w:lang w:val="en-US" w:eastAsia="en-AU"/>
              </w:rPr>
            </w:pPr>
            <w:r w:rsidRPr="00867BB6">
              <w:rPr>
                <w:sz w:val="21"/>
                <w:szCs w:val="21"/>
                <w:lang w:val="en-US" w:eastAsia="en-AU"/>
              </w:rPr>
              <w:t>Curaçao (NL)</w:t>
            </w:r>
          </w:p>
        </w:tc>
        <w:tc>
          <w:tcPr>
            <w:tcW w:w="2672" w:type="pct"/>
            <w:shd w:val="clear" w:color="auto" w:fill="auto"/>
            <w:vAlign w:val="center"/>
          </w:tcPr>
          <w:p w14:paraId="2AEFF199" w14:textId="77777777" w:rsidR="00B02634" w:rsidRPr="00867BB6" w:rsidRDefault="00B02634" w:rsidP="00E33F94">
            <w:pPr>
              <w:pStyle w:val="NoSpacing"/>
              <w:rPr>
                <w:sz w:val="21"/>
                <w:szCs w:val="21"/>
                <w:lang w:val="en-US"/>
              </w:rPr>
            </w:pPr>
            <w:r w:rsidRPr="00867BB6">
              <w:rPr>
                <w:sz w:val="21"/>
                <w:szCs w:val="21"/>
                <w:lang w:val="en-US" w:eastAsia="en-AU"/>
              </w:rPr>
              <w:t>See [3]</w:t>
            </w:r>
          </w:p>
        </w:tc>
        <w:tc>
          <w:tcPr>
            <w:tcW w:w="1246" w:type="pct"/>
            <w:vAlign w:val="center"/>
          </w:tcPr>
          <w:p w14:paraId="5214334D" w14:textId="77777777" w:rsidR="00B02634" w:rsidRPr="00867BB6" w:rsidRDefault="00B02634" w:rsidP="00E33F94">
            <w:pPr>
              <w:pStyle w:val="NoSpacing"/>
              <w:rPr>
                <w:sz w:val="21"/>
                <w:szCs w:val="21"/>
                <w:lang w:val="en-US" w:eastAsia="en-AU"/>
              </w:rPr>
            </w:pPr>
            <w:r w:rsidRPr="00867BB6">
              <w:rPr>
                <w:sz w:val="21"/>
                <w:szCs w:val="21"/>
                <w:lang w:val="en-US" w:eastAsia="en-AU"/>
              </w:rPr>
              <w:t>Open access</w:t>
            </w:r>
          </w:p>
        </w:tc>
      </w:tr>
      <w:tr w:rsidR="00B02634" w:rsidRPr="00867BB6" w14:paraId="1041FC9E" w14:textId="77777777" w:rsidTr="00946ACF">
        <w:trPr>
          <w:trHeight w:val="400"/>
        </w:trPr>
        <w:tc>
          <w:tcPr>
            <w:tcW w:w="313" w:type="pct"/>
            <w:vAlign w:val="center"/>
          </w:tcPr>
          <w:p w14:paraId="7D1FBDFF" w14:textId="78226A28" w:rsidR="00B02634" w:rsidRPr="00867BB6" w:rsidRDefault="00B02634" w:rsidP="00E33F94">
            <w:pPr>
              <w:pStyle w:val="NoSpacing"/>
              <w:rPr>
                <w:sz w:val="21"/>
                <w:szCs w:val="21"/>
                <w:lang w:val="en-US" w:eastAsia="en-AU"/>
              </w:rPr>
            </w:pPr>
            <w:r w:rsidRPr="00867BB6">
              <w:rPr>
                <w:sz w:val="21"/>
                <w:szCs w:val="21"/>
                <w:lang w:val="en-US" w:eastAsia="en-AU"/>
              </w:rPr>
              <w:t>1</w:t>
            </w:r>
            <w:r w:rsidR="00DF4FD0" w:rsidRPr="00867BB6">
              <w:rPr>
                <w:sz w:val="21"/>
                <w:szCs w:val="21"/>
                <w:lang w:val="en-US" w:eastAsia="en-AU"/>
              </w:rPr>
              <w:t>5</w:t>
            </w:r>
          </w:p>
        </w:tc>
        <w:tc>
          <w:tcPr>
            <w:tcW w:w="769" w:type="pct"/>
            <w:shd w:val="clear" w:color="auto" w:fill="auto"/>
            <w:noWrap/>
            <w:vAlign w:val="center"/>
            <w:hideMark/>
          </w:tcPr>
          <w:p w14:paraId="45C8C829" w14:textId="77777777" w:rsidR="00B02634" w:rsidRPr="00867BB6" w:rsidRDefault="00B02634" w:rsidP="00E33F94">
            <w:pPr>
              <w:pStyle w:val="NoSpacing"/>
              <w:rPr>
                <w:sz w:val="21"/>
                <w:szCs w:val="21"/>
                <w:lang w:val="en-US" w:eastAsia="en-AU"/>
              </w:rPr>
            </w:pPr>
            <w:r w:rsidRPr="00867BB6">
              <w:rPr>
                <w:sz w:val="21"/>
                <w:szCs w:val="21"/>
                <w:lang w:val="en-US" w:eastAsia="en-AU"/>
              </w:rPr>
              <w:t>Dominica</w:t>
            </w:r>
          </w:p>
        </w:tc>
        <w:tc>
          <w:tcPr>
            <w:tcW w:w="2672" w:type="pct"/>
            <w:shd w:val="clear" w:color="auto" w:fill="auto"/>
            <w:vAlign w:val="center"/>
          </w:tcPr>
          <w:p w14:paraId="42B3B5B8" w14:textId="77777777" w:rsidR="00B02634" w:rsidRPr="00867BB6" w:rsidRDefault="00B02634" w:rsidP="00E33F94">
            <w:pPr>
              <w:pStyle w:val="NoSpacing"/>
              <w:rPr>
                <w:sz w:val="21"/>
                <w:szCs w:val="21"/>
                <w:lang w:val="en-US"/>
              </w:rPr>
            </w:pPr>
            <w:r w:rsidRPr="00867BB6">
              <w:rPr>
                <w:sz w:val="21"/>
                <w:szCs w:val="21"/>
                <w:lang w:val="en-US"/>
              </w:rPr>
              <w:t xml:space="preserve">Resilify Inc. 2019. </w:t>
            </w:r>
            <w:r w:rsidRPr="00867BB6">
              <w:rPr>
                <w:i/>
                <w:iCs/>
                <w:sz w:val="21"/>
                <w:szCs w:val="21"/>
                <w:lang w:val="en-US"/>
              </w:rPr>
              <w:t xml:space="preserve">Strategic Sargassum Preparedness Plan. </w:t>
            </w:r>
            <w:r w:rsidRPr="00867BB6">
              <w:rPr>
                <w:sz w:val="21"/>
                <w:szCs w:val="21"/>
                <w:lang w:val="en-US"/>
              </w:rPr>
              <w:t xml:space="preserve">Fisheries Division, Ministry of Agriculture, Food and Fisheries, and Commonwealth of Dominica. Available at: </w:t>
            </w:r>
            <w:hyperlink r:id="rId16" w:history="1">
              <w:r w:rsidRPr="00867BB6">
                <w:rPr>
                  <w:rStyle w:val="Hyperlink"/>
                  <w:sz w:val="21"/>
                  <w:szCs w:val="21"/>
                  <w:lang w:val="en-US"/>
                </w:rPr>
                <w:t>https://repository.oceanbestpractices.org/handle/11329/1287</w:t>
              </w:r>
            </w:hyperlink>
            <w:r w:rsidRPr="00867BB6">
              <w:rPr>
                <w:sz w:val="21"/>
                <w:szCs w:val="21"/>
                <w:lang w:val="en-US"/>
              </w:rPr>
              <w:t xml:space="preserve"> </w:t>
            </w:r>
          </w:p>
        </w:tc>
        <w:tc>
          <w:tcPr>
            <w:tcW w:w="1246" w:type="pct"/>
            <w:vAlign w:val="center"/>
          </w:tcPr>
          <w:p w14:paraId="034F321C" w14:textId="77777777" w:rsidR="00B02634" w:rsidRPr="00867BB6" w:rsidRDefault="00B02634" w:rsidP="00E33F94">
            <w:pPr>
              <w:pStyle w:val="NoSpacing"/>
              <w:rPr>
                <w:sz w:val="21"/>
                <w:szCs w:val="21"/>
                <w:lang w:val="en-US" w:eastAsia="en-AU"/>
              </w:rPr>
            </w:pPr>
            <w:r w:rsidRPr="00867BB6">
              <w:rPr>
                <w:sz w:val="21"/>
                <w:szCs w:val="21"/>
                <w:lang w:val="en-US" w:eastAsia="en-AU"/>
              </w:rPr>
              <w:t>Open access</w:t>
            </w:r>
          </w:p>
        </w:tc>
      </w:tr>
      <w:tr w:rsidR="00B02634" w:rsidRPr="00867BB6" w14:paraId="55E425B2" w14:textId="77777777" w:rsidTr="00946ACF">
        <w:trPr>
          <w:trHeight w:val="400"/>
        </w:trPr>
        <w:tc>
          <w:tcPr>
            <w:tcW w:w="313" w:type="pct"/>
            <w:vAlign w:val="center"/>
          </w:tcPr>
          <w:p w14:paraId="4E8505D4" w14:textId="5B4F6A41" w:rsidR="00B02634" w:rsidRPr="00867BB6" w:rsidRDefault="00B02634" w:rsidP="00E33F94">
            <w:pPr>
              <w:pStyle w:val="NoSpacing"/>
              <w:rPr>
                <w:sz w:val="21"/>
                <w:szCs w:val="21"/>
                <w:lang w:val="en-US" w:eastAsia="en-AU"/>
              </w:rPr>
            </w:pPr>
            <w:r w:rsidRPr="00867BB6">
              <w:rPr>
                <w:sz w:val="21"/>
                <w:szCs w:val="21"/>
                <w:lang w:val="en-US" w:eastAsia="en-AU"/>
              </w:rPr>
              <w:t>1</w:t>
            </w:r>
            <w:r w:rsidR="00DF4FD0" w:rsidRPr="00867BB6">
              <w:rPr>
                <w:sz w:val="21"/>
                <w:szCs w:val="21"/>
                <w:lang w:val="en-US" w:eastAsia="en-AU"/>
              </w:rPr>
              <w:t>6</w:t>
            </w:r>
          </w:p>
        </w:tc>
        <w:tc>
          <w:tcPr>
            <w:tcW w:w="769" w:type="pct"/>
            <w:shd w:val="clear" w:color="auto" w:fill="auto"/>
            <w:noWrap/>
            <w:vAlign w:val="center"/>
            <w:hideMark/>
          </w:tcPr>
          <w:p w14:paraId="603D6AFC" w14:textId="77777777" w:rsidR="00B02634" w:rsidRPr="00867BB6" w:rsidRDefault="00B02634" w:rsidP="00E33F94">
            <w:pPr>
              <w:pStyle w:val="NoSpacing"/>
              <w:rPr>
                <w:sz w:val="21"/>
                <w:szCs w:val="21"/>
                <w:lang w:val="en-US" w:eastAsia="en-AU"/>
              </w:rPr>
            </w:pPr>
            <w:r w:rsidRPr="00867BB6">
              <w:rPr>
                <w:sz w:val="21"/>
                <w:szCs w:val="21"/>
                <w:lang w:val="en-US" w:eastAsia="en-AU"/>
              </w:rPr>
              <w:t>Dominican Republic</w:t>
            </w:r>
          </w:p>
        </w:tc>
        <w:tc>
          <w:tcPr>
            <w:tcW w:w="2672" w:type="pct"/>
            <w:shd w:val="clear" w:color="auto" w:fill="auto"/>
            <w:vAlign w:val="center"/>
          </w:tcPr>
          <w:p w14:paraId="2F3E1EA3" w14:textId="77777777" w:rsidR="00B02634" w:rsidRPr="00867BB6" w:rsidRDefault="00B02634" w:rsidP="00E33F94">
            <w:pPr>
              <w:pStyle w:val="NoSpacing"/>
              <w:rPr>
                <w:sz w:val="21"/>
                <w:szCs w:val="21"/>
                <w:lang w:val="it-IT"/>
              </w:rPr>
            </w:pPr>
            <w:r w:rsidRPr="00867BB6">
              <w:rPr>
                <w:sz w:val="21"/>
                <w:szCs w:val="21"/>
                <w:lang w:val="it-IT"/>
              </w:rPr>
              <w:t xml:space="preserve">Centro de </w:t>
            </w:r>
            <w:proofErr w:type="spellStart"/>
            <w:r w:rsidRPr="00867BB6">
              <w:rPr>
                <w:sz w:val="21"/>
                <w:szCs w:val="21"/>
                <w:lang w:val="it-IT"/>
              </w:rPr>
              <w:t>Apoyo</w:t>
            </w:r>
            <w:proofErr w:type="spellEnd"/>
            <w:r w:rsidRPr="00867BB6">
              <w:rPr>
                <w:sz w:val="21"/>
                <w:szCs w:val="21"/>
                <w:lang w:val="it-IT"/>
              </w:rPr>
              <w:t xml:space="preserve"> a la </w:t>
            </w:r>
            <w:proofErr w:type="spellStart"/>
            <w:r w:rsidRPr="00867BB6">
              <w:rPr>
                <w:sz w:val="21"/>
                <w:szCs w:val="21"/>
                <w:lang w:val="it-IT"/>
              </w:rPr>
              <w:t>Tecnología</w:t>
            </w:r>
            <w:proofErr w:type="spellEnd"/>
            <w:r w:rsidRPr="00867BB6">
              <w:rPr>
                <w:sz w:val="21"/>
                <w:szCs w:val="21"/>
                <w:lang w:val="it-IT"/>
              </w:rPr>
              <w:t xml:space="preserve"> e </w:t>
            </w:r>
            <w:proofErr w:type="spellStart"/>
            <w:r w:rsidRPr="00867BB6">
              <w:rPr>
                <w:sz w:val="21"/>
                <w:szCs w:val="21"/>
                <w:lang w:val="it-IT"/>
              </w:rPr>
              <w:t>Innovación</w:t>
            </w:r>
            <w:proofErr w:type="spellEnd"/>
            <w:r w:rsidRPr="00867BB6">
              <w:rPr>
                <w:sz w:val="21"/>
                <w:szCs w:val="21"/>
                <w:lang w:val="it-IT"/>
              </w:rPr>
              <w:t xml:space="preserve">, and OMPI. </w:t>
            </w:r>
            <w:r w:rsidRPr="00867BB6">
              <w:rPr>
                <w:i/>
                <w:iCs/>
                <w:sz w:val="21"/>
                <w:szCs w:val="21"/>
                <w:lang w:val="it-IT"/>
              </w:rPr>
              <w:t xml:space="preserve">Informe </w:t>
            </w:r>
            <w:proofErr w:type="spellStart"/>
            <w:r w:rsidRPr="00867BB6">
              <w:rPr>
                <w:i/>
                <w:iCs/>
                <w:sz w:val="21"/>
                <w:szCs w:val="21"/>
                <w:lang w:val="it-IT"/>
              </w:rPr>
              <w:t>sobre</w:t>
            </w:r>
            <w:proofErr w:type="spellEnd"/>
            <w:r w:rsidRPr="00867BB6">
              <w:rPr>
                <w:i/>
                <w:iCs/>
                <w:sz w:val="21"/>
                <w:szCs w:val="21"/>
                <w:lang w:val="it-IT"/>
              </w:rPr>
              <w:t xml:space="preserve"> </w:t>
            </w:r>
            <w:proofErr w:type="spellStart"/>
            <w:r w:rsidRPr="00867BB6">
              <w:rPr>
                <w:i/>
                <w:iCs/>
                <w:sz w:val="21"/>
                <w:szCs w:val="21"/>
                <w:lang w:val="it-IT"/>
              </w:rPr>
              <w:t>el</w:t>
            </w:r>
            <w:proofErr w:type="spellEnd"/>
            <w:r w:rsidRPr="00867BB6">
              <w:rPr>
                <w:i/>
                <w:iCs/>
                <w:sz w:val="21"/>
                <w:szCs w:val="21"/>
                <w:lang w:val="it-IT"/>
              </w:rPr>
              <w:t xml:space="preserve"> </w:t>
            </w:r>
            <w:proofErr w:type="spellStart"/>
            <w:r w:rsidRPr="00867BB6">
              <w:rPr>
                <w:i/>
                <w:iCs/>
                <w:sz w:val="21"/>
                <w:szCs w:val="21"/>
                <w:lang w:val="it-IT"/>
              </w:rPr>
              <w:t>estado</w:t>
            </w:r>
            <w:proofErr w:type="spellEnd"/>
            <w:r w:rsidRPr="00867BB6">
              <w:rPr>
                <w:i/>
                <w:iCs/>
                <w:sz w:val="21"/>
                <w:szCs w:val="21"/>
                <w:lang w:val="it-IT"/>
              </w:rPr>
              <w:t xml:space="preserve"> de la </w:t>
            </w:r>
            <w:proofErr w:type="spellStart"/>
            <w:r w:rsidRPr="00867BB6">
              <w:rPr>
                <w:i/>
                <w:iCs/>
                <w:sz w:val="21"/>
                <w:szCs w:val="21"/>
                <w:lang w:val="it-IT"/>
              </w:rPr>
              <w:t>técnica</w:t>
            </w:r>
            <w:proofErr w:type="spellEnd"/>
            <w:r w:rsidRPr="00867BB6">
              <w:rPr>
                <w:i/>
                <w:iCs/>
                <w:sz w:val="21"/>
                <w:szCs w:val="21"/>
                <w:lang w:val="it-IT"/>
              </w:rPr>
              <w:t xml:space="preserve">: </w:t>
            </w:r>
            <w:proofErr w:type="spellStart"/>
            <w:r w:rsidRPr="00867BB6">
              <w:rPr>
                <w:i/>
                <w:iCs/>
                <w:sz w:val="21"/>
                <w:szCs w:val="21"/>
                <w:lang w:val="it-IT"/>
              </w:rPr>
              <w:t>tecnologías</w:t>
            </w:r>
            <w:proofErr w:type="spellEnd"/>
            <w:r w:rsidRPr="00867BB6">
              <w:rPr>
                <w:i/>
                <w:iCs/>
                <w:sz w:val="21"/>
                <w:szCs w:val="21"/>
                <w:lang w:val="it-IT"/>
              </w:rPr>
              <w:t xml:space="preserve"> </w:t>
            </w:r>
            <w:proofErr w:type="spellStart"/>
            <w:r w:rsidRPr="00867BB6">
              <w:rPr>
                <w:i/>
                <w:iCs/>
                <w:sz w:val="21"/>
                <w:szCs w:val="21"/>
                <w:lang w:val="it-IT"/>
              </w:rPr>
              <w:t>sobre</w:t>
            </w:r>
            <w:proofErr w:type="spellEnd"/>
            <w:r w:rsidRPr="00867BB6">
              <w:rPr>
                <w:i/>
                <w:iCs/>
                <w:sz w:val="21"/>
                <w:szCs w:val="21"/>
                <w:lang w:val="it-IT"/>
              </w:rPr>
              <w:t xml:space="preserve"> la </w:t>
            </w:r>
            <w:proofErr w:type="spellStart"/>
            <w:r w:rsidRPr="00867BB6">
              <w:rPr>
                <w:i/>
                <w:iCs/>
                <w:sz w:val="21"/>
                <w:szCs w:val="21"/>
                <w:lang w:val="it-IT"/>
              </w:rPr>
              <w:t>recolección</w:t>
            </w:r>
            <w:proofErr w:type="spellEnd"/>
            <w:r w:rsidRPr="00867BB6">
              <w:rPr>
                <w:i/>
                <w:iCs/>
                <w:sz w:val="21"/>
                <w:szCs w:val="21"/>
                <w:lang w:val="it-IT"/>
              </w:rPr>
              <w:t xml:space="preserve"> del </w:t>
            </w:r>
            <w:proofErr w:type="spellStart"/>
            <w:r w:rsidRPr="00867BB6">
              <w:rPr>
                <w:i/>
                <w:iCs/>
                <w:sz w:val="21"/>
                <w:szCs w:val="21"/>
                <w:lang w:val="it-IT"/>
              </w:rPr>
              <w:t>sargazo</w:t>
            </w:r>
            <w:proofErr w:type="spellEnd"/>
            <w:r w:rsidRPr="00867BB6">
              <w:rPr>
                <w:i/>
                <w:iCs/>
                <w:sz w:val="21"/>
                <w:szCs w:val="21"/>
                <w:lang w:val="it-IT"/>
              </w:rPr>
              <w:t>.</w:t>
            </w:r>
            <w:r w:rsidRPr="00867BB6">
              <w:rPr>
                <w:sz w:val="21"/>
                <w:szCs w:val="21"/>
                <w:lang w:val="it-IT"/>
              </w:rPr>
              <w:t xml:space="preserve"> </w:t>
            </w:r>
            <w:proofErr w:type="spellStart"/>
            <w:r w:rsidRPr="00867BB6">
              <w:rPr>
                <w:sz w:val="21"/>
                <w:szCs w:val="21"/>
                <w:lang w:val="it-IT"/>
              </w:rPr>
              <w:t>Boletín</w:t>
            </w:r>
            <w:proofErr w:type="spellEnd"/>
            <w:r w:rsidRPr="00867BB6">
              <w:rPr>
                <w:sz w:val="21"/>
                <w:szCs w:val="21"/>
                <w:lang w:val="it-IT"/>
              </w:rPr>
              <w:t xml:space="preserve"> </w:t>
            </w:r>
            <w:proofErr w:type="spellStart"/>
            <w:r w:rsidRPr="00867BB6">
              <w:rPr>
                <w:sz w:val="21"/>
                <w:szCs w:val="21"/>
                <w:lang w:val="it-IT"/>
              </w:rPr>
              <w:t>Vigilancia</w:t>
            </w:r>
            <w:proofErr w:type="spellEnd"/>
            <w:r w:rsidRPr="00867BB6">
              <w:rPr>
                <w:sz w:val="21"/>
                <w:szCs w:val="21"/>
                <w:lang w:val="it-IT"/>
              </w:rPr>
              <w:t xml:space="preserve"> </w:t>
            </w:r>
            <w:proofErr w:type="spellStart"/>
            <w:r w:rsidRPr="00867BB6">
              <w:rPr>
                <w:sz w:val="21"/>
                <w:szCs w:val="21"/>
                <w:lang w:val="it-IT"/>
              </w:rPr>
              <w:t>Tecnológica</w:t>
            </w:r>
            <w:proofErr w:type="spellEnd"/>
            <w:r w:rsidRPr="00867BB6">
              <w:rPr>
                <w:sz w:val="21"/>
                <w:szCs w:val="21"/>
                <w:lang w:val="it-IT"/>
              </w:rPr>
              <w:t xml:space="preserve"> No. 2. </w:t>
            </w:r>
            <w:proofErr w:type="spellStart"/>
            <w:r w:rsidRPr="00867BB6">
              <w:rPr>
                <w:sz w:val="21"/>
                <w:szCs w:val="21"/>
                <w:lang w:val="it-IT"/>
              </w:rPr>
              <w:t>Domican</w:t>
            </w:r>
            <w:proofErr w:type="spellEnd"/>
            <w:r w:rsidRPr="00867BB6">
              <w:rPr>
                <w:sz w:val="21"/>
                <w:szCs w:val="21"/>
                <w:lang w:val="it-IT"/>
              </w:rPr>
              <w:t xml:space="preserve"> Republic. </w:t>
            </w:r>
            <w:proofErr w:type="spellStart"/>
            <w:r w:rsidRPr="00867BB6">
              <w:rPr>
                <w:sz w:val="21"/>
                <w:szCs w:val="21"/>
                <w:lang w:val="it-IT"/>
              </w:rPr>
              <w:t>Available</w:t>
            </w:r>
            <w:proofErr w:type="spellEnd"/>
            <w:r w:rsidRPr="00867BB6">
              <w:rPr>
                <w:sz w:val="21"/>
                <w:szCs w:val="21"/>
                <w:lang w:val="it-IT"/>
              </w:rPr>
              <w:t xml:space="preserve"> </w:t>
            </w:r>
            <w:proofErr w:type="spellStart"/>
            <w:r w:rsidRPr="00867BB6">
              <w:rPr>
                <w:sz w:val="21"/>
                <w:szCs w:val="21"/>
                <w:lang w:val="it-IT"/>
              </w:rPr>
              <w:t>at</w:t>
            </w:r>
            <w:proofErr w:type="spellEnd"/>
            <w:r w:rsidRPr="00867BB6">
              <w:rPr>
                <w:sz w:val="21"/>
                <w:szCs w:val="21"/>
                <w:lang w:val="it-IT"/>
              </w:rPr>
              <w:t xml:space="preserve">: </w:t>
            </w:r>
            <w:hyperlink r:id="rId17" w:history="1">
              <w:r w:rsidRPr="00867BB6">
                <w:rPr>
                  <w:rStyle w:val="Hyperlink"/>
                  <w:sz w:val="21"/>
                  <w:szCs w:val="21"/>
                  <w:lang w:val="it-IT"/>
                </w:rPr>
                <w:t>http://www.registronacional.go.cr/propiedad_industrial/Documentos/IVT%20TECNOLOGIAS%20SOBRE%20RECOLECCION%20DEL%20SARGAZO,%20RED%20CATI%20CARD%20REPUBLICA%20DOMINICANA.PDF</w:t>
              </w:r>
            </w:hyperlink>
            <w:r w:rsidRPr="00867BB6">
              <w:rPr>
                <w:sz w:val="21"/>
                <w:szCs w:val="21"/>
                <w:lang w:val="it-IT"/>
              </w:rPr>
              <w:t xml:space="preserve"> </w:t>
            </w:r>
          </w:p>
        </w:tc>
        <w:tc>
          <w:tcPr>
            <w:tcW w:w="1246" w:type="pct"/>
            <w:vAlign w:val="center"/>
          </w:tcPr>
          <w:p w14:paraId="7D2A2BED" w14:textId="77777777" w:rsidR="00B02634" w:rsidRPr="00867BB6" w:rsidRDefault="00B02634" w:rsidP="00E33F94">
            <w:pPr>
              <w:pStyle w:val="NoSpacing"/>
              <w:rPr>
                <w:sz w:val="21"/>
                <w:szCs w:val="21"/>
                <w:lang w:val="en-US" w:eastAsia="en-AU"/>
              </w:rPr>
            </w:pPr>
            <w:r w:rsidRPr="00867BB6">
              <w:rPr>
                <w:sz w:val="21"/>
                <w:szCs w:val="21"/>
                <w:lang w:val="en-US" w:eastAsia="en-AU"/>
              </w:rPr>
              <w:t>Open access</w:t>
            </w:r>
          </w:p>
        </w:tc>
      </w:tr>
      <w:tr w:rsidR="00B02634" w:rsidRPr="00867BB6" w14:paraId="0A3C63AB" w14:textId="77777777" w:rsidTr="00946ACF">
        <w:trPr>
          <w:trHeight w:val="400"/>
        </w:trPr>
        <w:tc>
          <w:tcPr>
            <w:tcW w:w="313" w:type="pct"/>
            <w:vAlign w:val="center"/>
          </w:tcPr>
          <w:p w14:paraId="2C870E95" w14:textId="10AC24D8" w:rsidR="00B02634" w:rsidRPr="00867BB6" w:rsidRDefault="00B02634" w:rsidP="00E33F94">
            <w:pPr>
              <w:pStyle w:val="NoSpacing"/>
              <w:rPr>
                <w:sz w:val="21"/>
                <w:szCs w:val="21"/>
                <w:lang w:val="en-US" w:eastAsia="en-AU"/>
              </w:rPr>
            </w:pPr>
            <w:r w:rsidRPr="00867BB6">
              <w:rPr>
                <w:sz w:val="21"/>
                <w:szCs w:val="21"/>
                <w:lang w:val="en-US" w:eastAsia="en-AU"/>
              </w:rPr>
              <w:t>1</w:t>
            </w:r>
            <w:r w:rsidR="00DF4FD0" w:rsidRPr="00867BB6">
              <w:rPr>
                <w:sz w:val="21"/>
                <w:szCs w:val="21"/>
                <w:lang w:val="en-US" w:eastAsia="en-AU"/>
              </w:rPr>
              <w:t>7</w:t>
            </w:r>
          </w:p>
        </w:tc>
        <w:tc>
          <w:tcPr>
            <w:tcW w:w="769" w:type="pct"/>
            <w:vMerge w:val="restart"/>
            <w:shd w:val="clear" w:color="auto" w:fill="auto"/>
            <w:noWrap/>
            <w:vAlign w:val="center"/>
            <w:hideMark/>
          </w:tcPr>
          <w:p w14:paraId="544739B4" w14:textId="77777777" w:rsidR="00B02634" w:rsidRPr="00867BB6" w:rsidRDefault="00B02634" w:rsidP="00E33F94">
            <w:pPr>
              <w:pStyle w:val="NoSpacing"/>
              <w:rPr>
                <w:sz w:val="21"/>
                <w:szCs w:val="21"/>
                <w:lang w:val="en-US" w:eastAsia="en-AU"/>
              </w:rPr>
            </w:pPr>
            <w:r w:rsidRPr="00867BB6">
              <w:rPr>
                <w:sz w:val="21"/>
                <w:szCs w:val="21"/>
                <w:lang w:val="en-US" w:eastAsia="en-AU"/>
              </w:rPr>
              <w:t>Grenada</w:t>
            </w:r>
          </w:p>
        </w:tc>
        <w:tc>
          <w:tcPr>
            <w:tcW w:w="2672" w:type="pct"/>
            <w:shd w:val="clear" w:color="auto" w:fill="auto"/>
            <w:vAlign w:val="center"/>
          </w:tcPr>
          <w:p w14:paraId="4B7D847C" w14:textId="70272960" w:rsidR="00B02634" w:rsidRPr="00867BB6" w:rsidRDefault="00B02634" w:rsidP="00E33F94">
            <w:pPr>
              <w:pStyle w:val="NoSpacing"/>
              <w:rPr>
                <w:sz w:val="21"/>
                <w:szCs w:val="21"/>
                <w:lang w:val="en-US"/>
              </w:rPr>
            </w:pPr>
            <w:r w:rsidRPr="00867BB6">
              <w:rPr>
                <w:sz w:val="21"/>
                <w:szCs w:val="21"/>
                <w:lang w:val="en-US"/>
              </w:rPr>
              <w:t xml:space="preserve">Ince, D. 2017. </w:t>
            </w:r>
            <w:r w:rsidRPr="00867BB6">
              <w:rPr>
                <w:i/>
                <w:iCs/>
                <w:sz w:val="21"/>
                <w:szCs w:val="21"/>
                <w:lang w:val="en-US"/>
              </w:rPr>
              <w:t>Protocol for the Management of the Extreme Accumulations of Sargassum on the Coast of Grenada</w:t>
            </w:r>
            <w:r w:rsidRPr="00867BB6">
              <w:rPr>
                <w:sz w:val="21"/>
                <w:szCs w:val="21"/>
                <w:lang w:val="en-US"/>
              </w:rPr>
              <w:t>. CRFM Technical &amp; Advisory Document. St George’s, Grenada.</w:t>
            </w:r>
          </w:p>
        </w:tc>
        <w:tc>
          <w:tcPr>
            <w:tcW w:w="1246" w:type="pct"/>
            <w:vAlign w:val="center"/>
          </w:tcPr>
          <w:p w14:paraId="29505793" w14:textId="77777777" w:rsidR="00B02634" w:rsidRPr="00867BB6" w:rsidRDefault="00B02634" w:rsidP="00E33F94">
            <w:pPr>
              <w:pStyle w:val="NoSpacing"/>
              <w:rPr>
                <w:sz w:val="21"/>
                <w:szCs w:val="21"/>
                <w:lang w:val="en-US" w:eastAsia="en-AU"/>
              </w:rPr>
            </w:pPr>
            <w:r w:rsidRPr="00867BB6">
              <w:rPr>
                <w:sz w:val="21"/>
                <w:szCs w:val="21"/>
                <w:lang w:val="en-US" w:eastAsia="en-AU"/>
              </w:rPr>
              <w:t>Accessed through personal correspondence.</w:t>
            </w:r>
          </w:p>
        </w:tc>
      </w:tr>
      <w:tr w:rsidR="00B02634" w:rsidRPr="00867BB6" w14:paraId="2FB6C918" w14:textId="77777777" w:rsidTr="00946ACF">
        <w:trPr>
          <w:trHeight w:val="400"/>
        </w:trPr>
        <w:tc>
          <w:tcPr>
            <w:tcW w:w="313" w:type="pct"/>
            <w:vAlign w:val="center"/>
          </w:tcPr>
          <w:p w14:paraId="49C8529D" w14:textId="370E3528" w:rsidR="00B02634" w:rsidRPr="00867BB6" w:rsidRDefault="00B02634" w:rsidP="00E33F94">
            <w:pPr>
              <w:pStyle w:val="NoSpacing"/>
              <w:rPr>
                <w:sz w:val="21"/>
                <w:szCs w:val="21"/>
                <w:lang w:val="en-US" w:eastAsia="en-AU"/>
              </w:rPr>
            </w:pPr>
            <w:r w:rsidRPr="00867BB6">
              <w:rPr>
                <w:sz w:val="21"/>
                <w:szCs w:val="21"/>
                <w:lang w:val="en-US" w:eastAsia="en-AU"/>
              </w:rPr>
              <w:t>1</w:t>
            </w:r>
            <w:r w:rsidR="00DF4FD0" w:rsidRPr="00867BB6">
              <w:rPr>
                <w:sz w:val="21"/>
                <w:szCs w:val="21"/>
                <w:lang w:val="en-US" w:eastAsia="en-AU"/>
              </w:rPr>
              <w:t>8</w:t>
            </w:r>
          </w:p>
        </w:tc>
        <w:tc>
          <w:tcPr>
            <w:tcW w:w="769" w:type="pct"/>
            <w:vMerge/>
            <w:shd w:val="clear" w:color="auto" w:fill="auto"/>
            <w:noWrap/>
            <w:vAlign w:val="center"/>
          </w:tcPr>
          <w:p w14:paraId="2516336B" w14:textId="77777777" w:rsidR="00B02634" w:rsidRPr="00867BB6" w:rsidRDefault="00B02634" w:rsidP="00E33F94">
            <w:pPr>
              <w:pStyle w:val="NoSpacing"/>
              <w:rPr>
                <w:sz w:val="21"/>
                <w:szCs w:val="21"/>
                <w:lang w:val="en-US" w:eastAsia="en-AU"/>
              </w:rPr>
            </w:pPr>
          </w:p>
        </w:tc>
        <w:tc>
          <w:tcPr>
            <w:tcW w:w="2672" w:type="pct"/>
            <w:shd w:val="clear" w:color="auto" w:fill="auto"/>
            <w:vAlign w:val="center"/>
          </w:tcPr>
          <w:p w14:paraId="5FBF564D" w14:textId="114C14F3" w:rsidR="00B02634" w:rsidRPr="00867BB6" w:rsidRDefault="00844CB8" w:rsidP="00E33F94">
            <w:pPr>
              <w:pStyle w:val="NoSpacing"/>
              <w:rPr>
                <w:sz w:val="21"/>
                <w:szCs w:val="21"/>
                <w:lang w:val="en-US"/>
              </w:rPr>
            </w:pPr>
            <w:r w:rsidRPr="00867BB6">
              <w:rPr>
                <w:sz w:val="21"/>
                <w:szCs w:val="21"/>
                <w:lang w:val="fr-FR"/>
              </w:rPr>
              <w:t xml:space="preserve">CERMES. 2021. </w:t>
            </w:r>
            <w:r w:rsidRPr="00867BB6">
              <w:rPr>
                <w:i/>
                <w:iCs/>
                <w:sz w:val="21"/>
                <w:szCs w:val="21"/>
                <w:lang w:val="fr-FR"/>
              </w:rPr>
              <w:t xml:space="preserve">Draft Grenada </w:t>
            </w:r>
            <w:proofErr w:type="spellStart"/>
            <w:r w:rsidRPr="00867BB6">
              <w:rPr>
                <w:i/>
                <w:iCs/>
                <w:sz w:val="21"/>
                <w:szCs w:val="21"/>
                <w:lang w:val="fr-FR"/>
              </w:rPr>
              <w:t>Sargassum</w:t>
            </w:r>
            <w:proofErr w:type="spellEnd"/>
            <w:r w:rsidRPr="00867BB6">
              <w:rPr>
                <w:i/>
                <w:iCs/>
                <w:sz w:val="21"/>
                <w:szCs w:val="21"/>
                <w:lang w:val="fr-FR"/>
              </w:rPr>
              <w:t xml:space="preserve"> Adaptive Management </w:t>
            </w:r>
            <w:proofErr w:type="spellStart"/>
            <w:r w:rsidRPr="00867BB6">
              <w:rPr>
                <w:i/>
                <w:iCs/>
                <w:sz w:val="21"/>
                <w:szCs w:val="21"/>
                <w:lang w:val="fr-FR"/>
              </w:rPr>
              <w:t>Strategy</w:t>
            </w:r>
            <w:proofErr w:type="spellEnd"/>
            <w:r w:rsidRPr="00867BB6">
              <w:rPr>
                <w:i/>
                <w:iCs/>
                <w:sz w:val="21"/>
                <w:szCs w:val="21"/>
                <w:lang w:val="fr-FR"/>
              </w:rPr>
              <w:t xml:space="preserve">. </w:t>
            </w:r>
            <w:r w:rsidRPr="00867BB6">
              <w:rPr>
                <w:i/>
                <w:iCs/>
                <w:sz w:val="21"/>
                <w:szCs w:val="21"/>
                <w:lang w:val="en-US"/>
              </w:rPr>
              <w:t>Volume 1: Adaptive Strategy.</w:t>
            </w:r>
            <w:r w:rsidRPr="00867BB6">
              <w:rPr>
                <w:sz w:val="21"/>
                <w:szCs w:val="21"/>
                <w:lang w:val="en-US"/>
              </w:rPr>
              <w:t xml:space="preserve"> FAO CC4FISH project. 16pp.</w:t>
            </w:r>
          </w:p>
        </w:tc>
        <w:tc>
          <w:tcPr>
            <w:tcW w:w="1246" w:type="pct"/>
            <w:vAlign w:val="center"/>
          </w:tcPr>
          <w:p w14:paraId="4A5EBE49" w14:textId="77777777" w:rsidR="00B02634" w:rsidRPr="00867BB6" w:rsidRDefault="00B02634" w:rsidP="00E33F94">
            <w:pPr>
              <w:pStyle w:val="NoSpacing"/>
              <w:rPr>
                <w:sz w:val="21"/>
                <w:szCs w:val="21"/>
                <w:lang w:val="en-US" w:eastAsia="en-AU"/>
              </w:rPr>
            </w:pPr>
            <w:r w:rsidRPr="00867BB6">
              <w:rPr>
                <w:sz w:val="21"/>
                <w:szCs w:val="21"/>
                <w:lang w:val="en-US" w:eastAsia="en-AU"/>
              </w:rPr>
              <w:t>Accessed through personal correspondence.</w:t>
            </w:r>
          </w:p>
        </w:tc>
      </w:tr>
      <w:tr w:rsidR="00DF4FD0" w:rsidRPr="00867BB6" w14:paraId="56671040" w14:textId="77777777" w:rsidTr="00946ACF">
        <w:trPr>
          <w:trHeight w:val="400"/>
        </w:trPr>
        <w:tc>
          <w:tcPr>
            <w:tcW w:w="313" w:type="pct"/>
            <w:vAlign w:val="center"/>
          </w:tcPr>
          <w:p w14:paraId="124D57A4" w14:textId="371A0C55" w:rsidR="00DF4FD0" w:rsidRPr="00867BB6" w:rsidRDefault="00DF4FD0" w:rsidP="00DF4FD0">
            <w:pPr>
              <w:pStyle w:val="NoSpacing"/>
              <w:rPr>
                <w:sz w:val="21"/>
                <w:szCs w:val="21"/>
                <w:lang w:val="en-US" w:eastAsia="en-AU"/>
              </w:rPr>
            </w:pPr>
            <w:r w:rsidRPr="00867BB6">
              <w:rPr>
                <w:sz w:val="21"/>
                <w:szCs w:val="21"/>
                <w:lang w:val="en-US" w:eastAsia="en-AU"/>
              </w:rPr>
              <w:t>19</w:t>
            </w:r>
          </w:p>
        </w:tc>
        <w:tc>
          <w:tcPr>
            <w:tcW w:w="769" w:type="pct"/>
            <w:vMerge w:val="restart"/>
            <w:shd w:val="clear" w:color="auto" w:fill="auto"/>
            <w:noWrap/>
            <w:vAlign w:val="center"/>
            <w:hideMark/>
          </w:tcPr>
          <w:p w14:paraId="3C27F1B7" w14:textId="77777777" w:rsidR="00DF4FD0" w:rsidRPr="00867BB6" w:rsidRDefault="00DF4FD0" w:rsidP="00DF4FD0">
            <w:pPr>
              <w:pStyle w:val="NoSpacing"/>
              <w:rPr>
                <w:sz w:val="21"/>
                <w:szCs w:val="21"/>
                <w:lang w:val="en-US" w:eastAsia="en-AU"/>
              </w:rPr>
            </w:pPr>
            <w:r w:rsidRPr="00867BB6">
              <w:rPr>
                <w:sz w:val="21"/>
                <w:szCs w:val="21"/>
                <w:lang w:val="en-US" w:eastAsia="en-AU"/>
              </w:rPr>
              <w:t>Guadeloupe (Fr)</w:t>
            </w:r>
          </w:p>
        </w:tc>
        <w:tc>
          <w:tcPr>
            <w:tcW w:w="2672" w:type="pct"/>
            <w:shd w:val="clear" w:color="auto" w:fill="auto"/>
            <w:vAlign w:val="center"/>
          </w:tcPr>
          <w:p w14:paraId="6370C9BA" w14:textId="77777777" w:rsidR="00DF4FD0" w:rsidRPr="00867BB6" w:rsidRDefault="00DF4FD0" w:rsidP="00DF4FD0">
            <w:pPr>
              <w:pStyle w:val="NoSpacing"/>
              <w:rPr>
                <w:sz w:val="21"/>
                <w:szCs w:val="21"/>
                <w:lang w:val="en-US"/>
              </w:rPr>
            </w:pPr>
            <w:r w:rsidRPr="00867BB6">
              <w:rPr>
                <w:sz w:val="21"/>
                <w:szCs w:val="21"/>
                <w:lang w:val="fr-FR"/>
              </w:rPr>
              <w:t xml:space="preserve">Ministère des Outre-Mer, Ministère de l’Environnement, de l’Énergie et de la Mer, and Ministère de l’Agriculture, de L’Agroalimentaire et de le Forêt. 2016. ‘Le Phénomène d’échouage Des Sargasses Dans Les Antilles et En Guyane’. </w:t>
            </w:r>
            <w:r w:rsidRPr="00867BB6">
              <w:rPr>
                <w:sz w:val="21"/>
                <w:szCs w:val="21"/>
                <w:lang w:val="en-US"/>
              </w:rPr>
              <w:t xml:space="preserve">Available at: </w:t>
            </w:r>
            <w:hyperlink r:id="rId18" w:history="1">
              <w:r w:rsidRPr="00867BB6">
                <w:rPr>
                  <w:rStyle w:val="Hyperlink"/>
                  <w:sz w:val="21"/>
                  <w:szCs w:val="21"/>
                  <w:lang w:val="en-US"/>
                </w:rPr>
                <w:t>https://www.interieur.gouv.fr/Publications/Rapport</w:t>
              </w:r>
              <w:r w:rsidRPr="00867BB6">
                <w:rPr>
                  <w:rStyle w:val="Hyperlink"/>
                  <w:sz w:val="21"/>
                  <w:szCs w:val="21"/>
                  <w:lang w:val="en-US"/>
                </w:rPr>
                <w:lastRenderedPageBreak/>
                <w:t>s-de-l-IGA/Rapports-recents/Le-phenomene-d-echouage-des-sargasses-dans-les-Antilles-et-en-Guyane</w:t>
              </w:r>
            </w:hyperlink>
            <w:r w:rsidRPr="00867BB6">
              <w:rPr>
                <w:sz w:val="21"/>
                <w:szCs w:val="21"/>
                <w:lang w:val="en-US"/>
              </w:rPr>
              <w:t xml:space="preserve"> </w:t>
            </w:r>
          </w:p>
        </w:tc>
        <w:tc>
          <w:tcPr>
            <w:tcW w:w="1246" w:type="pct"/>
            <w:vAlign w:val="center"/>
          </w:tcPr>
          <w:p w14:paraId="78F7D303" w14:textId="77777777" w:rsidR="00DF4FD0" w:rsidRPr="00867BB6" w:rsidRDefault="00DF4FD0" w:rsidP="00DF4FD0">
            <w:pPr>
              <w:pStyle w:val="NoSpacing"/>
              <w:rPr>
                <w:sz w:val="21"/>
                <w:szCs w:val="21"/>
                <w:lang w:val="en-US" w:eastAsia="en-AU"/>
              </w:rPr>
            </w:pPr>
            <w:r w:rsidRPr="00867BB6">
              <w:rPr>
                <w:sz w:val="21"/>
                <w:szCs w:val="21"/>
                <w:lang w:val="en-US" w:eastAsia="en-AU"/>
              </w:rPr>
              <w:lastRenderedPageBreak/>
              <w:t>Open access.</w:t>
            </w:r>
          </w:p>
        </w:tc>
      </w:tr>
      <w:tr w:rsidR="00DF4FD0" w:rsidRPr="00867BB6" w14:paraId="1D32327F" w14:textId="77777777" w:rsidTr="00946ACF">
        <w:trPr>
          <w:trHeight w:val="400"/>
        </w:trPr>
        <w:tc>
          <w:tcPr>
            <w:tcW w:w="313" w:type="pct"/>
            <w:vAlign w:val="center"/>
          </w:tcPr>
          <w:p w14:paraId="4AE75252" w14:textId="7D57F9AF" w:rsidR="00DF4FD0" w:rsidRPr="00867BB6" w:rsidRDefault="00DF4FD0" w:rsidP="00DF4FD0">
            <w:pPr>
              <w:pStyle w:val="NoSpacing"/>
              <w:rPr>
                <w:sz w:val="21"/>
                <w:szCs w:val="21"/>
                <w:lang w:val="en-US" w:eastAsia="en-AU"/>
              </w:rPr>
            </w:pPr>
            <w:r w:rsidRPr="00867BB6">
              <w:rPr>
                <w:sz w:val="21"/>
                <w:szCs w:val="21"/>
                <w:lang w:val="en-US" w:eastAsia="en-AU"/>
              </w:rPr>
              <w:t>20</w:t>
            </w:r>
          </w:p>
        </w:tc>
        <w:tc>
          <w:tcPr>
            <w:tcW w:w="769" w:type="pct"/>
            <w:vMerge/>
            <w:shd w:val="clear" w:color="auto" w:fill="auto"/>
            <w:noWrap/>
            <w:vAlign w:val="center"/>
          </w:tcPr>
          <w:p w14:paraId="274E0349" w14:textId="77777777" w:rsidR="00DF4FD0" w:rsidRPr="00867BB6" w:rsidRDefault="00DF4FD0" w:rsidP="00DF4FD0">
            <w:pPr>
              <w:pStyle w:val="NoSpacing"/>
              <w:rPr>
                <w:sz w:val="21"/>
                <w:szCs w:val="21"/>
                <w:lang w:val="en-US" w:eastAsia="en-AU"/>
              </w:rPr>
            </w:pPr>
          </w:p>
        </w:tc>
        <w:tc>
          <w:tcPr>
            <w:tcW w:w="2672" w:type="pct"/>
            <w:shd w:val="clear" w:color="auto" w:fill="auto"/>
            <w:vAlign w:val="center"/>
          </w:tcPr>
          <w:p w14:paraId="76E0C5C8" w14:textId="77777777" w:rsidR="00DF4FD0" w:rsidRPr="00867BB6" w:rsidRDefault="00DF4FD0" w:rsidP="00DF4FD0">
            <w:pPr>
              <w:pStyle w:val="NoSpacing"/>
              <w:rPr>
                <w:sz w:val="21"/>
                <w:szCs w:val="21"/>
                <w:lang w:val="en-US"/>
              </w:rPr>
            </w:pPr>
            <w:r w:rsidRPr="00867BB6">
              <w:rPr>
                <w:sz w:val="21"/>
                <w:szCs w:val="21"/>
                <w:lang w:val="en-US"/>
              </w:rPr>
              <w:t>Department of Environment, Land Planning and Housing. 2015.</w:t>
            </w:r>
            <w:r w:rsidRPr="00867BB6">
              <w:rPr>
                <w:i/>
                <w:iCs/>
                <w:sz w:val="21"/>
                <w:szCs w:val="21"/>
                <w:lang w:val="en-US"/>
              </w:rPr>
              <w:t xml:space="preserve"> Creation of green brigades for collecting sargassum in Guadeloupe. </w:t>
            </w:r>
            <w:r w:rsidRPr="00867BB6">
              <w:rPr>
                <w:sz w:val="21"/>
                <w:szCs w:val="21"/>
                <w:lang w:val="en-US"/>
              </w:rPr>
              <w:t xml:space="preserve">Available at: </w:t>
            </w:r>
            <w:hyperlink r:id="rId19" w:history="1">
              <w:r w:rsidRPr="00867BB6">
                <w:rPr>
                  <w:rStyle w:val="Hyperlink"/>
                  <w:sz w:val="21"/>
                  <w:szCs w:val="21"/>
                  <w:lang w:val="en-US"/>
                </w:rPr>
                <w:t>http://www.guadeloupe.developpement-durable.gouv.fr/IMG/pdf/anglais_sargasse.pdf</w:t>
              </w:r>
            </w:hyperlink>
            <w:r w:rsidRPr="00867BB6">
              <w:rPr>
                <w:sz w:val="21"/>
                <w:szCs w:val="21"/>
                <w:lang w:val="en-US"/>
              </w:rPr>
              <w:t xml:space="preserve"> </w:t>
            </w:r>
          </w:p>
        </w:tc>
        <w:tc>
          <w:tcPr>
            <w:tcW w:w="1246" w:type="pct"/>
            <w:vAlign w:val="center"/>
          </w:tcPr>
          <w:p w14:paraId="281087B0" w14:textId="77777777" w:rsidR="00DF4FD0" w:rsidRPr="00867BB6" w:rsidRDefault="00DF4FD0" w:rsidP="00DF4FD0">
            <w:pPr>
              <w:pStyle w:val="NoSpacing"/>
              <w:rPr>
                <w:sz w:val="21"/>
                <w:szCs w:val="21"/>
                <w:lang w:val="en-US" w:eastAsia="en-AU"/>
              </w:rPr>
            </w:pPr>
            <w:r w:rsidRPr="00867BB6">
              <w:rPr>
                <w:sz w:val="21"/>
                <w:szCs w:val="21"/>
                <w:lang w:val="en-US" w:eastAsia="en-AU"/>
              </w:rPr>
              <w:t>Open access.</w:t>
            </w:r>
          </w:p>
        </w:tc>
      </w:tr>
      <w:tr w:rsidR="00DF4FD0" w:rsidRPr="00867BB6" w14:paraId="79D8807E" w14:textId="77777777" w:rsidTr="00946ACF">
        <w:trPr>
          <w:trHeight w:val="400"/>
        </w:trPr>
        <w:tc>
          <w:tcPr>
            <w:tcW w:w="313" w:type="pct"/>
            <w:vAlign w:val="center"/>
          </w:tcPr>
          <w:p w14:paraId="29C7F786" w14:textId="3312A27D" w:rsidR="00DF4FD0" w:rsidRPr="00867BB6" w:rsidRDefault="00DF4FD0" w:rsidP="00DF4FD0">
            <w:pPr>
              <w:pStyle w:val="NoSpacing"/>
              <w:rPr>
                <w:sz w:val="21"/>
                <w:szCs w:val="21"/>
                <w:lang w:val="en-US" w:eastAsia="en-AU"/>
              </w:rPr>
            </w:pPr>
            <w:r w:rsidRPr="00867BB6">
              <w:rPr>
                <w:sz w:val="21"/>
                <w:szCs w:val="21"/>
                <w:lang w:val="en-US" w:eastAsia="en-AU"/>
              </w:rPr>
              <w:t>21</w:t>
            </w:r>
          </w:p>
        </w:tc>
        <w:tc>
          <w:tcPr>
            <w:tcW w:w="769" w:type="pct"/>
            <w:shd w:val="clear" w:color="auto" w:fill="auto"/>
            <w:noWrap/>
            <w:vAlign w:val="center"/>
            <w:hideMark/>
          </w:tcPr>
          <w:p w14:paraId="776F8ACC" w14:textId="77777777" w:rsidR="00DF4FD0" w:rsidRPr="00867BB6" w:rsidRDefault="00DF4FD0" w:rsidP="00DF4FD0">
            <w:pPr>
              <w:pStyle w:val="NoSpacing"/>
              <w:rPr>
                <w:sz w:val="21"/>
                <w:szCs w:val="21"/>
                <w:lang w:val="en-US" w:eastAsia="en-AU"/>
              </w:rPr>
            </w:pPr>
            <w:r w:rsidRPr="00867BB6">
              <w:rPr>
                <w:sz w:val="21"/>
                <w:szCs w:val="21"/>
                <w:lang w:val="en-US" w:eastAsia="en-AU"/>
              </w:rPr>
              <w:t>Guyana</w:t>
            </w:r>
          </w:p>
        </w:tc>
        <w:tc>
          <w:tcPr>
            <w:tcW w:w="2672" w:type="pct"/>
            <w:shd w:val="clear" w:color="auto" w:fill="auto"/>
            <w:vAlign w:val="center"/>
          </w:tcPr>
          <w:p w14:paraId="0D2C9A04" w14:textId="77777777" w:rsidR="00DF4FD0" w:rsidRPr="00867BB6" w:rsidRDefault="00DF4FD0" w:rsidP="00DF4FD0">
            <w:pPr>
              <w:pStyle w:val="NoSpacing"/>
              <w:rPr>
                <w:sz w:val="21"/>
                <w:szCs w:val="21"/>
                <w:lang w:val="en-US"/>
              </w:rPr>
            </w:pPr>
            <w:r w:rsidRPr="00867BB6">
              <w:rPr>
                <w:sz w:val="21"/>
                <w:szCs w:val="21"/>
                <w:lang w:val="en-US"/>
              </w:rPr>
              <w:t xml:space="preserve">N/A </w:t>
            </w:r>
          </w:p>
          <w:p w14:paraId="031D4022" w14:textId="77777777" w:rsidR="00DF4FD0" w:rsidRPr="00867BB6" w:rsidRDefault="00DF4FD0" w:rsidP="00DF4FD0">
            <w:pPr>
              <w:pStyle w:val="NoSpacing"/>
              <w:rPr>
                <w:sz w:val="21"/>
                <w:szCs w:val="21"/>
                <w:lang w:val="en-US"/>
              </w:rPr>
            </w:pPr>
          </w:p>
          <w:p w14:paraId="14320011" w14:textId="6057E98D" w:rsidR="00DF4FD0" w:rsidRPr="00867BB6" w:rsidRDefault="00DF4FD0" w:rsidP="00DF4FD0">
            <w:pPr>
              <w:pStyle w:val="NoSpacing"/>
              <w:rPr>
                <w:sz w:val="21"/>
                <w:szCs w:val="21"/>
                <w:lang w:val="en-US"/>
              </w:rPr>
            </w:pPr>
            <w:r w:rsidRPr="00867BB6">
              <w:rPr>
                <w:sz w:val="21"/>
                <w:szCs w:val="21"/>
                <w:lang w:val="en-US"/>
              </w:rPr>
              <w:t>As of 2016, supposed to be modifying CRFM protocol.</w:t>
            </w:r>
            <w:r w:rsidRPr="00867BB6">
              <w:rPr>
                <w:sz w:val="21"/>
                <w:szCs w:val="21"/>
                <w:vertAlign w:val="superscript"/>
                <w:lang w:val="en-US"/>
              </w:rPr>
              <w:t>1</w:t>
            </w:r>
          </w:p>
        </w:tc>
        <w:tc>
          <w:tcPr>
            <w:tcW w:w="1246" w:type="pct"/>
            <w:vAlign w:val="center"/>
          </w:tcPr>
          <w:p w14:paraId="5D3949FE" w14:textId="77777777" w:rsidR="00DF4FD0" w:rsidRPr="00867BB6" w:rsidRDefault="00DF4FD0" w:rsidP="00DF4FD0">
            <w:pPr>
              <w:pStyle w:val="NoSpacing"/>
              <w:rPr>
                <w:sz w:val="21"/>
                <w:szCs w:val="21"/>
                <w:lang w:val="en-US" w:eastAsia="en-AU"/>
              </w:rPr>
            </w:pPr>
            <w:r w:rsidRPr="00867BB6">
              <w:rPr>
                <w:sz w:val="21"/>
                <w:szCs w:val="21"/>
                <w:lang w:val="en-US" w:eastAsia="en-AU"/>
              </w:rPr>
              <w:t>N/A</w:t>
            </w:r>
          </w:p>
        </w:tc>
      </w:tr>
      <w:tr w:rsidR="00DF4FD0" w:rsidRPr="00867BB6" w14:paraId="25C1D9DA" w14:textId="77777777" w:rsidTr="00946ACF">
        <w:trPr>
          <w:trHeight w:val="400"/>
        </w:trPr>
        <w:tc>
          <w:tcPr>
            <w:tcW w:w="313" w:type="pct"/>
            <w:vAlign w:val="center"/>
          </w:tcPr>
          <w:p w14:paraId="01C65F35" w14:textId="6CF06F3F" w:rsidR="00DF4FD0" w:rsidRPr="00867BB6" w:rsidRDefault="00DF4FD0" w:rsidP="00DF4FD0">
            <w:pPr>
              <w:pStyle w:val="NoSpacing"/>
              <w:rPr>
                <w:sz w:val="21"/>
                <w:szCs w:val="21"/>
                <w:lang w:val="en-US" w:eastAsia="en-AU"/>
              </w:rPr>
            </w:pPr>
            <w:r w:rsidRPr="00867BB6">
              <w:rPr>
                <w:sz w:val="21"/>
                <w:szCs w:val="21"/>
                <w:lang w:val="en-US" w:eastAsia="en-AU"/>
              </w:rPr>
              <w:t>22</w:t>
            </w:r>
          </w:p>
        </w:tc>
        <w:tc>
          <w:tcPr>
            <w:tcW w:w="769" w:type="pct"/>
            <w:shd w:val="clear" w:color="auto" w:fill="auto"/>
            <w:noWrap/>
            <w:vAlign w:val="center"/>
            <w:hideMark/>
          </w:tcPr>
          <w:p w14:paraId="323F2A6E" w14:textId="77777777" w:rsidR="00DF4FD0" w:rsidRPr="00867BB6" w:rsidRDefault="00DF4FD0" w:rsidP="00DF4FD0">
            <w:pPr>
              <w:pStyle w:val="NoSpacing"/>
              <w:rPr>
                <w:sz w:val="21"/>
                <w:szCs w:val="21"/>
                <w:lang w:val="en-US" w:eastAsia="en-AU"/>
              </w:rPr>
            </w:pPr>
            <w:proofErr w:type="spellStart"/>
            <w:r w:rsidRPr="00867BB6">
              <w:rPr>
                <w:sz w:val="21"/>
                <w:szCs w:val="21"/>
                <w:lang w:val="en-US" w:eastAsia="en-AU"/>
              </w:rPr>
              <w:t>Guyane</w:t>
            </w:r>
            <w:proofErr w:type="spellEnd"/>
            <w:r w:rsidRPr="00867BB6">
              <w:rPr>
                <w:sz w:val="21"/>
                <w:szCs w:val="21"/>
                <w:lang w:val="en-US" w:eastAsia="en-AU"/>
              </w:rPr>
              <w:t xml:space="preserve"> (French Guiana)</w:t>
            </w:r>
          </w:p>
        </w:tc>
        <w:tc>
          <w:tcPr>
            <w:tcW w:w="2672" w:type="pct"/>
            <w:shd w:val="clear" w:color="auto" w:fill="auto"/>
            <w:vAlign w:val="center"/>
          </w:tcPr>
          <w:p w14:paraId="3C4B7DF4" w14:textId="77777777" w:rsidR="00DF4FD0" w:rsidRPr="00867BB6" w:rsidRDefault="00DF4FD0" w:rsidP="00DF4FD0">
            <w:pPr>
              <w:pStyle w:val="NoSpacing"/>
              <w:rPr>
                <w:sz w:val="21"/>
                <w:szCs w:val="21"/>
                <w:lang w:val="en-US"/>
              </w:rPr>
            </w:pPr>
            <w:r w:rsidRPr="00867BB6">
              <w:rPr>
                <w:sz w:val="21"/>
                <w:szCs w:val="21"/>
                <w:lang w:val="en-US"/>
              </w:rPr>
              <w:t xml:space="preserve">See [18] </w:t>
            </w:r>
          </w:p>
        </w:tc>
        <w:tc>
          <w:tcPr>
            <w:tcW w:w="1246" w:type="pct"/>
            <w:vAlign w:val="center"/>
          </w:tcPr>
          <w:p w14:paraId="372BC8C4" w14:textId="77777777" w:rsidR="00DF4FD0" w:rsidRPr="00867BB6" w:rsidRDefault="00DF4FD0" w:rsidP="00DF4FD0">
            <w:pPr>
              <w:pStyle w:val="NoSpacing"/>
              <w:rPr>
                <w:sz w:val="21"/>
                <w:szCs w:val="21"/>
                <w:lang w:val="en-US" w:eastAsia="en-AU"/>
              </w:rPr>
            </w:pPr>
            <w:r w:rsidRPr="00867BB6">
              <w:rPr>
                <w:sz w:val="21"/>
                <w:szCs w:val="21"/>
                <w:lang w:val="en-US" w:eastAsia="en-AU"/>
              </w:rPr>
              <w:t>Open access.</w:t>
            </w:r>
          </w:p>
        </w:tc>
      </w:tr>
      <w:tr w:rsidR="00DF4FD0" w:rsidRPr="00867BB6" w14:paraId="4D3E492B" w14:textId="77777777" w:rsidTr="00946ACF">
        <w:trPr>
          <w:trHeight w:val="400"/>
        </w:trPr>
        <w:tc>
          <w:tcPr>
            <w:tcW w:w="313" w:type="pct"/>
            <w:vAlign w:val="center"/>
          </w:tcPr>
          <w:p w14:paraId="18CF4116" w14:textId="5EE8BBEC" w:rsidR="00DF4FD0" w:rsidRPr="00867BB6" w:rsidRDefault="00DF4FD0" w:rsidP="00DF4FD0">
            <w:pPr>
              <w:pStyle w:val="NoSpacing"/>
              <w:rPr>
                <w:sz w:val="21"/>
                <w:szCs w:val="21"/>
                <w:lang w:val="en-US" w:eastAsia="en-AU"/>
              </w:rPr>
            </w:pPr>
            <w:r w:rsidRPr="00867BB6">
              <w:rPr>
                <w:sz w:val="21"/>
                <w:szCs w:val="21"/>
                <w:lang w:val="en-US" w:eastAsia="en-AU"/>
              </w:rPr>
              <w:t>23</w:t>
            </w:r>
          </w:p>
        </w:tc>
        <w:tc>
          <w:tcPr>
            <w:tcW w:w="769" w:type="pct"/>
            <w:shd w:val="clear" w:color="auto" w:fill="auto"/>
            <w:noWrap/>
            <w:vAlign w:val="center"/>
            <w:hideMark/>
          </w:tcPr>
          <w:p w14:paraId="6200A801" w14:textId="77777777" w:rsidR="00DF4FD0" w:rsidRPr="00867BB6" w:rsidRDefault="00DF4FD0" w:rsidP="00DF4FD0">
            <w:pPr>
              <w:pStyle w:val="NoSpacing"/>
              <w:rPr>
                <w:sz w:val="21"/>
                <w:szCs w:val="21"/>
                <w:lang w:val="en-US" w:eastAsia="en-AU"/>
              </w:rPr>
            </w:pPr>
            <w:r w:rsidRPr="00867BB6">
              <w:rPr>
                <w:sz w:val="21"/>
                <w:szCs w:val="21"/>
                <w:lang w:val="en-US" w:eastAsia="en-AU"/>
              </w:rPr>
              <w:t>Haiti</w:t>
            </w:r>
          </w:p>
        </w:tc>
        <w:tc>
          <w:tcPr>
            <w:tcW w:w="2672" w:type="pct"/>
            <w:shd w:val="clear" w:color="auto" w:fill="auto"/>
            <w:vAlign w:val="center"/>
          </w:tcPr>
          <w:p w14:paraId="4E3A2559" w14:textId="77777777" w:rsidR="00DF4FD0" w:rsidRPr="00867BB6" w:rsidRDefault="00DF4FD0" w:rsidP="00DF4FD0">
            <w:pPr>
              <w:pStyle w:val="NoSpacing"/>
              <w:rPr>
                <w:sz w:val="21"/>
                <w:szCs w:val="21"/>
                <w:lang w:val="en-US"/>
              </w:rPr>
            </w:pPr>
            <w:r w:rsidRPr="00867BB6">
              <w:rPr>
                <w:sz w:val="21"/>
                <w:szCs w:val="21"/>
                <w:lang w:val="en-US"/>
              </w:rPr>
              <w:t>None found.</w:t>
            </w:r>
          </w:p>
        </w:tc>
        <w:tc>
          <w:tcPr>
            <w:tcW w:w="1246" w:type="pct"/>
            <w:vAlign w:val="center"/>
          </w:tcPr>
          <w:p w14:paraId="27B7B242" w14:textId="77777777" w:rsidR="00DF4FD0" w:rsidRPr="00867BB6" w:rsidRDefault="00DF4FD0" w:rsidP="00DF4FD0">
            <w:pPr>
              <w:pStyle w:val="NoSpacing"/>
              <w:rPr>
                <w:sz w:val="21"/>
                <w:szCs w:val="21"/>
                <w:lang w:val="en-US" w:eastAsia="en-AU"/>
              </w:rPr>
            </w:pPr>
            <w:r w:rsidRPr="00867BB6">
              <w:rPr>
                <w:sz w:val="21"/>
                <w:szCs w:val="21"/>
                <w:lang w:val="en-US" w:eastAsia="en-AU"/>
              </w:rPr>
              <w:t>N/A</w:t>
            </w:r>
          </w:p>
        </w:tc>
      </w:tr>
      <w:tr w:rsidR="00DF4FD0" w:rsidRPr="00867BB6" w14:paraId="2A0CA8C3" w14:textId="77777777" w:rsidTr="00946ACF">
        <w:trPr>
          <w:trHeight w:val="400"/>
        </w:trPr>
        <w:tc>
          <w:tcPr>
            <w:tcW w:w="313" w:type="pct"/>
            <w:vAlign w:val="center"/>
          </w:tcPr>
          <w:p w14:paraId="6989E37D" w14:textId="217E2647" w:rsidR="00DF4FD0" w:rsidRPr="00867BB6" w:rsidRDefault="00DF4FD0" w:rsidP="00DF4FD0">
            <w:pPr>
              <w:pStyle w:val="NoSpacing"/>
              <w:rPr>
                <w:sz w:val="21"/>
                <w:szCs w:val="21"/>
                <w:lang w:val="en-US" w:eastAsia="en-AU"/>
              </w:rPr>
            </w:pPr>
            <w:r w:rsidRPr="00867BB6">
              <w:rPr>
                <w:sz w:val="21"/>
                <w:szCs w:val="21"/>
                <w:lang w:val="en-US" w:eastAsia="en-AU"/>
              </w:rPr>
              <w:t>24</w:t>
            </w:r>
          </w:p>
        </w:tc>
        <w:tc>
          <w:tcPr>
            <w:tcW w:w="769" w:type="pct"/>
            <w:shd w:val="clear" w:color="auto" w:fill="auto"/>
            <w:noWrap/>
            <w:vAlign w:val="center"/>
            <w:hideMark/>
          </w:tcPr>
          <w:p w14:paraId="69E92FB0" w14:textId="77777777" w:rsidR="00DF4FD0" w:rsidRPr="00867BB6" w:rsidRDefault="00DF4FD0" w:rsidP="00DF4FD0">
            <w:pPr>
              <w:pStyle w:val="NoSpacing"/>
              <w:rPr>
                <w:sz w:val="21"/>
                <w:szCs w:val="21"/>
                <w:lang w:val="en-US" w:eastAsia="en-AU"/>
              </w:rPr>
            </w:pPr>
            <w:r w:rsidRPr="00867BB6">
              <w:rPr>
                <w:sz w:val="21"/>
                <w:szCs w:val="21"/>
                <w:lang w:val="en-US" w:eastAsia="en-AU"/>
              </w:rPr>
              <w:t>Jamaica</w:t>
            </w:r>
          </w:p>
        </w:tc>
        <w:tc>
          <w:tcPr>
            <w:tcW w:w="2672" w:type="pct"/>
            <w:shd w:val="clear" w:color="auto" w:fill="auto"/>
            <w:vAlign w:val="center"/>
          </w:tcPr>
          <w:p w14:paraId="31D767C0" w14:textId="77777777" w:rsidR="00DF4FD0" w:rsidRPr="00867BB6" w:rsidRDefault="00DF4FD0" w:rsidP="00DF4FD0">
            <w:pPr>
              <w:pStyle w:val="NoSpacing"/>
              <w:rPr>
                <w:sz w:val="21"/>
                <w:szCs w:val="21"/>
                <w:lang w:val="en-US"/>
              </w:rPr>
            </w:pPr>
            <w:r w:rsidRPr="00867BB6">
              <w:rPr>
                <w:sz w:val="21"/>
                <w:szCs w:val="21"/>
                <w:lang w:val="en-US"/>
              </w:rPr>
              <w:t xml:space="preserve">National Environment and Planning Agency. 2015. </w:t>
            </w:r>
            <w:r w:rsidRPr="00867BB6">
              <w:rPr>
                <w:i/>
                <w:iCs/>
                <w:sz w:val="21"/>
                <w:szCs w:val="21"/>
                <w:lang w:val="en-US"/>
              </w:rPr>
              <w:t>National Response Strategy: The Sargassum Threat.</w:t>
            </w:r>
            <w:r w:rsidRPr="00867BB6">
              <w:rPr>
                <w:sz w:val="21"/>
                <w:szCs w:val="21"/>
                <w:lang w:val="en-US"/>
              </w:rPr>
              <w:t xml:space="preserve"> Kingston, Jamaica. </w:t>
            </w:r>
            <w:hyperlink r:id="rId20" w:history="1">
              <w:r w:rsidRPr="00867BB6">
                <w:rPr>
                  <w:rStyle w:val="Hyperlink"/>
                  <w:sz w:val="21"/>
                  <w:szCs w:val="21"/>
                  <w:lang w:val="en-US"/>
                </w:rPr>
                <w:t>www.nepa.gov.jm</w:t>
              </w:r>
            </w:hyperlink>
            <w:r w:rsidRPr="00867BB6">
              <w:rPr>
                <w:sz w:val="21"/>
                <w:szCs w:val="21"/>
                <w:lang w:val="en-US"/>
              </w:rPr>
              <w:t xml:space="preserve"> </w:t>
            </w:r>
          </w:p>
        </w:tc>
        <w:tc>
          <w:tcPr>
            <w:tcW w:w="1246" w:type="pct"/>
            <w:vAlign w:val="center"/>
          </w:tcPr>
          <w:p w14:paraId="2FB41169" w14:textId="77777777" w:rsidR="00DF4FD0" w:rsidRPr="00867BB6" w:rsidRDefault="00DF4FD0" w:rsidP="00DF4FD0">
            <w:pPr>
              <w:pStyle w:val="NoSpacing"/>
              <w:rPr>
                <w:sz w:val="21"/>
                <w:szCs w:val="21"/>
                <w:lang w:val="en-US" w:eastAsia="en-AU"/>
              </w:rPr>
            </w:pPr>
            <w:r w:rsidRPr="00867BB6">
              <w:rPr>
                <w:sz w:val="21"/>
                <w:szCs w:val="21"/>
                <w:lang w:val="en-US" w:eastAsia="en-AU"/>
              </w:rPr>
              <w:t>Accessed through personal correspondence.</w:t>
            </w:r>
          </w:p>
        </w:tc>
      </w:tr>
      <w:tr w:rsidR="00DF4FD0" w:rsidRPr="00867BB6" w14:paraId="31D60F0C" w14:textId="77777777" w:rsidTr="00946ACF">
        <w:trPr>
          <w:trHeight w:val="400"/>
        </w:trPr>
        <w:tc>
          <w:tcPr>
            <w:tcW w:w="313" w:type="pct"/>
            <w:vAlign w:val="center"/>
          </w:tcPr>
          <w:p w14:paraId="42B2FC7C" w14:textId="7F8F2797" w:rsidR="00DF4FD0" w:rsidRPr="00867BB6" w:rsidRDefault="00DF4FD0" w:rsidP="00DF4FD0">
            <w:pPr>
              <w:pStyle w:val="NoSpacing"/>
              <w:rPr>
                <w:sz w:val="21"/>
                <w:szCs w:val="21"/>
                <w:lang w:val="en-US" w:eastAsia="en-AU"/>
              </w:rPr>
            </w:pPr>
            <w:r w:rsidRPr="00867BB6">
              <w:rPr>
                <w:sz w:val="21"/>
                <w:szCs w:val="21"/>
                <w:lang w:val="en-US" w:eastAsia="en-AU"/>
              </w:rPr>
              <w:t>25</w:t>
            </w:r>
          </w:p>
        </w:tc>
        <w:tc>
          <w:tcPr>
            <w:tcW w:w="769" w:type="pct"/>
            <w:shd w:val="clear" w:color="auto" w:fill="auto"/>
            <w:noWrap/>
            <w:vAlign w:val="center"/>
            <w:hideMark/>
          </w:tcPr>
          <w:p w14:paraId="678CEB00" w14:textId="77777777" w:rsidR="00DF4FD0" w:rsidRPr="00867BB6" w:rsidRDefault="00DF4FD0" w:rsidP="00DF4FD0">
            <w:pPr>
              <w:pStyle w:val="NoSpacing"/>
              <w:rPr>
                <w:sz w:val="21"/>
                <w:szCs w:val="21"/>
                <w:lang w:val="en-US" w:eastAsia="en-AU"/>
              </w:rPr>
            </w:pPr>
            <w:r w:rsidRPr="00867BB6">
              <w:rPr>
                <w:sz w:val="21"/>
                <w:szCs w:val="21"/>
                <w:lang w:val="en-US" w:eastAsia="en-AU"/>
              </w:rPr>
              <w:t>Martinique (Fr)</w:t>
            </w:r>
          </w:p>
        </w:tc>
        <w:tc>
          <w:tcPr>
            <w:tcW w:w="2672" w:type="pct"/>
            <w:shd w:val="clear" w:color="auto" w:fill="auto"/>
            <w:vAlign w:val="center"/>
          </w:tcPr>
          <w:p w14:paraId="2420438E" w14:textId="77777777" w:rsidR="00DF4FD0" w:rsidRPr="00867BB6" w:rsidRDefault="00DF4FD0" w:rsidP="00DF4FD0">
            <w:pPr>
              <w:pStyle w:val="NoSpacing"/>
              <w:rPr>
                <w:sz w:val="21"/>
                <w:szCs w:val="21"/>
                <w:lang w:val="en-US"/>
              </w:rPr>
            </w:pPr>
            <w:r w:rsidRPr="00867BB6">
              <w:rPr>
                <w:sz w:val="21"/>
                <w:szCs w:val="21"/>
                <w:lang w:val="en-US"/>
              </w:rPr>
              <w:t>See [18]</w:t>
            </w:r>
          </w:p>
        </w:tc>
        <w:tc>
          <w:tcPr>
            <w:tcW w:w="1246" w:type="pct"/>
            <w:vAlign w:val="center"/>
          </w:tcPr>
          <w:p w14:paraId="04CC6F4A" w14:textId="77777777" w:rsidR="00DF4FD0" w:rsidRPr="00867BB6" w:rsidRDefault="00DF4FD0" w:rsidP="00DF4FD0">
            <w:pPr>
              <w:pStyle w:val="NoSpacing"/>
              <w:rPr>
                <w:sz w:val="21"/>
                <w:szCs w:val="21"/>
                <w:lang w:val="en-US" w:eastAsia="en-AU"/>
              </w:rPr>
            </w:pPr>
            <w:r w:rsidRPr="00867BB6">
              <w:rPr>
                <w:sz w:val="21"/>
                <w:szCs w:val="21"/>
                <w:lang w:val="en-US" w:eastAsia="en-AU"/>
              </w:rPr>
              <w:t>Open access.</w:t>
            </w:r>
          </w:p>
        </w:tc>
      </w:tr>
      <w:tr w:rsidR="00DF4FD0" w:rsidRPr="00867BB6" w14:paraId="66F07BB2" w14:textId="77777777" w:rsidTr="00946ACF">
        <w:trPr>
          <w:trHeight w:val="400"/>
        </w:trPr>
        <w:tc>
          <w:tcPr>
            <w:tcW w:w="313" w:type="pct"/>
            <w:vAlign w:val="center"/>
          </w:tcPr>
          <w:p w14:paraId="7C0C1CCB" w14:textId="31EEB5BB" w:rsidR="00DF4FD0" w:rsidRPr="00867BB6" w:rsidRDefault="00DF4FD0" w:rsidP="00DF4FD0">
            <w:pPr>
              <w:pStyle w:val="NoSpacing"/>
              <w:rPr>
                <w:sz w:val="21"/>
                <w:szCs w:val="21"/>
                <w:lang w:val="en-US" w:eastAsia="en-AU"/>
              </w:rPr>
            </w:pPr>
            <w:r w:rsidRPr="00867BB6">
              <w:rPr>
                <w:sz w:val="21"/>
                <w:szCs w:val="21"/>
                <w:lang w:val="en-US" w:eastAsia="en-AU"/>
              </w:rPr>
              <w:t>26</w:t>
            </w:r>
          </w:p>
        </w:tc>
        <w:tc>
          <w:tcPr>
            <w:tcW w:w="769" w:type="pct"/>
            <w:shd w:val="clear" w:color="auto" w:fill="auto"/>
            <w:noWrap/>
            <w:vAlign w:val="center"/>
            <w:hideMark/>
          </w:tcPr>
          <w:p w14:paraId="77B984FD" w14:textId="77777777" w:rsidR="00DF4FD0" w:rsidRPr="00867BB6" w:rsidRDefault="00DF4FD0" w:rsidP="00DF4FD0">
            <w:pPr>
              <w:pStyle w:val="NoSpacing"/>
              <w:rPr>
                <w:sz w:val="21"/>
                <w:szCs w:val="21"/>
                <w:lang w:val="en-US" w:eastAsia="en-AU"/>
              </w:rPr>
            </w:pPr>
            <w:r w:rsidRPr="00867BB6">
              <w:rPr>
                <w:sz w:val="21"/>
                <w:szCs w:val="21"/>
                <w:lang w:val="en-US" w:eastAsia="en-AU"/>
              </w:rPr>
              <w:t>Montserrat (UK)</w:t>
            </w:r>
          </w:p>
        </w:tc>
        <w:tc>
          <w:tcPr>
            <w:tcW w:w="2672" w:type="pct"/>
            <w:shd w:val="clear" w:color="auto" w:fill="auto"/>
            <w:vAlign w:val="center"/>
          </w:tcPr>
          <w:p w14:paraId="232FD7D2" w14:textId="77777777" w:rsidR="00DF4FD0" w:rsidRPr="00867BB6" w:rsidRDefault="00DF4FD0" w:rsidP="00DF4FD0">
            <w:pPr>
              <w:pStyle w:val="NoSpacing"/>
              <w:rPr>
                <w:sz w:val="21"/>
                <w:szCs w:val="21"/>
                <w:lang w:val="en-US"/>
              </w:rPr>
            </w:pPr>
            <w:r w:rsidRPr="00867BB6">
              <w:rPr>
                <w:sz w:val="21"/>
                <w:szCs w:val="21"/>
                <w:lang w:val="en-US"/>
              </w:rPr>
              <w:t>None found.</w:t>
            </w:r>
          </w:p>
        </w:tc>
        <w:tc>
          <w:tcPr>
            <w:tcW w:w="1246" w:type="pct"/>
            <w:vAlign w:val="center"/>
          </w:tcPr>
          <w:p w14:paraId="7D775B24" w14:textId="77777777" w:rsidR="00DF4FD0" w:rsidRPr="00867BB6" w:rsidRDefault="00DF4FD0" w:rsidP="00DF4FD0">
            <w:pPr>
              <w:pStyle w:val="NoSpacing"/>
              <w:rPr>
                <w:sz w:val="21"/>
                <w:szCs w:val="21"/>
                <w:lang w:val="en-US" w:eastAsia="en-AU"/>
              </w:rPr>
            </w:pPr>
            <w:r w:rsidRPr="00867BB6">
              <w:rPr>
                <w:sz w:val="21"/>
                <w:szCs w:val="21"/>
                <w:lang w:val="en-US"/>
              </w:rPr>
              <w:t>N/A</w:t>
            </w:r>
          </w:p>
        </w:tc>
      </w:tr>
      <w:tr w:rsidR="00DF4FD0" w:rsidRPr="00867BB6" w14:paraId="1D1CEA02" w14:textId="77777777" w:rsidTr="00946ACF">
        <w:trPr>
          <w:trHeight w:val="400"/>
        </w:trPr>
        <w:tc>
          <w:tcPr>
            <w:tcW w:w="313" w:type="pct"/>
            <w:vAlign w:val="center"/>
          </w:tcPr>
          <w:p w14:paraId="32C6532D" w14:textId="2DBE93BD" w:rsidR="00DF4FD0" w:rsidRPr="00867BB6" w:rsidRDefault="00DF4FD0" w:rsidP="00DF4FD0">
            <w:pPr>
              <w:pStyle w:val="NoSpacing"/>
              <w:rPr>
                <w:sz w:val="21"/>
                <w:szCs w:val="21"/>
                <w:lang w:val="en-US" w:eastAsia="en-AU"/>
              </w:rPr>
            </w:pPr>
            <w:r w:rsidRPr="00867BB6">
              <w:rPr>
                <w:sz w:val="21"/>
                <w:szCs w:val="21"/>
                <w:lang w:val="en-US" w:eastAsia="en-AU"/>
              </w:rPr>
              <w:t>27</w:t>
            </w:r>
          </w:p>
        </w:tc>
        <w:tc>
          <w:tcPr>
            <w:tcW w:w="769" w:type="pct"/>
            <w:shd w:val="clear" w:color="auto" w:fill="auto"/>
            <w:noWrap/>
            <w:vAlign w:val="center"/>
            <w:hideMark/>
          </w:tcPr>
          <w:p w14:paraId="7D71B452" w14:textId="77777777" w:rsidR="00DF4FD0" w:rsidRPr="00867BB6" w:rsidRDefault="00DF4FD0" w:rsidP="00DF4FD0">
            <w:pPr>
              <w:pStyle w:val="NoSpacing"/>
              <w:rPr>
                <w:sz w:val="21"/>
                <w:szCs w:val="21"/>
                <w:lang w:val="en-US" w:eastAsia="en-AU"/>
              </w:rPr>
            </w:pPr>
            <w:r w:rsidRPr="00867BB6">
              <w:rPr>
                <w:sz w:val="21"/>
                <w:szCs w:val="21"/>
                <w:lang w:val="en-US" w:eastAsia="en-AU"/>
              </w:rPr>
              <w:t>Puerto Rico</w:t>
            </w:r>
          </w:p>
        </w:tc>
        <w:tc>
          <w:tcPr>
            <w:tcW w:w="2672" w:type="pct"/>
            <w:shd w:val="clear" w:color="auto" w:fill="auto"/>
            <w:vAlign w:val="center"/>
          </w:tcPr>
          <w:p w14:paraId="0E1F98DD" w14:textId="0336741C" w:rsidR="00DF4FD0" w:rsidRPr="00867BB6" w:rsidRDefault="00DF4FD0" w:rsidP="00DF4FD0">
            <w:pPr>
              <w:pStyle w:val="NoSpacing"/>
              <w:rPr>
                <w:sz w:val="21"/>
                <w:szCs w:val="21"/>
                <w:lang w:val="en-US"/>
              </w:rPr>
            </w:pPr>
            <w:r w:rsidRPr="00867BB6">
              <w:rPr>
                <w:i/>
                <w:iCs/>
                <w:sz w:val="21"/>
                <w:szCs w:val="21"/>
                <w:lang w:val="en-US"/>
              </w:rPr>
              <w:t>Protocol for the management of extreme accumulation of Sargassum on the coasts of Puerto Rico</w:t>
            </w:r>
            <w:r w:rsidRPr="00867BB6">
              <w:rPr>
                <w:sz w:val="21"/>
                <w:szCs w:val="21"/>
                <w:lang w:val="en-US"/>
              </w:rPr>
              <w:t>. Cited as template for CRFM Secretariat (2016) model protocol but not publicly available.</w:t>
            </w:r>
            <w:r w:rsidRPr="00867BB6">
              <w:rPr>
                <w:sz w:val="21"/>
                <w:szCs w:val="21"/>
                <w:vertAlign w:val="superscript"/>
                <w:lang w:val="en-US"/>
              </w:rPr>
              <w:t>2</w:t>
            </w:r>
          </w:p>
        </w:tc>
        <w:tc>
          <w:tcPr>
            <w:tcW w:w="1246" w:type="pct"/>
            <w:vAlign w:val="center"/>
          </w:tcPr>
          <w:p w14:paraId="6D381F7D" w14:textId="77777777" w:rsidR="00DF4FD0" w:rsidRPr="00867BB6" w:rsidRDefault="00DF4FD0" w:rsidP="00DF4FD0">
            <w:pPr>
              <w:pStyle w:val="NoSpacing"/>
              <w:rPr>
                <w:sz w:val="21"/>
                <w:szCs w:val="21"/>
                <w:lang w:val="en-US" w:eastAsia="en-AU"/>
              </w:rPr>
            </w:pPr>
            <w:r w:rsidRPr="00867BB6">
              <w:rPr>
                <w:sz w:val="21"/>
                <w:szCs w:val="21"/>
                <w:lang w:val="en-US"/>
              </w:rPr>
              <w:t>N/A</w:t>
            </w:r>
          </w:p>
        </w:tc>
      </w:tr>
      <w:tr w:rsidR="00DF4FD0" w:rsidRPr="00867BB6" w14:paraId="1E97ECDD" w14:textId="77777777" w:rsidTr="00946ACF">
        <w:trPr>
          <w:trHeight w:val="400"/>
        </w:trPr>
        <w:tc>
          <w:tcPr>
            <w:tcW w:w="313" w:type="pct"/>
            <w:vAlign w:val="center"/>
          </w:tcPr>
          <w:p w14:paraId="794A2245" w14:textId="5B10FD5C" w:rsidR="00DF4FD0" w:rsidRPr="00867BB6" w:rsidRDefault="00DF4FD0" w:rsidP="00DF4FD0">
            <w:pPr>
              <w:pStyle w:val="NoSpacing"/>
              <w:rPr>
                <w:sz w:val="21"/>
                <w:szCs w:val="21"/>
                <w:lang w:val="en-US" w:eastAsia="en-AU"/>
              </w:rPr>
            </w:pPr>
            <w:r w:rsidRPr="00867BB6">
              <w:rPr>
                <w:sz w:val="21"/>
                <w:szCs w:val="21"/>
                <w:lang w:val="en-US" w:eastAsia="en-AU"/>
              </w:rPr>
              <w:t>28</w:t>
            </w:r>
          </w:p>
        </w:tc>
        <w:tc>
          <w:tcPr>
            <w:tcW w:w="769" w:type="pct"/>
            <w:shd w:val="clear" w:color="auto" w:fill="auto"/>
            <w:noWrap/>
            <w:vAlign w:val="center"/>
            <w:hideMark/>
          </w:tcPr>
          <w:p w14:paraId="2C119F36" w14:textId="77777777" w:rsidR="00DF4FD0" w:rsidRPr="00867BB6" w:rsidRDefault="00DF4FD0" w:rsidP="00DF4FD0">
            <w:pPr>
              <w:pStyle w:val="NoSpacing"/>
              <w:rPr>
                <w:sz w:val="21"/>
                <w:szCs w:val="21"/>
                <w:lang w:val="en-US" w:eastAsia="en-AU"/>
              </w:rPr>
            </w:pPr>
            <w:r w:rsidRPr="00867BB6">
              <w:rPr>
                <w:sz w:val="21"/>
                <w:szCs w:val="21"/>
                <w:lang w:val="en-US" w:eastAsia="en-AU"/>
              </w:rPr>
              <w:t>Saba (NL)</w:t>
            </w:r>
          </w:p>
        </w:tc>
        <w:tc>
          <w:tcPr>
            <w:tcW w:w="2672" w:type="pct"/>
            <w:shd w:val="clear" w:color="auto" w:fill="auto"/>
            <w:vAlign w:val="center"/>
          </w:tcPr>
          <w:p w14:paraId="3B15B50E" w14:textId="77777777" w:rsidR="00DF4FD0" w:rsidRPr="00867BB6" w:rsidRDefault="00DF4FD0" w:rsidP="00DF4FD0">
            <w:pPr>
              <w:pStyle w:val="NoSpacing"/>
              <w:rPr>
                <w:sz w:val="21"/>
                <w:szCs w:val="21"/>
                <w:lang w:val="en-US"/>
              </w:rPr>
            </w:pPr>
            <w:r w:rsidRPr="00867BB6">
              <w:rPr>
                <w:sz w:val="21"/>
                <w:szCs w:val="21"/>
                <w:lang w:val="en-US" w:eastAsia="en-AU"/>
              </w:rPr>
              <w:t>See [3]</w:t>
            </w:r>
          </w:p>
        </w:tc>
        <w:tc>
          <w:tcPr>
            <w:tcW w:w="1246" w:type="pct"/>
            <w:vAlign w:val="center"/>
          </w:tcPr>
          <w:p w14:paraId="4ACFBD24" w14:textId="77777777" w:rsidR="00DF4FD0" w:rsidRPr="00867BB6" w:rsidRDefault="00DF4FD0" w:rsidP="00DF4FD0">
            <w:pPr>
              <w:pStyle w:val="NoSpacing"/>
              <w:rPr>
                <w:sz w:val="21"/>
                <w:szCs w:val="21"/>
                <w:lang w:val="en-US" w:eastAsia="en-AU"/>
              </w:rPr>
            </w:pPr>
            <w:r w:rsidRPr="00867BB6">
              <w:rPr>
                <w:sz w:val="21"/>
                <w:szCs w:val="21"/>
                <w:lang w:val="en-US" w:eastAsia="en-AU"/>
              </w:rPr>
              <w:t>Open access</w:t>
            </w:r>
          </w:p>
        </w:tc>
      </w:tr>
      <w:tr w:rsidR="00DF4FD0" w:rsidRPr="00867BB6" w14:paraId="35657D64" w14:textId="77777777" w:rsidTr="00946ACF">
        <w:trPr>
          <w:trHeight w:val="400"/>
        </w:trPr>
        <w:tc>
          <w:tcPr>
            <w:tcW w:w="313" w:type="pct"/>
            <w:vAlign w:val="center"/>
          </w:tcPr>
          <w:p w14:paraId="0094AC6E" w14:textId="77777777" w:rsidR="00DF4FD0" w:rsidRPr="00867BB6" w:rsidRDefault="00DF4FD0" w:rsidP="00DF4FD0">
            <w:pPr>
              <w:pStyle w:val="NoSpacing"/>
              <w:rPr>
                <w:sz w:val="21"/>
                <w:szCs w:val="21"/>
                <w:lang w:val="en-US" w:eastAsia="en-AU"/>
              </w:rPr>
            </w:pPr>
          </w:p>
          <w:p w14:paraId="4566AB82" w14:textId="35D48C30" w:rsidR="00DF4FD0" w:rsidRPr="00867BB6" w:rsidRDefault="00DF4FD0" w:rsidP="00DF4FD0">
            <w:pPr>
              <w:pStyle w:val="NoSpacing"/>
              <w:rPr>
                <w:sz w:val="21"/>
                <w:szCs w:val="21"/>
                <w:lang w:val="en-US" w:eastAsia="en-AU"/>
              </w:rPr>
            </w:pPr>
            <w:r w:rsidRPr="00867BB6">
              <w:rPr>
                <w:sz w:val="21"/>
                <w:szCs w:val="21"/>
                <w:lang w:val="en-US" w:eastAsia="en-AU"/>
              </w:rPr>
              <w:t>29</w:t>
            </w:r>
          </w:p>
        </w:tc>
        <w:tc>
          <w:tcPr>
            <w:tcW w:w="769" w:type="pct"/>
            <w:shd w:val="clear" w:color="auto" w:fill="auto"/>
            <w:noWrap/>
            <w:vAlign w:val="center"/>
            <w:hideMark/>
          </w:tcPr>
          <w:p w14:paraId="0ECE702C" w14:textId="77777777" w:rsidR="00DF4FD0" w:rsidRPr="00867BB6" w:rsidRDefault="00DF4FD0" w:rsidP="00DF4FD0">
            <w:pPr>
              <w:pStyle w:val="NoSpacing"/>
              <w:rPr>
                <w:sz w:val="21"/>
                <w:szCs w:val="21"/>
                <w:lang w:val="en-US" w:eastAsia="en-AU"/>
              </w:rPr>
            </w:pPr>
            <w:r w:rsidRPr="00867BB6">
              <w:rPr>
                <w:sz w:val="21"/>
                <w:szCs w:val="21"/>
                <w:lang w:val="en-US" w:eastAsia="en-AU"/>
              </w:rPr>
              <w:t>St Eustatius (NL)</w:t>
            </w:r>
          </w:p>
        </w:tc>
        <w:tc>
          <w:tcPr>
            <w:tcW w:w="2672" w:type="pct"/>
            <w:shd w:val="clear" w:color="auto" w:fill="auto"/>
            <w:vAlign w:val="center"/>
          </w:tcPr>
          <w:p w14:paraId="20B20893" w14:textId="77777777" w:rsidR="00DF4FD0" w:rsidRPr="00867BB6" w:rsidRDefault="00DF4FD0" w:rsidP="00DF4FD0">
            <w:pPr>
              <w:pStyle w:val="NoSpacing"/>
              <w:rPr>
                <w:sz w:val="21"/>
                <w:szCs w:val="21"/>
                <w:lang w:val="en-US"/>
              </w:rPr>
            </w:pPr>
            <w:r w:rsidRPr="00867BB6">
              <w:rPr>
                <w:sz w:val="21"/>
                <w:szCs w:val="21"/>
                <w:lang w:val="en-US" w:eastAsia="en-AU"/>
              </w:rPr>
              <w:t>See [3]</w:t>
            </w:r>
          </w:p>
        </w:tc>
        <w:tc>
          <w:tcPr>
            <w:tcW w:w="1246" w:type="pct"/>
            <w:vAlign w:val="center"/>
          </w:tcPr>
          <w:p w14:paraId="68FFB8E8" w14:textId="77777777" w:rsidR="00DF4FD0" w:rsidRPr="00867BB6" w:rsidRDefault="00DF4FD0" w:rsidP="00DF4FD0">
            <w:pPr>
              <w:pStyle w:val="NoSpacing"/>
              <w:rPr>
                <w:sz w:val="21"/>
                <w:szCs w:val="21"/>
                <w:lang w:val="en-US" w:eastAsia="en-AU"/>
              </w:rPr>
            </w:pPr>
            <w:r w:rsidRPr="00867BB6">
              <w:rPr>
                <w:sz w:val="21"/>
                <w:szCs w:val="21"/>
                <w:lang w:val="en-US" w:eastAsia="en-AU"/>
              </w:rPr>
              <w:t>Open access</w:t>
            </w:r>
          </w:p>
        </w:tc>
      </w:tr>
      <w:tr w:rsidR="00DF4FD0" w:rsidRPr="00867BB6" w14:paraId="07AC9042" w14:textId="77777777" w:rsidTr="00946ACF">
        <w:trPr>
          <w:trHeight w:val="485"/>
        </w:trPr>
        <w:tc>
          <w:tcPr>
            <w:tcW w:w="313" w:type="pct"/>
            <w:vAlign w:val="center"/>
          </w:tcPr>
          <w:p w14:paraId="2F824D9C" w14:textId="770D1D46" w:rsidR="00DF4FD0" w:rsidRPr="00867BB6" w:rsidRDefault="00DF4FD0" w:rsidP="00DF4FD0">
            <w:pPr>
              <w:pStyle w:val="NoSpacing"/>
              <w:rPr>
                <w:sz w:val="21"/>
                <w:szCs w:val="21"/>
                <w:lang w:val="en-US" w:eastAsia="en-AU"/>
              </w:rPr>
            </w:pPr>
            <w:r w:rsidRPr="00867BB6">
              <w:rPr>
                <w:sz w:val="21"/>
                <w:szCs w:val="21"/>
                <w:lang w:val="en-US" w:eastAsia="en-AU"/>
              </w:rPr>
              <w:t>30</w:t>
            </w:r>
          </w:p>
        </w:tc>
        <w:tc>
          <w:tcPr>
            <w:tcW w:w="769" w:type="pct"/>
            <w:vMerge w:val="restart"/>
            <w:shd w:val="clear" w:color="auto" w:fill="auto"/>
            <w:noWrap/>
            <w:vAlign w:val="center"/>
            <w:hideMark/>
          </w:tcPr>
          <w:p w14:paraId="34E825E0" w14:textId="77777777" w:rsidR="00DF4FD0" w:rsidRPr="00867BB6" w:rsidRDefault="00DF4FD0" w:rsidP="00DF4FD0">
            <w:pPr>
              <w:pStyle w:val="NoSpacing"/>
              <w:rPr>
                <w:sz w:val="21"/>
                <w:szCs w:val="21"/>
                <w:lang w:val="en-US" w:eastAsia="en-AU"/>
              </w:rPr>
            </w:pPr>
            <w:r w:rsidRPr="00867BB6">
              <w:rPr>
                <w:sz w:val="21"/>
                <w:szCs w:val="21"/>
                <w:lang w:val="en-US" w:eastAsia="en-AU"/>
              </w:rPr>
              <w:t>St Kitts and Nevis</w:t>
            </w:r>
          </w:p>
        </w:tc>
        <w:tc>
          <w:tcPr>
            <w:tcW w:w="2672" w:type="pct"/>
            <w:shd w:val="clear" w:color="auto" w:fill="auto"/>
            <w:vAlign w:val="center"/>
          </w:tcPr>
          <w:p w14:paraId="4901D1CC" w14:textId="77777777" w:rsidR="00DF4FD0" w:rsidRPr="00867BB6" w:rsidRDefault="00DF4FD0" w:rsidP="00DF4FD0">
            <w:pPr>
              <w:pStyle w:val="NoSpacing"/>
              <w:rPr>
                <w:sz w:val="21"/>
                <w:szCs w:val="21"/>
                <w:lang w:val="en-US"/>
              </w:rPr>
            </w:pPr>
            <w:r w:rsidRPr="00867BB6">
              <w:rPr>
                <w:sz w:val="21"/>
                <w:szCs w:val="21"/>
                <w:lang w:val="en-US"/>
              </w:rPr>
              <w:t>Williams, O. 2017.</w:t>
            </w:r>
            <w:r w:rsidRPr="00867BB6">
              <w:rPr>
                <w:i/>
                <w:iCs/>
                <w:sz w:val="21"/>
                <w:szCs w:val="21"/>
                <w:lang w:val="en-US"/>
              </w:rPr>
              <w:t xml:space="preserve"> Plan for the Management of the Accumulations of Sargassum on the Coastal and Marine Ecosystem of St Kitts and Nevis. </w:t>
            </w:r>
            <w:r w:rsidRPr="00867BB6">
              <w:rPr>
                <w:sz w:val="21"/>
                <w:szCs w:val="21"/>
                <w:lang w:val="en-US"/>
              </w:rPr>
              <w:t>Department of Marine Resources.</w:t>
            </w:r>
          </w:p>
        </w:tc>
        <w:tc>
          <w:tcPr>
            <w:tcW w:w="1246" w:type="pct"/>
            <w:vAlign w:val="center"/>
          </w:tcPr>
          <w:p w14:paraId="65DA6DA0" w14:textId="77777777" w:rsidR="00DF4FD0" w:rsidRPr="00867BB6" w:rsidRDefault="00DF4FD0" w:rsidP="00DF4FD0">
            <w:pPr>
              <w:pStyle w:val="NoSpacing"/>
              <w:rPr>
                <w:sz w:val="21"/>
                <w:szCs w:val="21"/>
                <w:lang w:val="en-US" w:eastAsia="en-AU"/>
              </w:rPr>
            </w:pPr>
            <w:r w:rsidRPr="00867BB6">
              <w:rPr>
                <w:sz w:val="21"/>
                <w:szCs w:val="21"/>
                <w:lang w:val="en-US" w:eastAsia="en-AU"/>
              </w:rPr>
              <w:t>Accessed through personal correspondence.</w:t>
            </w:r>
          </w:p>
        </w:tc>
      </w:tr>
      <w:tr w:rsidR="00DF4FD0" w:rsidRPr="00867BB6" w14:paraId="167BCAE8" w14:textId="77777777" w:rsidTr="00946ACF">
        <w:trPr>
          <w:trHeight w:val="485"/>
        </w:trPr>
        <w:tc>
          <w:tcPr>
            <w:tcW w:w="313" w:type="pct"/>
            <w:vAlign w:val="center"/>
          </w:tcPr>
          <w:p w14:paraId="0226F47E" w14:textId="4D29067B" w:rsidR="00DF4FD0" w:rsidRPr="00867BB6" w:rsidRDefault="00DF4FD0" w:rsidP="00DF4FD0">
            <w:pPr>
              <w:pStyle w:val="NoSpacing"/>
              <w:rPr>
                <w:sz w:val="21"/>
                <w:szCs w:val="21"/>
                <w:lang w:val="en-US" w:eastAsia="en-AU"/>
              </w:rPr>
            </w:pPr>
            <w:r w:rsidRPr="00867BB6">
              <w:rPr>
                <w:sz w:val="21"/>
                <w:szCs w:val="21"/>
                <w:lang w:val="en-US" w:eastAsia="en-AU"/>
              </w:rPr>
              <w:t>31</w:t>
            </w:r>
          </w:p>
        </w:tc>
        <w:tc>
          <w:tcPr>
            <w:tcW w:w="769" w:type="pct"/>
            <w:vMerge/>
            <w:shd w:val="clear" w:color="auto" w:fill="auto"/>
            <w:noWrap/>
            <w:vAlign w:val="center"/>
          </w:tcPr>
          <w:p w14:paraId="2B7E4850" w14:textId="77777777" w:rsidR="00DF4FD0" w:rsidRPr="00867BB6" w:rsidRDefault="00DF4FD0" w:rsidP="00DF4FD0">
            <w:pPr>
              <w:pStyle w:val="NoSpacing"/>
              <w:rPr>
                <w:sz w:val="21"/>
                <w:szCs w:val="21"/>
                <w:lang w:val="en-US" w:eastAsia="en-AU"/>
              </w:rPr>
            </w:pPr>
          </w:p>
        </w:tc>
        <w:tc>
          <w:tcPr>
            <w:tcW w:w="2672" w:type="pct"/>
            <w:shd w:val="clear" w:color="auto" w:fill="auto"/>
            <w:vAlign w:val="center"/>
          </w:tcPr>
          <w:p w14:paraId="26A8E3EE" w14:textId="07D973F4" w:rsidR="00DF4FD0" w:rsidRPr="00867BB6" w:rsidRDefault="00DF4FD0" w:rsidP="00DF4FD0">
            <w:pPr>
              <w:pStyle w:val="NoSpacing"/>
              <w:rPr>
                <w:sz w:val="21"/>
                <w:szCs w:val="21"/>
                <w:lang w:val="en-US"/>
              </w:rPr>
            </w:pPr>
            <w:r w:rsidRPr="00867BB6">
              <w:rPr>
                <w:sz w:val="21"/>
                <w:szCs w:val="21"/>
                <w:lang w:val="en-US"/>
              </w:rPr>
              <w:t xml:space="preserve">CERMES. 2021. </w:t>
            </w:r>
            <w:r w:rsidRPr="00867BB6">
              <w:rPr>
                <w:i/>
                <w:iCs/>
                <w:sz w:val="21"/>
                <w:szCs w:val="21"/>
                <w:lang w:val="en-US"/>
              </w:rPr>
              <w:t>Draft Saint Kitts and Nevis Sargassum Adaptive Management Strategy. Volume 1: Adaptive Strategy</w:t>
            </w:r>
            <w:r w:rsidRPr="00867BB6">
              <w:rPr>
                <w:sz w:val="21"/>
                <w:szCs w:val="21"/>
                <w:lang w:val="en-US"/>
              </w:rPr>
              <w:t>. FAO CC4FISH project. 17pp</w:t>
            </w:r>
          </w:p>
        </w:tc>
        <w:tc>
          <w:tcPr>
            <w:tcW w:w="1246" w:type="pct"/>
            <w:vAlign w:val="center"/>
          </w:tcPr>
          <w:p w14:paraId="383CFB27" w14:textId="77777777" w:rsidR="00DF4FD0" w:rsidRPr="00867BB6" w:rsidRDefault="00DF4FD0" w:rsidP="00DF4FD0">
            <w:pPr>
              <w:pStyle w:val="NoSpacing"/>
              <w:rPr>
                <w:sz w:val="21"/>
                <w:szCs w:val="21"/>
                <w:lang w:val="en-US" w:eastAsia="en-AU"/>
              </w:rPr>
            </w:pPr>
            <w:r w:rsidRPr="00867BB6">
              <w:rPr>
                <w:sz w:val="21"/>
                <w:szCs w:val="21"/>
                <w:lang w:val="en-US" w:eastAsia="en-AU"/>
              </w:rPr>
              <w:t>Accessed through personal correspondence.</w:t>
            </w:r>
          </w:p>
        </w:tc>
      </w:tr>
      <w:tr w:rsidR="00DF4FD0" w:rsidRPr="00867BB6" w14:paraId="2ACDA275" w14:textId="77777777" w:rsidTr="00946ACF">
        <w:trPr>
          <w:trHeight w:val="400"/>
        </w:trPr>
        <w:tc>
          <w:tcPr>
            <w:tcW w:w="313" w:type="pct"/>
            <w:vAlign w:val="center"/>
          </w:tcPr>
          <w:p w14:paraId="2623E18D" w14:textId="39EA86DC" w:rsidR="00DF4FD0" w:rsidRPr="00867BB6" w:rsidRDefault="00DF4FD0" w:rsidP="00DF4FD0">
            <w:pPr>
              <w:pStyle w:val="NoSpacing"/>
              <w:rPr>
                <w:sz w:val="21"/>
                <w:szCs w:val="21"/>
                <w:lang w:val="en-US" w:eastAsia="en-AU"/>
              </w:rPr>
            </w:pPr>
            <w:r w:rsidRPr="00867BB6">
              <w:rPr>
                <w:sz w:val="21"/>
                <w:szCs w:val="21"/>
                <w:lang w:val="en-US" w:eastAsia="en-AU"/>
              </w:rPr>
              <w:t>32</w:t>
            </w:r>
          </w:p>
        </w:tc>
        <w:tc>
          <w:tcPr>
            <w:tcW w:w="769" w:type="pct"/>
            <w:vMerge w:val="restart"/>
            <w:shd w:val="clear" w:color="auto" w:fill="auto"/>
            <w:noWrap/>
            <w:vAlign w:val="center"/>
            <w:hideMark/>
          </w:tcPr>
          <w:p w14:paraId="4990ABB3" w14:textId="77777777" w:rsidR="00DF4FD0" w:rsidRPr="00867BB6" w:rsidRDefault="00DF4FD0" w:rsidP="00DF4FD0">
            <w:pPr>
              <w:pStyle w:val="NoSpacing"/>
              <w:rPr>
                <w:sz w:val="21"/>
                <w:szCs w:val="21"/>
                <w:lang w:val="en-US" w:eastAsia="en-AU"/>
              </w:rPr>
            </w:pPr>
            <w:r w:rsidRPr="00867BB6">
              <w:rPr>
                <w:sz w:val="21"/>
                <w:szCs w:val="21"/>
                <w:lang w:val="en-US" w:eastAsia="en-AU"/>
              </w:rPr>
              <w:t>St Lucia</w:t>
            </w:r>
          </w:p>
        </w:tc>
        <w:tc>
          <w:tcPr>
            <w:tcW w:w="2672" w:type="pct"/>
            <w:shd w:val="clear" w:color="auto" w:fill="auto"/>
            <w:vAlign w:val="center"/>
          </w:tcPr>
          <w:p w14:paraId="4E17C4D3" w14:textId="77777777" w:rsidR="00DF4FD0" w:rsidRPr="00867BB6" w:rsidRDefault="00DF4FD0" w:rsidP="00DF4FD0">
            <w:pPr>
              <w:pStyle w:val="NoSpacing"/>
              <w:rPr>
                <w:sz w:val="21"/>
                <w:szCs w:val="21"/>
                <w:lang w:val="en-US"/>
              </w:rPr>
            </w:pPr>
            <w:proofErr w:type="spellStart"/>
            <w:r w:rsidRPr="00867BB6">
              <w:rPr>
                <w:sz w:val="21"/>
                <w:szCs w:val="21"/>
                <w:lang w:val="en-US"/>
              </w:rPr>
              <w:t>Sealys</w:t>
            </w:r>
            <w:proofErr w:type="spellEnd"/>
            <w:r w:rsidRPr="00867BB6">
              <w:rPr>
                <w:sz w:val="21"/>
                <w:szCs w:val="21"/>
                <w:lang w:val="en-US"/>
              </w:rPr>
              <w:t xml:space="preserve">, C. 2017. </w:t>
            </w:r>
            <w:r w:rsidRPr="00867BB6">
              <w:rPr>
                <w:i/>
                <w:iCs/>
                <w:sz w:val="21"/>
                <w:szCs w:val="21"/>
                <w:lang w:val="en-US"/>
              </w:rPr>
              <w:t xml:space="preserve">Saint Lucia National Strategy for the Management of Sargassum Influxes on Beaches, Bays and Small </w:t>
            </w:r>
            <w:proofErr w:type="spellStart"/>
            <w:r w:rsidRPr="00867BB6">
              <w:rPr>
                <w:i/>
                <w:iCs/>
                <w:sz w:val="21"/>
                <w:szCs w:val="21"/>
                <w:lang w:val="en-US"/>
              </w:rPr>
              <w:t>Harbours</w:t>
            </w:r>
            <w:proofErr w:type="spellEnd"/>
            <w:r w:rsidRPr="00867BB6">
              <w:rPr>
                <w:sz w:val="21"/>
                <w:szCs w:val="21"/>
                <w:lang w:val="en-US"/>
              </w:rPr>
              <w:t>. Ed. M-L Felix. Department of Agriculture, Fisheries, Natural Resources and Co-operatives, Department of Fisheries.</w:t>
            </w:r>
          </w:p>
        </w:tc>
        <w:tc>
          <w:tcPr>
            <w:tcW w:w="1246" w:type="pct"/>
          </w:tcPr>
          <w:p w14:paraId="00E6A17B" w14:textId="77777777" w:rsidR="00DF4FD0" w:rsidRPr="00867BB6" w:rsidRDefault="00DF4FD0" w:rsidP="00DF4FD0">
            <w:pPr>
              <w:pStyle w:val="NoSpacing"/>
              <w:rPr>
                <w:sz w:val="21"/>
                <w:szCs w:val="21"/>
                <w:lang w:val="en-US" w:eastAsia="en-AU"/>
              </w:rPr>
            </w:pPr>
            <w:r w:rsidRPr="00867BB6">
              <w:rPr>
                <w:sz w:val="21"/>
                <w:szCs w:val="21"/>
                <w:lang w:val="en-US" w:eastAsia="en-AU"/>
              </w:rPr>
              <w:t>Accessed through personal correspondence.</w:t>
            </w:r>
          </w:p>
        </w:tc>
      </w:tr>
      <w:tr w:rsidR="00DF4FD0" w:rsidRPr="00867BB6" w14:paraId="414C9109" w14:textId="77777777" w:rsidTr="00946ACF">
        <w:trPr>
          <w:trHeight w:val="400"/>
        </w:trPr>
        <w:tc>
          <w:tcPr>
            <w:tcW w:w="313" w:type="pct"/>
            <w:vAlign w:val="center"/>
          </w:tcPr>
          <w:p w14:paraId="2DDE33E1" w14:textId="75446828" w:rsidR="00DF4FD0" w:rsidRPr="00867BB6" w:rsidRDefault="00DF4FD0" w:rsidP="00DF4FD0">
            <w:pPr>
              <w:pStyle w:val="NoSpacing"/>
              <w:rPr>
                <w:sz w:val="21"/>
                <w:szCs w:val="21"/>
                <w:lang w:val="en-US" w:eastAsia="en-AU"/>
              </w:rPr>
            </w:pPr>
            <w:r w:rsidRPr="00867BB6">
              <w:rPr>
                <w:sz w:val="21"/>
                <w:szCs w:val="21"/>
                <w:lang w:val="en-US" w:eastAsia="en-AU"/>
              </w:rPr>
              <w:t>33</w:t>
            </w:r>
          </w:p>
        </w:tc>
        <w:tc>
          <w:tcPr>
            <w:tcW w:w="769" w:type="pct"/>
            <w:vMerge/>
            <w:shd w:val="clear" w:color="auto" w:fill="auto"/>
            <w:noWrap/>
            <w:vAlign w:val="center"/>
          </w:tcPr>
          <w:p w14:paraId="407907C2" w14:textId="77777777" w:rsidR="00DF4FD0" w:rsidRPr="00867BB6" w:rsidRDefault="00DF4FD0" w:rsidP="00DF4FD0">
            <w:pPr>
              <w:pStyle w:val="NoSpacing"/>
              <w:rPr>
                <w:sz w:val="21"/>
                <w:szCs w:val="21"/>
                <w:lang w:val="en-US" w:eastAsia="en-AU"/>
              </w:rPr>
            </w:pPr>
          </w:p>
        </w:tc>
        <w:tc>
          <w:tcPr>
            <w:tcW w:w="2672" w:type="pct"/>
            <w:shd w:val="clear" w:color="auto" w:fill="auto"/>
            <w:vAlign w:val="center"/>
          </w:tcPr>
          <w:p w14:paraId="7E2B6478" w14:textId="1B3983B4" w:rsidR="00DF4FD0" w:rsidRPr="00867BB6" w:rsidRDefault="00DF4FD0" w:rsidP="00DF4FD0">
            <w:pPr>
              <w:pStyle w:val="NoSpacing"/>
              <w:rPr>
                <w:sz w:val="21"/>
                <w:szCs w:val="21"/>
                <w:lang w:val="en-US"/>
              </w:rPr>
            </w:pPr>
            <w:r w:rsidRPr="00867BB6">
              <w:rPr>
                <w:sz w:val="21"/>
                <w:szCs w:val="21"/>
                <w:lang w:val="en-US"/>
              </w:rPr>
              <w:t xml:space="preserve">CERMES. 2021. </w:t>
            </w:r>
            <w:r w:rsidRPr="00867BB6">
              <w:rPr>
                <w:i/>
                <w:iCs/>
                <w:sz w:val="21"/>
                <w:szCs w:val="21"/>
                <w:lang w:val="en-US"/>
              </w:rPr>
              <w:t>Draft Saint Lucia Sargassum Adaptive Management Strategy. Volume 1: Adaptive Strategy.</w:t>
            </w:r>
            <w:r w:rsidRPr="00867BB6">
              <w:rPr>
                <w:sz w:val="21"/>
                <w:szCs w:val="21"/>
                <w:lang w:val="en-US"/>
              </w:rPr>
              <w:t xml:space="preserve"> FAO CC4FISH project. 17pp.</w:t>
            </w:r>
          </w:p>
        </w:tc>
        <w:tc>
          <w:tcPr>
            <w:tcW w:w="1246" w:type="pct"/>
          </w:tcPr>
          <w:p w14:paraId="61BA4095" w14:textId="77777777" w:rsidR="00DF4FD0" w:rsidRPr="00867BB6" w:rsidRDefault="00DF4FD0" w:rsidP="00DF4FD0">
            <w:pPr>
              <w:pStyle w:val="NoSpacing"/>
              <w:rPr>
                <w:sz w:val="21"/>
                <w:szCs w:val="21"/>
                <w:lang w:val="en-US" w:eastAsia="en-AU"/>
              </w:rPr>
            </w:pPr>
            <w:r w:rsidRPr="00867BB6">
              <w:rPr>
                <w:sz w:val="21"/>
                <w:szCs w:val="21"/>
                <w:lang w:val="en-US" w:eastAsia="en-AU"/>
              </w:rPr>
              <w:t>Accessed through personal correspondence.</w:t>
            </w:r>
          </w:p>
        </w:tc>
      </w:tr>
      <w:tr w:rsidR="00DF4FD0" w:rsidRPr="00867BB6" w14:paraId="036233D1" w14:textId="77777777" w:rsidTr="00946ACF">
        <w:trPr>
          <w:trHeight w:val="400"/>
        </w:trPr>
        <w:tc>
          <w:tcPr>
            <w:tcW w:w="313" w:type="pct"/>
            <w:vAlign w:val="center"/>
          </w:tcPr>
          <w:p w14:paraId="3164D83E" w14:textId="5C5CB63F" w:rsidR="00DF4FD0" w:rsidRPr="00867BB6" w:rsidRDefault="00DF4FD0" w:rsidP="00DF4FD0">
            <w:pPr>
              <w:pStyle w:val="NoSpacing"/>
              <w:rPr>
                <w:sz w:val="21"/>
                <w:szCs w:val="21"/>
                <w:lang w:val="en-US" w:eastAsia="en-AU"/>
              </w:rPr>
            </w:pPr>
            <w:r w:rsidRPr="00867BB6">
              <w:rPr>
                <w:sz w:val="21"/>
                <w:szCs w:val="21"/>
                <w:lang w:val="en-US" w:eastAsia="en-AU"/>
              </w:rPr>
              <w:t>34</w:t>
            </w:r>
          </w:p>
        </w:tc>
        <w:tc>
          <w:tcPr>
            <w:tcW w:w="769" w:type="pct"/>
            <w:shd w:val="clear" w:color="auto" w:fill="auto"/>
            <w:noWrap/>
            <w:vAlign w:val="center"/>
            <w:hideMark/>
          </w:tcPr>
          <w:p w14:paraId="04C8916D" w14:textId="77777777" w:rsidR="00DF4FD0" w:rsidRPr="00867BB6" w:rsidRDefault="00DF4FD0" w:rsidP="00DF4FD0">
            <w:pPr>
              <w:pStyle w:val="NoSpacing"/>
              <w:rPr>
                <w:sz w:val="21"/>
                <w:szCs w:val="21"/>
                <w:lang w:val="en-US" w:eastAsia="en-AU"/>
              </w:rPr>
            </w:pPr>
            <w:r w:rsidRPr="00867BB6">
              <w:rPr>
                <w:sz w:val="21"/>
                <w:szCs w:val="21"/>
                <w:lang w:val="en-US" w:eastAsia="en-AU"/>
              </w:rPr>
              <w:t>St Maarten (NL)</w:t>
            </w:r>
          </w:p>
        </w:tc>
        <w:tc>
          <w:tcPr>
            <w:tcW w:w="2672" w:type="pct"/>
            <w:shd w:val="clear" w:color="auto" w:fill="auto"/>
            <w:vAlign w:val="center"/>
          </w:tcPr>
          <w:p w14:paraId="1D7FC057" w14:textId="77777777" w:rsidR="00DF4FD0" w:rsidRPr="00867BB6" w:rsidRDefault="00DF4FD0" w:rsidP="00DF4FD0">
            <w:pPr>
              <w:pStyle w:val="NoSpacing"/>
              <w:rPr>
                <w:sz w:val="21"/>
                <w:szCs w:val="21"/>
                <w:lang w:val="en-US"/>
              </w:rPr>
            </w:pPr>
            <w:r w:rsidRPr="00867BB6">
              <w:rPr>
                <w:sz w:val="21"/>
                <w:szCs w:val="21"/>
                <w:lang w:val="en-US" w:eastAsia="en-AU"/>
              </w:rPr>
              <w:t>See [3]</w:t>
            </w:r>
          </w:p>
        </w:tc>
        <w:tc>
          <w:tcPr>
            <w:tcW w:w="1246" w:type="pct"/>
            <w:vAlign w:val="center"/>
          </w:tcPr>
          <w:p w14:paraId="490296DB" w14:textId="77777777" w:rsidR="00DF4FD0" w:rsidRPr="00867BB6" w:rsidRDefault="00DF4FD0" w:rsidP="00DF4FD0">
            <w:pPr>
              <w:pStyle w:val="NoSpacing"/>
              <w:rPr>
                <w:sz w:val="21"/>
                <w:szCs w:val="21"/>
                <w:lang w:val="en-US" w:eastAsia="en-AU"/>
              </w:rPr>
            </w:pPr>
            <w:r w:rsidRPr="00867BB6">
              <w:rPr>
                <w:sz w:val="21"/>
                <w:szCs w:val="21"/>
                <w:lang w:val="en-US" w:eastAsia="en-AU"/>
              </w:rPr>
              <w:t>Open access</w:t>
            </w:r>
          </w:p>
        </w:tc>
      </w:tr>
      <w:tr w:rsidR="00DF4FD0" w:rsidRPr="00867BB6" w14:paraId="6E7D846D" w14:textId="77777777" w:rsidTr="00946ACF">
        <w:trPr>
          <w:trHeight w:val="580"/>
        </w:trPr>
        <w:tc>
          <w:tcPr>
            <w:tcW w:w="313" w:type="pct"/>
            <w:vAlign w:val="center"/>
          </w:tcPr>
          <w:p w14:paraId="696A8DBF" w14:textId="6BC8887E" w:rsidR="00DF4FD0" w:rsidRPr="00867BB6" w:rsidRDefault="00DF4FD0" w:rsidP="00DF4FD0">
            <w:pPr>
              <w:pStyle w:val="NoSpacing"/>
              <w:rPr>
                <w:sz w:val="21"/>
                <w:szCs w:val="21"/>
                <w:lang w:val="en-US" w:eastAsia="en-AU"/>
              </w:rPr>
            </w:pPr>
            <w:r w:rsidRPr="00867BB6">
              <w:rPr>
                <w:sz w:val="21"/>
                <w:szCs w:val="21"/>
                <w:lang w:val="en-US" w:eastAsia="en-AU"/>
              </w:rPr>
              <w:t>35</w:t>
            </w:r>
          </w:p>
        </w:tc>
        <w:tc>
          <w:tcPr>
            <w:tcW w:w="769" w:type="pct"/>
            <w:shd w:val="clear" w:color="auto" w:fill="auto"/>
            <w:vAlign w:val="center"/>
            <w:hideMark/>
          </w:tcPr>
          <w:p w14:paraId="37CCDAC3" w14:textId="77777777" w:rsidR="00DF4FD0" w:rsidRPr="00867BB6" w:rsidRDefault="00DF4FD0" w:rsidP="00DF4FD0">
            <w:pPr>
              <w:pStyle w:val="NoSpacing"/>
              <w:rPr>
                <w:sz w:val="21"/>
                <w:szCs w:val="21"/>
                <w:lang w:val="en-US" w:eastAsia="en-AU"/>
              </w:rPr>
            </w:pPr>
            <w:r w:rsidRPr="00867BB6">
              <w:rPr>
                <w:sz w:val="21"/>
                <w:szCs w:val="21"/>
                <w:lang w:val="en-US" w:eastAsia="en-AU"/>
              </w:rPr>
              <w:t>St Martin (Fr)</w:t>
            </w:r>
          </w:p>
        </w:tc>
        <w:tc>
          <w:tcPr>
            <w:tcW w:w="2672" w:type="pct"/>
            <w:shd w:val="clear" w:color="auto" w:fill="auto"/>
            <w:vAlign w:val="center"/>
          </w:tcPr>
          <w:p w14:paraId="48F146C7" w14:textId="77777777" w:rsidR="00DF4FD0" w:rsidRPr="00867BB6" w:rsidRDefault="00DF4FD0" w:rsidP="00DF4FD0">
            <w:pPr>
              <w:pStyle w:val="NoSpacing"/>
              <w:rPr>
                <w:sz w:val="21"/>
                <w:szCs w:val="21"/>
                <w:lang w:val="en-US"/>
              </w:rPr>
            </w:pPr>
            <w:r w:rsidRPr="00867BB6">
              <w:rPr>
                <w:sz w:val="21"/>
                <w:szCs w:val="21"/>
                <w:lang w:val="en-US"/>
              </w:rPr>
              <w:t>See [18]</w:t>
            </w:r>
          </w:p>
        </w:tc>
        <w:tc>
          <w:tcPr>
            <w:tcW w:w="1246" w:type="pct"/>
            <w:vAlign w:val="center"/>
          </w:tcPr>
          <w:p w14:paraId="6B351542" w14:textId="77777777" w:rsidR="00DF4FD0" w:rsidRPr="00867BB6" w:rsidRDefault="00DF4FD0" w:rsidP="00DF4FD0">
            <w:pPr>
              <w:pStyle w:val="NoSpacing"/>
              <w:rPr>
                <w:sz w:val="21"/>
                <w:szCs w:val="21"/>
                <w:lang w:val="en-US" w:eastAsia="en-AU"/>
              </w:rPr>
            </w:pPr>
            <w:r w:rsidRPr="00867BB6">
              <w:rPr>
                <w:sz w:val="21"/>
                <w:szCs w:val="21"/>
                <w:lang w:val="en-US" w:eastAsia="en-AU"/>
              </w:rPr>
              <w:t>Open access</w:t>
            </w:r>
          </w:p>
        </w:tc>
      </w:tr>
      <w:tr w:rsidR="00DF4FD0" w:rsidRPr="00867BB6" w14:paraId="3E909319" w14:textId="77777777" w:rsidTr="00946ACF">
        <w:trPr>
          <w:trHeight w:val="530"/>
        </w:trPr>
        <w:tc>
          <w:tcPr>
            <w:tcW w:w="313" w:type="pct"/>
            <w:vAlign w:val="center"/>
          </w:tcPr>
          <w:p w14:paraId="604E48C0" w14:textId="07294269" w:rsidR="00DF4FD0" w:rsidRPr="00867BB6" w:rsidRDefault="00DF4FD0" w:rsidP="00DF4FD0">
            <w:pPr>
              <w:pStyle w:val="NoSpacing"/>
              <w:rPr>
                <w:sz w:val="21"/>
                <w:szCs w:val="21"/>
                <w:lang w:val="en-US" w:eastAsia="en-AU"/>
              </w:rPr>
            </w:pPr>
            <w:r w:rsidRPr="00867BB6">
              <w:rPr>
                <w:sz w:val="21"/>
                <w:szCs w:val="21"/>
                <w:lang w:val="en-US" w:eastAsia="en-AU"/>
              </w:rPr>
              <w:t>36</w:t>
            </w:r>
          </w:p>
        </w:tc>
        <w:tc>
          <w:tcPr>
            <w:tcW w:w="769" w:type="pct"/>
            <w:vMerge w:val="restart"/>
            <w:shd w:val="clear" w:color="auto" w:fill="auto"/>
            <w:vAlign w:val="center"/>
            <w:hideMark/>
          </w:tcPr>
          <w:p w14:paraId="3649D108" w14:textId="77777777" w:rsidR="00DF4FD0" w:rsidRPr="00867BB6" w:rsidRDefault="00DF4FD0" w:rsidP="00DF4FD0">
            <w:pPr>
              <w:pStyle w:val="NoSpacing"/>
              <w:rPr>
                <w:sz w:val="21"/>
                <w:szCs w:val="21"/>
                <w:lang w:val="en-US" w:eastAsia="en-AU"/>
              </w:rPr>
            </w:pPr>
            <w:r w:rsidRPr="00867BB6">
              <w:rPr>
                <w:sz w:val="21"/>
                <w:szCs w:val="21"/>
                <w:lang w:val="en-US" w:eastAsia="en-AU"/>
              </w:rPr>
              <w:t>St Vincent and the Grenadines</w:t>
            </w:r>
          </w:p>
        </w:tc>
        <w:tc>
          <w:tcPr>
            <w:tcW w:w="2672" w:type="pct"/>
            <w:shd w:val="clear" w:color="auto" w:fill="auto"/>
            <w:vAlign w:val="center"/>
          </w:tcPr>
          <w:p w14:paraId="48E4ED3B" w14:textId="77777777" w:rsidR="00DF4FD0" w:rsidRPr="00867BB6" w:rsidRDefault="00DF4FD0" w:rsidP="00DF4FD0">
            <w:pPr>
              <w:pStyle w:val="NoSpacing"/>
              <w:rPr>
                <w:sz w:val="21"/>
                <w:szCs w:val="21"/>
                <w:lang w:val="en-US"/>
              </w:rPr>
            </w:pPr>
            <w:proofErr w:type="spellStart"/>
            <w:r w:rsidRPr="00867BB6">
              <w:rPr>
                <w:sz w:val="21"/>
                <w:szCs w:val="21"/>
                <w:lang w:val="en-US"/>
              </w:rPr>
              <w:t>Billingy</w:t>
            </w:r>
            <w:proofErr w:type="spellEnd"/>
            <w:r w:rsidRPr="00867BB6">
              <w:rPr>
                <w:sz w:val="21"/>
                <w:szCs w:val="21"/>
                <w:lang w:val="en-US"/>
              </w:rPr>
              <w:t xml:space="preserve">, H.K. 2018. </w:t>
            </w:r>
            <w:r w:rsidRPr="00867BB6">
              <w:rPr>
                <w:i/>
                <w:iCs/>
                <w:sz w:val="21"/>
                <w:szCs w:val="21"/>
                <w:lang w:val="en-US"/>
              </w:rPr>
              <w:t>Management of Extreme Accumulations of Sargassum on the Coasts of St. Vincent and the Grenadines</w:t>
            </w:r>
          </w:p>
        </w:tc>
        <w:tc>
          <w:tcPr>
            <w:tcW w:w="1246" w:type="pct"/>
          </w:tcPr>
          <w:p w14:paraId="116DDBA9" w14:textId="77777777" w:rsidR="00DF4FD0" w:rsidRPr="00867BB6" w:rsidRDefault="00DF4FD0" w:rsidP="00DF4FD0">
            <w:pPr>
              <w:pStyle w:val="NoSpacing"/>
              <w:rPr>
                <w:sz w:val="21"/>
                <w:szCs w:val="21"/>
                <w:lang w:val="en-US" w:eastAsia="en-AU"/>
              </w:rPr>
            </w:pPr>
            <w:r w:rsidRPr="00867BB6">
              <w:rPr>
                <w:sz w:val="21"/>
                <w:szCs w:val="21"/>
                <w:lang w:val="en-US" w:eastAsia="en-AU"/>
              </w:rPr>
              <w:t>Accessed through personal correspondence.</w:t>
            </w:r>
          </w:p>
        </w:tc>
      </w:tr>
      <w:tr w:rsidR="00DF4FD0" w:rsidRPr="00867BB6" w14:paraId="7D13ACC8" w14:textId="77777777" w:rsidTr="00946ACF">
        <w:trPr>
          <w:trHeight w:val="530"/>
        </w:trPr>
        <w:tc>
          <w:tcPr>
            <w:tcW w:w="313" w:type="pct"/>
            <w:vAlign w:val="center"/>
          </w:tcPr>
          <w:p w14:paraId="4B680278" w14:textId="54E57AB4" w:rsidR="00DF4FD0" w:rsidRPr="00867BB6" w:rsidRDefault="00DF4FD0" w:rsidP="00DF4FD0">
            <w:pPr>
              <w:pStyle w:val="NoSpacing"/>
              <w:rPr>
                <w:sz w:val="21"/>
                <w:szCs w:val="21"/>
                <w:lang w:val="en-US" w:eastAsia="en-AU"/>
              </w:rPr>
            </w:pPr>
            <w:r w:rsidRPr="00867BB6">
              <w:rPr>
                <w:sz w:val="21"/>
                <w:szCs w:val="21"/>
                <w:lang w:val="en-US" w:eastAsia="en-AU"/>
              </w:rPr>
              <w:lastRenderedPageBreak/>
              <w:t>37</w:t>
            </w:r>
          </w:p>
        </w:tc>
        <w:tc>
          <w:tcPr>
            <w:tcW w:w="769" w:type="pct"/>
            <w:vMerge/>
            <w:shd w:val="clear" w:color="auto" w:fill="auto"/>
            <w:vAlign w:val="center"/>
          </w:tcPr>
          <w:p w14:paraId="70338E02" w14:textId="77777777" w:rsidR="00DF4FD0" w:rsidRPr="00867BB6" w:rsidRDefault="00DF4FD0" w:rsidP="00DF4FD0">
            <w:pPr>
              <w:pStyle w:val="NoSpacing"/>
              <w:rPr>
                <w:sz w:val="21"/>
                <w:szCs w:val="21"/>
                <w:lang w:val="en-US" w:eastAsia="en-AU"/>
              </w:rPr>
            </w:pPr>
          </w:p>
        </w:tc>
        <w:tc>
          <w:tcPr>
            <w:tcW w:w="2672" w:type="pct"/>
            <w:shd w:val="clear" w:color="auto" w:fill="auto"/>
            <w:vAlign w:val="center"/>
          </w:tcPr>
          <w:p w14:paraId="04DBC975" w14:textId="3A59512E" w:rsidR="00DF4FD0" w:rsidRPr="00867BB6" w:rsidRDefault="00DF4FD0" w:rsidP="00DF4FD0">
            <w:pPr>
              <w:pStyle w:val="NoSpacing"/>
              <w:rPr>
                <w:sz w:val="21"/>
                <w:szCs w:val="21"/>
                <w:lang w:val="en-US"/>
              </w:rPr>
            </w:pPr>
            <w:r w:rsidRPr="00867BB6">
              <w:rPr>
                <w:sz w:val="21"/>
                <w:szCs w:val="21"/>
                <w:lang w:val="en-US"/>
              </w:rPr>
              <w:t xml:space="preserve">CERMES. 2021. </w:t>
            </w:r>
            <w:r w:rsidRPr="00867BB6">
              <w:rPr>
                <w:i/>
                <w:iCs/>
                <w:sz w:val="21"/>
                <w:szCs w:val="21"/>
                <w:lang w:val="en-US"/>
              </w:rPr>
              <w:t>Draft St Vincent and the Grenadines Sargassum Adaptive Management Strategy. Volume 1: Adaptive Strategy.</w:t>
            </w:r>
            <w:r w:rsidRPr="00867BB6">
              <w:rPr>
                <w:sz w:val="21"/>
                <w:szCs w:val="21"/>
                <w:lang w:val="en-US"/>
              </w:rPr>
              <w:t xml:space="preserve"> FAO CC4FISH project. 16pp</w:t>
            </w:r>
          </w:p>
        </w:tc>
        <w:tc>
          <w:tcPr>
            <w:tcW w:w="1246" w:type="pct"/>
          </w:tcPr>
          <w:p w14:paraId="7ECC422D" w14:textId="77777777" w:rsidR="00DF4FD0" w:rsidRPr="00867BB6" w:rsidRDefault="00DF4FD0" w:rsidP="00DF4FD0">
            <w:pPr>
              <w:pStyle w:val="NoSpacing"/>
              <w:rPr>
                <w:sz w:val="21"/>
                <w:szCs w:val="21"/>
                <w:lang w:val="en-US" w:eastAsia="en-AU"/>
              </w:rPr>
            </w:pPr>
            <w:r w:rsidRPr="00867BB6">
              <w:rPr>
                <w:sz w:val="21"/>
                <w:szCs w:val="21"/>
                <w:lang w:val="en-US" w:eastAsia="en-AU"/>
              </w:rPr>
              <w:t>Accessed through personal correspondence.</w:t>
            </w:r>
          </w:p>
        </w:tc>
      </w:tr>
      <w:tr w:rsidR="00DF4FD0" w:rsidRPr="00867BB6" w14:paraId="7918BC0F" w14:textId="77777777" w:rsidTr="00946ACF">
        <w:trPr>
          <w:trHeight w:val="400"/>
        </w:trPr>
        <w:tc>
          <w:tcPr>
            <w:tcW w:w="313" w:type="pct"/>
            <w:vAlign w:val="center"/>
          </w:tcPr>
          <w:p w14:paraId="76D87F58" w14:textId="02A12CF4" w:rsidR="00DF4FD0" w:rsidRPr="00867BB6" w:rsidRDefault="00DF4FD0" w:rsidP="00DF4FD0">
            <w:pPr>
              <w:pStyle w:val="NoSpacing"/>
              <w:rPr>
                <w:sz w:val="21"/>
                <w:szCs w:val="21"/>
                <w:lang w:val="en-US" w:eastAsia="en-AU"/>
              </w:rPr>
            </w:pPr>
            <w:r w:rsidRPr="00867BB6">
              <w:rPr>
                <w:sz w:val="21"/>
                <w:szCs w:val="21"/>
                <w:lang w:val="en-US" w:eastAsia="en-AU"/>
              </w:rPr>
              <w:t>38</w:t>
            </w:r>
          </w:p>
        </w:tc>
        <w:tc>
          <w:tcPr>
            <w:tcW w:w="769" w:type="pct"/>
            <w:shd w:val="clear" w:color="auto" w:fill="auto"/>
            <w:noWrap/>
            <w:vAlign w:val="center"/>
            <w:hideMark/>
          </w:tcPr>
          <w:p w14:paraId="6A9A5B90" w14:textId="77777777" w:rsidR="00DF4FD0" w:rsidRPr="00867BB6" w:rsidRDefault="00DF4FD0" w:rsidP="00DF4FD0">
            <w:pPr>
              <w:pStyle w:val="NoSpacing"/>
              <w:rPr>
                <w:sz w:val="21"/>
                <w:szCs w:val="21"/>
                <w:lang w:val="en-US" w:eastAsia="en-AU"/>
              </w:rPr>
            </w:pPr>
            <w:r w:rsidRPr="00867BB6">
              <w:rPr>
                <w:sz w:val="21"/>
                <w:szCs w:val="21"/>
                <w:lang w:val="en-US" w:eastAsia="en-AU"/>
              </w:rPr>
              <w:t>Suriname</w:t>
            </w:r>
          </w:p>
        </w:tc>
        <w:tc>
          <w:tcPr>
            <w:tcW w:w="2672" w:type="pct"/>
            <w:shd w:val="clear" w:color="auto" w:fill="auto"/>
            <w:vAlign w:val="center"/>
          </w:tcPr>
          <w:p w14:paraId="3EB7823F" w14:textId="77777777" w:rsidR="00DF4FD0" w:rsidRPr="00867BB6" w:rsidRDefault="00DF4FD0" w:rsidP="00DF4FD0">
            <w:pPr>
              <w:pStyle w:val="NoSpacing"/>
              <w:rPr>
                <w:sz w:val="21"/>
                <w:szCs w:val="21"/>
                <w:lang w:val="en-US"/>
              </w:rPr>
            </w:pPr>
            <w:r w:rsidRPr="00867BB6">
              <w:rPr>
                <w:sz w:val="21"/>
                <w:szCs w:val="21"/>
                <w:lang w:val="en-US"/>
              </w:rPr>
              <w:t>None found.</w:t>
            </w:r>
          </w:p>
        </w:tc>
        <w:tc>
          <w:tcPr>
            <w:tcW w:w="1246" w:type="pct"/>
            <w:vAlign w:val="center"/>
          </w:tcPr>
          <w:p w14:paraId="210C8A0C" w14:textId="77777777" w:rsidR="00DF4FD0" w:rsidRPr="00867BB6" w:rsidRDefault="00DF4FD0" w:rsidP="00DF4FD0">
            <w:pPr>
              <w:pStyle w:val="NoSpacing"/>
              <w:rPr>
                <w:sz w:val="21"/>
                <w:szCs w:val="21"/>
                <w:lang w:val="en-US" w:eastAsia="en-AU"/>
              </w:rPr>
            </w:pPr>
            <w:r w:rsidRPr="00867BB6">
              <w:rPr>
                <w:sz w:val="21"/>
                <w:szCs w:val="21"/>
                <w:lang w:val="en-US" w:eastAsia="en-AU"/>
              </w:rPr>
              <w:t>N/A</w:t>
            </w:r>
          </w:p>
        </w:tc>
      </w:tr>
      <w:tr w:rsidR="00DF4FD0" w:rsidRPr="00867BB6" w14:paraId="61466960" w14:textId="77777777" w:rsidTr="00946ACF">
        <w:trPr>
          <w:trHeight w:val="400"/>
        </w:trPr>
        <w:tc>
          <w:tcPr>
            <w:tcW w:w="313" w:type="pct"/>
            <w:vAlign w:val="center"/>
          </w:tcPr>
          <w:p w14:paraId="44F37326" w14:textId="7C462CC8" w:rsidR="00DF4FD0" w:rsidRPr="00867BB6" w:rsidRDefault="00DF4FD0" w:rsidP="00DF4FD0">
            <w:pPr>
              <w:pStyle w:val="NoSpacing"/>
              <w:rPr>
                <w:sz w:val="21"/>
                <w:szCs w:val="21"/>
                <w:lang w:val="en-US" w:eastAsia="en-AU"/>
              </w:rPr>
            </w:pPr>
            <w:r w:rsidRPr="00867BB6">
              <w:rPr>
                <w:sz w:val="21"/>
                <w:szCs w:val="21"/>
                <w:lang w:val="en-US" w:eastAsia="en-AU"/>
              </w:rPr>
              <w:t>39</w:t>
            </w:r>
          </w:p>
        </w:tc>
        <w:tc>
          <w:tcPr>
            <w:tcW w:w="769" w:type="pct"/>
            <w:vMerge w:val="restart"/>
            <w:shd w:val="clear" w:color="auto" w:fill="auto"/>
            <w:noWrap/>
            <w:vAlign w:val="center"/>
            <w:hideMark/>
          </w:tcPr>
          <w:p w14:paraId="4A9561A1" w14:textId="77777777" w:rsidR="00DF4FD0" w:rsidRPr="00867BB6" w:rsidRDefault="00DF4FD0" w:rsidP="00DF4FD0">
            <w:pPr>
              <w:pStyle w:val="NoSpacing"/>
              <w:rPr>
                <w:sz w:val="21"/>
                <w:szCs w:val="21"/>
                <w:lang w:val="en-US" w:eastAsia="en-AU"/>
              </w:rPr>
            </w:pPr>
            <w:r w:rsidRPr="00867BB6">
              <w:rPr>
                <w:sz w:val="21"/>
                <w:szCs w:val="21"/>
                <w:lang w:val="en-US" w:eastAsia="en-AU"/>
              </w:rPr>
              <w:t>Trinidad and Tobago</w:t>
            </w:r>
          </w:p>
        </w:tc>
        <w:tc>
          <w:tcPr>
            <w:tcW w:w="2672" w:type="pct"/>
            <w:shd w:val="clear" w:color="auto" w:fill="auto"/>
            <w:vAlign w:val="center"/>
          </w:tcPr>
          <w:p w14:paraId="5FCF3BBF" w14:textId="77777777" w:rsidR="00DF4FD0" w:rsidRPr="00867BB6" w:rsidRDefault="00DF4FD0" w:rsidP="00DF4FD0">
            <w:pPr>
              <w:pStyle w:val="NoSpacing"/>
              <w:rPr>
                <w:sz w:val="21"/>
                <w:szCs w:val="21"/>
                <w:lang w:val="en-US"/>
              </w:rPr>
            </w:pPr>
            <w:r w:rsidRPr="00867BB6">
              <w:rPr>
                <w:sz w:val="21"/>
                <w:szCs w:val="21"/>
                <w:lang w:val="en-US"/>
              </w:rPr>
              <w:t xml:space="preserve">Institute of Marine Affairs. 2016. </w:t>
            </w:r>
            <w:r w:rsidRPr="00867BB6">
              <w:rPr>
                <w:i/>
                <w:iCs/>
                <w:sz w:val="21"/>
                <w:szCs w:val="21"/>
                <w:lang w:val="en-US"/>
              </w:rPr>
              <w:t>National Sargassum Response Plan.</w:t>
            </w:r>
            <w:r w:rsidRPr="00867BB6">
              <w:rPr>
                <w:sz w:val="21"/>
                <w:szCs w:val="21"/>
                <w:lang w:val="en-US"/>
              </w:rPr>
              <w:t xml:space="preserve"> Hilltop Lane, Chaguaramas, Trinidad. </w:t>
            </w:r>
          </w:p>
        </w:tc>
        <w:tc>
          <w:tcPr>
            <w:tcW w:w="1246" w:type="pct"/>
            <w:vAlign w:val="center"/>
          </w:tcPr>
          <w:p w14:paraId="2C33FB8F" w14:textId="77777777" w:rsidR="00DF4FD0" w:rsidRPr="00867BB6" w:rsidRDefault="00DF4FD0" w:rsidP="00DF4FD0">
            <w:pPr>
              <w:pStyle w:val="NoSpacing"/>
              <w:rPr>
                <w:sz w:val="21"/>
                <w:szCs w:val="21"/>
                <w:lang w:val="en-US" w:eastAsia="en-AU"/>
              </w:rPr>
            </w:pPr>
            <w:r w:rsidRPr="00867BB6">
              <w:rPr>
                <w:sz w:val="21"/>
                <w:szCs w:val="21"/>
                <w:lang w:val="en-US" w:eastAsia="en-AU"/>
              </w:rPr>
              <w:t>Accessed through personal correspondence.</w:t>
            </w:r>
          </w:p>
        </w:tc>
      </w:tr>
      <w:tr w:rsidR="00DF4FD0" w:rsidRPr="00867BB6" w14:paraId="129F7DC3" w14:textId="77777777" w:rsidTr="00946ACF">
        <w:trPr>
          <w:trHeight w:val="400"/>
        </w:trPr>
        <w:tc>
          <w:tcPr>
            <w:tcW w:w="313" w:type="pct"/>
            <w:vAlign w:val="center"/>
          </w:tcPr>
          <w:p w14:paraId="65456C34" w14:textId="2B30F1F1" w:rsidR="00DF4FD0" w:rsidRPr="00867BB6" w:rsidRDefault="00DF4FD0" w:rsidP="00DF4FD0">
            <w:pPr>
              <w:pStyle w:val="NoSpacing"/>
              <w:rPr>
                <w:sz w:val="21"/>
                <w:szCs w:val="21"/>
                <w:lang w:val="en-US" w:eastAsia="en-AU"/>
              </w:rPr>
            </w:pPr>
            <w:r w:rsidRPr="00867BB6">
              <w:rPr>
                <w:sz w:val="21"/>
                <w:szCs w:val="21"/>
                <w:lang w:val="en-US" w:eastAsia="en-AU"/>
              </w:rPr>
              <w:t>40</w:t>
            </w:r>
          </w:p>
        </w:tc>
        <w:tc>
          <w:tcPr>
            <w:tcW w:w="769" w:type="pct"/>
            <w:vMerge/>
            <w:shd w:val="clear" w:color="auto" w:fill="auto"/>
            <w:noWrap/>
            <w:vAlign w:val="center"/>
          </w:tcPr>
          <w:p w14:paraId="3354E90C" w14:textId="77777777" w:rsidR="00DF4FD0" w:rsidRPr="00867BB6" w:rsidRDefault="00DF4FD0" w:rsidP="00DF4FD0">
            <w:pPr>
              <w:pStyle w:val="NoSpacing"/>
              <w:rPr>
                <w:sz w:val="21"/>
                <w:szCs w:val="21"/>
                <w:lang w:val="en-US" w:eastAsia="en-AU"/>
              </w:rPr>
            </w:pPr>
          </w:p>
        </w:tc>
        <w:tc>
          <w:tcPr>
            <w:tcW w:w="2672" w:type="pct"/>
            <w:shd w:val="clear" w:color="auto" w:fill="auto"/>
            <w:vAlign w:val="center"/>
          </w:tcPr>
          <w:p w14:paraId="5B7D4940" w14:textId="77777777" w:rsidR="00DF4FD0" w:rsidRPr="00867BB6" w:rsidRDefault="00DF4FD0" w:rsidP="00DF4FD0">
            <w:pPr>
              <w:pStyle w:val="NoSpacing"/>
              <w:rPr>
                <w:sz w:val="21"/>
                <w:szCs w:val="21"/>
                <w:lang w:val="en-US"/>
              </w:rPr>
            </w:pPr>
            <w:r w:rsidRPr="00867BB6">
              <w:rPr>
                <w:sz w:val="21"/>
                <w:szCs w:val="21"/>
                <w:lang w:val="en-US"/>
              </w:rPr>
              <w:t xml:space="preserve">Robin, H. 2019. Tobago Sargassum Emergency Response Plan. Presentation at International Conference on Sargassum 2019. Available at: </w:t>
            </w:r>
            <w:hyperlink r:id="rId21" w:history="1">
              <w:r w:rsidRPr="00867BB6">
                <w:rPr>
                  <w:rStyle w:val="Hyperlink"/>
                  <w:sz w:val="21"/>
                  <w:szCs w:val="21"/>
                  <w:lang w:val="en-US"/>
                </w:rPr>
                <w:t>https://www.slideshare.net/CRGuadeloupe/howard-robin-tobago-house-of-assembly-tobago-sargassum-emergency-response-plan</w:t>
              </w:r>
            </w:hyperlink>
            <w:r w:rsidRPr="00867BB6">
              <w:rPr>
                <w:sz w:val="21"/>
                <w:szCs w:val="21"/>
                <w:lang w:val="en-US"/>
              </w:rPr>
              <w:t xml:space="preserve"> </w:t>
            </w:r>
          </w:p>
        </w:tc>
        <w:tc>
          <w:tcPr>
            <w:tcW w:w="1246" w:type="pct"/>
            <w:vAlign w:val="center"/>
          </w:tcPr>
          <w:p w14:paraId="706FF88F" w14:textId="77777777" w:rsidR="00DF4FD0" w:rsidRPr="00867BB6" w:rsidRDefault="00DF4FD0" w:rsidP="00DF4FD0">
            <w:pPr>
              <w:pStyle w:val="NoSpacing"/>
              <w:rPr>
                <w:sz w:val="21"/>
                <w:szCs w:val="21"/>
                <w:lang w:val="en-US" w:eastAsia="en-AU"/>
              </w:rPr>
            </w:pPr>
            <w:r w:rsidRPr="00867BB6">
              <w:rPr>
                <w:sz w:val="21"/>
                <w:szCs w:val="21"/>
                <w:lang w:val="en-US" w:eastAsia="en-AU"/>
              </w:rPr>
              <w:t>Presentation on strategy available open access.</w:t>
            </w:r>
          </w:p>
        </w:tc>
      </w:tr>
      <w:tr w:rsidR="00DF4FD0" w:rsidRPr="00867BB6" w14:paraId="30F55CF5" w14:textId="77777777" w:rsidTr="00946ACF">
        <w:trPr>
          <w:trHeight w:val="400"/>
        </w:trPr>
        <w:tc>
          <w:tcPr>
            <w:tcW w:w="313" w:type="pct"/>
            <w:vAlign w:val="center"/>
          </w:tcPr>
          <w:p w14:paraId="0BA86667" w14:textId="0FBE69B8" w:rsidR="00DF4FD0" w:rsidRPr="00867BB6" w:rsidRDefault="00DF4FD0" w:rsidP="00DF4FD0">
            <w:pPr>
              <w:pStyle w:val="NoSpacing"/>
              <w:rPr>
                <w:sz w:val="21"/>
                <w:szCs w:val="21"/>
                <w:lang w:val="en-US" w:eastAsia="en-AU"/>
              </w:rPr>
            </w:pPr>
            <w:r w:rsidRPr="00867BB6">
              <w:rPr>
                <w:sz w:val="21"/>
                <w:szCs w:val="21"/>
                <w:lang w:val="en-US" w:eastAsia="en-AU"/>
              </w:rPr>
              <w:t>41</w:t>
            </w:r>
          </w:p>
        </w:tc>
        <w:tc>
          <w:tcPr>
            <w:tcW w:w="769" w:type="pct"/>
            <w:shd w:val="clear" w:color="auto" w:fill="auto"/>
            <w:noWrap/>
            <w:vAlign w:val="center"/>
            <w:hideMark/>
          </w:tcPr>
          <w:p w14:paraId="566D389C" w14:textId="77777777" w:rsidR="00DF4FD0" w:rsidRPr="00867BB6" w:rsidRDefault="00DF4FD0" w:rsidP="00DF4FD0">
            <w:pPr>
              <w:pStyle w:val="NoSpacing"/>
              <w:rPr>
                <w:sz w:val="21"/>
                <w:szCs w:val="21"/>
                <w:lang w:val="en-US" w:eastAsia="en-AU"/>
              </w:rPr>
            </w:pPr>
            <w:r w:rsidRPr="00867BB6">
              <w:rPr>
                <w:sz w:val="21"/>
                <w:szCs w:val="21"/>
                <w:lang w:val="en-US" w:eastAsia="en-AU"/>
              </w:rPr>
              <w:t>Turks and Caicos</w:t>
            </w:r>
          </w:p>
        </w:tc>
        <w:tc>
          <w:tcPr>
            <w:tcW w:w="2672" w:type="pct"/>
            <w:shd w:val="clear" w:color="auto" w:fill="auto"/>
            <w:vAlign w:val="center"/>
          </w:tcPr>
          <w:p w14:paraId="3721A58B" w14:textId="0FD9833B" w:rsidR="00DF4FD0" w:rsidRPr="00867BB6" w:rsidRDefault="00DF4FD0" w:rsidP="00DF4FD0">
            <w:pPr>
              <w:pStyle w:val="NoSpacing"/>
              <w:rPr>
                <w:sz w:val="21"/>
                <w:szCs w:val="21"/>
                <w:vertAlign w:val="superscript"/>
                <w:lang w:val="en-US"/>
              </w:rPr>
            </w:pPr>
            <w:r w:rsidRPr="00867BB6">
              <w:rPr>
                <w:sz w:val="21"/>
                <w:szCs w:val="21"/>
                <w:lang w:val="en-US"/>
              </w:rPr>
              <w:t>None found (draft in progress).</w:t>
            </w:r>
            <w:r w:rsidRPr="00867BB6">
              <w:rPr>
                <w:sz w:val="21"/>
                <w:szCs w:val="21"/>
                <w:vertAlign w:val="superscript"/>
                <w:lang w:val="en-US"/>
              </w:rPr>
              <w:t>3</w:t>
            </w:r>
          </w:p>
        </w:tc>
        <w:tc>
          <w:tcPr>
            <w:tcW w:w="1246" w:type="pct"/>
            <w:vAlign w:val="center"/>
          </w:tcPr>
          <w:p w14:paraId="20D89C6A" w14:textId="77777777" w:rsidR="00DF4FD0" w:rsidRPr="00867BB6" w:rsidRDefault="00DF4FD0" w:rsidP="00DF4FD0">
            <w:pPr>
              <w:pStyle w:val="NoSpacing"/>
              <w:rPr>
                <w:sz w:val="21"/>
                <w:szCs w:val="21"/>
                <w:lang w:val="en-US" w:eastAsia="en-AU"/>
              </w:rPr>
            </w:pPr>
            <w:r w:rsidRPr="00867BB6">
              <w:rPr>
                <w:sz w:val="21"/>
                <w:szCs w:val="21"/>
                <w:lang w:val="en-US" w:eastAsia="en-AU"/>
              </w:rPr>
              <w:t>N/A</w:t>
            </w:r>
          </w:p>
        </w:tc>
      </w:tr>
      <w:tr w:rsidR="00B02634" w:rsidRPr="00867BB6" w14:paraId="71F5319E" w14:textId="77777777" w:rsidTr="00946ACF">
        <w:trPr>
          <w:trHeight w:val="400"/>
        </w:trPr>
        <w:tc>
          <w:tcPr>
            <w:tcW w:w="313" w:type="pct"/>
            <w:vAlign w:val="center"/>
          </w:tcPr>
          <w:p w14:paraId="4FFC03A9" w14:textId="16EA700B" w:rsidR="00B02634" w:rsidRPr="00867BB6" w:rsidRDefault="00B02634" w:rsidP="00E33F94">
            <w:pPr>
              <w:pStyle w:val="NoSpacing"/>
              <w:rPr>
                <w:sz w:val="21"/>
                <w:szCs w:val="21"/>
                <w:lang w:val="en-US" w:eastAsia="en-AU"/>
              </w:rPr>
            </w:pPr>
            <w:r w:rsidRPr="00867BB6">
              <w:rPr>
                <w:sz w:val="21"/>
                <w:szCs w:val="21"/>
                <w:lang w:val="en-US" w:eastAsia="en-AU"/>
              </w:rPr>
              <w:t>4</w:t>
            </w:r>
            <w:r w:rsidR="00DF4FD0" w:rsidRPr="00867BB6">
              <w:rPr>
                <w:sz w:val="21"/>
                <w:szCs w:val="21"/>
                <w:lang w:val="en-US" w:eastAsia="en-AU"/>
              </w:rPr>
              <w:t>2</w:t>
            </w:r>
          </w:p>
        </w:tc>
        <w:tc>
          <w:tcPr>
            <w:tcW w:w="769" w:type="pct"/>
            <w:shd w:val="clear" w:color="auto" w:fill="auto"/>
            <w:noWrap/>
            <w:vAlign w:val="center"/>
            <w:hideMark/>
          </w:tcPr>
          <w:p w14:paraId="12255060" w14:textId="77777777" w:rsidR="00B02634" w:rsidRPr="00867BB6" w:rsidRDefault="00B02634" w:rsidP="00E33F94">
            <w:pPr>
              <w:pStyle w:val="NoSpacing"/>
              <w:rPr>
                <w:sz w:val="21"/>
                <w:szCs w:val="21"/>
                <w:lang w:val="en-US" w:eastAsia="en-AU"/>
              </w:rPr>
            </w:pPr>
            <w:r w:rsidRPr="00867BB6">
              <w:rPr>
                <w:sz w:val="21"/>
                <w:szCs w:val="21"/>
                <w:lang w:val="en-US" w:eastAsia="en-AU"/>
              </w:rPr>
              <w:t>US Virgin Islands</w:t>
            </w:r>
          </w:p>
        </w:tc>
        <w:tc>
          <w:tcPr>
            <w:tcW w:w="2672" w:type="pct"/>
            <w:shd w:val="clear" w:color="auto" w:fill="auto"/>
            <w:vAlign w:val="center"/>
          </w:tcPr>
          <w:p w14:paraId="3C892E85" w14:textId="77777777" w:rsidR="00B02634" w:rsidRPr="00867BB6" w:rsidRDefault="00B02634" w:rsidP="00E33F94">
            <w:pPr>
              <w:pStyle w:val="NoSpacing"/>
              <w:rPr>
                <w:sz w:val="21"/>
                <w:szCs w:val="21"/>
                <w:lang w:val="en-US"/>
              </w:rPr>
            </w:pPr>
            <w:r w:rsidRPr="00867BB6">
              <w:rPr>
                <w:sz w:val="21"/>
                <w:szCs w:val="21"/>
                <w:lang w:val="en-US"/>
              </w:rPr>
              <w:t>None found.</w:t>
            </w:r>
          </w:p>
        </w:tc>
        <w:tc>
          <w:tcPr>
            <w:tcW w:w="1246" w:type="pct"/>
            <w:vAlign w:val="center"/>
          </w:tcPr>
          <w:p w14:paraId="75CA6E45" w14:textId="77777777" w:rsidR="00B02634" w:rsidRPr="00867BB6" w:rsidRDefault="00B02634" w:rsidP="00E33F94">
            <w:pPr>
              <w:pStyle w:val="NoSpacing"/>
              <w:rPr>
                <w:sz w:val="21"/>
                <w:szCs w:val="21"/>
                <w:lang w:val="en-US" w:eastAsia="en-AU"/>
              </w:rPr>
            </w:pPr>
            <w:r w:rsidRPr="00867BB6">
              <w:rPr>
                <w:sz w:val="21"/>
                <w:szCs w:val="21"/>
                <w:lang w:val="en-US" w:eastAsia="en-AU"/>
              </w:rPr>
              <w:t>N/A</w:t>
            </w:r>
          </w:p>
        </w:tc>
      </w:tr>
      <w:tr w:rsidR="00B02634" w:rsidRPr="00867BB6" w14:paraId="4779DBF4" w14:textId="77777777" w:rsidTr="00E33F94">
        <w:trPr>
          <w:trHeight w:val="400"/>
        </w:trPr>
        <w:tc>
          <w:tcPr>
            <w:tcW w:w="5000" w:type="pct"/>
            <w:gridSpan w:val="4"/>
            <w:vAlign w:val="center"/>
          </w:tcPr>
          <w:p w14:paraId="667D719B" w14:textId="77777777" w:rsidR="00B02634" w:rsidRPr="00867BB6" w:rsidRDefault="00B02634" w:rsidP="00E33F94">
            <w:pPr>
              <w:pStyle w:val="NoSpacing"/>
              <w:rPr>
                <w:sz w:val="18"/>
                <w:szCs w:val="18"/>
                <w:lang w:val="en-US"/>
              </w:rPr>
            </w:pPr>
            <w:r w:rsidRPr="00867BB6">
              <w:rPr>
                <w:sz w:val="18"/>
                <w:szCs w:val="18"/>
                <w:lang w:val="en-US"/>
              </w:rPr>
              <w:t>This table includes all identified policies/strategies, but only those in English were analyzed in depth.</w:t>
            </w:r>
          </w:p>
          <w:p w14:paraId="757C4735" w14:textId="77777777" w:rsidR="00B02634" w:rsidRPr="00867BB6" w:rsidRDefault="00B02634" w:rsidP="00E33F94">
            <w:pPr>
              <w:pStyle w:val="NoSpacing"/>
              <w:rPr>
                <w:sz w:val="18"/>
                <w:szCs w:val="18"/>
                <w:lang w:val="en-US"/>
              </w:rPr>
            </w:pPr>
          </w:p>
          <w:p w14:paraId="3BC4BEC8" w14:textId="77777777" w:rsidR="00B02634" w:rsidRPr="00867BB6" w:rsidRDefault="00B02634" w:rsidP="00E33F94">
            <w:pPr>
              <w:pStyle w:val="NoSpacing"/>
              <w:rPr>
                <w:sz w:val="18"/>
                <w:szCs w:val="18"/>
                <w:lang w:val="en-US" w:eastAsia="en-AU"/>
              </w:rPr>
            </w:pPr>
            <w:r w:rsidRPr="00867BB6">
              <w:rPr>
                <w:sz w:val="18"/>
                <w:szCs w:val="18"/>
                <w:lang w:val="en-US" w:eastAsia="en-AU"/>
              </w:rPr>
              <w:t xml:space="preserve">According to UNEP white paper </w:t>
            </w:r>
            <w:r w:rsidRPr="00867BB6">
              <w:rPr>
                <w:sz w:val="18"/>
                <w:szCs w:val="18"/>
                <w:lang w:val="en-US"/>
              </w:rPr>
              <w:t>(UNEP-CEP 2018)</w:t>
            </w:r>
            <w:r w:rsidRPr="00867BB6">
              <w:rPr>
                <w:sz w:val="18"/>
                <w:szCs w:val="18"/>
                <w:lang w:val="en-US" w:eastAsia="en-AU"/>
              </w:rPr>
              <w:t>: VH Very High; H High; M Medium; L Low; NA not included in UNEP paper. Fr: France, collectivity, NL: Netherlands, country or public body, UK: United Kingdom, overseas territory.</w:t>
            </w:r>
          </w:p>
          <w:p w14:paraId="05D7C252" w14:textId="77777777" w:rsidR="00B02634" w:rsidRPr="00867BB6" w:rsidRDefault="00B02634" w:rsidP="00E33F94">
            <w:pPr>
              <w:pStyle w:val="NoSpacing"/>
              <w:rPr>
                <w:i/>
                <w:iCs/>
                <w:sz w:val="18"/>
                <w:szCs w:val="18"/>
                <w:lang w:val="en-US" w:eastAsia="en-AU"/>
              </w:rPr>
            </w:pPr>
          </w:p>
          <w:p w14:paraId="121651F1" w14:textId="34A0695F" w:rsidR="00B02634" w:rsidRPr="00867BB6" w:rsidRDefault="00B02634" w:rsidP="00E33F94">
            <w:pPr>
              <w:pStyle w:val="NoSpacing"/>
              <w:rPr>
                <w:i/>
                <w:iCs/>
                <w:sz w:val="18"/>
                <w:szCs w:val="18"/>
                <w:lang w:val="en-US" w:eastAsia="en-AU"/>
              </w:rPr>
            </w:pPr>
            <w:r w:rsidRPr="00867BB6">
              <w:rPr>
                <w:i/>
                <w:iCs/>
                <w:sz w:val="18"/>
                <w:szCs w:val="18"/>
                <w:lang w:val="en-US" w:eastAsia="en-AU"/>
              </w:rPr>
              <w:t>Note: All reports were found through online search, except: (</w:t>
            </w:r>
            <w:proofErr w:type="spellStart"/>
            <w:r w:rsidRPr="00867BB6">
              <w:rPr>
                <w:i/>
                <w:iCs/>
                <w:sz w:val="18"/>
                <w:szCs w:val="18"/>
                <w:lang w:val="en-US" w:eastAsia="en-AU"/>
              </w:rPr>
              <w:t>i</w:t>
            </w:r>
            <w:proofErr w:type="spellEnd"/>
            <w:r w:rsidRPr="00867BB6">
              <w:rPr>
                <w:i/>
                <w:iCs/>
                <w:sz w:val="18"/>
                <w:szCs w:val="18"/>
                <w:lang w:val="en-US" w:eastAsia="en-AU"/>
              </w:rPr>
              <w:t xml:space="preserve">) Jamaica (2015) which was received directly from NEPA, Jamaica, and (ii)Grenada, St Kitts and Nevis, St Lucia, St Vincent and the Grenadines, Trinidad and Tobago which were all received from </w:t>
            </w:r>
            <w:r w:rsidR="00627CE6" w:rsidRPr="00867BB6">
              <w:rPr>
                <w:i/>
                <w:iCs/>
                <w:sz w:val="18"/>
                <w:szCs w:val="18"/>
                <w:lang w:val="en-US" w:eastAsia="en-AU"/>
              </w:rPr>
              <w:t>country contacts</w:t>
            </w:r>
            <w:r w:rsidRPr="00867BB6">
              <w:rPr>
                <w:i/>
                <w:iCs/>
                <w:sz w:val="18"/>
                <w:szCs w:val="18"/>
                <w:lang w:val="en-US" w:eastAsia="en-AU"/>
              </w:rPr>
              <w:t>.</w:t>
            </w:r>
          </w:p>
          <w:p w14:paraId="59C8C5B1" w14:textId="77777777" w:rsidR="00FF008C" w:rsidRPr="00867BB6" w:rsidRDefault="00FF008C" w:rsidP="00E33F94">
            <w:pPr>
              <w:pStyle w:val="NoSpacing"/>
              <w:rPr>
                <w:i/>
                <w:iCs/>
                <w:sz w:val="18"/>
                <w:szCs w:val="18"/>
                <w:lang w:val="en-US" w:eastAsia="en-AU"/>
              </w:rPr>
            </w:pPr>
          </w:p>
          <w:p w14:paraId="43C19B9F" w14:textId="14A3D437" w:rsidR="00FF008C" w:rsidRPr="00867BB6" w:rsidRDefault="00C36892" w:rsidP="00E33F94">
            <w:pPr>
              <w:pStyle w:val="NoSpacing"/>
              <w:rPr>
                <w:sz w:val="18"/>
                <w:szCs w:val="18"/>
                <w:lang w:val="en-US"/>
              </w:rPr>
            </w:pPr>
            <w:r w:rsidRPr="00867BB6">
              <w:rPr>
                <w:sz w:val="18"/>
                <w:szCs w:val="18"/>
                <w:vertAlign w:val="superscript"/>
                <w:lang w:val="en-US"/>
              </w:rPr>
              <w:t xml:space="preserve">1 </w:t>
            </w:r>
            <w:r w:rsidRPr="00867BB6">
              <w:rPr>
                <w:sz w:val="18"/>
                <w:szCs w:val="18"/>
                <w:lang w:val="en-US"/>
              </w:rPr>
              <w:t xml:space="preserve">See: </w:t>
            </w:r>
            <w:hyperlink r:id="rId22" w:history="1">
              <w:r w:rsidRPr="00867BB6">
                <w:rPr>
                  <w:rStyle w:val="Hyperlink"/>
                  <w:sz w:val="18"/>
                  <w:szCs w:val="18"/>
                  <w:lang w:val="en-US"/>
                </w:rPr>
                <w:t>https://demerarawaves.com/2016/11/01/sargassum-seaweed-partly-responsible-for-guyanas-reduced-fish-production/</w:t>
              </w:r>
            </w:hyperlink>
          </w:p>
          <w:p w14:paraId="687F3F01" w14:textId="439FE621" w:rsidR="00C36892" w:rsidRPr="00867BB6" w:rsidRDefault="00C36892" w:rsidP="00E33F94">
            <w:pPr>
              <w:pStyle w:val="NoSpacing"/>
              <w:rPr>
                <w:sz w:val="18"/>
                <w:szCs w:val="18"/>
              </w:rPr>
            </w:pPr>
            <w:r w:rsidRPr="00867BB6">
              <w:rPr>
                <w:sz w:val="18"/>
                <w:szCs w:val="18"/>
                <w:vertAlign w:val="superscript"/>
                <w:lang w:val="en-US"/>
              </w:rPr>
              <w:t xml:space="preserve">2 </w:t>
            </w:r>
            <w:r w:rsidRPr="00867BB6">
              <w:rPr>
                <w:sz w:val="18"/>
                <w:szCs w:val="18"/>
              </w:rPr>
              <w:t xml:space="preserve">See </w:t>
            </w:r>
            <w:hyperlink r:id="rId23" w:history="1">
              <w:r w:rsidRPr="00867BB6">
                <w:rPr>
                  <w:rStyle w:val="Hyperlink"/>
                  <w:sz w:val="18"/>
                  <w:szCs w:val="18"/>
                </w:rPr>
                <w:t>http://www.sargassoseacommission.org/storage/FINAL_MODEL_PROTOCOL_FOR_THE_MANAGEMENT_OF_EXTREME_ACCUMULATIONS_OF_SARGASSUM.pdf</w:t>
              </w:r>
            </w:hyperlink>
          </w:p>
          <w:p w14:paraId="41467817" w14:textId="2A0E7B11" w:rsidR="00C36892" w:rsidRPr="00867BB6" w:rsidRDefault="00C36892" w:rsidP="00E33F94">
            <w:pPr>
              <w:pStyle w:val="NoSpacing"/>
              <w:rPr>
                <w:sz w:val="21"/>
                <w:szCs w:val="21"/>
                <w:vertAlign w:val="superscript"/>
                <w:lang w:val="en-US" w:eastAsia="en-AU"/>
              </w:rPr>
            </w:pPr>
            <w:r w:rsidRPr="00867BB6">
              <w:rPr>
                <w:sz w:val="18"/>
                <w:szCs w:val="18"/>
                <w:vertAlign w:val="superscript"/>
                <w:lang w:val="en-US" w:eastAsia="en-AU"/>
              </w:rPr>
              <w:t xml:space="preserve">3 </w:t>
            </w:r>
            <w:r w:rsidRPr="00867BB6">
              <w:rPr>
                <w:sz w:val="18"/>
                <w:szCs w:val="18"/>
              </w:rPr>
              <w:t>Lead author informed through personal communication.</w:t>
            </w:r>
          </w:p>
        </w:tc>
      </w:tr>
    </w:tbl>
    <w:p w14:paraId="28F7F210" w14:textId="77777777" w:rsidR="00B02634" w:rsidRPr="00867BB6" w:rsidRDefault="00B02634" w:rsidP="00B02634">
      <w:pPr>
        <w:rPr>
          <w:lang w:val="en-US"/>
        </w:rPr>
      </w:pPr>
    </w:p>
    <w:p w14:paraId="4EFF4834" w14:textId="48734C2B" w:rsidR="002D339C" w:rsidRPr="00867BB6" w:rsidRDefault="002D339C" w:rsidP="000A02A3">
      <w:pPr>
        <w:spacing w:after="160" w:line="259" w:lineRule="auto"/>
        <w:rPr>
          <w:lang w:val="en-US"/>
        </w:rPr>
      </w:pPr>
    </w:p>
    <w:p w14:paraId="04CE4111" w14:textId="77777777" w:rsidR="000A02A3" w:rsidRPr="00867BB6" w:rsidRDefault="000A02A3">
      <w:pPr>
        <w:spacing w:line="240" w:lineRule="auto"/>
        <w:rPr>
          <w:lang w:val="en-US"/>
        </w:rPr>
      </w:pPr>
      <w:r w:rsidRPr="00867BB6">
        <w:rPr>
          <w:lang w:val="en-US"/>
        </w:rPr>
        <w:br w:type="page"/>
      </w:r>
    </w:p>
    <w:p w14:paraId="6D63A477" w14:textId="177A7CC9" w:rsidR="00CA3E35" w:rsidRPr="00867BB6" w:rsidRDefault="004E56A8" w:rsidP="003561FF">
      <w:pPr>
        <w:pStyle w:val="Tabletitle"/>
      </w:pPr>
      <w:r w:rsidRPr="00867BB6">
        <w:lastRenderedPageBreak/>
        <w:t xml:space="preserve">Table 1. </w:t>
      </w:r>
      <w:r w:rsidR="00CA3E35" w:rsidRPr="00867BB6">
        <w:t>Categories for analysis of sargassum policy documents</w:t>
      </w:r>
    </w:p>
    <w:p w14:paraId="7EFA8F98" w14:textId="77777777" w:rsidR="00CA3E35" w:rsidRPr="00867BB6" w:rsidRDefault="00CA3E35" w:rsidP="00CA3E35">
      <w:pPr>
        <w:rPr>
          <w:lang w:val="en-US"/>
        </w:rPr>
      </w:pPr>
    </w:p>
    <w:tbl>
      <w:tblPr>
        <w:tblStyle w:val="TableGrid"/>
        <w:tblW w:w="0" w:type="auto"/>
        <w:tblLook w:val="04A0" w:firstRow="1" w:lastRow="0" w:firstColumn="1" w:lastColumn="0" w:noHBand="0" w:noVBand="1"/>
      </w:tblPr>
      <w:tblGrid>
        <w:gridCol w:w="2178"/>
        <w:gridCol w:w="2179"/>
        <w:gridCol w:w="4132"/>
      </w:tblGrid>
      <w:tr w:rsidR="007841CE" w:rsidRPr="00867BB6" w14:paraId="1C7194FD" w14:textId="77777777" w:rsidTr="00573033">
        <w:tc>
          <w:tcPr>
            <w:tcW w:w="2247" w:type="dxa"/>
          </w:tcPr>
          <w:p w14:paraId="4835C0D6" w14:textId="77777777" w:rsidR="007841CE" w:rsidRPr="00867BB6" w:rsidRDefault="007841CE" w:rsidP="00573033">
            <w:pPr>
              <w:pStyle w:val="NoSpacing"/>
              <w:rPr>
                <w:rFonts w:ascii="Times New Roman" w:hAnsi="Times New Roman" w:cs="Times New Roman"/>
                <w:b/>
                <w:bCs/>
                <w:sz w:val="20"/>
                <w:szCs w:val="20"/>
                <w:lang w:val="en-US"/>
              </w:rPr>
            </w:pPr>
            <w:r w:rsidRPr="00867BB6">
              <w:rPr>
                <w:rFonts w:ascii="Times New Roman" w:hAnsi="Times New Roman" w:cs="Times New Roman"/>
                <w:b/>
                <w:bCs/>
                <w:sz w:val="20"/>
                <w:szCs w:val="20"/>
                <w:lang w:val="en-US"/>
              </w:rPr>
              <w:t>Feature of functional polycentricity</w:t>
            </w:r>
          </w:p>
        </w:tc>
        <w:tc>
          <w:tcPr>
            <w:tcW w:w="2258" w:type="dxa"/>
          </w:tcPr>
          <w:p w14:paraId="5133AC2E" w14:textId="77777777" w:rsidR="007841CE" w:rsidRPr="00867BB6" w:rsidRDefault="007841CE" w:rsidP="00573033">
            <w:pPr>
              <w:pStyle w:val="NoSpacing"/>
              <w:rPr>
                <w:rFonts w:ascii="Times New Roman" w:hAnsi="Times New Roman" w:cs="Times New Roman"/>
                <w:b/>
                <w:bCs/>
                <w:sz w:val="20"/>
                <w:szCs w:val="20"/>
                <w:lang w:val="en-US"/>
              </w:rPr>
            </w:pPr>
            <w:r w:rsidRPr="00867BB6">
              <w:rPr>
                <w:rFonts w:ascii="Times New Roman" w:hAnsi="Times New Roman" w:cs="Times New Roman"/>
                <w:b/>
                <w:bCs/>
                <w:sz w:val="20"/>
                <w:szCs w:val="20"/>
                <w:lang w:val="en-US"/>
              </w:rPr>
              <w:t>Category in document analysis</w:t>
            </w:r>
          </w:p>
        </w:tc>
        <w:tc>
          <w:tcPr>
            <w:tcW w:w="4511" w:type="dxa"/>
          </w:tcPr>
          <w:p w14:paraId="466143C4" w14:textId="77777777" w:rsidR="007841CE" w:rsidRPr="00867BB6" w:rsidRDefault="007841CE" w:rsidP="00573033">
            <w:pPr>
              <w:pStyle w:val="NoSpacing"/>
              <w:rPr>
                <w:rFonts w:ascii="Times New Roman" w:hAnsi="Times New Roman" w:cs="Times New Roman"/>
                <w:b/>
                <w:bCs/>
                <w:sz w:val="20"/>
                <w:szCs w:val="20"/>
                <w:lang w:val="en-US"/>
              </w:rPr>
            </w:pPr>
            <w:r w:rsidRPr="00867BB6">
              <w:rPr>
                <w:rFonts w:ascii="Times New Roman" w:hAnsi="Times New Roman" w:cs="Times New Roman"/>
                <w:b/>
                <w:bCs/>
                <w:sz w:val="20"/>
                <w:szCs w:val="20"/>
                <w:lang w:val="en-US"/>
              </w:rPr>
              <w:t>Specific attribute analyzed</w:t>
            </w:r>
          </w:p>
        </w:tc>
      </w:tr>
      <w:tr w:rsidR="007841CE" w:rsidRPr="00867BB6" w14:paraId="53C8C1DE" w14:textId="77777777" w:rsidTr="00573033">
        <w:tc>
          <w:tcPr>
            <w:tcW w:w="2247" w:type="dxa"/>
          </w:tcPr>
          <w:p w14:paraId="4C6D7F22"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b/>
                <w:bCs/>
                <w:sz w:val="20"/>
                <w:szCs w:val="20"/>
                <w:lang w:val="en-US"/>
              </w:rPr>
              <w:t>Self-organization</w:t>
            </w:r>
            <w:r w:rsidRPr="00867BB6">
              <w:rPr>
                <w:rFonts w:ascii="Times New Roman" w:hAnsi="Times New Roman" w:cs="Times New Roman"/>
                <w:sz w:val="20"/>
                <w:szCs w:val="20"/>
                <w:lang w:val="en-US"/>
              </w:rPr>
              <w:t>, specifically opportunities for regional organization</w:t>
            </w:r>
          </w:p>
        </w:tc>
        <w:tc>
          <w:tcPr>
            <w:tcW w:w="2258" w:type="dxa"/>
          </w:tcPr>
          <w:p w14:paraId="1FB3114C"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Country/territory characteristics</w:t>
            </w:r>
          </w:p>
        </w:tc>
        <w:tc>
          <w:tcPr>
            <w:tcW w:w="4511" w:type="dxa"/>
          </w:tcPr>
          <w:p w14:paraId="33AB5133"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Official language</w:t>
            </w:r>
          </w:p>
          <w:p w14:paraId="4E56DB08"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Overseas Development Assistance recipient</w:t>
            </w:r>
          </w:p>
          <w:p w14:paraId="751DA303"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Population</w:t>
            </w:r>
          </w:p>
          <w:p w14:paraId="0D039384"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Sovereign status</w:t>
            </w:r>
          </w:p>
          <w:p w14:paraId="5D3EF84E"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Membership of regional organizations</w:t>
            </w:r>
          </w:p>
        </w:tc>
      </w:tr>
      <w:tr w:rsidR="007841CE" w:rsidRPr="00867BB6" w14:paraId="5264EC5A" w14:textId="77777777" w:rsidTr="00573033">
        <w:tc>
          <w:tcPr>
            <w:tcW w:w="2247" w:type="dxa"/>
          </w:tcPr>
          <w:p w14:paraId="57C25350"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b/>
                <w:bCs/>
                <w:sz w:val="20"/>
                <w:szCs w:val="20"/>
                <w:lang w:val="en-US"/>
              </w:rPr>
              <w:t>Experimentation and learning</w:t>
            </w:r>
            <w:r w:rsidRPr="00867BB6">
              <w:rPr>
                <w:rFonts w:ascii="Times New Roman" w:hAnsi="Times New Roman" w:cs="Times New Roman"/>
                <w:sz w:val="20"/>
                <w:szCs w:val="20"/>
                <w:lang w:val="en-US"/>
              </w:rPr>
              <w:t>, specifically learning</w:t>
            </w:r>
          </w:p>
        </w:tc>
        <w:tc>
          <w:tcPr>
            <w:tcW w:w="2258" w:type="dxa"/>
          </w:tcPr>
          <w:p w14:paraId="550312F5"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Characteristics of sargassum experience</w:t>
            </w:r>
          </w:p>
        </w:tc>
        <w:tc>
          <w:tcPr>
            <w:tcW w:w="4511" w:type="dxa"/>
          </w:tcPr>
          <w:p w14:paraId="71FB143F"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Years of sargassum influx impact</w:t>
            </w:r>
          </w:p>
          <w:p w14:paraId="4844AD85"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Severity of sargassum influx impact</w:t>
            </w:r>
          </w:p>
          <w:p w14:paraId="0DC1B23E"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Location of sargassum influx threat</w:t>
            </w:r>
          </w:p>
          <w:p w14:paraId="5ADFAFB7"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Causes of sargassum influx threat</w:t>
            </w:r>
          </w:p>
        </w:tc>
      </w:tr>
      <w:tr w:rsidR="007841CE" w:rsidRPr="00867BB6" w14:paraId="0672685C" w14:textId="77777777" w:rsidTr="00573033">
        <w:tc>
          <w:tcPr>
            <w:tcW w:w="2247" w:type="dxa"/>
          </w:tcPr>
          <w:p w14:paraId="04CC0F9E"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b/>
                <w:bCs/>
                <w:sz w:val="20"/>
                <w:szCs w:val="20"/>
                <w:lang w:val="en-US"/>
              </w:rPr>
              <w:t>Trust</w:t>
            </w:r>
            <w:r w:rsidRPr="00867BB6">
              <w:rPr>
                <w:rFonts w:ascii="Times New Roman" w:hAnsi="Times New Roman" w:cs="Times New Roman"/>
                <w:sz w:val="20"/>
                <w:szCs w:val="20"/>
                <w:lang w:val="en-US"/>
              </w:rPr>
              <w:t>, specifically cooperation</w:t>
            </w:r>
          </w:p>
        </w:tc>
        <w:tc>
          <w:tcPr>
            <w:tcW w:w="2258" w:type="dxa"/>
          </w:tcPr>
          <w:p w14:paraId="237FC87D"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Characteristics of policy</w:t>
            </w:r>
          </w:p>
        </w:tc>
        <w:tc>
          <w:tcPr>
            <w:tcW w:w="4511" w:type="dxa"/>
          </w:tcPr>
          <w:p w14:paraId="783B1DB4"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Policy specifically on sargassum influxes</w:t>
            </w:r>
          </w:p>
          <w:p w14:paraId="0EEF685F"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Listed relevant stakeholders</w:t>
            </w:r>
          </w:p>
          <w:p w14:paraId="1183C03C"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Use of pre-existing sargassum policy template</w:t>
            </w:r>
          </w:p>
        </w:tc>
      </w:tr>
      <w:tr w:rsidR="007841CE" w:rsidRPr="00867BB6" w14:paraId="3DCF9E46" w14:textId="77777777" w:rsidTr="00573033">
        <w:tc>
          <w:tcPr>
            <w:tcW w:w="2247" w:type="dxa"/>
          </w:tcPr>
          <w:p w14:paraId="6E1A4B7D"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b/>
                <w:bCs/>
                <w:sz w:val="20"/>
                <w:szCs w:val="20"/>
                <w:lang w:val="en-US"/>
              </w:rPr>
              <w:t>Site-specific conditions</w:t>
            </w:r>
            <w:r w:rsidRPr="00867BB6">
              <w:rPr>
                <w:rFonts w:ascii="Times New Roman" w:hAnsi="Times New Roman" w:cs="Times New Roman"/>
                <w:sz w:val="20"/>
                <w:szCs w:val="20"/>
                <w:lang w:val="en-US"/>
              </w:rPr>
              <w:t>, specifically preferences of sargassum management</w:t>
            </w:r>
          </w:p>
        </w:tc>
        <w:tc>
          <w:tcPr>
            <w:tcW w:w="2258" w:type="dxa"/>
          </w:tcPr>
          <w:p w14:paraId="01CEF1DA"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Framing of sargassum</w:t>
            </w:r>
          </w:p>
        </w:tc>
        <w:tc>
          <w:tcPr>
            <w:tcW w:w="4511" w:type="dxa"/>
          </w:tcPr>
          <w:p w14:paraId="7B20D9FC"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Framing of the threat of sargassum influxes</w:t>
            </w:r>
          </w:p>
          <w:p w14:paraId="365795AE"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Framing of the opportunity of sargassum influxes</w:t>
            </w:r>
          </w:p>
          <w:p w14:paraId="59160BCD" w14:textId="77777777" w:rsidR="007841CE" w:rsidRPr="00867BB6" w:rsidRDefault="007841CE" w:rsidP="00573033">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Framing of the adaptation to sargassum influxes</w:t>
            </w:r>
          </w:p>
        </w:tc>
      </w:tr>
    </w:tbl>
    <w:p w14:paraId="382B3DF8" w14:textId="6DF518B3" w:rsidR="002071A5" w:rsidRPr="00867BB6" w:rsidRDefault="002071A5">
      <w:pPr>
        <w:spacing w:line="240" w:lineRule="auto"/>
        <w:rPr>
          <w:lang w:val="en-US"/>
        </w:rPr>
      </w:pPr>
      <w:r w:rsidRPr="00867BB6">
        <w:rPr>
          <w:lang w:val="en-US"/>
        </w:rPr>
        <w:br w:type="page"/>
      </w:r>
    </w:p>
    <w:p w14:paraId="6EC18169" w14:textId="1A82CC9A" w:rsidR="002071A5" w:rsidRPr="00867BB6" w:rsidRDefault="002071A5" w:rsidP="003561FF">
      <w:pPr>
        <w:pStyle w:val="Tabletitle"/>
        <w:rPr>
          <w:lang w:val="en-US"/>
        </w:rPr>
      </w:pPr>
      <w:r w:rsidRPr="00867BB6">
        <w:rPr>
          <w:lang w:val="en-US"/>
        </w:rPr>
        <w:lastRenderedPageBreak/>
        <w:t>Table 2.</w:t>
      </w:r>
      <w:r w:rsidR="003561FF" w:rsidRPr="00867BB6">
        <w:t xml:space="preserve"> </w:t>
      </w:r>
      <w:r w:rsidR="003561FF" w:rsidRPr="00867BB6">
        <w:rPr>
          <w:lang w:val="en-US"/>
        </w:rPr>
        <w:t>Regional action on sargassum influxes since 2011</w:t>
      </w:r>
    </w:p>
    <w:tbl>
      <w:tblPr>
        <w:tblStyle w:val="TableGrid"/>
        <w:tblW w:w="5000" w:type="pct"/>
        <w:tblLook w:val="04A0" w:firstRow="1" w:lastRow="0" w:firstColumn="1" w:lastColumn="0" w:noHBand="0" w:noVBand="1"/>
      </w:tblPr>
      <w:tblGrid>
        <w:gridCol w:w="1851"/>
        <w:gridCol w:w="873"/>
        <w:gridCol w:w="1745"/>
        <w:gridCol w:w="4020"/>
      </w:tblGrid>
      <w:tr w:rsidR="005C3E95" w:rsidRPr="00867BB6" w14:paraId="1461AFB0" w14:textId="77777777" w:rsidTr="000D1615">
        <w:tc>
          <w:tcPr>
            <w:tcW w:w="1090" w:type="pct"/>
            <w:vAlign w:val="center"/>
          </w:tcPr>
          <w:p w14:paraId="4BCC64BE" w14:textId="77777777" w:rsidR="005C3E95" w:rsidRPr="00867BB6" w:rsidRDefault="005C3E95" w:rsidP="00E33F94">
            <w:pPr>
              <w:pStyle w:val="NoSpacing"/>
              <w:rPr>
                <w:rFonts w:ascii="Times New Roman" w:hAnsi="Times New Roman" w:cs="Times New Roman"/>
                <w:b/>
                <w:bCs/>
                <w:sz w:val="20"/>
                <w:szCs w:val="20"/>
                <w:lang w:val="en-US"/>
              </w:rPr>
            </w:pPr>
            <w:r w:rsidRPr="00867BB6">
              <w:rPr>
                <w:rFonts w:ascii="Times New Roman" w:hAnsi="Times New Roman" w:cs="Times New Roman"/>
                <w:b/>
                <w:bCs/>
                <w:sz w:val="20"/>
                <w:szCs w:val="20"/>
                <w:lang w:val="en-US"/>
              </w:rPr>
              <w:t>Organization</w:t>
            </w:r>
          </w:p>
        </w:tc>
        <w:tc>
          <w:tcPr>
            <w:tcW w:w="514" w:type="pct"/>
            <w:vAlign w:val="center"/>
          </w:tcPr>
          <w:p w14:paraId="7B41B64B" w14:textId="77777777" w:rsidR="005C3E95" w:rsidRPr="00867BB6" w:rsidRDefault="005C3E95" w:rsidP="00E33F94">
            <w:pPr>
              <w:pStyle w:val="NoSpacing"/>
              <w:rPr>
                <w:rFonts w:ascii="Times New Roman" w:hAnsi="Times New Roman" w:cs="Times New Roman"/>
                <w:b/>
                <w:bCs/>
                <w:sz w:val="20"/>
                <w:szCs w:val="20"/>
                <w:lang w:val="en-US"/>
              </w:rPr>
            </w:pPr>
            <w:r w:rsidRPr="00867BB6">
              <w:rPr>
                <w:rFonts w:ascii="Times New Roman" w:hAnsi="Times New Roman" w:cs="Times New Roman"/>
                <w:b/>
                <w:bCs/>
                <w:sz w:val="20"/>
                <w:szCs w:val="20"/>
                <w:lang w:val="en-US"/>
              </w:rPr>
              <w:t>Year</w:t>
            </w:r>
          </w:p>
        </w:tc>
        <w:tc>
          <w:tcPr>
            <w:tcW w:w="1028" w:type="pct"/>
            <w:vAlign w:val="center"/>
          </w:tcPr>
          <w:p w14:paraId="22FB6351" w14:textId="77777777" w:rsidR="005C3E95" w:rsidRPr="00867BB6" w:rsidRDefault="005C3E95" w:rsidP="00E33F94">
            <w:pPr>
              <w:pStyle w:val="NoSpacing"/>
              <w:rPr>
                <w:rFonts w:ascii="Times New Roman" w:hAnsi="Times New Roman" w:cs="Times New Roman"/>
                <w:b/>
                <w:bCs/>
                <w:sz w:val="20"/>
                <w:szCs w:val="20"/>
                <w:lang w:val="en-US"/>
              </w:rPr>
            </w:pPr>
            <w:r w:rsidRPr="00867BB6">
              <w:rPr>
                <w:rFonts w:ascii="Times New Roman" w:hAnsi="Times New Roman" w:cs="Times New Roman"/>
                <w:b/>
                <w:bCs/>
                <w:sz w:val="20"/>
                <w:szCs w:val="20"/>
                <w:lang w:val="en-US"/>
              </w:rPr>
              <w:t xml:space="preserve">Action </w:t>
            </w:r>
          </w:p>
        </w:tc>
        <w:tc>
          <w:tcPr>
            <w:tcW w:w="2368" w:type="pct"/>
            <w:vAlign w:val="center"/>
          </w:tcPr>
          <w:p w14:paraId="211DEEDF" w14:textId="77777777" w:rsidR="005C3E95" w:rsidRPr="00867BB6" w:rsidRDefault="005C3E95" w:rsidP="00E33F94">
            <w:pPr>
              <w:pStyle w:val="NoSpacing"/>
              <w:rPr>
                <w:rFonts w:ascii="Times New Roman" w:hAnsi="Times New Roman" w:cs="Times New Roman"/>
                <w:b/>
                <w:bCs/>
                <w:sz w:val="20"/>
                <w:szCs w:val="20"/>
                <w:lang w:val="en-US"/>
              </w:rPr>
            </w:pPr>
            <w:r w:rsidRPr="00867BB6">
              <w:rPr>
                <w:rFonts w:ascii="Times New Roman" w:hAnsi="Times New Roman" w:cs="Times New Roman"/>
                <w:b/>
                <w:bCs/>
                <w:sz w:val="20"/>
                <w:szCs w:val="20"/>
                <w:lang w:val="en-US"/>
              </w:rPr>
              <w:t>Details</w:t>
            </w:r>
          </w:p>
        </w:tc>
      </w:tr>
      <w:tr w:rsidR="005C3E95" w:rsidRPr="00867BB6" w14:paraId="3B279010" w14:textId="77777777" w:rsidTr="000D1615">
        <w:tc>
          <w:tcPr>
            <w:tcW w:w="1090" w:type="pct"/>
            <w:vAlign w:val="center"/>
          </w:tcPr>
          <w:p w14:paraId="029DC224"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Texas A&amp;M Galveston (TAMUG)</w:t>
            </w:r>
          </w:p>
        </w:tc>
        <w:tc>
          <w:tcPr>
            <w:tcW w:w="514" w:type="pct"/>
            <w:vAlign w:val="center"/>
          </w:tcPr>
          <w:p w14:paraId="792D9253"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2013-ongoing</w:t>
            </w:r>
          </w:p>
        </w:tc>
        <w:tc>
          <w:tcPr>
            <w:tcW w:w="1028" w:type="pct"/>
            <w:vAlign w:val="center"/>
          </w:tcPr>
          <w:p w14:paraId="645383A5"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Prediction and detection system</w:t>
            </w:r>
          </w:p>
        </w:tc>
        <w:tc>
          <w:tcPr>
            <w:tcW w:w="2368" w:type="pct"/>
            <w:vAlign w:val="center"/>
          </w:tcPr>
          <w:p w14:paraId="72EE4DB2"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Sargassum Early Advisory System (SEAS)</w:t>
            </w:r>
          </w:p>
        </w:tc>
      </w:tr>
      <w:tr w:rsidR="005C3E95" w:rsidRPr="00867BB6" w14:paraId="6A125188" w14:textId="77777777" w:rsidTr="000D1615">
        <w:tc>
          <w:tcPr>
            <w:tcW w:w="1090" w:type="pct"/>
            <w:vAlign w:val="center"/>
          </w:tcPr>
          <w:p w14:paraId="77CE8CF3"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Caribbean Hotel and Tourism Association (CHTA)</w:t>
            </w:r>
          </w:p>
        </w:tc>
        <w:tc>
          <w:tcPr>
            <w:tcW w:w="514" w:type="pct"/>
            <w:vAlign w:val="center"/>
          </w:tcPr>
          <w:p w14:paraId="4A024FFF"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2015</w:t>
            </w:r>
          </w:p>
        </w:tc>
        <w:tc>
          <w:tcPr>
            <w:tcW w:w="1028" w:type="pct"/>
            <w:vAlign w:val="center"/>
          </w:tcPr>
          <w:p w14:paraId="55C3BE14" w14:textId="77777777" w:rsidR="005C3E95" w:rsidRPr="00867BB6" w:rsidDel="00A27B4C"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Webinar</w:t>
            </w:r>
          </w:p>
        </w:tc>
        <w:tc>
          <w:tcPr>
            <w:tcW w:w="2368" w:type="pct"/>
            <w:vAlign w:val="center"/>
          </w:tcPr>
          <w:p w14:paraId="515FFA4E"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“Sargassum and the effects of climate change”</w:t>
            </w:r>
          </w:p>
        </w:tc>
      </w:tr>
      <w:tr w:rsidR="005C3E95" w:rsidRPr="00867BB6" w14:paraId="76E939F3" w14:textId="77777777" w:rsidTr="000D1615">
        <w:tc>
          <w:tcPr>
            <w:tcW w:w="1090" w:type="pct"/>
            <w:vAlign w:val="center"/>
          </w:tcPr>
          <w:p w14:paraId="5BCECE62"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Caribbean Sea Commission (CSC)</w:t>
            </w:r>
          </w:p>
        </w:tc>
        <w:tc>
          <w:tcPr>
            <w:tcW w:w="514" w:type="pct"/>
            <w:vAlign w:val="center"/>
          </w:tcPr>
          <w:p w14:paraId="27D068BC"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2015</w:t>
            </w:r>
          </w:p>
        </w:tc>
        <w:tc>
          <w:tcPr>
            <w:tcW w:w="1028" w:type="pct"/>
            <w:vAlign w:val="center"/>
          </w:tcPr>
          <w:p w14:paraId="014EB3B1"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Symposium / report</w:t>
            </w:r>
          </w:p>
        </w:tc>
        <w:tc>
          <w:tcPr>
            <w:tcW w:w="2368" w:type="pct"/>
            <w:vAlign w:val="center"/>
          </w:tcPr>
          <w:p w14:paraId="4350340A" w14:textId="4DECFEC6" w:rsidR="005C3E95" w:rsidRPr="00867BB6" w:rsidDel="00A27B4C"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Identified sargassum</w:t>
            </w:r>
            <w:r w:rsidRPr="00867BB6">
              <w:rPr>
                <w:rFonts w:ascii="Times New Roman" w:hAnsi="Times New Roman" w:cs="Times New Roman"/>
                <w:i/>
                <w:iCs/>
                <w:sz w:val="20"/>
                <w:szCs w:val="20"/>
                <w:lang w:val="en-US"/>
              </w:rPr>
              <w:t xml:space="preserve"> </w:t>
            </w:r>
            <w:r w:rsidRPr="00867BB6">
              <w:rPr>
                <w:rFonts w:ascii="Times New Roman" w:hAnsi="Times New Roman" w:cs="Times New Roman"/>
                <w:sz w:val="20"/>
                <w:szCs w:val="20"/>
                <w:lang w:val="en-US"/>
              </w:rPr>
              <w:t>as a threat for which management capacity, monitoring, commercial use, and best practices should be developed (</w:t>
            </w:r>
            <w:r w:rsidR="00545DD4" w:rsidRPr="00867BB6">
              <w:rPr>
                <w:rFonts w:ascii="Times New Roman" w:hAnsi="Times New Roman" w:cs="Times New Roman"/>
                <w:sz w:val="20"/>
                <w:szCs w:val="20"/>
                <w:lang w:val="en-US"/>
              </w:rPr>
              <w:t>CSC</w:t>
            </w:r>
            <w:r w:rsidR="000C02E2" w:rsidRPr="00867BB6">
              <w:rPr>
                <w:rFonts w:ascii="Times New Roman" w:hAnsi="Times New Roman" w:cs="Times New Roman"/>
                <w:sz w:val="20"/>
                <w:szCs w:val="20"/>
                <w:lang w:val="en-US"/>
              </w:rPr>
              <w:t xml:space="preserve"> </w:t>
            </w:r>
            <w:r w:rsidRPr="00867BB6">
              <w:rPr>
                <w:rFonts w:ascii="Times New Roman" w:hAnsi="Times New Roman" w:cs="Times New Roman"/>
                <w:sz w:val="20"/>
                <w:szCs w:val="20"/>
                <w:lang w:val="en-US"/>
              </w:rPr>
              <w:t>2015)</w:t>
            </w:r>
          </w:p>
        </w:tc>
      </w:tr>
      <w:tr w:rsidR="005C3E95" w:rsidRPr="00867BB6" w14:paraId="574D92C4" w14:textId="77777777" w:rsidTr="000D1615">
        <w:tc>
          <w:tcPr>
            <w:tcW w:w="1090" w:type="pct"/>
            <w:vAlign w:val="center"/>
          </w:tcPr>
          <w:p w14:paraId="6C610E2B"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Caribbean Hotel and Tourism Association (CHTA)</w:t>
            </w:r>
          </w:p>
        </w:tc>
        <w:tc>
          <w:tcPr>
            <w:tcW w:w="514" w:type="pct"/>
            <w:vAlign w:val="center"/>
          </w:tcPr>
          <w:p w14:paraId="6269813A"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2015</w:t>
            </w:r>
          </w:p>
        </w:tc>
        <w:tc>
          <w:tcPr>
            <w:tcW w:w="1028" w:type="pct"/>
            <w:vAlign w:val="center"/>
          </w:tcPr>
          <w:p w14:paraId="048F86C9" w14:textId="77777777" w:rsidR="005C3E95" w:rsidRPr="00867BB6" w:rsidDel="00A27B4C"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Management brief</w:t>
            </w:r>
          </w:p>
        </w:tc>
        <w:tc>
          <w:tcPr>
            <w:tcW w:w="2368" w:type="pct"/>
            <w:vAlign w:val="center"/>
          </w:tcPr>
          <w:p w14:paraId="1132720A" w14:textId="1F61072B"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Guide detailing sargassum impacts on tourism, and proposed mitigation and management options (CHTA 2015)</w:t>
            </w:r>
          </w:p>
        </w:tc>
      </w:tr>
      <w:tr w:rsidR="005C3E95" w:rsidRPr="00867BB6" w14:paraId="0D7EF258" w14:textId="77777777" w:rsidTr="000D1615">
        <w:tc>
          <w:tcPr>
            <w:tcW w:w="1090" w:type="pct"/>
            <w:vAlign w:val="center"/>
          </w:tcPr>
          <w:p w14:paraId="56045EB1"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 xml:space="preserve">GCFI </w:t>
            </w:r>
          </w:p>
        </w:tc>
        <w:tc>
          <w:tcPr>
            <w:tcW w:w="514" w:type="pct"/>
            <w:vAlign w:val="center"/>
          </w:tcPr>
          <w:p w14:paraId="00B17EF3"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2015</w:t>
            </w:r>
          </w:p>
        </w:tc>
        <w:tc>
          <w:tcPr>
            <w:tcW w:w="1028" w:type="pct"/>
            <w:vAlign w:val="center"/>
          </w:tcPr>
          <w:p w14:paraId="345FF12B"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 xml:space="preserve">Fact sheet </w:t>
            </w:r>
          </w:p>
        </w:tc>
        <w:tc>
          <w:tcPr>
            <w:tcW w:w="2368" w:type="pct"/>
            <w:vAlign w:val="center"/>
          </w:tcPr>
          <w:p w14:paraId="5FB3BDA3"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On influxes (Doyle and Franks 2015)</w:t>
            </w:r>
          </w:p>
        </w:tc>
      </w:tr>
      <w:tr w:rsidR="005C3E95" w:rsidRPr="00867BB6" w14:paraId="688D06ED" w14:textId="77777777" w:rsidTr="000D1615">
        <w:tc>
          <w:tcPr>
            <w:tcW w:w="1090" w:type="pct"/>
            <w:vAlign w:val="center"/>
          </w:tcPr>
          <w:p w14:paraId="5A23C6C6"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UWI-CERMES</w:t>
            </w:r>
          </w:p>
        </w:tc>
        <w:tc>
          <w:tcPr>
            <w:tcW w:w="514" w:type="pct"/>
            <w:vAlign w:val="center"/>
          </w:tcPr>
          <w:p w14:paraId="298D8B99"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2015</w:t>
            </w:r>
          </w:p>
        </w:tc>
        <w:tc>
          <w:tcPr>
            <w:tcW w:w="1028" w:type="pct"/>
            <w:vAlign w:val="center"/>
          </w:tcPr>
          <w:p w14:paraId="3631351D"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Symposium</w:t>
            </w:r>
          </w:p>
        </w:tc>
        <w:tc>
          <w:tcPr>
            <w:tcW w:w="2368" w:type="pct"/>
            <w:vAlign w:val="center"/>
          </w:tcPr>
          <w:p w14:paraId="18CF6CC9"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First Sargassum Caribbean Symposium</w:t>
            </w:r>
          </w:p>
        </w:tc>
      </w:tr>
      <w:tr w:rsidR="005C3E95" w:rsidRPr="00867BB6" w14:paraId="47913F07" w14:textId="77777777" w:rsidTr="000D1615">
        <w:tc>
          <w:tcPr>
            <w:tcW w:w="1090" w:type="pct"/>
            <w:vAlign w:val="center"/>
          </w:tcPr>
          <w:p w14:paraId="054F9CE0"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SPAW-RAC</w:t>
            </w:r>
          </w:p>
        </w:tc>
        <w:tc>
          <w:tcPr>
            <w:tcW w:w="514" w:type="pct"/>
            <w:vAlign w:val="center"/>
          </w:tcPr>
          <w:p w14:paraId="5A41EAA1"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2015-ongoing</w:t>
            </w:r>
          </w:p>
        </w:tc>
        <w:tc>
          <w:tcPr>
            <w:tcW w:w="1028" w:type="pct"/>
            <w:vAlign w:val="center"/>
          </w:tcPr>
          <w:p w14:paraId="2DD3179A"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Online forum</w:t>
            </w:r>
          </w:p>
        </w:tc>
        <w:tc>
          <w:tcPr>
            <w:tcW w:w="2368" w:type="pct"/>
            <w:vAlign w:val="center"/>
          </w:tcPr>
          <w:p w14:paraId="163D451E"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Sargassum Online Forum, sharing best practice, and knowledge</w:t>
            </w:r>
          </w:p>
        </w:tc>
      </w:tr>
      <w:tr w:rsidR="005C3E95" w:rsidRPr="00867BB6" w14:paraId="106C6C0D" w14:textId="77777777" w:rsidTr="000D1615">
        <w:tc>
          <w:tcPr>
            <w:tcW w:w="1090" w:type="pct"/>
            <w:vAlign w:val="center"/>
          </w:tcPr>
          <w:p w14:paraId="2A2BD30D"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 xml:space="preserve">Caribbean Regional Fisheries Mechanism </w:t>
            </w:r>
          </w:p>
        </w:tc>
        <w:tc>
          <w:tcPr>
            <w:tcW w:w="514" w:type="pct"/>
            <w:vAlign w:val="center"/>
          </w:tcPr>
          <w:p w14:paraId="6E4C5596"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2016</w:t>
            </w:r>
          </w:p>
        </w:tc>
        <w:tc>
          <w:tcPr>
            <w:tcW w:w="1028" w:type="pct"/>
            <w:vAlign w:val="center"/>
          </w:tcPr>
          <w:p w14:paraId="017C60B8"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 xml:space="preserve">Model management protocol </w:t>
            </w:r>
          </w:p>
        </w:tc>
        <w:tc>
          <w:tcPr>
            <w:tcW w:w="2368" w:type="pct"/>
            <w:vAlign w:val="center"/>
          </w:tcPr>
          <w:p w14:paraId="1B9724D3"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Management of influxes on the coasts of member states (CRFM 2016)</w:t>
            </w:r>
          </w:p>
        </w:tc>
      </w:tr>
      <w:tr w:rsidR="005C3E95" w:rsidRPr="00867BB6" w14:paraId="4924864E" w14:textId="77777777" w:rsidTr="000D1615">
        <w:tc>
          <w:tcPr>
            <w:tcW w:w="1090" w:type="pct"/>
            <w:vAlign w:val="center"/>
          </w:tcPr>
          <w:p w14:paraId="2A79F2F2"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 xml:space="preserve">UWI-CERMES </w:t>
            </w:r>
          </w:p>
        </w:tc>
        <w:tc>
          <w:tcPr>
            <w:tcW w:w="514" w:type="pct"/>
            <w:vAlign w:val="center"/>
          </w:tcPr>
          <w:p w14:paraId="236A034C"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2016</w:t>
            </w:r>
          </w:p>
        </w:tc>
        <w:tc>
          <w:tcPr>
            <w:tcW w:w="1028" w:type="pct"/>
            <w:vAlign w:val="center"/>
          </w:tcPr>
          <w:p w14:paraId="350D407B" w14:textId="77777777" w:rsidR="005C3E95" w:rsidRPr="00867BB6" w:rsidRDefault="005C3E95" w:rsidP="00E33F94">
            <w:pPr>
              <w:pStyle w:val="NoSpacing"/>
              <w:rPr>
                <w:rFonts w:ascii="Times New Roman" w:hAnsi="Times New Roman" w:cs="Times New Roman"/>
                <w:i/>
                <w:iCs/>
                <w:sz w:val="20"/>
                <w:szCs w:val="20"/>
                <w:lang w:val="en-US"/>
              </w:rPr>
            </w:pPr>
            <w:r w:rsidRPr="00867BB6">
              <w:rPr>
                <w:rFonts w:ascii="Times New Roman" w:hAnsi="Times New Roman" w:cs="Times New Roman"/>
                <w:sz w:val="20"/>
                <w:szCs w:val="20"/>
                <w:lang w:val="en-US"/>
              </w:rPr>
              <w:t>Management brief</w:t>
            </w:r>
          </w:p>
        </w:tc>
        <w:tc>
          <w:tcPr>
            <w:tcW w:w="2368" w:type="pct"/>
            <w:vAlign w:val="center"/>
          </w:tcPr>
          <w:p w14:paraId="586F83EA"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Best practices for management of influxes (Hinds et al. 2016)</w:t>
            </w:r>
          </w:p>
        </w:tc>
      </w:tr>
      <w:tr w:rsidR="005C3E95" w:rsidRPr="00867BB6" w14:paraId="151C3F43" w14:textId="77777777" w:rsidTr="000D1615">
        <w:tc>
          <w:tcPr>
            <w:tcW w:w="1090" w:type="pct"/>
            <w:vAlign w:val="center"/>
          </w:tcPr>
          <w:p w14:paraId="19413BD9"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Government of the BVI, Virgin Group, and Virgin Unite, the Foreign and Commonwealth Office, the OECS, and the Caribbean Council</w:t>
            </w:r>
          </w:p>
        </w:tc>
        <w:tc>
          <w:tcPr>
            <w:tcW w:w="514" w:type="pct"/>
            <w:vAlign w:val="center"/>
          </w:tcPr>
          <w:p w14:paraId="76A1C1AE"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2016</w:t>
            </w:r>
          </w:p>
        </w:tc>
        <w:tc>
          <w:tcPr>
            <w:tcW w:w="1028" w:type="pct"/>
            <w:vAlign w:val="center"/>
          </w:tcPr>
          <w:p w14:paraId="369025D9"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Conference</w:t>
            </w:r>
          </w:p>
        </w:tc>
        <w:tc>
          <w:tcPr>
            <w:tcW w:w="2368" w:type="pct"/>
            <w:vAlign w:val="center"/>
          </w:tcPr>
          <w:p w14:paraId="5308D690"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Sargassum East Caribbean Conference</w:t>
            </w:r>
          </w:p>
        </w:tc>
      </w:tr>
      <w:tr w:rsidR="005C3E95" w:rsidRPr="00867BB6" w14:paraId="203C1E41" w14:textId="77777777" w:rsidTr="000D1615">
        <w:tc>
          <w:tcPr>
            <w:tcW w:w="1090" w:type="pct"/>
            <w:vAlign w:val="center"/>
          </w:tcPr>
          <w:p w14:paraId="77B3A4DC"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SPAW-RAC</w:t>
            </w:r>
          </w:p>
        </w:tc>
        <w:tc>
          <w:tcPr>
            <w:tcW w:w="514" w:type="pct"/>
            <w:vAlign w:val="center"/>
          </w:tcPr>
          <w:p w14:paraId="41C87C9D"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2016</w:t>
            </w:r>
          </w:p>
        </w:tc>
        <w:tc>
          <w:tcPr>
            <w:tcW w:w="1028" w:type="pct"/>
            <w:vAlign w:val="center"/>
          </w:tcPr>
          <w:p w14:paraId="43617411"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Technical session</w:t>
            </w:r>
          </w:p>
        </w:tc>
        <w:tc>
          <w:tcPr>
            <w:tcW w:w="2368" w:type="pct"/>
            <w:vAlign w:val="center"/>
          </w:tcPr>
          <w:p w14:paraId="0CAE92A3"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Technical session on sargassum held at the 69</w:t>
            </w:r>
            <w:r w:rsidRPr="00867BB6">
              <w:rPr>
                <w:rFonts w:ascii="Times New Roman" w:hAnsi="Times New Roman" w:cs="Times New Roman"/>
                <w:sz w:val="20"/>
                <w:szCs w:val="20"/>
                <w:vertAlign w:val="superscript"/>
                <w:lang w:val="en-US"/>
              </w:rPr>
              <w:t>th</w:t>
            </w:r>
            <w:r w:rsidRPr="00867BB6">
              <w:rPr>
                <w:rFonts w:ascii="Times New Roman" w:hAnsi="Times New Roman" w:cs="Times New Roman"/>
                <w:sz w:val="20"/>
                <w:szCs w:val="20"/>
                <w:lang w:val="en-US"/>
              </w:rPr>
              <w:t xml:space="preserve"> GCFI Annual Conference</w:t>
            </w:r>
          </w:p>
        </w:tc>
      </w:tr>
      <w:tr w:rsidR="005C3E95" w:rsidRPr="00867BB6" w14:paraId="67681466" w14:textId="77777777" w:rsidTr="000D1615">
        <w:tc>
          <w:tcPr>
            <w:tcW w:w="1090" w:type="pct"/>
            <w:vAlign w:val="center"/>
          </w:tcPr>
          <w:p w14:paraId="3D616F71"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UNEP and Sargasso Sea Commission</w:t>
            </w:r>
          </w:p>
        </w:tc>
        <w:tc>
          <w:tcPr>
            <w:tcW w:w="514" w:type="pct"/>
            <w:vAlign w:val="center"/>
          </w:tcPr>
          <w:p w14:paraId="5DFD14FF"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2017</w:t>
            </w:r>
          </w:p>
        </w:tc>
        <w:tc>
          <w:tcPr>
            <w:tcW w:w="1028" w:type="pct"/>
            <w:vAlign w:val="center"/>
          </w:tcPr>
          <w:p w14:paraId="511B5766"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Memorandum of Understanding</w:t>
            </w:r>
          </w:p>
        </w:tc>
        <w:tc>
          <w:tcPr>
            <w:tcW w:w="2368" w:type="pct"/>
            <w:vAlign w:val="center"/>
          </w:tcPr>
          <w:p w14:paraId="20F4B8F3"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Recognizing the importance of sargassum in ecosystems and need for exchange of information regarding influxes (UNEP and SSC 2017)</w:t>
            </w:r>
          </w:p>
        </w:tc>
      </w:tr>
      <w:tr w:rsidR="005C3E95" w:rsidRPr="00867BB6" w14:paraId="26A3196B" w14:textId="77777777" w:rsidTr="000D1615">
        <w:tc>
          <w:tcPr>
            <w:tcW w:w="1090" w:type="pct"/>
            <w:vAlign w:val="center"/>
          </w:tcPr>
          <w:p w14:paraId="1EE369E5"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University of South Florida</w:t>
            </w:r>
          </w:p>
        </w:tc>
        <w:tc>
          <w:tcPr>
            <w:tcW w:w="514" w:type="pct"/>
            <w:vAlign w:val="center"/>
          </w:tcPr>
          <w:p w14:paraId="15622BB1"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2018-ongoing</w:t>
            </w:r>
          </w:p>
        </w:tc>
        <w:tc>
          <w:tcPr>
            <w:tcW w:w="1028" w:type="pct"/>
            <w:vAlign w:val="center"/>
          </w:tcPr>
          <w:p w14:paraId="7232F34C" w14:textId="31F315F0" w:rsidR="004452A4"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Prediction and detection system</w:t>
            </w:r>
            <w:r w:rsidR="007A290A" w:rsidRPr="00867BB6">
              <w:rPr>
                <w:rFonts w:ascii="Times New Roman" w:hAnsi="Times New Roman" w:cs="Times New Roman"/>
                <w:sz w:val="20"/>
                <w:szCs w:val="20"/>
                <w:lang w:val="en-US"/>
              </w:rPr>
              <w:t>, and bulletin</w:t>
            </w:r>
          </w:p>
        </w:tc>
        <w:tc>
          <w:tcPr>
            <w:tcW w:w="2368" w:type="pct"/>
            <w:vAlign w:val="center"/>
          </w:tcPr>
          <w:p w14:paraId="27ACAE2F"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Sargassum Watch System (SaWS)</w:t>
            </w:r>
          </w:p>
        </w:tc>
      </w:tr>
      <w:tr w:rsidR="005C3E95" w:rsidRPr="00867BB6" w14:paraId="772E7D81" w14:textId="77777777" w:rsidTr="000D1615">
        <w:tc>
          <w:tcPr>
            <w:tcW w:w="1090" w:type="pct"/>
            <w:vAlign w:val="center"/>
          </w:tcPr>
          <w:p w14:paraId="5A12D744"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 xml:space="preserve">CARICOM </w:t>
            </w:r>
          </w:p>
        </w:tc>
        <w:tc>
          <w:tcPr>
            <w:tcW w:w="514" w:type="pct"/>
            <w:vAlign w:val="center"/>
          </w:tcPr>
          <w:p w14:paraId="1FD92ACA"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2018</w:t>
            </w:r>
          </w:p>
        </w:tc>
        <w:tc>
          <w:tcPr>
            <w:tcW w:w="1028" w:type="pct"/>
            <w:vAlign w:val="center"/>
          </w:tcPr>
          <w:p w14:paraId="694B4E1D"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Strategy</w:t>
            </w:r>
          </w:p>
        </w:tc>
        <w:tc>
          <w:tcPr>
            <w:tcW w:w="2368" w:type="pct"/>
            <w:vAlign w:val="center"/>
          </w:tcPr>
          <w:p w14:paraId="09009A5C"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Biodiversity Strategy identifies sargassum as a transboundary issue (CARICOM 2018)</w:t>
            </w:r>
          </w:p>
        </w:tc>
      </w:tr>
      <w:tr w:rsidR="005C3E95" w:rsidRPr="00867BB6" w14:paraId="3C4ECEE5" w14:textId="77777777" w:rsidTr="000D1615">
        <w:tc>
          <w:tcPr>
            <w:tcW w:w="1090" w:type="pct"/>
            <w:vAlign w:val="center"/>
          </w:tcPr>
          <w:p w14:paraId="4D91C602" w14:textId="5E475F6F" w:rsidR="005C3E95" w:rsidRPr="00867BB6" w:rsidRDefault="000225E4"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UWI-CERMES</w:t>
            </w:r>
          </w:p>
        </w:tc>
        <w:tc>
          <w:tcPr>
            <w:tcW w:w="514" w:type="pct"/>
            <w:vAlign w:val="center"/>
          </w:tcPr>
          <w:p w14:paraId="6C661636"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2018-ongoing</w:t>
            </w:r>
          </w:p>
        </w:tc>
        <w:tc>
          <w:tcPr>
            <w:tcW w:w="1028" w:type="pct"/>
            <w:vAlign w:val="center"/>
          </w:tcPr>
          <w:p w14:paraId="236F0D81"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Bulletin</w:t>
            </w:r>
          </w:p>
        </w:tc>
        <w:tc>
          <w:tcPr>
            <w:tcW w:w="2368" w:type="pct"/>
            <w:vAlign w:val="center"/>
          </w:tcPr>
          <w:p w14:paraId="7665D950" w14:textId="04E9C7FD"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 xml:space="preserve">Sargassum </w:t>
            </w:r>
            <w:r w:rsidR="00310C31" w:rsidRPr="00867BB6">
              <w:rPr>
                <w:rFonts w:ascii="Times New Roman" w:hAnsi="Times New Roman" w:cs="Times New Roman"/>
                <w:sz w:val="20"/>
                <w:szCs w:val="20"/>
                <w:lang w:val="en-US"/>
              </w:rPr>
              <w:t xml:space="preserve">Subregional </w:t>
            </w:r>
            <w:r w:rsidRPr="00867BB6">
              <w:rPr>
                <w:rFonts w:ascii="Times New Roman" w:hAnsi="Times New Roman" w:cs="Times New Roman"/>
                <w:sz w:val="20"/>
                <w:szCs w:val="20"/>
                <w:lang w:val="en-US"/>
              </w:rPr>
              <w:t>Outlook Bulletins</w:t>
            </w:r>
          </w:p>
        </w:tc>
      </w:tr>
      <w:tr w:rsidR="005C3E95" w:rsidRPr="00867BB6" w14:paraId="163E79E9" w14:textId="77777777" w:rsidTr="000D1615">
        <w:tc>
          <w:tcPr>
            <w:tcW w:w="1090" w:type="pct"/>
            <w:vAlign w:val="center"/>
          </w:tcPr>
          <w:p w14:paraId="3663F258" w14:textId="1C367B0F"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UWI-CERMES</w:t>
            </w:r>
            <w:r w:rsidR="00CC7CBB" w:rsidRPr="00867BB6">
              <w:rPr>
                <w:rFonts w:ascii="Times New Roman" w:hAnsi="Times New Roman" w:cs="Times New Roman"/>
                <w:sz w:val="20"/>
                <w:szCs w:val="20"/>
                <w:lang w:val="en-US"/>
              </w:rPr>
              <w:t>/FAO</w:t>
            </w:r>
          </w:p>
        </w:tc>
        <w:tc>
          <w:tcPr>
            <w:tcW w:w="514" w:type="pct"/>
            <w:vAlign w:val="center"/>
          </w:tcPr>
          <w:p w14:paraId="3354FAED"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2018</w:t>
            </w:r>
          </w:p>
        </w:tc>
        <w:tc>
          <w:tcPr>
            <w:tcW w:w="1028" w:type="pct"/>
            <w:vAlign w:val="center"/>
          </w:tcPr>
          <w:p w14:paraId="5E2B3195"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Symposium</w:t>
            </w:r>
          </w:p>
        </w:tc>
        <w:tc>
          <w:tcPr>
            <w:tcW w:w="2368" w:type="pct"/>
            <w:vAlign w:val="center"/>
          </w:tcPr>
          <w:p w14:paraId="3A1A1904"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Second Sargassum Caribbean Symposium</w:t>
            </w:r>
          </w:p>
        </w:tc>
      </w:tr>
      <w:tr w:rsidR="005C3E95" w:rsidRPr="00867BB6" w14:paraId="30E5724B" w14:textId="77777777" w:rsidTr="000D1615">
        <w:tc>
          <w:tcPr>
            <w:tcW w:w="1090" w:type="pct"/>
            <w:vAlign w:val="center"/>
          </w:tcPr>
          <w:p w14:paraId="75D78FBF"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UNEP-CEP</w:t>
            </w:r>
          </w:p>
        </w:tc>
        <w:tc>
          <w:tcPr>
            <w:tcW w:w="514" w:type="pct"/>
            <w:vAlign w:val="center"/>
          </w:tcPr>
          <w:p w14:paraId="69B283C0"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2018</w:t>
            </w:r>
          </w:p>
        </w:tc>
        <w:tc>
          <w:tcPr>
            <w:tcW w:w="1028" w:type="pct"/>
            <w:vAlign w:val="center"/>
          </w:tcPr>
          <w:p w14:paraId="00755637"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White paper</w:t>
            </w:r>
          </w:p>
        </w:tc>
        <w:tc>
          <w:tcPr>
            <w:tcW w:w="2368" w:type="pct"/>
            <w:vAlign w:val="center"/>
          </w:tcPr>
          <w:p w14:paraId="307919F4"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Sargassum White Paper (UNEP-CEP 2018)</w:t>
            </w:r>
          </w:p>
        </w:tc>
      </w:tr>
      <w:tr w:rsidR="005C3E95" w:rsidRPr="00867BB6" w14:paraId="64981051" w14:textId="77777777" w:rsidTr="000D1615">
        <w:tc>
          <w:tcPr>
            <w:tcW w:w="1090" w:type="pct"/>
            <w:vAlign w:val="center"/>
          </w:tcPr>
          <w:p w14:paraId="6D5E859E"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Intergovernmental Oceanographic Commission (IOC), UNESCO</w:t>
            </w:r>
          </w:p>
        </w:tc>
        <w:tc>
          <w:tcPr>
            <w:tcW w:w="514" w:type="pct"/>
            <w:vAlign w:val="center"/>
          </w:tcPr>
          <w:p w14:paraId="5E38E2D7"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2018</w:t>
            </w:r>
          </w:p>
        </w:tc>
        <w:tc>
          <w:tcPr>
            <w:tcW w:w="1028" w:type="pct"/>
            <w:vAlign w:val="center"/>
          </w:tcPr>
          <w:p w14:paraId="47632BA5"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Workshop</w:t>
            </w:r>
          </w:p>
        </w:tc>
        <w:tc>
          <w:tcPr>
            <w:tcW w:w="2368" w:type="pct"/>
            <w:vAlign w:val="center"/>
          </w:tcPr>
          <w:p w14:paraId="428E351A"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Workshop on Sargassum and Oil Spills Monitoring Pilot Project for the Caribbean and Adjacent Regions</w:t>
            </w:r>
          </w:p>
        </w:tc>
      </w:tr>
      <w:tr w:rsidR="005C3E95" w:rsidRPr="00867BB6" w14:paraId="5E63C2A3" w14:textId="77777777" w:rsidTr="000D1615">
        <w:tc>
          <w:tcPr>
            <w:tcW w:w="1090" w:type="pct"/>
            <w:vAlign w:val="center"/>
          </w:tcPr>
          <w:p w14:paraId="38B6E684" w14:textId="77777777" w:rsidR="005C3E95" w:rsidRPr="00867BB6" w:rsidRDefault="005C3E95" w:rsidP="00E33F94">
            <w:pPr>
              <w:pStyle w:val="NoSpacing"/>
              <w:rPr>
                <w:rFonts w:ascii="Times New Roman" w:hAnsi="Times New Roman" w:cs="Times New Roman"/>
                <w:sz w:val="20"/>
                <w:szCs w:val="20"/>
                <w:lang w:val="en-US"/>
              </w:rPr>
            </w:pPr>
            <w:proofErr w:type="spellStart"/>
            <w:r w:rsidRPr="00867BB6">
              <w:rPr>
                <w:rFonts w:ascii="Times New Roman" w:hAnsi="Times New Roman" w:cs="Times New Roman"/>
                <w:sz w:val="20"/>
                <w:szCs w:val="20"/>
                <w:lang w:val="en-US"/>
              </w:rPr>
              <w:t>Collecte</w:t>
            </w:r>
            <w:proofErr w:type="spellEnd"/>
            <w:r w:rsidRPr="00867BB6">
              <w:rPr>
                <w:rFonts w:ascii="Times New Roman" w:hAnsi="Times New Roman" w:cs="Times New Roman"/>
                <w:sz w:val="20"/>
                <w:szCs w:val="20"/>
                <w:lang w:val="en-US"/>
              </w:rPr>
              <w:t xml:space="preserve"> </w:t>
            </w:r>
            <w:proofErr w:type="spellStart"/>
            <w:r w:rsidRPr="00867BB6">
              <w:rPr>
                <w:rFonts w:ascii="Times New Roman" w:hAnsi="Times New Roman" w:cs="Times New Roman"/>
                <w:sz w:val="20"/>
                <w:szCs w:val="20"/>
                <w:lang w:val="en-US"/>
              </w:rPr>
              <w:t>Localisation</w:t>
            </w:r>
            <w:proofErr w:type="spellEnd"/>
            <w:r w:rsidRPr="00867BB6">
              <w:rPr>
                <w:rFonts w:ascii="Times New Roman" w:hAnsi="Times New Roman" w:cs="Times New Roman"/>
                <w:sz w:val="20"/>
                <w:szCs w:val="20"/>
                <w:lang w:val="en-US"/>
              </w:rPr>
              <w:t xml:space="preserve"> Satellites (CLS)</w:t>
            </w:r>
          </w:p>
        </w:tc>
        <w:tc>
          <w:tcPr>
            <w:tcW w:w="514" w:type="pct"/>
            <w:vAlign w:val="center"/>
          </w:tcPr>
          <w:p w14:paraId="5BB62FCA"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2018-ongoing</w:t>
            </w:r>
          </w:p>
        </w:tc>
        <w:tc>
          <w:tcPr>
            <w:tcW w:w="1028" w:type="pct"/>
            <w:vAlign w:val="center"/>
          </w:tcPr>
          <w:p w14:paraId="7754506A" w14:textId="77777777" w:rsidR="005C3E95" w:rsidRPr="00867BB6" w:rsidRDefault="005C3E95" w:rsidP="00E33F94">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Prediction and detection system</w:t>
            </w:r>
          </w:p>
        </w:tc>
        <w:tc>
          <w:tcPr>
            <w:tcW w:w="2368" w:type="pct"/>
            <w:vAlign w:val="center"/>
          </w:tcPr>
          <w:p w14:paraId="789DF242" w14:textId="77777777" w:rsidR="005C3E95" w:rsidRPr="00867BB6" w:rsidRDefault="005C3E95" w:rsidP="00E33F94">
            <w:pPr>
              <w:pStyle w:val="NoSpacing"/>
              <w:rPr>
                <w:rFonts w:ascii="Times New Roman" w:hAnsi="Times New Roman" w:cs="Times New Roman"/>
                <w:sz w:val="20"/>
                <w:szCs w:val="20"/>
                <w:lang w:val="en-US"/>
              </w:rPr>
            </w:pPr>
            <w:proofErr w:type="spellStart"/>
            <w:r w:rsidRPr="00867BB6">
              <w:rPr>
                <w:rFonts w:ascii="Times New Roman" w:hAnsi="Times New Roman" w:cs="Times New Roman"/>
                <w:sz w:val="20"/>
                <w:szCs w:val="20"/>
                <w:lang w:val="en-US"/>
              </w:rPr>
              <w:t>SAMtool</w:t>
            </w:r>
            <w:proofErr w:type="spellEnd"/>
          </w:p>
        </w:tc>
      </w:tr>
      <w:tr w:rsidR="000D1615" w:rsidRPr="00867BB6" w14:paraId="793BFAA8" w14:textId="77777777" w:rsidTr="000D1615">
        <w:tc>
          <w:tcPr>
            <w:tcW w:w="1090" w:type="pct"/>
            <w:vAlign w:val="center"/>
          </w:tcPr>
          <w:p w14:paraId="446BA0F5" w14:textId="53A71918"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lastRenderedPageBreak/>
              <w:t>UWI-CERMES</w:t>
            </w:r>
          </w:p>
        </w:tc>
        <w:tc>
          <w:tcPr>
            <w:tcW w:w="514" w:type="pct"/>
            <w:vAlign w:val="center"/>
          </w:tcPr>
          <w:p w14:paraId="700ABACE" w14:textId="02839153"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2019</w:t>
            </w:r>
          </w:p>
        </w:tc>
        <w:tc>
          <w:tcPr>
            <w:tcW w:w="1028" w:type="pct"/>
            <w:vAlign w:val="center"/>
          </w:tcPr>
          <w:p w14:paraId="66AD6EF0" w14:textId="6BAA8DE9"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Management brief</w:t>
            </w:r>
          </w:p>
        </w:tc>
        <w:tc>
          <w:tcPr>
            <w:tcW w:w="2368" w:type="pct"/>
            <w:vAlign w:val="center"/>
          </w:tcPr>
          <w:p w14:paraId="2685E201" w14:textId="685CAF32"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Best practice guide for Caribbean fishers coping with sargassum (</w:t>
            </w:r>
            <w:proofErr w:type="spellStart"/>
            <w:r w:rsidRPr="00867BB6">
              <w:rPr>
                <w:rFonts w:ascii="Times New Roman" w:hAnsi="Times New Roman" w:cs="Times New Roman"/>
                <w:sz w:val="20"/>
                <w:szCs w:val="20"/>
                <w:lang w:val="en-US"/>
              </w:rPr>
              <w:t>Speede</w:t>
            </w:r>
            <w:proofErr w:type="spellEnd"/>
            <w:r w:rsidR="00F43CF9" w:rsidRPr="00867BB6">
              <w:rPr>
                <w:rFonts w:ascii="Times New Roman" w:hAnsi="Times New Roman" w:cs="Times New Roman"/>
                <w:sz w:val="20"/>
                <w:szCs w:val="20"/>
                <w:lang w:val="en-US"/>
              </w:rPr>
              <w:t>, Cox and Oxenford</w:t>
            </w:r>
            <w:r w:rsidRPr="00867BB6">
              <w:rPr>
                <w:rFonts w:ascii="Times New Roman" w:hAnsi="Times New Roman" w:cs="Times New Roman"/>
                <w:sz w:val="20"/>
                <w:szCs w:val="20"/>
                <w:lang w:val="en-US"/>
              </w:rPr>
              <w:t xml:space="preserve"> 2019)</w:t>
            </w:r>
          </w:p>
        </w:tc>
      </w:tr>
      <w:tr w:rsidR="000D1615" w:rsidRPr="00867BB6" w14:paraId="558C355E" w14:textId="77777777" w:rsidTr="000D1615">
        <w:tc>
          <w:tcPr>
            <w:tcW w:w="1090" w:type="pct"/>
            <w:vAlign w:val="center"/>
          </w:tcPr>
          <w:p w14:paraId="342EE060" w14:textId="6BFB295F"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Florida International University</w:t>
            </w:r>
          </w:p>
        </w:tc>
        <w:tc>
          <w:tcPr>
            <w:tcW w:w="514" w:type="pct"/>
            <w:vAlign w:val="center"/>
          </w:tcPr>
          <w:p w14:paraId="056291B4"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2019-ongoing</w:t>
            </w:r>
          </w:p>
        </w:tc>
        <w:tc>
          <w:tcPr>
            <w:tcW w:w="1028" w:type="pct"/>
            <w:vAlign w:val="center"/>
          </w:tcPr>
          <w:p w14:paraId="317C5D2A" w14:textId="3BC1D6EF"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Electronic mailing list and Slack Workspace</w:t>
            </w:r>
          </w:p>
        </w:tc>
        <w:tc>
          <w:tcPr>
            <w:tcW w:w="2368" w:type="pct"/>
            <w:vAlign w:val="center"/>
          </w:tcPr>
          <w:p w14:paraId="0B0EE5A2"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SARGNET, mailing list to distribute sightings, data and knowledge across the Tropical Atlantic</w:t>
            </w:r>
          </w:p>
        </w:tc>
      </w:tr>
      <w:tr w:rsidR="000D1615" w:rsidRPr="00867BB6" w14:paraId="44FB7011" w14:textId="77777777" w:rsidTr="000D1615">
        <w:tc>
          <w:tcPr>
            <w:tcW w:w="1090" w:type="pct"/>
            <w:vAlign w:val="center"/>
          </w:tcPr>
          <w:p w14:paraId="7EE835DB"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 xml:space="preserve">OECS </w:t>
            </w:r>
          </w:p>
        </w:tc>
        <w:tc>
          <w:tcPr>
            <w:tcW w:w="514" w:type="pct"/>
            <w:vAlign w:val="center"/>
          </w:tcPr>
          <w:p w14:paraId="2D67032D"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2019</w:t>
            </w:r>
          </w:p>
        </w:tc>
        <w:tc>
          <w:tcPr>
            <w:tcW w:w="1028" w:type="pct"/>
            <w:vAlign w:val="center"/>
          </w:tcPr>
          <w:p w14:paraId="63F1AF7C" w14:textId="77777777" w:rsidR="000D1615" w:rsidRPr="00867BB6" w:rsidRDefault="000D1615" w:rsidP="000D1615">
            <w:pPr>
              <w:pStyle w:val="NoSpacing"/>
              <w:rPr>
                <w:rFonts w:ascii="Times New Roman" w:hAnsi="Times New Roman" w:cs="Times New Roman"/>
                <w:sz w:val="20"/>
                <w:szCs w:val="20"/>
                <w:lang w:val="en-US"/>
              </w:rPr>
            </w:pPr>
          </w:p>
          <w:p w14:paraId="49E61597"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Conference</w:t>
            </w:r>
          </w:p>
          <w:p w14:paraId="1AD73120" w14:textId="77777777" w:rsidR="000D1615" w:rsidRPr="00867BB6" w:rsidRDefault="000D1615" w:rsidP="000D1615">
            <w:pPr>
              <w:pStyle w:val="NoSpacing"/>
              <w:rPr>
                <w:rFonts w:ascii="Times New Roman" w:hAnsi="Times New Roman" w:cs="Times New Roman"/>
                <w:sz w:val="20"/>
                <w:szCs w:val="20"/>
                <w:lang w:val="en-US"/>
              </w:rPr>
            </w:pPr>
          </w:p>
        </w:tc>
        <w:tc>
          <w:tcPr>
            <w:tcW w:w="2368" w:type="pct"/>
            <w:vAlign w:val="center"/>
          </w:tcPr>
          <w:p w14:paraId="4C846859"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International Conference on Sargassum</w:t>
            </w:r>
          </w:p>
          <w:p w14:paraId="0EA4025D" w14:textId="77777777" w:rsidR="000D1615" w:rsidRPr="00867BB6" w:rsidRDefault="000D1615" w:rsidP="000D1615">
            <w:pPr>
              <w:pStyle w:val="NoSpacing"/>
              <w:rPr>
                <w:rFonts w:ascii="Times New Roman" w:hAnsi="Times New Roman" w:cs="Times New Roman"/>
                <w:sz w:val="20"/>
                <w:szCs w:val="20"/>
                <w:lang w:val="en-US"/>
              </w:rPr>
            </w:pPr>
          </w:p>
        </w:tc>
      </w:tr>
      <w:tr w:rsidR="000D1615" w:rsidRPr="00867BB6" w14:paraId="355C198D" w14:textId="77777777" w:rsidTr="000D1615">
        <w:tc>
          <w:tcPr>
            <w:tcW w:w="1090" w:type="pct"/>
            <w:vAlign w:val="center"/>
          </w:tcPr>
          <w:p w14:paraId="7D07248C"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 xml:space="preserve">OECS </w:t>
            </w:r>
          </w:p>
        </w:tc>
        <w:tc>
          <w:tcPr>
            <w:tcW w:w="514" w:type="pct"/>
            <w:vAlign w:val="center"/>
          </w:tcPr>
          <w:p w14:paraId="1612100A"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2019</w:t>
            </w:r>
          </w:p>
        </w:tc>
        <w:tc>
          <w:tcPr>
            <w:tcW w:w="1028" w:type="pct"/>
            <w:vAlign w:val="center"/>
          </w:tcPr>
          <w:p w14:paraId="4DFE08CD"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Trade show</w:t>
            </w:r>
          </w:p>
        </w:tc>
        <w:tc>
          <w:tcPr>
            <w:tcW w:w="2368" w:type="pct"/>
            <w:vAlign w:val="center"/>
          </w:tcPr>
          <w:p w14:paraId="25A49104" w14:textId="77777777" w:rsidR="000D1615" w:rsidRPr="00867BB6" w:rsidRDefault="000D1615" w:rsidP="000D1615">
            <w:pPr>
              <w:pStyle w:val="NoSpacing"/>
              <w:rPr>
                <w:rFonts w:ascii="Times New Roman" w:hAnsi="Times New Roman" w:cs="Times New Roman"/>
                <w:sz w:val="20"/>
                <w:szCs w:val="20"/>
                <w:lang w:val="en-US"/>
              </w:rPr>
            </w:pPr>
            <w:proofErr w:type="spellStart"/>
            <w:r w:rsidRPr="00867BB6">
              <w:rPr>
                <w:rFonts w:ascii="Times New Roman" w:hAnsi="Times New Roman" w:cs="Times New Roman"/>
                <w:sz w:val="20"/>
                <w:szCs w:val="20"/>
                <w:lang w:val="en-US"/>
              </w:rPr>
              <w:t>Sarg’Expo</w:t>
            </w:r>
            <w:proofErr w:type="spellEnd"/>
            <w:r w:rsidRPr="00867BB6">
              <w:rPr>
                <w:rFonts w:ascii="Times New Roman" w:hAnsi="Times New Roman" w:cs="Times New Roman"/>
                <w:sz w:val="20"/>
                <w:szCs w:val="20"/>
                <w:lang w:val="en-US"/>
              </w:rPr>
              <w:t>, the first international trade show on sargassum seaweed monitoring, collection and recycling</w:t>
            </w:r>
          </w:p>
        </w:tc>
      </w:tr>
      <w:tr w:rsidR="000D1615" w:rsidRPr="00867BB6" w14:paraId="756368DB" w14:textId="77777777" w:rsidTr="000D1615">
        <w:tc>
          <w:tcPr>
            <w:tcW w:w="1090" w:type="pct"/>
            <w:vAlign w:val="center"/>
          </w:tcPr>
          <w:p w14:paraId="294CFA8F"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 xml:space="preserve">OECS </w:t>
            </w:r>
          </w:p>
        </w:tc>
        <w:tc>
          <w:tcPr>
            <w:tcW w:w="514" w:type="pct"/>
            <w:vAlign w:val="center"/>
          </w:tcPr>
          <w:p w14:paraId="09350C9B"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2019</w:t>
            </w:r>
          </w:p>
        </w:tc>
        <w:tc>
          <w:tcPr>
            <w:tcW w:w="1028" w:type="pct"/>
            <w:vAlign w:val="center"/>
          </w:tcPr>
          <w:p w14:paraId="533142D1"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Declaration</w:t>
            </w:r>
          </w:p>
        </w:tc>
        <w:tc>
          <w:tcPr>
            <w:tcW w:w="2368" w:type="pct"/>
            <w:vAlign w:val="center"/>
          </w:tcPr>
          <w:p w14:paraId="23DD21B9"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Final Declaration of the International Conference on Sargassum: A commitment to Cooperation in the Caribbean (OECS 2019)</w:t>
            </w:r>
          </w:p>
        </w:tc>
      </w:tr>
      <w:tr w:rsidR="000D1615" w:rsidRPr="00867BB6" w14:paraId="3A50187E" w14:textId="77777777" w:rsidTr="000D1615">
        <w:tc>
          <w:tcPr>
            <w:tcW w:w="1090" w:type="pct"/>
            <w:vAlign w:val="center"/>
          </w:tcPr>
          <w:p w14:paraId="01BA91AC"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Group of Experts on the Scientific Aspects of Marine Environmental Protection (GESAMP)</w:t>
            </w:r>
          </w:p>
        </w:tc>
        <w:tc>
          <w:tcPr>
            <w:tcW w:w="514" w:type="pct"/>
            <w:vAlign w:val="center"/>
          </w:tcPr>
          <w:p w14:paraId="6D732D8D"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2019</w:t>
            </w:r>
          </w:p>
        </w:tc>
        <w:tc>
          <w:tcPr>
            <w:tcW w:w="1028" w:type="pct"/>
            <w:vAlign w:val="center"/>
          </w:tcPr>
          <w:p w14:paraId="76A771A8"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Task team</w:t>
            </w:r>
          </w:p>
        </w:tc>
        <w:tc>
          <w:tcPr>
            <w:tcW w:w="2368" w:type="pct"/>
            <w:vAlign w:val="center"/>
          </w:tcPr>
          <w:p w14:paraId="10C03F7B"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Task Team on Sargassum</w:t>
            </w:r>
          </w:p>
        </w:tc>
      </w:tr>
      <w:tr w:rsidR="009C417D" w:rsidRPr="00867BB6" w14:paraId="125CF7E1" w14:textId="77777777" w:rsidTr="000D1615">
        <w:tc>
          <w:tcPr>
            <w:tcW w:w="1090" w:type="pct"/>
            <w:vAlign w:val="center"/>
          </w:tcPr>
          <w:p w14:paraId="3F044171" w14:textId="6EA40E97" w:rsidR="009C417D" w:rsidRPr="00867BB6" w:rsidRDefault="00D0660E"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NOAA Atlantic Oceanographic and Meteorological Laboratory, University of South Florida</w:t>
            </w:r>
          </w:p>
        </w:tc>
        <w:tc>
          <w:tcPr>
            <w:tcW w:w="514" w:type="pct"/>
            <w:vAlign w:val="center"/>
          </w:tcPr>
          <w:p w14:paraId="214F599B" w14:textId="7D106302" w:rsidR="009C417D" w:rsidRPr="00867BB6" w:rsidRDefault="00D0660E"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2020-ongoing</w:t>
            </w:r>
          </w:p>
        </w:tc>
        <w:tc>
          <w:tcPr>
            <w:tcW w:w="1028" w:type="pct"/>
            <w:vAlign w:val="center"/>
          </w:tcPr>
          <w:p w14:paraId="7C2D42B5" w14:textId="381BCF2C" w:rsidR="009C417D" w:rsidRPr="00867BB6" w:rsidRDefault="00D0660E"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Weekly report</w:t>
            </w:r>
          </w:p>
        </w:tc>
        <w:tc>
          <w:tcPr>
            <w:tcW w:w="2368" w:type="pct"/>
            <w:vAlign w:val="center"/>
          </w:tcPr>
          <w:p w14:paraId="6F650AD1" w14:textId="64DBA52E" w:rsidR="009C417D" w:rsidRPr="00867BB6" w:rsidRDefault="00D0660E"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 xml:space="preserve">Experimental </w:t>
            </w:r>
            <w:r w:rsidR="007038D9" w:rsidRPr="00867BB6">
              <w:rPr>
                <w:rFonts w:ascii="Times New Roman" w:hAnsi="Times New Roman" w:cs="Times New Roman"/>
                <w:sz w:val="20"/>
                <w:szCs w:val="20"/>
                <w:lang w:val="en-US"/>
              </w:rPr>
              <w:t xml:space="preserve">weekly </w:t>
            </w:r>
            <w:r w:rsidR="008C1C2D" w:rsidRPr="00867BB6">
              <w:rPr>
                <w:rFonts w:ascii="Times New Roman" w:hAnsi="Times New Roman" w:cs="Times New Roman"/>
                <w:sz w:val="20"/>
                <w:szCs w:val="20"/>
                <w:lang w:val="en-US"/>
              </w:rPr>
              <w:t>inundation</w:t>
            </w:r>
            <w:r w:rsidR="007038D9" w:rsidRPr="00867BB6">
              <w:rPr>
                <w:rFonts w:ascii="Times New Roman" w:hAnsi="Times New Roman" w:cs="Times New Roman"/>
                <w:sz w:val="20"/>
                <w:szCs w:val="20"/>
                <w:lang w:val="en-US"/>
              </w:rPr>
              <w:t xml:space="preserve"> report</w:t>
            </w:r>
          </w:p>
        </w:tc>
      </w:tr>
      <w:tr w:rsidR="000D1615" w:rsidRPr="00867BB6" w14:paraId="7F2E05A3" w14:textId="77777777" w:rsidTr="000D1615">
        <w:tc>
          <w:tcPr>
            <w:tcW w:w="1090" w:type="pct"/>
            <w:vAlign w:val="center"/>
          </w:tcPr>
          <w:p w14:paraId="2DC86634"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 xml:space="preserve">GEO Blue Planet, IOCARIBE of IOC-UNESCO, AtlantOS, and the Atlantic International Research (AIR) Center </w:t>
            </w:r>
          </w:p>
        </w:tc>
        <w:tc>
          <w:tcPr>
            <w:tcW w:w="514" w:type="pct"/>
            <w:vAlign w:val="center"/>
          </w:tcPr>
          <w:p w14:paraId="7C0596DA"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2020-ongoing</w:t>
            </w:r>
          </w:p>
        </w:tc>
        <w:tc>
          <w:tcPr>
            <w:tcW w:w="1028" w:type="pct"/>
            <w:vAlign w:val="center"/>
          </w:tcPr>
          <w:p w14:paraId="7D7931B6"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Online platform</w:t>
            </w:r>
          </w:p>
        </w:tc>
        <w:tc>
          <w:tcPr>
            <w:tcW w:w="2368" w:type="pct"/>
            <w:vAlign w:val="center"/>
          </w:tcPr>
          <w:p w14:paraId="2D751186"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Sargassum Hub, online platform to share information about experts working on sargassum</w:t>
            </w:r>
          </w:p>
        </w:tc>
      </w:tr>
      <w:tr w:rsidR="000D1615" w:rsidRPr="00867BB6" w14:paraId="629B6AEE" w14:textId="77777777" w:rsidTr="000D1615">
        <w:tc>
          <w:tcPr>
            <w:tcW w:w="1090" w:type="pct"/>
            <w:vAlign w:val="center"/>
          </w:tcPr>
          <w:p w14:paraId="239B34C1" w14:textId="271F10B6" w:rsidR="000D1615" w:rsidRPr="00867BB6" w:rsidRDefault="009C417D"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Conservation without Borders</w:t>
            </w:r>
          </w:p>
        </w:tc>
        <w:tc>
          <w:tcPr>
            <w:tcW w:w="514" w:type="pct"/>
            <w:vAlign w:val="center"/>
          </w:tcPr>
          <w:p w14:paraId="14439161"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2020-ongoing</w:t>
            </w:r>
          </w:p>
        </w:tc>
        <w:tc>
          <w:tcPr>
            <w:tcW w:w="1028" w:type="pct"/>
            <w:vAlign w:val="center"/>
          </w:tcPr>
          <w:p w14:paraId="7F2CF1BA"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Podcast</w:t>
            </w:r>
          </w:p>
        </w:tc>
        <w:tc>
          <w:tcPr>
            <w:tcW w:w="2368" w:type="pct"/>
            <w:vAlign w:val="center"/>
          </w:tcPr>
          <w:p w14:paraId="7A427550"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Podcast series, “The Sargassum Podcast”</w:t>
            </w:r>
          </w:p>
        </w:tc>
      </w:tr>
      <w:tr w:rsidR="000D1615" w:rsidRPr="00867BB6" w14:paraId="7DD61355" w14:textId="77777777" w:rsidTr="000D1615">
        <w:tc>
          <w:tcPr>
            <w:tcW w:w="1090" w:type="pct"/>
            <w:vAlign w:val="center"/>
          </w:tcPr>
          <w:p w14:paraId="7F6229D0"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IOC Ocean Best Practices System</w:t>
            </w:r>
          </w:p>
        </w:tc>
        <w:tc>
          <w:tcPr>
            <w:tcW w:w="514" w:type="pct"/>
            <w:vAlign w:val="center"/>
          </w:tcPr>
          <w:p w14:paraId="73EB0C57"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2020</w:t>
            </w:r>
          </w:p>
        </w:tc>
        <w:tc>
          <w:tcPr>
            <w:tcW w:w="1028" w:type="pct"/>
            <w:vAlign w:val="center"/>
          </w:tcPr>
          <w:p w14:paraId="1B456882"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Working group</w:t>
            </w:r>
          </w:p>
        </w:tc>
        <w:tc>
          <w:tcPr>
            <w:tcW w:w="2368" w:type="pct"/>
            <w:vAlign w:val="center"/>
          </w:tcPr>
          <w:p w14:paraId="50C7034A"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Sargassum Working Group</w:t>
            </w:r>
          </w:p>
        </w:tc>
      </w:tr>
      <w:tr w:rsidR="000D1615" w:rsidRPr="00867BB6" w14:paraId="1C21C9FA" w14:textId="77777777" w:rsidTr="000D1615">
        <w:tc>
          <w:tcPr>
            <w:tcW w:w="1090" w:type="pct"/>
            <w:vAlign w:val="center"/>
          </w:tcPr>
          <w:p w14:paraId="18B0A1D6"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European Algae Biomass Association</w:t>
            </w:r>
          </w:p>
        </w:tc>
        <w:tc>
          <w:tcPr>
            <w:tcW w:w="514" w:type="pct"/>
            <w:vAlign w:val="center"/>
          </w:tcPr>
          <w:p w14:paraId="4B3D4F41"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2020</w:t>
            </w:r>
          </w:p>
        </w:tc>
        <w:tc>
          <w:tcPr>
            <w:tcW w:w="1028" w:type="pct"/>
            <w:vAlign w:val="center"/>
          </w:tcPr>
          <w:p w14:paraId="0A165984"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Workshop</w:t>
            </w:r>
          </w:p>
        </w:tc>
        <w:tc>
          <w:tcPr>
            <w:tcW w:w="2368" w:type="pct"/>
            <w:vAlign w:val="center"/>
          </w:tcPr>
          <w:p w14:paraId="1674DBD2"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Workshop on Atlantic Sargassum Belt</w:t>
            </w:r>
          </w:p>
        </w:tc>
      </w:tr>
      <w:tr w:rsidR="000D1615" w:rsidRPr="00867BB6" w14:paraId="4C0FBA69" w14:textId="77777777" w:rsidTr="000D1615">
        <w:tc>
          <w:tcPr>
            <w:tcW w:w="1090" w:type="pct"/>
            <w:vAlign w:val="center"/>
          </w:tcPr>
          <w:p w14:paraId="574E489F"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 xml:space="preserve">UWI-CERMES/FAO </w:t>
            </w:r>
          </w:p>
        </w:tc>
        <w:tc>
          <w:tcPr>
            <w:tcW w:w="514" w:type="pct"/>
            <w:vAlign w:val="center"/>
          </w:tcPr>
          <w:p w14:paraId="7144DC91"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2020</w:t>
            </w:r>
          </w:p>
        </w:tc>
        <w:tc>
          <w:tcPr>
            <w:tcW w:w="1028" w:type="pct"/>
            <w:vAlign w:val="center"/>
          </w:tcPr>
          <w:p w14:paraId="79CE9A96"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Uses report</w:t>
            </w:r>
          </w:p>
        </w:tc>
        <w:tc>
          <w:tcPr>
            <w:tcW w:w="2368" w:type="pct"/>
            <w:vAlign w:val="center"/>
          </w:tcPr>
          <w:p w14:paraId="060D6CB3" w14:textId="1DA2977F" w:rsidR="000D1615" w:rsidRPr="00867BB6" w:rsidRDefault="00966A63"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Sargassum u</w:t>
            </w:r>
            <w:r w:rsidR="000D1615" w:rsidRPr="00867BB6">
              <w:rPr>
                <w:rFonts w:ascii="Times New Roman" w:hAnsi="Times New Roman" w:cs="Times New Roman"/>
                <w:sz w:val="20"/>
                <w:szCs w:val="20"/>
                <w:lang w:val="en-US"/>
              </w:rPr>
              <w:t>ses guide for researchers, entrepreneurs and policy makers (Desrochers et al. 2020)</w:t>
            </w:r>
          </w:p>
        </w:tc>
      </w:tr>
      <w:tr w:rsidR="000D1615" w:rsidRPr="00867BB6" w14:paraId="44538889" w14:textId="77777777" w:rsidTr="000D1615">
        <w:tc>
          <w:tcPr>
            <w:tcW w:w="1090" w:type="pct"/>
            <w:vAlign w:val="center"/>
          </w:tcPr>
          <w:p w14:paraId="126F2E81"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UNEP</w:t>
            </w:r>
          </w:p>
        </w:tc>
        <w:tc>
          <w:tcPr>
            <w:tcW w:w="514" w:type="pct"/>
            <w:vAlign w:val="center"/>
          </w:tcPr>
          <w:p w14:paraId="4E57D4F8" w14:textId="0E5A88EE"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2020</w:t>
            </w:r>
            <w:r w:rsidR="008C1C2D" w:rsidRPr="00867BB6">
              <w:rPr>
                <w:rFonts w:ascii="Times New Roman" w:hAnsi="Times New Roman" w:cs="Times New Roman"/>
                <w:sz w:val="20"/>
                <w:szCs w:val="20"/>
                <w:lang w:val="en-US"/>
              </w:rPr>
              <w:t>-2021</w:t>
            </w:r>
          </w:p>
        </w:tc>
        <w:tc>
          <w:tcPr>
            <w:tcW w:w="1028" w:type="pct"/>
            <w:vAlign w:val="center"/>
          </w:tcPr>
          <w:p w14:paraId="1A91FA39"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Webinar series</w:t>
            </w:r>
          </w:p>
        </w:tc>
        <w:tc>
          <w:tcPr>
            <w:tcW w:w="2368" w:type="pct"/>
            <w:vAlign w:val="center"/>
          </w:tcPr>
          <w:p w14:paraId="6D392529" w14:textId="58C78821" w:rsidR="000D1615" w:rsidRPr="00867BB6" w:rsidRDefault="008C1C2D"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Sargassum w</w:t>
            </w:r>
            <w:r w:rsidR="000D1615" w:rsidRPr="00867BB6">
              <w:rPr>
                <w:rFonts w:ascii="Times New Roman" w:hAnsi="Times New Roman" w:cs="Times New Roman"/>
                <w:sz w:val="20"/>
                <w:szCs w:val="20"/>
                <w:lang w:val="en-US"/>
              </w:rPr>
              <w:t>ebinar series</w:t>
            </w:r>
          </w:p>
        </w:tc>
      </w:tr>
      <w:tr w:rsidR="000D1615" w:rsidRPr="00867BB6" w14:paraId="3BEAA6D2" w14:textId="77777777" w:rsidTr="000D1615">
        <w:tc>
          <w:tcPr>
            <w:tcW w:w="1090" w:type="pct"/>
            <w:vAlign w:val="center"/>
          </w:tcPr>
          <w:p w14:paraId="53A9C650"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 xml:space="preserve">UNEP </w:t>
            </w:r>
          </w:p>
        </w:tc>
        <w:tc>
          <w:tcPr>
            <w:tcW w:w="514" w:type="pct"/>
            <w:vAlign w:val="center"/>
          </w:tcPr>
          <w:p w14:paraId="3329BD09"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2021</w:t>
            </w:r>
          </w:p>
        </w:tc>
        <w:tc>
          <w:tcPr>
            <w:tcW w:w="1028" w:type="pct"/>
            <w:vAlign w:val="center"/>
          </w:tcPr>
          <w:p w14:paraId="6345D12B"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White paper</w:t>
            </w:r>
          </w:p>
        </w:tc>
        <w:tc>
          <w:tcPr>
            <w:tcW w:w="2368" w:type="pct"/>
            <w:vAlign w:val="center"/>
          </w:tcPr>
          <w:p w14:paraId="087642BB"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Sargassum White Paper (UNEP-CEP 2021)</w:t>
            </w:r>
          </w:p>
        </w:tc>
      </w:tr>
      <w:tr w:rsidR="00B3108F" w:rsidRPr="00867BB6" w14:paraId="621A9F3F" w14:textId="77777777" w:rsidTr="000D1615">
        <w:tc>
          <w:tcPr>
            <w:tcW w:w="1090" w:type="pct"/>
            <w:vAlign w:val="center"/>
          </w:tcPr>
          <w:p w14:paraId="757A2D94" w14:textId="27FD284E" w:rsidR="00B3108F" w:rsidRPr="00867BB6" w:rsidRDefault="00B3108F"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GEO Blue Planet, IOCARIBE of IOC-UNESCO, AtlantOS, and the Atlantic International Research Center</w:t>
            </w:r>
          </w:p>
        </w:tc>
        <w:tc>
          <w:tcPr>
            <w:tcW w:w="514" w:type="pct"/>
            <w:vAlign w:val="center"/>
          </w:tcPr>
          <w:p w14:paraId="6B3377D5" w14:textId="2FF649C3" w:rsidR="00B3108F" w:rsidRPr="00867BB6" w:rsidRDefault="00B3108F"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2021</w:t>
            </w:r>
          </w:p>
        </w:tc>
        <w:tc>
          <w:tcPr>
            <w:tcW w:w="1028" w:type="pct"/>
            <w:vAlign w:val="center"/>
          </w:tcPr>
          <w:p w14:paraId="308903F7" w14:textId="70D5DB56" w:rsidR="00B3108F" w:rsidRPr="00867BB6" w:rsidRDefault="00B3108F"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Side event</w:t>
            </w:r>
          </w:p>
        </w:tc>
        <w:tc>
          <w:tcPr>
            <w:tcW w:w="2368" w:type="pct"/>
            <w:vAlign w:val="center"/>
          </w:tcPr>
          <w:p w14:paraId="1369EFA1" w14:textId="27BF7261" w:rsidR="00B3108F" w:rsidRPr="00867BB6" w:rsidRDefault="00B3108F"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Sargassum side event at All-Atlantic 2021 Conference</w:t>
            </w:r>
          </w:p>
        </w:tc>
      </w:tr>
      <w:tr w:rsidR="000D1615" w:rsidRPr="00867BB6" w14:paraId="48A74101" w14:textId="77777777" w:rsidTr="000D1615">
        <w:tc>
          <w:tcPr>
            <w:tcW w:w="1090" w:type="pct"/>
            <w:vAlign w:val="center"/>
          </w:tcPr>
          <w:p w14:paraId="340EAA8B" w14:textId="77777777" w:rsidR="000D1615" w:rsidRPr="00867BB6" w:rsidRDefault="000D1615" w:rsidP="000D1615">
            <w:pPr>
              <w:pStyle w:val="NoSpacing"/>
              <w:rPr>
                <w:rFonts w:ascii="Times New Roman" w:hAnsi="Times New Roman" w:cs="Times New Roman"/>
                <w:sz w:val="20"/>
                <w:szCs w:val="20"/>
                <w:lang w:val="nl-NL"/>
              </w:rPr>
            </w:pPr>
            <w:proofErr w:type="spellStart"/>
            <w:r w:rsidRPr="00867BB6">
              <w:rPr>
                <w:rFonts w:ascii="Times New Roman" w:hAnsi="Times New Roman" w:cs="Times New Roman"/>
                <w:sz w:val="20"/>
                <w:szCs w:val="20"/>
                <w:lang w:val="nl-NL"/>
              </w:rPr>
              <w:t>Algae</w:t>
            </w:r>
            <w:proofErr w:type="spellEnd"/>
            <w:r w:rsidRPr="00867BB6">
              <w:rPr>
                <w:rFonts w:ascii="Times New Roman" w:hAnsi="Times New Roman" w:cs="Times New Roman"/>
                <w:sz w:val="20"/>
                <w:szCs w:val="20"/>
                <w:lang w:val="nl-NL"/>
              </w:rPr>
              <w:t xml:space="preserve">-UK, </w:t>
            </w:r>
            <w:proofErr w:type="spellStart"/>
            <w:r w:rsidRPr="00867BB6">
              <w:rPr>
                <w:rFonts w:ascii="Times New Roman" w:hAnsi="Times New Roman" w:cs="Times New Roman"/>
                <w:sz w:val="20"/>
                <w:szCs w:val="20"/>
                <w:lang w:val="nl-NL"/>
              </w:rPr>
              <w:t>BBNet</w:t>
            </w:r>
            <w:proofErr w:type="spellEnd"/>
            <w:r w:rsidRPr="00867BB6">
              <w:rPr>
                <w:rFonts w:ascii="Times New Roman" w:hAnsi="Times New Roman" w:cs="Times New Roman"/>
                <w:sz w:val="20"/>
                <w:szCs w:val="20"/>
                <w:lang w:val="nl-NL"/>
              </w:rPr>
              <w:t xml:space="preserve"> and </w:t>
            </w:r>
            <w:proofErr w:type="spellStart"/>
            <w:r w:rsidRPr="00867BB6">
              <w:rPr>
                <w:rFonts w:ascii="Times New Roman" w:hAnsi="Times New Roman" w:cs="Times New Roman"/>
                <w:sz w:val="20"/>
                <w:szCs w:val="20"/>
                <w:lang w:val="nl-NL"/>
              </w:rPr>
              <w:t>EBNet</w:t>
            </w:r>
            <w:proofErr w:type="spellEnd"/>
          </w:p>
        </w:tc>
        <w:tc>
          <w:tcPr>
            <w:tcW w:w="514" w:type="pct"/>
            <w:vAlign w:val="center"/>
          </w:tcPr>
          <w:p w14:paraId="31B171AF"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2021</w:t>
            </w:r>
          </w:p>
        </w:tc>
        <w:tc>
          <w:tcPr>
            <w:tcW w:w="1028" w:type="pct"/>
            <w:vAlign w:val="center"/>
          </w:tcPr>
          <w:p w14:paraId="7F632295"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Conference</w:t>
            </w:r>
          </w:p>
        </w:tc>
        <w:tc>
          <w:tcPr>
            <w:tcW w:w="2368" w:type="pct"/>
            <w:vAlign w:val="center"/>
          </w:tcPr>
          <w:p w14:paraId="1932B06F"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Sargassum Golden Tides conference</w:t>
            </w:r>
          </w:p>
        </w:tc>
      </w:tr>
      <w:tr w:rsidR="000D1615" w:rsidRPr="00012C32" w14:paraId="5C3F65C7" w14:textId="77777777" w:rsidTr="000D1615">
        <w:tc>
          <w:tcPr>
            <w:tcW w:w="1090" w:type="pct"/>
            <w:vAlign w:val="center"/>
          </w:tcPr>
          <w:p w14:paraId="5375A36C"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Wageningen Food &amp; Biobased Research</w:t>
            </w:r>
          </w:p>
        </w:tc>
        <w:tc>
          <w:tcPr>
            <w:tcW w:w="514" w:type="pct"/>
            <w:vAlign w:val="center"/>
          </w:tcPr>
          <w:p w14:paraId="630B3AD4"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2021</w:t>
            </w:r>
          </w:p>
        </w:tc>
        <w:tc>
          <w:tcPr>
            <w:tcW w:w="1028" w:type="pct"/>
            <w:vAlign w:val="center"/>
          </w:tcPr>
          <w:p w14:paraId="40DCB3A1" w14:textId="77777777" w:rsidR="000D1615" w:rsidRPr="00867BB6" w:rsidRDefault="000D1615" w:rsidP="000D1615">
            <w:pPr>
              <w:pStyle w:val="NoSpacing"/>
              <w:rPr>
                <w:rFonts w:ascii="Times New Roman" w:hAnsi="Times New Roman" w:cs="Times New Roman"/>
                <w:sz w:val="20"/>
                <w:szCs w:val="20"/>
                <w:lang w:val="en-US"/>
              </w:rPr>
            </w:pPr>
            <w:r w:rsidRPr="00867BB6">
              <w:rPr>
                <w:rFonts w:ascii="Times New Roman" w:hAnsi="Times New Roman" w:cs="Times New Roman"/>
                <w:sz w:val="20"/>
                <w:szCs w:val="20"/>
                <w:lang w:val="en-US"/>
              </w:rPr>
              <w:t>Uses report</w:t>
            </w:r>
          </w:p>
        </w:tc>
        <w:tc>
          <w:tcPr>
            <w:tcW w:w="2368" w:type="pct"/>
            <w:vAlign w:val="center"/>
          </w:tcPr>
          <w:p w14:paraId="6DE3EE71" w14:textId="77777777" w:rsidR="000D1615" w:rsidRPr="00867BB6" w:rsidRDefault="000D1615" w:rsidP="000D1615">
            <w:pPr>
              <w:pStyle w:val="NoSpacing"/>
              <w:rPr>
                <w:rFonts w:ascii="Times New Roman" w:hAnsi="Times New Roman" w:cs="Times New Roman"/>
                <w:sz w:val="20"/>
                <w:szCs w:val="20"/>
                <w:lang w:val="fr-FR"/>
              </w:rPr>
            </w:pPr>
            <w:proofErr w:type="spellStart"/>
            <w:r w:rsidRPr="00867BB6">
              <w:rPr>
                <w:rFonts w:ascii="Times New Roman" w:hAnsi="Times New Roman" w:cs="Times New Roman"/>
                <w:sz w:val="20"/>
                <w:szCs w:val="20"/>
                <w:lang w:val="fr-FR"/>
              </w:rPr>
              <w:t>Valorization</w:t>
            </w:r>
            <w:proofErr w:type="spellEnd"/>
            <w:r w:rsidRPr="00867BB6">
              <w:rPr>
                <w:rFonts w:ascii="Times New Roman" w:hAnsi="Times New Roman" w:cs="Times New Roman"/>
                <w:sz w:val="20"/>
                <w:szCs w:val="20"/>
                <w:lang w:val="fr-FR"/>
              </w:rPr>
              <w:t xml:space="preserve"> guide for Dutch Caribbean (</w:t>
            </w:r>
            <w:proofErr w:type="spellStart"/>
            <w:r w:rsidRPr="00867BB6">
              <w:rPr>
                <w:rFonts w:ascii="Times New Roman" w:hAnsi="Times New Roman" w:cs="Times New Roman"/>
                <w:sz w:val="20"/>
                <w:szCs w:val="20"/>
                <w:lang w:val="fr-FR"/>
              </w:rPr>
              <w:t>López</w:t>
            </w:r>
            <w:proofErr w:type="spellEnd"/>
            <w:r w:rsidRPr="00867BB6">
              <w:rPr>
                <w:rFonts w:ascii="Times New Roman" w:hAnsi="Times New Roman" w:cs="Times New Roman"/>
                <w:sz w:val="20"/>
                <w:szCs w:val="20"/>
                <w:lang w:val="fr-FR"/>
              </w:rPr>
              <w:t>-Contreras et al. 2021)</w:t>
            </w:r>
          </w:p>
        </w:tc>
      </w:tr>
    </w:tbl>
    <w:p w14:paraId="40DBD021" w14:textId="77777777" w:rsidR="005C3E95" w:rsidRPr="00867BB6" w:rsidRDefault="005C3E95" w:rsidP="002071A5">
      <w:pPr>
        <w:rPr>
          <w:lang w:val="fr-FR"/>
        </w:rPr>
      </w:pPr>
    </w:p>
    <w:p w14:paraId="56D0EF5A" w14:textId="287B39F2" w:rsidR="002071A5" w:rsidRPr="00867BB6" w:rsidRDefault="002071A5">
      <w:pPr>
        <w:spacing w:line="240" w:lineRule="auto"/>
        <w:rPr>
          <w:lang w:val="fr-FR"/>
        </w:rPr>
      </w:pPr>
      <w:r w:rsidRPr="00867BB6">
        <w:rPr>
          <w:lang w:val="fr-FR"/>
        </w:rPr>
        <w:br w:type="page"/>
      </w:r>
    </w:p>
    <w:p w14:paraId="1A6AC21F" w14:textId="3B478CBC" w:rsidR="002071A5" w:rsidRPr="00867BB6" w:rsidRDefault="002071A5" w:rsidP="003561FF">
      <w:pPr>
        <w:pStyle w:val="Tabletitle"/>
        <w:rPr>
          <w:lang w:val="en-US"/>
        </w:rPr>
      </w:pPr>
      <w:r w:rsidRPr="00867BB6">
        <w:rPr>
          <w:lang w:val="en-US"/>
        </w:rPr>
        <w:lastRenderedPageBreak/>
        <w:t>Table 3.</w:t>
      </w:r>
      <w:r w:rsidR="003C63F1" w:rsidRPr="00867BB6">
        <w:t xml:space="preserve"> </w:t>
      </w:r>
      <w:r w:rsidR="003C63F1" w:rsidRPr="00867BB6">
        <w:rPr>
          <w:lang w:val="en-US"/>
        </w:rPr>
        <w:t>National policy documents addressing sargassum influxes in Caribbean SIDS (adapted from van der Plank et al.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213"/>
        <w:gridCol w:w="962"/>
        <w:gridCol w:w="1170"/>
        <w:gridCol w:w="3282"/>
        <w:gridCol w:w="1379"/>
      </w:tblGrid>
      <w:tr w:rsidR="000334D6" w:rsidRPr="00867BB6" w14:paraId="4D6F8B60" w14:textId="77777777" w:rsidTr="000334D6">
        <w:trPr>
          <w:trHeight w:val="670"/>
        </w:trPr>
        <w:tc>
          <w:tcPr>
            <w:tcW w:w="483" w:type="dxa"/>
            <w:vAlign w:val="center"/>
          </w:tcPr>
          <w:p w14:paraId="6251DFC8" w14:textId="77777777" w:rsidR="00BB3B2C" w:rsidRPr="00867BB6" w:rsidRDefault="00BB3B2C" w:rsidP="000334D6">
            <w:pPr>
              <w:pStyle w:val="NoSpacing"/>
              <w:rPr>
                <w:b/>
                <w:bCs/>
                <w:sz w:val="17"/>
                <w:szCs w:val="17"/>
              </w:rPr>
            </w:pPr>
            <w:r w:rsidRPr="00867BB6">
              <w:rPr>
                <w:b/>
                <w:bCs/>
                <w:sz w:val="17"/>
                <w:szCs w:val="17"/>
              </w:rPr>
              <w:t>No.</w:t>
            </w:r>
          </w:p>
        </w:tc>
        <w:tc>
          <w:tcPr>
            <w:tcW w:w="1213" w:type="dxa"/>
            <w:shd w:val="clear" w:color="auto" w:fill="auto"/>
            <w:noWrap/>
            <w:vAlign w:val="center"/>
            <w:hideMark/>
          </w:tcPr>
          <w:p w14:paraId="7A02DC63" w14:textId="77777777" w:rsidR="00BB3B2C" w:rsidRPr="00867BB6" w:rsidRDefault="00BB3B2C" w:rsidP="000334D6">
            <w:pPr>
              <w:pStyle w:val="NoSpacing"/>
              <w:rPr>
                <w:b/>
                <w:bCs/>
                <w:sz w:val="17"/>
                <w:szCs w:val="17"/>
              </w:rPr>
            </w:pPr>
            <w:r w:rsidRPr="00867BB6">
              <w:rPr>
                <w:b/>
                <w:bCs/>
                <w:sz w:val="17"/>
                <w:szCs w:val="17"/>
              </w:rPr>
              <w:t>State</w:t>
            </w:r>
          </w:p>
        </w:tc>
        <w:tc>
          <w:tcPr>
            <w:tcW w:w="962" w:type="dxa"/>
            <w:shd w:val="clear" w:color="auto" w:fill="auto"/>
            <w:vAlign w:val="center"/>
            <w:hideMark/>
          </w:tcPr>
          <w:p w14:paraId="5ACDAEE9" w14:textId="77777777" w:rsidR="00BB3B2C" w:rsidRPr="00867BB6" w:rsidRDefault="00BB3B2C" w:rsidP="000334D6">
            <w:pPr>
              <w:pStyle w:val="NoSpacing"/>
              <w:rPr>
                <w:b/>
                <w:bCs/>
                <w:sz w:val="17"/>
                <w:szCs w:val="17"/>
              </w:rPr>
            </w:pPr>
            <w:r w:rsidRPr="00867BB6">
              <w:rPr>
                <w:b/>
                <w:bCs/>
                <w:sz w:val="17"/>
                <w:szCs w:val="17"/>
              </w:rPr>
              <w:t>Impact levels*</w:t>
            </w:r>
          </w:p>
        </w:tc>
        <w:tc>
          <w:tcPr>
            <w:tcW w:w="1170" w:type="dxa"/>
            <w:shd w:val="clear" w:color="auto" w:fill="auto"/>
            <w:vAlign w:val="center"/>
            <w:hideMark/>
          </w:tcPr>
          <w:p w14:paraId="1FBBFEAF" w14:textId="77777777" w:rsidR="00BB3B2C" w:rsidRPr="00867BB6" w:rsidRDefault="00BB3B2C" w:rsidP="000334D6">
            <w:pPr>
              <w:pStyle w:val="NoSpacing"/>
              <w:rPr>
                <w:b/>
                <w:bCs/>
                <w:sz w:val="17"/>
                <w:szCs w:val="17"/>
              </w:rPr>
            </w:pPr>
            <w:r w:rsidRPr="00867BB6">
              <w:rPr>
                <w:b/>
                <w:bCs/>
                <w:sz w:val="17"/>
                <w:szCs w:val="17"/>
              </w:rPr>
              <w:t>Document type</w:t>
            </w:r>
          </w:p>
        </w:tc>
        <w:tc>
          <w:tcPr>
            <w:tcW w:w="3282" w:type="dxa"/>
            <w:shd w:val="clear" w:color="auto" w:fill="auto"/>
            <w:noWrap/>
            <w:vAlign w:val="center"/>
            <w:hideMark/>
          </w:tcPr>
          <w:p w14:paraId="0A26317B" w14:textId="77777777" w:rsidR="00BB3B2C" w:rsidRPr="00867BB6" w:rsidRDefault="00BB3B2C" w:rsidP="000334D6">
            <w:pPr>
              <w:pStyle w:val="NoSpacing"/>
              <w:rPr>
                <w:b/>
                <w:bCs/>
                <w:sz w:val="17"/>
                <w:szCs w:val="17"/>
              </w:rPr>
            </w:pPr>
            <w:r w:rsidRPr="00867BB6">
              <w:rPr>
                <w:b/>
                <w:bCs/>
                <w:sz w:val="17"/>
                <w:szCs w:val="17"/>
              </w:rPr>
              <w:t>Report title</w:t>
            </w:r>
          </w:p>
        </w:tc>
        <w:tc>
          <w:tcPr>
            <w:tcW w:w="1379" w:type="dxa"/>
            <w:shd w:val="clear" w:color="auto" w:fill="auto"/>
            <w:noWrap/>
            <w:vAlign w:val="center"/>
            <w:hideMark/>
          </w:tcPr>
          <w:p w14:paraId="7644EE1B" w14:textId="77777777" w:rsidR="00BB3B2C" w:rsidRPr="00867BB6" w:rsidRDefault="00BB3B2C" w:rsidP="000334D6">
            <w:pPr>
              <w:pStyle w:val="NoSpacing"/>
              <w:rPr>
                <w:b/>
                <w:bCs/>
                <w:sz w:val="17"/>
                <w:szCs w:val="17"/>
              </w:rPr>
            </w:pPr>
            <w:r w:rsidRPr="00867BB6">
              <w:rPr>
                <w:b/>
                <w:bCs/>
                <w:sz w:val="17"/>
                <w:szCs w:val="17"/>
              </w:rPr>
              <w:t>Year</w:t>
            </w:r>
          </w:p>
        </w:tc>
      </w:tr>
      <w:tr w:rsidR="000334D6" w:rsidRPr="00867BB6" w14:paraId="405F13FC" w14:textId="77777777" w:rsidTr="000334D6">
        <w:trPr>
          <w:trHeight w:val="400"/>
        </w:trPr>
        <w:tc>
          <w:tcPr>
            <w:tcW w:w="483" w:type="dxa"/>
            <w:vAlign w:val="center"/>
          </w:tcPr>
          <w:p w14:paraId="4B42CE98" w14:textId="77777777" w:rsidR="00BB3B2C" w:rsidRPr="00867BB6" w:rsidRDefault="00BB3B2C" w:rsidP="000334D6">
            <w:pPr>
              <w:pStyle w:val="NoSpacing"/>
              <w:rPr>
                <w:sz w:val="17"/>
                <w:szCs w:val="17"/>
              </w:rPr>
            </w:pPr>
            <w:r w:rsidRPr="00867BB6">
              <w:rPr>
                <w:sz w:val="17"/>
                <w:szCs w:val="17"/>
              </w:rPr>
              <w:t>1</w:t>
            </w:r>
          </w:p>
        </w:tc>
        <w:tc>
          <w:tcPr>
            <w:tcW w:w="1213" w:type="dxa"/>
            <w:shd w:val="clear" w:color="auto" w:fill="auto"/>
            <w:noWrap/>
            <w:vAlign w:val="center"/>
            <w:hideMark/>
          </w:tcPr>
          <w:p w14:paraId="5CFC8C90" w14:textId="77777777" w:rsidR="00BB3B2C" w:rsidRPr="00867BB6" w:rsidRDefault="00BB3B2C" w:rsidP="000334D6">
            <w:pPr>
              <w:pStyle w:val="NoSpacing"/>
              <w:rPr>
                <w:sz w:val="17"/>
                <w:szCs w:val="17"/>
              </w:rPr>
            </w:pPr>
            <w:r w:rsidRPr="00867BB6">
              <w:rPr>
                <w:sz w:val="17"/>
                <w:szCs w:val="17"/>
              </w:rPr>
              <w:t>Anguilla (UK)</w:t>
            </w:r>
          </w:p>
        </w:tc>
        <w:tc>
          <w:tcPr>
            <w:tcW w:w="962" w:type="dxa"/>
            <w:shd w:val="clear" w:color="auto" w:fill="auto"/>
            <w:vAlign w:val="center"/>
            <w:hideMark/>
          </w:tcPr>
          <w:p w14:paraId="5FA94701" w14:textId="77777777" w:rsidR="00BB3B2C" w:rsidRPr="00867BB6" w:rsidRDefault="00BB3B2C" w:rsidP="000334D6">
            <w:pPr>
              <w:pStyle w:val="NoSpacing"/>
              <w:rPr>
                <w:i/>
                <w:iCs/>
                <w:sz w:val="17"/>
                <w:szCs w:val="17"/>
              </w:rPr>
            </w:pPr>
            <w:r w:rsidRPr="00867BB6">
              <w:rPr>
                <w:i/>
                <w:iCs/>
                <w:sz w:val="17"/>
                <w:szCs w:val="17"/>
              </w:rPr>
              <w:t>VH</w:t>
            </w:r>
          </w:p>
        </w:tc>
        <w:tc>
          <w:tcPr>
            <w:tcW w:w="1170" w:type="dxa"/>
            <w:shd w:val="clear" w:color="auto" w:fill="auto"/>
            <w:vAlign w:val="center"/>
            <w:hideMark/>
          </w:tcPr>
          <w:p w14:paraId="7C15D145" w14:textId="77777777" w:rsidR="00BB3B2C" w:rsidRPr="00867BB6" w:rsidRDefault="00BB3B2C" w:rsidP="000334D6">
            <w:pPr>
              <w:pStyle w:val="NoSpacing"/>
              <w:rPr>
                <w:sz w:val="17"/>
                <w:szCs w:val="17"/>
              </w:rPr>
            </w:pPr>
            <w:r w:rsidRPr="00867BB6">
              <w:rPr>
                <w:rFonts w:eastAsia="Calibri"/>
                <w:color w:val="000000"/>
                <w:sz w:val="17"/>
                <w:szCs w:val="17"/>
              </w:rPr>
              <w:t>Management plan</w:t>
            </w:r>
          </w:p>
        </w:tc>
        <w:tc>
          <w:tcPr>
            <w:tcW w:w="3282" w:type="dxa"/>
            <w:shd w:val="clear" w:color="auto" w:fill="auto"/>
            <w:noWrap/>
            <w:vAlign w:val="center"/>
            <w:hideMark/>
          </w:tcPr>
          <w:p w14:paraId="6C0A3116" w14:textId="77777777" w:rsidR="00BB3B2C" w:rsidRPr="00867BB6" w:rsidRDefault="00BB3B2C" w:rsidP="000334D6">
            <w:pPr>
              <w:pStyle w:val="NoSpacing"/>
              <w:rPr>
                <w:sz w:val="17"/>
                <w:szCs w:val="17"/>
              </w:rPr>
            </w:pPr>
            <w:r w:rsidRPr="00867BB6">
              <w:rPr>
                <w:rFonts w:eastAsia="Calibri"/>
                <w:color w:val="000000"/>
                <w:sz w:val="17"/>
                <w:szCs w:val="17"/>
              </w:rPr>
              <w:t>Draft Sargassum management plan</w:t>
            </w:r>
          </w:p>
        </w:tc>
        <w:tc>
          <w:tcPr>
            <w:tcW w:w="1379" w:type="dxa"/>
            <w:shd w:val="clear" w:color="auto" w:fill="auto"/>
            <w:noWrap/>
            <w:vAlign w:val="center"/>
            <w:hideMark/>
          </w:tcPr>
          <w:p w14:paraId="5E09FDEB" w14:textId="77777777" w:rsidR="00BB3B2C" w:rsidRPr="00867BB6" w:rsidRDefault="00BB3B2C" w:rsidP="000334D6">
            <w:pPr>
              <w:pStyle w:val="NoSpacing"/>
              <w:rPr>
                <w:sz w:val="17"/>
                <w:szCs w:val="17"/>
              </w:rPr>
            </w:pPr>
            <w:r w:rsidRPr="00867BB6">
              <w:rPr>
                <w:sz w:val="17"/>
                <w:szCs w:val="17"/>
              </w:rPr>
              <w:t>2015</w:t>
            </w:r>
          </w:p>
        </w:tc>
      </w:tr>
      <w:tr w:rsidR="000334D6" w:rsidRPr="00867BB6" w14:paraId="7D482545" w14:textId="77777777" w:rsidTr="000334D6">
        <w:trPr>
          <w:trHeight w:val="400"/>
        </w:trPr>
        <w:tc>
          <w:tcPr>
            <w:tcW w:w="483" w:type="dxa"/>
            <w:vAlign w:val="center"/>
          </w:tcPr>
          <w:p w14:paraId="1A8E8ECE" w14:textId="77777777" w:rsidR="00BB3B2C" w:rsidRPr="00867BB6" w:rsidRDefault="00BB3B2C" w:rsidP="000334D6">
            <w:pPr>
              <w:pStyle w:val="NoSpacing"/>
              <w:rPr>
                <w:sz w:val="17"/>
                <w:szCs w:val="17"/>
              </w:rPr>
            </w:pPr>
            <w:r w:rsidRPr="00867BB6">
              <w:rPr>
                <w:sz w:val="17"/>
                <w:szCs w:val="17"/>
              </w:rPr>
              <w:t>2</w:t>
            </w:r>
          </w:p>
        </w:tc>
        <w:tc>
          <w:tcPr>
            <w:tcW w:w="1213" w:type="dxa"/>
            <w:shd w:val="clear" w:color="auto" w:fill="auto"/>
            <w:noWrap/>
            <w:vAlign w:val="center"/>
            <w:hideMark/>
          </w:tcPr>
          <w:p w14:paraId="6A0929A8" w14:textId="77777777" w:rsidR="00BB3B2C" w:rsidRPr="00867BB6" w:rsidRDefault="00BB3B2C" w:rsidP="000334D6">
            <w:pPr>
              <w:pStyle w:val="NoSpacing"/>
              <w:rPr>
                <w:sz w:val="17"/>
                <w:szCs w:val="17"/>
              </w:rPr>
            </w:pPr>
            <w:r w:rsidRPr="00867BB6">
              <w:rPr>
                <w:sz w:val="17"/>
                <w:szCs w:val="17"/>
              </w:rPr>
              <w:t>Antigua and Barbuda</w:t>
            </w:r>
          </w:p>
        </w:tc>
        <w:tc>
          <w:tcPr>
            <w:tcW w:w="962" w:type="dxa"/>
            <w:shd w:val="clear" w:color="auto" w:fill="auto"/>
            <w:vAlign w:val="center"/>
            <w:hideMark/>
          </w:tcPr>
          <w:p w14:paraId="7C901467" w14:textId="77777777" w:rsidR="00BB3B2C" w:rsidRPr="00867BB6" w:rsidRDefault="00BB3B2C" w:rsidP="000334D6">
            <w:pPr>
              <w:pStyle w:val="NoSpacing"/>
              <w:rPr>
                <w:i/>
                <w:iCs/>
                <w:sz w:val="17"/>
                <w:szCs w:val="17"/>
              </w:rPr>
            </w:pPr>
            <w:r w:rsidRPr="00867BB6">
              <w:rPr>
                <w:i/>
                <w:iCs/>
                <w:sz w:val="17"/>
                <w:szCs w:val="17"/>
              </w:rPr>
              <w:t>VH</w:t>
            </w:r>
          </w:p>
        </w:tc>
        <w:tc>
          <w:tcPr>
            <w:tcW w:w="1170" w:type="dxa"/>
            <w:shd w:val="clear" w:color="auto" w:fill="auto"/>
            <w:vAlign w:val="center"/>
            <w:hideMark/>
          </w:tcPr>
          <w:p w14:paraId="3E6BB5B8" w14:textId="77777777" w:rsidR="00BB3B2C" w:rsidRPr="00867BB6" w:rsidRDefault="00BB3B2C" w:rsidP="000334D6">
            <w:pPr>
              <w:pStyle w:val="NoSpacing"/>
              <w:rPr>
                <w:sz w:val="17"/>
                <w:szCs w:val="17"/>
              </w:rPr>
            </w:pPr>
            <w:r w:rsidRPr="00867BB6">
              <w:rPr>
                <w:sz w:val="17"/>
                <w:szCs w:val="17"/>
              </w:rPr>
              <w:t>Invite for tender</w:t>
            </w:r>
          </w:p>
        </w:tc>
        <w:tc>
          <w:tcPr>
            <w:tcW w:w="3282" w:type="dxa"/>
            <w:shd w:val="clear" w:color="auto" w:fill="auto"/>
            <w:noWrap/>
            <w:vAlign w:val="center"/>
            <w:hideMark/>
          </w:tcPr>
          <w:p w14:paraId="452728E3" w14:textId="77777777" w:rsidR="00BB3B2C" w:rsidRPr="00867BB6" w:rsidRDefault="00BB3B2C" w:rsidP="000334D6">
            <w:pPr>
              <w:pStyle w:val="NoSpacing"/>
              <w:rPr>
                <w:sz w:val="17"/>
                <w:szCs w:val="17"/>
              </w:rPr>
            </w:pPr>
            <w:r w:rsidRPr="00867BB6">
              <w:rPr>
                <w:color w:val="000000"/>
                <w:sz w:val="17"/>
                <w:szCs w:val="17"/>
              </w:rPr>
              <w:t xml:space="preserve">Request for Expression of Interest for the Supply of Equipment and Machinery for Aquatic </w:t>
            </w:r>
            <w:r w:rsidRPr="00867BB6">
              <w:rPr>
                <w:i/>
                <w:iCs/>
                <w:color w:val="000000"/>
                <w:sz w:val="17"/>
                <w:szCs w:val="17"/>
              </w:rPr>
              <w:t xml:space="preserve">Sargassum </w:t>
            </w:r>
            <w:r w:rsidRPr="00867BB6">
              <w:rPr>
                <w:color w:val="000000"/>
                <w:sz w:val="17"/>
                <w:szCs w:val="17"/>
              </w:rPr>
              <w:t>seaweed removal in Antigua and Barbuda</w:t>
            </w:r>
          </w:p>
        </w:tc>
        <w:tc>
          <w:tcPr>
            <w:tcW w:w="1379" w:type="dxa"/>
            <w:shd w:val="clear" w:color="auto" w:fill="auto"/>
            <w:noWrap/>
            <w:vAlign w:val="center"/>
            <w:hideMark/>
          </w:tcPr>
          <w:p w14:paraId="0A586C87" w14:textId="77777777" w:rsidR="00BB3B2C" w:rsidRPr="00867BB6" w:rsidRDefault="00BB3B2C" w:rsidP="000334D6">
            <w:pPr>
              <w:pStyle w:val="NoSpacing"/>
              <w:rPr>
                <w:sz w:val="17"/>
                <w:szCs w:val="17"/>
              </w:rPr>
            </w:pPr>
            <w:r w:rsidRPr="00867BB6">
              <w:rPr>
                <w:sz w:val="17"/>
                <w:szCs w:val="17"/>
              </w:rPr>
              <w:t>2018</w:t>
            </w:r>
          </w:p>
        </w:tc>
      </w:tr>
      <w:tr w:rsidR="000334D6" w:rsidRPr="00867BB6" w14:paraId="6F316CB2" w14:textId="77777777" w:rsidTr="000334D6">
        <w:trPr>
          <w:trHeight w:val="400"/>
        </w:trPr>
        <w:tc>
          <w:tcPr>
            <w:tcW w:w="483" w:type="dxa"/>
            <w:vAlign w:val="center"/>
          </w:tcPr>
          <w:p w14:paraId="53CACB0A" w14:textId="77777777" w:rsidR="00BB3B2C" w:rsidRPr="00867BB6" w:rsidRDefault="00BB3B2C" w:rsidP="000334D6">
            <w:pPr>
              <w:pStyle w:val="NoSpacing"/>
              <w:rPr>
                <w:sz w:val="17"/>
                <w:szCs w:val="17"/>
              </w:rPr>
            </w:pPr>
            <w:r w:rsidRPr="00867BB6">
              <w:rPr>
                <w:sz w:val="17"/>
                <w:szCs w:val="17"/>
              </w:rPr>
              <w:t>3</w:t>
            </w:r>
          </w:p>
        </w:tc>
        <w:tc>
          <w:tcPr>
            <w:tcW w:w="1213" w:type="dxa"/>
            <w:shd w:val="clear" w:color="auto" w:fill="auto"/>
            <w:noWrap/>
            <w:vAlign w:val="center"/>
            <w:hideMark/>
          </w:tcPr>
          <w:p w14:paraId="25DC2BF5" w14:textId="77777777" w:rsidR="00BB3B2C" w:rsidRPr="00867BB6" w:rsidRDefault="00BB3B2C" w:rsidP="000334D6">
            <w:pPr>
              <w:pStyle w:val="NoSpacing"/>
              <w:rPr>
                <w:sz w:val="17"/>
                <w:szCs w:val="17"/>
              </w:rPr>
            </w:pPr>
            <w:r w:rsidRPr="00867BB6">
              <w:rPr>
                <w:sz w:val="17"/>
                <w:szCs w:val="17"/>
              </w:rPr>
              <w:t>Aruba (NL)</w:t>
            </w:r>
          </w:p>
        </w:tc>
        <w:tc>
          <w:tcPr>
            <w:tcW w:w="962" w:type="dxa"/>
            <w:shd w:val="clear" w:color="auto" w:fill="auto"/>
            <w:vAlign w:val="center"/>
            <w:hideMark/>
          </w:tcPr>
          <w:p w14:paraId="0A8F0A02" w14:textId="77777777" w:rsidR="00BB3B2C" w:rsidRPr="00867BB6" w:rsidRDefault="00BB3B2C" w:rsidP="000334D6">
            <w:pPr>
              <w:pStyle w:val="NoSpacing"/>
              <w:rPr>
                <w:i/>
                <w:iCs/>
                <w:sz w:val="17"/>
                <w:szCs w:val="17"/>
              </w:rPr>
            </w:pPr>
            <w:r w:rsidRPr="00867BB6">
              <w:rPr>
                <w:i/>
                <w:iCs/>
                <w:sz w:val="17"/>
                <w:szCs w:val="17"/>
              </w:rPr>
              <w:t>M</w:t>
            </w:r>
          </w:p>
        </w:tc>
        <w:tc>
          <w:tcPr>
            <w:tcW w:w="1170" w:type="dxa"/>
            <w:shd w:val="clear" w:color="auto" w:fill="auto"/>
            <w:vAlign w:val="center"/>
            <w:hideMark/>
          </w:tcPr>
          <w:p w14:paraId="2C7FA474" w14:textId="77777777" w:rsidR="00BB3B2C" w:rsidRPr="00867BB6" w:rsidRDefault="00BB3B2C" w:rsidP="000334D6">
            <w:pPr>
              <w:pStyle w:val="NoSpacing"/>
              <w:rPr>
                <w:sz w:val="17"/>
                <w:szCs w:val="17"/>
              </w:rPr>
            </w:pPr>
            <w:r w:rsidRPr="00867BB6">
              <w:rPr>
                <w:sz w:val="17"/>
                <w:szCs w:val="17"/>
              </w:rPr>
              <w:t>Management brief (NL)</w:t>
            </w:r>
          </w:p>
        </w:tc>
        <w:tc>
          <w:tcPr>
            <w:tcW w:w="3282" w:type="dxa"/>
            <w:shd w:val="clear" w:color="auto" w:fill="auto"/>
            <w:noWrap/>
            <w:vAlign w:val="center"/>
            <w:hideMark/>
          </w:tcPr>
          <w:p w14:paraId="37D4B2AF" w14:textId="77777777" w:rsidR="00BB3B2C" w:rsidRPr="00867BB6" w:rsidRDefault="00BB3B2C" w:rsidP="000334D6">
            <w:pPr>
              <w:pStyle w:val="NoSpacing"/>
              <w:rPr>
                <w:sz w:val="17"/>
                <w:szCs w:val="17"/>
              </w:rPr>
            </w:pPr>
            <w:r w:rsidRPr="00867BB6">
              <w:rPr>
                <w:color w:val="000000"/>
                <w:sz w:val="17"/>
                <w:szCs w:val="17"/>
              </w:rPr>
              <w:t>Prevention and clean-up of Sargassum in the Dutch Caribbean</w:t>
            </w:r>
          </w:p>
        </w:tc>
        <w:tc>
          <w:tcPr>
            <w:tcW w:w="1379" w:type="dxa"/>
            <w:shd w:val="clear" w:color="auto" w:fill="auto"/>
            <w:noWrap/>
            <w:vAlign w:val="center"/>
            <w:hideMark/>
          </w:tcPr>
          <w:p w14:paraId="75D7B46B" w14:textId="77777777" w:rsidR="00BB3B2C" w:rsidRPr="00867BB6" w:rsidRDefault="00BB3B2C" w:rsidP="000334D6">
            <w:pPr>
              <w:pStyle w:val="NoSpacing"/>
              <w:rPr>
                <w:sz w:val="17"/>
                <w:szCs w:val="17"/>
              </w:rPr>
            </w:pPr>
            <w:r w:rsidRPr="00867BB6">
              <w:rPr>
                <w:sz w:val="17"/>
                <w:szCs w:val="17"/>
              </w:rPr>
              <w:t>2019</w:t>
            </w:r>
          </w:p>
        </w:tc>
      </w:tr>
      <w:tr w:rsidR="000334D6" w:rsidRPr="00867BB6" w14:paraId="15685F91" w14:textId="77777777" w:rsidTr="000334D6">
        <w:trPr>
          <w:trHeight w:val="400"/>
        </w:trPr>
        <w:tc>
          <w:tcPr>
            <w:tcW w:w="483" w:type="dxa"/>
            <w:vAlign w:val="center"/>
          </w:tcPr>
          <w:p w14:paraId="5623E45F" w14:textId="77777777" w:rsidR="00BB3B2C" w:rsidRPr="00867BB6" w:rsidRDefault="00BB3B2C" w:rsidP="000334D6">
            <w:pPr>
              <w:pStyle w:val="NoSpacing"/>
              <w:rPr>
                <w:sz w:val="17"/>
                <w:szCs w:val="17"/>
              </w:rPr>
            </w:pPr>
            <w:r w:rsidRPr="00867BB6">
              <w:rPr>
                <w:sz w:val="17"/>
                <w:szCs w:val="17"/>
              </w:rPr>
              <w:t>4</w:t>
            </w:r>
          </w:p>
        </w:tc>
        <w:tc>
          <w:tcPr>
            <w:tcW w:w="1213" w:type="dxa"/>
            <w:shd w:val="clear" w:color="auto" w:fill="auto"/>
            <w:noWrap/>
            <w:vAlign w:val="center"/>
            <w:hideMark/>
          </w:tcPr>
          <w:p w14:paraId="39FCE628" w14:textId="77777777" w:rsidR="00BB3B2C" w:rsidRPr="00867BB6" w:rsidRDefault="00BB3B2C" w:rsidP="000334D6">
            <w:pPr>
              <w:pStyle w:val="NoSpacing"/>
              <w:rPr>
                <w:sz w:val="17"/>
                <w:szCs w:val="17"/>
              </w:rPr>
            </w:pPr>
            <w:r w:rsidRPr="00867BB6">
              <w:rPr>
                <w:sz w:val="17"/>
                <w:szCs w:val="17"/>
              </w:rPr>
              <w:t>Bahamas</w:t>
            </w:r>
          </w:p>
        </w:tc>
        <w:tc>
          <w:tcPr>
            <w:tcW w:w="962" w:type="dxa"/>
            <w:shd w:val="clear" w:color="auto" w:fill="auto"/>
            <w:vAlign w:val="center"/>
            <w:hideMark/>
          </w:tcPr>
          <w:p w14:paraId="3616579C" w14:textId="77777777" w:rsidR="00BB3B2C" w:rsidRPr="00867BB6" w:rsidRDefault="00BB3B2C" w:rsidP="000334D6">
            <w:pPr>
              <w:pStyle w:val="NoSpacing"/>
              <w:rPr>
                <w:i/>
                <w:iCs/>
                <w:sz w:val="17"/>
                <w:szCs w:val="17"/>
              </w:rPr>
            </w:pPr>
            <w:r w:rsidRPr="00867BB6">
              <w:rPr>
                <w:i/>
                <w:iCs/>
                <w:sz w:val="17"/>
                <w:szCs w:val="17"/>
              </w:rPr>
              <w:t>L</w:t>
            </w:r>
          </w:p>
        </w:tc>
        <w:tc>
          <w:tcPr>
            <w:tcW w:w="1170" w:type="dxa"/>
            <w:shd w:val="clear" w:color="auto" w:fill="auto"/>
            <w:vAlign w:val="center"/>
            <w:hideMark/>
          </w:tcPr>
          <w:p w14:paraId="122BD5AA" w14:textId="77777777" w:rsidR="00BB3B2C" w:rsidRPr="00867BB6" w:rsidRDefault="00BB3B2C" w:rsidP="000334D6">
            <w:pPr>
              <w:pStyle w:val="NoSpacing"/>
              <w:rPr>
                <w:sz w:val="17"/>
                <w:szCs w:val="17"/>
              </w:rPr>
            </w:pPr>
            <w:r w:rsidRPr="00867BB6">
              <w:rPr>
                <w:sz w:val="17"/>
                <w:szCs w:val="17"/>
              </w:rPr>
              <w:t>None found</w:t>
            </w:r>
          </w:p>
        </w:tc>
        <w:tc>
          <w:tcPr>
            <w:tcW w:w="3282" w:type="dxa"/>
            <w:shd w:val="clear" w:color="auto" w:fill="auto"/>
            <w:noWrap/>
            <w:vAlign w:val="center"/>
            <w:hideMark/>
          </w:tcPr>
          <w:p w14:paraId="36B09401" w14:textId="77777777" w:rsidR="00BB3B2C" w:rsidRPr="00867BB6" w:rsidRDefault="00BB3B2C" w:rsidP="000334D6">
            <w:pPr>
              <w:pStyle w:val="NoSpacing"/>
              <w:rPr>
                <w:sz w:val="17"/>
                <w:szCs w:val="17"/>
              </w:rPr>
            </w:pPr>
            <w:r w:rsidRPr="00867BB6">
              <w:rPr>
                <w:color w:val="000000"/>
                <w:sz w:val="17"/>
                <w:szCs w:val="17"/>
              </w:rPr>
              <w:t>N/A</w:t>
            </w:r>
          </w:p>
        </w:tc>
        <w:tc>
          <w:tcPr>
            <w:tcW w:w="1379" w:type="dxa"/>
            <w:shd w:val="clear" w:color="auto" w:fill="auto"/>
            <w:noWrap/>
            <w:vAlign w:val="center"/>
            <w:hideMark/>
          </w:tcPr>
          <w:p w14:paraId="2F2ABB83" w14:textId="77777777" w:rsidR="00BB3B2C" w:rsidRPr="00867BB6" w:rsidRDefault="00BB3B2C" w:rsidP="000334D6">
            <w:pPr>
              <w:pStyle w:val="NoSpacing"/>
              <w:rPr>
                <w:sz w:val="17"/>
                <w:szCs w:val="17"/>
              </w:rPr>
            </w:pPr>
            <w:r w:rsidRPr="00867BB6">
              <w:rPr>
                <w:sz w:val="17"/>
                <w:szCs w:val="17"/>
              </w:rPr>
              <w:t>N/A</w:t>
            </w:r>
          </w:p>
        </w:tc>
      </w:tr>
      <w:tr w:rsidR="000334D6" w:rsidRPr="00867BB6" w14:paraId="2577E895" w14:textId="77777777" w:rsidTr="000334D6">
        <w:trPr>
          <w:trHeight w:val="339"/>
        </w:trPr>
        <w:tc>
          <w:tcPr>
            <w:tcW w:w="483" w:type="dxa"/>
            <w:vAlign w:val="center"/>
          </w:tcPr>
          <w:p w14:paraId="60270262" w14:textId="77777777" w:rsidR="00BB3B2C" w:rsidRPr="00867BB6" w:rsidRDefault="00BB3B2C" w:rsidP="000334D6">
            <w:pPr>
              <w:pStyle w:val="NoSpacing"/>
              <w:rPr>
                <w:sz w:val="17"/>
                <w:szCs w:val="17"/>
              </w:rPr>
            </w:pPr>
            <w:r w:rsidRPr="00867BB6">
              <w:rPr>
                <w:sz w:val="17"/>
                <w:szCs w:val="17"/>
              </w:rPr>
              <w:t>5</w:t>
            </w:r>
          </w:p>
        </w:tc>
        <w:tc>
          <w:tcPr>
            <w:tcW w:w="1213" w:type="dxa"/>
            <w:vMerge w:val="restart"/>
            <w:shd w:val="clear" w:color="auto" w:fill="auto"/>
            <w:noWrap/>
            <w:vAlign w:val="center"/>
            <w:hideMark/>
          </w:tcPr>
          <w:p w14:paraId="53935918" w14:textId="77777777" w:rsidR="00BB3B2C" w:rsidRPr="00867BB6" w:rsidRDefault="00BB3B2C" w:rsidP="000334D6">
            <w:pPr>
              <w:pStyle w:val="NoSpacing"/>
              <w:rPr>
                <w:sz w:val="17"/>
                <w:szCs w:val="17"/>
              </w:rPr>
            </w:pPr>
            <w:r w:rsidRPr="00867BB6">
              <w:rPr>
                <w:sz w:val="17"/>
                <w:szCs w:val="17"/>
              </w:rPr>
              <w:t>Barbados</w:t>
            </w:r>
          </w:p>
        </w:tc>
        <w:tc>
          <w:tcPr>
            <w:tcW w:w="962" w:type="dxa"/>
            <w:vMerge w:val="restart"/>
            <w:shd w:val="clear" w:color="auto" w:fill="auto"/>
            <w:vAlign w:val="center"/>
            <w:hideMark/>
          </w:tcPr>
          <w:p w14:paraId="56CDD259" w14:textId="77777777" w:rsidR="00BB3B2C" w:rsidRPr="00867BB6" w:rsidRDefault="00BB3B2C" w:rsidP="000334D6">
            <w:pPr>
              <w:pStyle w:val="NoSpacing"/>
              <w:rPr>
                <w:i/>
                <w:iCs/>
                <w:sz w:val="17"/>
                <w:szCs w:val="17"/>
              </w:rPr>
            </w:pPr>
            <w:r w:rsidRPr="00867BB6">
              <w:rPr>
                <w:i/>
                <w:iCs/>
                <w:sz w:val="17"/>
                <w:szCs w:val="17"/>
              </w:rPr>
              <w:t>VH</w:t>
            </w:r>
          </w:p>
        </w:tc>
        <w:tc>
          <w:tcPr>
            <w:tcW w:w="1170" w:type="dxa"/>
            <w:shd w:val="clear" w:color="auto" w:fill="auto"/>
            <w:vAlign w:val="center"/>
            <w:hideMark/>
          </w:tcPr>
          <w:p w14:paraId="310B7800" w14:textId="77777777" w:rsidR="00BB3B2C" w:rsidRPr="00867BB6" w:rsidRDefault="00BB3B2C" w:rsidP="000334D6">
            <w:pPr>
              <w:pStyle w:val="NoSpacing"/>
              <w:rPr>
                <w:sz w:val="17"/>
                <w:szCs w:val="17"/>
              </w:rPr>
            </w:pPr>
            <w:r w:rsidRPr="00867BB6">
              <w:rPr>
                <w:rFonts w:eastAsia="Calibri"/>
                <w:color w:val="000000"/>
                <w:sz w:val="17"/>
                <w:szCs w:val="17"/>
              </w:rPr>
              <w:t>Management brief</w:t>
            </w:r>
          </w:p>
        </w:tc>
        <w:tc>
          <w:tcPr>
            <w:tcW w:w="3282" w:type="dxa"/>
            <w:shd w:val="clear" w:color="auto" w:fill="auto"/>
            <w:noWrap/>
            <w:vAlign w:val="center"/>
            <w:hideMark/>
          </w:tcPr>
          <w:p w14:paraId="20075F69" w14:textId="77777777" w:rsidR="00BB3B2C" w:rsidRPr="00867BB6" w:rsidRDefault="00BB3B2C" w:rsidP="000334D6">
            <w:pPr>
              <w:pStyle w:val="NoSpacing"/>
              <w:rPr>
                <w:sz w:val="17"/>
                <w:szCs w:val="17"/>
              </w:rPr>
            </w:pPr>
            <w:r w:rsidRPr="00867BB6">
              <w:rPr>
                <w:rFonts w:eastAsia="Calibri"/>
                <w:color w:val="000000"/>
                <w:sz w:val="17"/>
                <w:szCs w:val="17"/>
              </w:rPr>
              <w:t>Barbados Sargassum Management Plan</w:t>
            </w:r>
          </w:p>
        </w:tc>
        <w:tc>
          <w:tcPr>
            <w:tcW w:w="1379" w:type="dxa"/>
            <w:shd w:val="clear" w:color="auto" w:fill="auto"/>
            <w:noWrap/>
            <w:vAlign w:val="center"/>
            <w:hideMark/>
          </w:tcPr>
          <w:p w14:paraId="55E3F697" w14:textId="77777777" w:rsidR="00BB3B2C" w:rsidRPr="00867BB6" w:rsidRDefault="00BB3B2C" w:rsidP="000334D6">
            <w:pPr>
              <w:pStyle w:val="NoSpacing"/>
              <w:rPr>
                <w:sz w:val="17"/>
                <w:szCs w:val="17"/>
              </w:rPr>
            </w:pPr>
            <w:r w:rsidRPr="00867BB6">
              <w:rPr>
                <w:rFonts w:eastAsia="Calibri"/>
                <w:color w:val="000000"/>
                <w:sz w:val="17"/>
                <w:szCs w:val="17"/>
              </w:rPr>
              <w:t>2019</w:t>
            </w:r>
          </w:p>
        </w:tc>
      </w:tr>
      <w:tr w:rsidR="000334D6" w:rsidRPr="00867BB6" w14:paraId="6C9F15B4" w14:textId="77777777" w:rsidTr="000334D6">
        <w:trPr>
          <w:trHeight w:val="400"/>
        </w:trPr>
        <w:tc>
          <w:tcPr>
            <w:tcW w:w="483" w:type="dxa"/>
            <w:vAlign w:val="center"/>
          </w:tcPr>
          <w:p w14:paraId="04225AEC" w14:textId="77777777" w:rsidR="00BB3B2C" w:rsidRPr="00867BB6" w:rsidRDefault="00BB3B2C" w:rsidP="000334D6">
            <w:pPr>
              <w:pStyle w:val="NoSpacing"/>
              <w:rPr>
                <w:sz w:val="17"/>
                <w:szCs w:val="17"/>
              </w:rPr>
            </w:pPr>
            <w:r w:rsidRPr="00867BB6">
              <w:rPr>
                <w:sz w:val="17"/>
                <w:szCs w:val="17"/>
              </w:rPr>
              <w:t>6</w:t>
            </w:r>
          </w:p>
        </w:tc>
        <w:tc>
          <w:tcPr>
            <w:tcW w:w="1213" w:type="dxa"/>
            <w:vMerge/>
            <w:shd w:val="clear" w:color="auto" w:fill="auto"/>
            <w:noWrap/>
            <w:vAlign w:val="center"/>
          </w:tcPr>
          <w:p w14:paraId="3506CB74" w14:textId="77777777" w:rsidR="00BB3B2C" w:rsidRPr="00867BB6" w:rsidRDefault="00BB3B2C" w:rsidP="000334D6">
            <w:pPr>
              <w:pStyle w:val="NoSpacing"/>
              <w:rPr>
                <w:sz w:val="17"/>
                <w:szCs w:val="17"/>
              </w:rPr>
            </w:pPr>
          </w:p>
        </w:tc>
        <w:tc>
          <w:tcPr>
            <w:tcW w:w="962" w:type="dxa"/>
            <w:vMerge/>
            <w:shd w:val="clear" w:color="auto" w:fill="auto"/>
            <w:vAlign w:val="center"/>
          </w:tcPr>
          <w:p w14:paraId="60B7F210" w14:textId="77777777" w:rsidR="00BB3B2C" w:rsidRPr="00867BB6" w:rsidRDefault="00BB3B2C" w:rsidP="000334D6">
            <w:pPr>
              <w:pStyle w:val="NoSpacing"/>
              <w:rPr>
                <w:i/>
                <w:iCs/>
                <w:sz w:val="17"/>
                <w:szCs w:val="17"/>
              </w:rPr>
            </w:pPr>
          </w:p>
        </w:tc>
        <w:tc>
          <w:tcPr>
            <w:tcW w:w="1170" w:type="dxa"/>
            <w:shd w:val="clear" w:color="auto" w:fill="auto"/>
            <w:vAlign w:val="center"/>
          </w:tcPr>
          <w:p w14:paraId="0BCE3040" w14:textId="77777777" w:rsidR="00BB3B2C" w:rsidRPr="00867BB6" w:rsidRDefault="00BB3B2C" w:rsidP="000334D6">
            <w:pPr>
              <w:pStyle w:val="NoSpacing"/>
              <w:rPr>
                <w:rFonts w:eastAsia="Calibri"/>
                <w:color w:val="000000"/>
                <w:sz w:val="17"/>
                <w:szCs w:val="17"/>
              </w:rPr>
            </w:pPr>
            <w:r w:rsidRPr="00867BB6">
              <w:rPr>
                <w:rFonts w:eastAsia="Calibri"/>
                <w:color w:val="000000"/>
                <w:sz w:val="17"/>
                <w:szCs w:val="17"/>
              </w:rPr>
              <w:t>Management strategy</w:t>
            </w:r>
          </w:p>
        </w:tc>
        <w:tc>
          <w:tcPr>
            <w:tcW w:w="3282" w:type="dxa"/>
            <w:shd w:val="clear" w:color="auto" w:fill="auto"/>
            <w:noWrap/>
            <w:vAlign w:val="center"/>
          </w:tcPr>
          <w:p w14:paraId="001DB1F7" w14:textId="77777777" w:rsidR="00BB3B2C" w:rsidRPr="00867BB6" w:rsidRDefault="00BB3B2C" w:rsidP="000334D6">
            <w:pPr>
              <w:pStyle w:val="NoSpacing"/>
              <w:rPr>
                <w:rFonts w:eastAsia="Calibri"/>
                <w:color w:val="000000"/>
                <w:sz w:val="17"/>
                <w:szCs w:val="17"/>
              </w:rPr>
            </w:pPr>
            <w:r w:rsidRPr="00867BB6">
              <w:rPr>
                <w:rFonts w:eastAsia="Calibri"/>
                <w:color w:val="000000"/>
                <w:sz w:val="17"/>
                <w:szCs w:val="17"/>
              </w:rPr>
              <w:t>Barbados Sargassum Adaptive Management Strategy</w:t>
            </w:r>
          </w:p>
        </w:tc>
        <w:tc>
          <w:tcPr>
            <w:tcW w:w="1379" w:type="dxa"/>
            <w:shd w:val="clear" w:color="auto" w:fill="auto"/>
            <w:noWrap/>
            <w:vAlign w:val="center"/>
          </w:tcPr>
          <w:p w14:paraId="0E40F260" w14:textId="77777777" w:rsidR="00BB3B2C" w:rsidRPr="00867BB6" w:rsidRDefault="00BB3B2C" w:rsidP="000334D6">
            <w:pPr>
              <w:pStyle w:val="NoSpacing"/>
              <w:rPr>
                <w:rFonts w:eastAsia="Calibri"/>
                <w:color w:val="000000"/>
                <w:sz w:val="17"/>
                <w:szCs w:val="17"/>
              </w:rPr>
            </w:pPr>
            <w:r w:rsidRPr="00867BB6">
              <w:rPr>
                <w:rFonts w:eastAsia="Calibri"/>
                <w:color w:val="000000"/>
                <w:sz w:val="17"/>
                <w:szCs w:val="17"/>
              </w:rPr>
              <w:t>2021</w:t>
            </w:r>
          </w:p>
        </w:tc>
      </w:tr>
      <w:tr w:rsidR="000334D6" w:rsidRPr="00867BB6" w14:paraId="6CB5661B" w14:textId="77777777" w:rsidTr="000334D6">
        <w:trPr>
          <w:trHeight w:val="400"/>
        </w:trPr>
        <w:tc>
          <w:tcPr>
            <w:tcW w:w="483" w:type="dxa"/>
            <w:vAlign w:val="center"/>
          </w:tcPr>
          <w:p w14:paraId="2E1097E1" w14:textId="77777777" w:rsidR="00BB3B2C" w:rsidRPr="00867BB6" w:rsidRDefault="00BB3B2C" w:rsidP="000334D6">
            <w:pPr>
              <w:pStyle w:val="NoSpacing"/>
              <w:rPr>
                <w:sz w:val="17"/>
                <w:szCs w:val="17"/>
              </w:rPr>
            </w:pPr>
            <w:r w:rsidRPr="00867BB6">
              <w:rPr>
                <w:sz w:val="17"/>
                <w:szCs w:val="17"/>
              </w:rPr>
              <w:t>7</w:t>
            </w:r>
          </w:p>
        </w:tc>
        <w:tc>
          <w:tcPr>
            <w:tcW w:w="1213" w:type="dxa"/>
            <w:shd w:val="clear" w:color="auto" w:fill="auto"/>
            <w:noWrap/>
            <w:vAlign w:val="center"/>
            <w:hideMark/>
          </w:tcPr>
          <w:p w14:paraId="4D9F5799" w14:textId="77777777" w:rsidR="00BB3B2C" w:rsidRPr="00867BB6" w:rsidRDefault="00BB3B2C" w:rsidP="000334D6">
            <w:pPr>
              <w:pStyle w:val="NoSpacing"/>
              <w:rPr>
                <w:sz w:val="17"/>
                <w:szCs w:val="17"/>
              </w:rPr>
            </w:pPr>
            <w:r w:rsidRPr="00867BB6">
              <w:rPr>
                <w:sz w:val="17"/>
                <w:szCs w:val="17"/>
              </w:rPr>
              <w:t>Belize</w:t>
            </w:r>
          </w:p>
        </w:tc>
        <w:tc>
          <w:tcPr>
            <w:tcW w:w="962" w:type="dxa"/>
            <w:shd w:val="clear" w:color="auto" w:fill="auto"/>
            <w:vAlign w:val="center"/>
            <w:hideMark/>
          </w:tcPr>
          <w:p w14:paraId="74F05FA5" w14:textId="77777777" w:rsidR="00BB3B2C" w:rsidRPr="00867BB6" w:rsidRDefault="00BB3B2C" w:rsidP="000334D6">
            <w:pPr>
              <w:pStyle w:val="NoSpacing"/>
              <w:rPr>
                <w:i/>
                <w:iCs/>
                <w:sz w:val="17"/>
                <w:szCs w:val="17"/>
              </w:rPr>
            </w:pPr>
            <w:r w:rsidRPr="00867BB6">
              <w:rPr>
                <w:i/>
                <w:iCs/>
                <w:sz w:val="17"/>
                <w:szCs w:val="17"/>
              </w:rPr>
              <w:t>VH</w:t>
            </w:r>
          </w:p>
        </w:tc>
        <w:tc>
          <w:tcPr>
            <w:tcW w:w="1170" w:type="dxa"/>
            <w:shd w:val="clear" w:color="auto" w:fill="auto"/>
            <w:vAlign w:val="center"/>
          </w:tcPr>
          <w:p w14:paraId="44923FB1" w14:textId="77777777" w:rsidR="00BB3B2C" w:rsidRPr="00867BB6" w:rsidRDefault="00BB3B2C" w:rsidP="000334D6">
            <w:pPr>
              <w:pStyle w:val="NoSpacing"/>
              <w:rPr>
                <w:sz w:val="17"/>
                <w:szCs w:val="17"/>
              </w:rPr>
            </w:pPr>
            <w:r w:rsidRPr="00867BB6">
              <w:rPr>
                <w:sz w:val="17"/>
                <w:szCs w:val="17"/>
              </w:rPr>
              <w:t>None found</w:t>
            </w:r>
          </w:p>
        </w:tc>
        <w:tc>
          <w:tcPr>
            <w:tcW w:w="3282" w:type="dxa"/>
            <w:shd w:val="clear" w:color="auto" w:fill="auto"/>
            <w:noWrap/>
            <w:vAlign w:val="center"/>
          </w:tcPr>
          <w:p w14:paraId="39A241CB" w14:textId="77777777" w:rsidR="00BB3B2C" w:rsidRPr="00867BB6" w:rsidRDefault="00BB3B2C" w:rsidP="000334D6">
            <w:pPr>
              <w:pStyle w:val="NoSpacing"/>
              <w:rPr>
                <w:sz w:val="17"/>
                <w:szCs w:val="17"/>
              </w:rPr>
            </w:pPr>
            <w:r w:rsidRPr="00867BB6">
              <w:rPr>
                <w:color w:val="000000"/>
                <w:sz w:val="17"/>
                <w:szCs w:val="17"/>
              </w:rPr>
              <w:t>N/A</w:t>
            </w:r>
          </w:p>
        </w:tc>
        <w:tc>
          <w:tcPr>
            <w:tcW w:w="1379" w:type="dxa"/>
            <w:shd w:val="clear" w:color="auto" w:fill="auto"/>
            <w:noWrap/>
            <w:vAlign w:val="center"/>
          </w:tcPr>
          <w:p w14:paraId="20C2D014" w14:textId="77777777" w:rsidR="00BB3B2C" w:rsidRPr="00867BB6" w:rsidRDefault="00BB3B2C" w:rsidP="000334D6">
            <w:pPr>
              <w:pStyle w:val="NoSpacing"/>
              <w:rPr>
                <w:sz w:val="17"/>
                <w:szCs w:val="17"/>
              </w:rPr>
            </w:pPr>
            <w:r w:rsidRPr="00867BB6">
              <w:rPr>
                <w:sz w:val="17"/>
                <w:szCs w:val="17"/>
              </w:rPr>
              <w:t>N/A</w:t>
            </w:r>
          </w:p>
        </w:tc>
      </w:tr>
      <w:tr w:rsidR="000334D6" w:rsidRPr="00867BB6" w14:paraId="771AA282" w14:textId="77777777" w:rsidTr="000334D6">
        <w:trPr>
          <w:trHeight w:val="400"/>
        </w:trPr>
        <w:tc>
          <w:tcPr>
            <w:tcW w:w="483" w:type="dxa"/>
            <w:vAlign w:val="center"/>
          </w:tcPr>
          <w:p w14:paraId="061B07A8" w14:textId="77777777" w:rsidR="00BB3B2C" w:rsidRPr="00867BB6" w:rsidRDefault="00BB3B2C" w:rsidP="000334D6">
            <w:pPr>
              <w:pStyle w:val="NoSpacing"/>
              <w:rPr>
                <w:sz w:val="17"/>
                <w:szCs w:val="17"/>
              </w:rPr>
            </w:pPr>
            <w:r w:rsidRPr="00867BB6">
              <w:rPr>
                <w:sz w:val="17"/>
                <w:szCs w:val="17"/>
              </w:rPr>
              <w:t>8</w:t>
            </w:r>
          </w:p>
        </w:tc>
        <w:tc>
          <w:tcPr>
            <w:tcW w:w="1213" w:type="dxa"/>
            <w:shd w:val="clear" w:color="auto" w:fill="auto"/>
            <w:noWrap/>
            <w:vAlign w:val="center"/>
            <w:hideMark/>
          </w:tcPr>
          <w:p w14:paraId="56017698" w14:textId="77777777" w:rsidR="00BB3B2C" w:rsidRPr="00867BB6" w:rsidRDefault="00BB3B2C" w:rsidP="000334D6">
            <w:pPr>
              <w:pStyle w:val="NoSpacing"/>
              <w:rPr>
                <w:sz w:val="17"/>
                <w:szCs w:val="17"/>
              </w:rPr>
            </w:pPr>
            <w:r w:rsidRPr="00867BB6">
              <w:rPr>
                <w:sz w:val="17"/>
                <w:szCs w:val="17"/>
              </w:rPr>
              <w:t>Bermuda (UK)</w:t>
            </w:r>
          </w:p>
        </w:tc>
        <w:tc>
          <w:tcPr>
            <w:tcW w:w="962" w:type="dxa"/>
            <w:shd w:val="clear" w:color="auto" w:fill="auto"/>
            <w:vAlign w:val="center"/>
            <w:hideMark/>
          </w:tcPr>
          <w:p w14:paraId="112F98C3" w14:textId="77777777" w:rsidR="00BB3B2C" w:rsidRPr="00867BB6" w:rsidRDefault="00BB3B2C" w:rsidP="000334D6">
            <w:pPr>
              <w:pStyle w:val="NoSpacing"/>
              <w:rPr>
                <w:i/>
                <w:iCs/>
                <w:sz w:val="17"/>
                <w:szCs w:val="17"/>
              </w:rPr>
            </w:pPr>
            <w:r w:rsidRPr="00867BB6">
              <w:rPr>
                <w:i/>
                <w:iCs/>
                <w:sz w:val="17"/>
                <w:szCs w:val="17"/>
              </w:rPr>
              <w:t>NA</w:t>
            </w:r>
          </w:p>
        </w:tc>
        <w:tc>
          <w:tcPr>
            <w:tcW w:w="1170" w:type="dxa"/>
            <w:shd w:val="clear" w:color="auto" w:fill="auto"/>
            <w:vAlign w:val="center"/>
            <w:hideMark/>
          </w:tcPr>
          <w:p w14:paraId="6A0427C3" w14:textId="77777777" w:rsidR="00BB3B2C" w:rsidRPr="00867BB6" w:rsidRDefault="00BB3B2C" w:rsidP="000334D6">
            <w:pPr>
              <w:pStyle w:val="NoSpacing"/>
              <w:rPr>
                <w:sz w:val="17"/>
                <w:szCs w:val="17"/>
              </w:rPr>
            </w:pPr>
            <w:r w:rsidRPr="00867BB6">
              <w:rPr>
                <w:sz w:val="17"/>
                <w:szCs w:val="17"/>
              </w:rPr>
              <w:t>Biodiversity conservation strategy</w:t>
            </w:r>
          </w:p>
        </w:tc>
        <w:tc>
          <w:tcPr>
            <w:tcW w:w="3282" w:type="dxa"/>
            <w:shd w:val="clear" w:color="auto" w:fill="auto"/>
            <w:noWrap/>
            <w:vAlign w:val="center"/>
            <w:hideMark/>
          </w:tcPr>
          <w:p w14:paraId="3C764326" w14:textId="77777777" w:rsidR="00BB3B2C" w:rsidRPr="00867BB6" w:rsidRDefault="00BB3B2C" w:rsidP="000334D6">
            <w:pPr>
              <w:pStyle w:val="NoSpacing"/>
              <w:rPr>
                <w:sz w:val="17"/>
                <w:szCs w:val="17"/>
              </w:rPr>
            </w:pPr>
            <w:r w:rsidRPr="00867BB6">
              <w:rPr>
                <w:color w:val="000000"/>
                <w:sz w:val="17"/>
                <w:szCs w:val="17"/>
              </w:rPr>
              <w:t>The protection and management of the Sargasso Sea: The golden floating rainforest of the Atlantic Ocean.</w:t>
            </w:r>
          </w:p>
        </w:tc>
        <w:tc>
          <w:tcPr>
            <w:tcW w:w="1379" w:type="dxa"/>
            <w:shd w:val="clear" w:color="auto" w:fill="auto"/>
            <w:noWrap/>
            <w:vAlign w:val="center"/>
            <w:hideMark/>
          </w:tcPr>
          <w:p w14:paraId="1FFAE472" w14:textId="77777777" w:rsidR="00BB3B2C" w:rsidRPr="00867BB6" w:rsidRDefault="00BB3B2C" w:rsidP="000334D6">
            <w:pPr>
              <w:pStyle w:val="NoSpacing"/>
              <w:rPr>
                <w:sz w:val="17"/>
                <w:szCs w:val="17"/>
              </w:rPr>
            </w:pPr>
            <w:r w:rsidRPr="00867BB6">
              <w:rPr>
                <w:sz w:val="17"/>
                <w:szCs w:val="17"/>
              </w:rPr>
              <w:t>2011</w:t>
            </w:r>
          </w:p>
        </w:tc>
      </w:tr>
      <w:tr w:rsidR="000334D6" w:rsidRPr="00867BB6" w14:paraId="1309F2C1" w14:textId="77777777" w:rsidTr="000334D6">
        <w:trPr>
          <w:trHeight w:val="400"/>
        </w:trPr>
        <w:tc>
          <w:tcPr>
            <w:tcW w:w="483" w:type="dxa"/>
            <w:vAlign w:val="center"/>
          </w:tcPr>
          <w:p w14:paraId="53D93ECD" w14:textId="77777777" w:rsidR="00BB3B2C" w:rsidRPr="00867BB6" w:rsidRDefault="00BB3B2C" w:rsidP="000334D6">
            <w:pPr>
              <w:pStyle w:val="NoSpacing"/>
              <w:rPr>
                <w:sz w:val="17"/>
                <w:szCs w:val="17"/>
              </w:rPr>
            </w:pPr>
            <w:r w:rsidRPr="00867BB6">
              <w:rPr>
                <w:sz w:val="17"/>
                <w:szCs w:val="17"/>
              </w:rPr>
              <w:t>9</w:t>
            </w:r>
          </w:p>
        </w:tc>
        <w:tc>
          <w:tcPr>
            <w:tcW w:w="1213" w:type="dxa"/>
            <w:vMerge w:val="restart"/>
            <w:shd w:val="clear" w:color="auto" w:fill="auto"/>
            <w:noWrap/>
            <w:vAlign w:val="center"/>
            <w:hideMark/>
          </w:tcPr>
          <w:p w14:paraId="504B15C3" w14:textId="77777777" w:rsidR="00BB3B2C" w:rsidRPr="00867BB6" w:rsidRDefault="00BB3B2C" w:rsidP="000334D6">
            <w:pPr>
              <w:pStyle w:val="NoSpacing"/>
              <w:rPr>
                <w:sz w:val="17"/>
                <w:szCs w:val="17"/>
              </w:rPr>
            </w:pPr>
            <w:r w:rsidRPr="00867BB6">
              <w:rPr>
                <w:sz w:val="17"/>
                <w:szCs w:val="17"/>
              </w:rPr>
              <w:t>Bonaire (NL)</w:t>
            </w:r>
          </w:p>
        </w:tc>
        <w:tc>
          <w:tcPr>
            <w:tcW w:w="962" w:type="dxa"/>
            <w:vMerge w:val="restart"/>
            <w:shd w:val="clear" w:color="auto" w:fill="auto"/>
            <w:vAlign w:val="center"/>
            <w:hideMark/>
          </w:tcPr>
          <w:p w14:paraId="6B8ECB21" w14:textId="77777777" w:rsidR="00BB3B2C" w:rsidRPr="00867BB6" w:rsidRDefault="00BB3B2C" w:rsidP="000334D6">
            <w:pPr>
              <w:pStyle w:val="NoSpacing"/>
              <w:rPr>
                <w:i/>
                <w:iCs/>
                <w:sz w:val="17"/>
                <w:szCs w:val="17"/>
              </w:rPr>
            </w:pPr>
            <w:r w:rsidRPr="00867BB6">
              <w:rPr>
                <w:i/>
                <w:iCs/>
                <w:sz w:val="17"/>
                <w:szCs w:val="17"/>
              </w:rPr>
              <w:t>H</w:t>
            </w:r>
          </w:p>
        </w:tc>
        <w:tc>
          <w:tcPr>
            <w:tcW w:w="1170" w:type="dxa"/>
            <w:shd w:val="clear" w:color="auto" w:fill="auto"/>
            <w:vAlign w:val="center"/>
            <w:hideMark/>
          </w:tcPr>
          <w:p w14:paraId="6013A367" w14:textId="77777777" w:rsidR="00BB3B2C" w:rsidRPr="00867BB6" w:rsidRDefault="00BB3B2C" w:rsidP="000334D6">
            <w:pPr>
              <w:pStyle w:val="NoSpacing"/>
              <w:rPr>
                <w:sz w:val="17"/>
                <w:szCs w:val="17"/>
              </w:rPr>
            </w:pPr>
            <w:r w:rsidRPr="00867BB6">
              <w:rPr>
                <w:sz w:val="17"/>
                <w:szCs w:val="17"/>
              </w:rPr>
              <w:t>Management brief (NL)</w:t>
            </w:r>
          </w:p>
        </w:tc>
        <w:tc>
          <w:tcPr>
            <w:tcW w:w="3282" w:type="dxa"/>
            <w:shd w:val="clear" w:color="auto" w:fill="auto"/>
            <w:noWrap/>
            <w:vAlign w:val="center"/>
            <w:hideMark/>
          </w:tcPr>
          <w:p w14:paraId="6C708E57" w14:textId="77777777" w:rsidR="00BB3B2C" w:rsidRPr="00867BB6" w:rsidRDefault="00BB3B2C" w:rsidP="000334D6">
            <w:pPr>
              <w:pStyle w:val="NoSpacing"/>
              <w:rPr>
                <w:color w:val="000000"/>
                <w:sz w:val="17"/>
                <w:szCs w:val="17"/>
              </w:rPr>
            </w:pPr>
            <w:r w:rsidRPr="00867BB6">
              <w:rPr>
                <w:color w:val="000000"/>
                <w:sz w:val="17"/>
                <w:szCs w:val="17"/>
              </w:rPr>
              <w:t>Prevention and clean-up of Sargassum in the Dutch Caribbean</w:t>
            </w:r>
          </w:p>
          <w:p w14:paraId="35119D56" w14:textId="77777777" w:rsidR="00BB3B2C" w:rsidRPr="00867BB6" w:rsidRDefault="00BB3B2C" w:rsidP="000334D6">
            <w:pPr>
              <w:pStyle w:val="NoSpacing"/>
              <w:rPr>
                <w:sz w:val="17"/>
                <w:szCs w:val="17"/>
              </w:rPr>
            </w:pPr>
          </w:p>
        </w:tc>
        <w:tc>
          <w:tcPr>
            <w:tcW w:w="1379" w:type="dxa"/>
            <w:shd w:val="clear" w:color="auto" w:fill="auto"/>
            <w:noWrap/>
            <w:vAlign w:val="center"/>
            <w:hideMark/>
          </w:tcPr>
          <w:p w14:paraId="7FCDBE49" w14:textId="77777777" w:rsidR="00BB3B2C" w:rsidRPr="00867BB6" w:rsidRDefault="00BB3B2C" w:rsidP="000334D6">
            <w:pPr>
              <w:pStyle w:val="NoSpacing"/>
              <w:rPr>
                <w:sz w:val="17"/>
                <w:szCs w:val="17"/>
              </w:rPr>
            </w:pPr>
            <w:r w:rsidRPr="00867BB6">
              <w:rPr>
                <w:sz w:val="17"/>
                <w:szCs w:val="17"/>
              </w:rPr>
              <w:t>2018</w:t>
            </w:r>
          </w:p>
        </w:tc>
      </w:tr>
      <w:tr w:rsidR="000334D6" w:rsidRPr="00867BB6" w14:paraId="28604EB7" w14:textId="77777777" w:rsidTr="000334D6">
        <w:trPr>
          <w:trHeight w:val="400"/>
        </w:trPr>
        <w:tc>
          <w:tcPr>
            <w:tcW w:w="483" w:type="dxa"/>
            <w:vAlign w:val="center"/>
          </w:tcPr>
          <w:p w14:paraId="7FB28FE1" w14:textId="77777777" w:rsidR="00BB3B2C" w:rsidRPr="00867BB6" w:rsidRDefault="00BB3B2C" w:rsidP="000334D6">
            <w:pPr>
              <w:pStyle w:val="NoSpacing"/>
              <w:rPr>
                <w:sz w:val="17"/>
                <w:szCs w:val="17"/>
              </w:rPr>
            </w:pPr>
            <w:r w:rsidRPr="00867BB6">
              <w:rPr>
                <w:sz w:val="17"/>
                <w:szCs w:val="17"/>
              </w:rPr>
              <w:t>10</w:t>
            </w:r>
          </w:p>
        </w:tc>
        <w:tc>
          <w:tcPr>
            <w:tcW w:w="1213" w:type="dxa"/>
            <w:vMerge/>
            <w:shd w:val="clear" w:color="auto" w:fill="auto"/>
            <w:noWrap/>
            <w:vAlign w:val="center"/>
          </w:tcPr>
          <w:p w14:paraId="0046ACAB" w14:textId="77777777" w:rsidR="00BB3B2C" w:rsidRPr="00867BB6" w:rsidRDefault="00BB3B2C" w:rsidP="000334D6">
            <w:pPr>
              <w:pStyle w:val="NoSpacing"/>
              <w:rPr>
                <w:sz w:val="17"/>
                <w:szCs w:val="17"/>
              </w:rPr>
            </w:pPr>
          </w:p>
        </w:tc>
        <w:tc>
          <w:tcPr>
            <w:tcW w:w="962" w:type="dxa"/>
            <w:vMerge/>
            <w:shd w:val="clear" w:color="auto" w:fill="auto"/>
            <w:vAlign w:val="center"/>
          </w:tcPr>
          <w:p w14:paraId="325ACE66" w14:textId="77777777" w:rsidR="00BB3B2C" w:rsidRPr="00867BB6" w:rsidRDefault="00BB3B2C" w:rsidP="000334D6">
            <w:pPr>
              <w:pStyle w:val="NoSpacing"/>
              <w:rPr>
                <w:i/>
                <w:iCs/>
                <w:sz w:val="17"/>
                <w:szCs w:val="17"/>
              </w:rPr>
            </w:pPr>
          </w:p>
        </w:tc>
        <w:tc>
          <w:tcPr>
            <w:tcW w:w="1170" w:type="dxa"/>
            <w:shd w:val="clear" w:color="auto" w:fill="auto"/>
            <w:vAlign w:val="center"/>
          </w:tcPr>
          <w:p w14:paraId="60ACF453" w14:textId="77777777" w:rsidR="00BB3B2C" w:rsidRPr="00867BB6" w:rsidRDefault="00BB3B2C" w:rsidP="000334D6">
            <w:pPr>
              <w:pStyle w:val="NoSpacing"/>
              <w:rPr>
                <w:sz w:val="17"/>
                <w:szCs w:val="17"/>
              </w:rPr>
            </w:pPr>
            <w:r w:rsidRPr="00867BB6">
              <w:rPr>
                <w:sz w:val="17"/>
                <w:szCs w:val="17"/>
              </w:rPr>
              <w:t>Presentation</w:t>
            </w:r>
          </w:p>
        </w:tc>
        <w:tc>
          <w:tcPr>
            <w:tcW w:w="3282" w:type="dxa"/>
            <w:shd w:val="clear" w:color="auto" w:fill="auto"/>
            <w:noWrap/>
            <w:vAlign w:val="center"/>
          </w:tcPr>
          <w:p w14:paraId="6625F123" w14:textId="77777777" w:rsidR="00BB3B2C" w:rsidRPr="00867BB6" w:rsidRDefault="00BB3B2C" w:rsidP="000334D6">
            <w:pPr>
              <w:pStyle w:val="NoSpacing"/>
              <w:rPr>
                <w:color w:val="000000"/>
                <w:sz w:val="17"/>
                <w:szCs w:val="17"/>
              </w:rPr>
            </w:pPr>
            <w:r w:rsidRPr="00867BB6">
              <w:rPr>
                <w:color w:val="000000"/>
                <w:sz w:val="17"/>
                <w:szCs w:val="17"/>
              </w:rPr>
              <w:t>Sargassum Bonaire</w:t>
            </w:r>
          </w:p>
        </w:tc>
        <w:tc>
          <w:tcPr>
            <w:tcW w:w="1379" w:type="dxa"/>
            <w:shd w:val="clear" w:color="auto" w:fill="auto"/>
            <w:noWrap/>
            <w:vAlign w:val="center"/>
          </w:tcPr>
          <w:p w14:paraId="58A0B583" w14:textId="77777777" w:rsidR="00BB3B2C" w:rsidRPr="00867BB6" w:rsidRDefault="00BB3B2C" w:rsidP="000334D6">
            <w:pPr>
              <w:pStyle w:val="NoSpacing"/>
              <w:rPr>
                <w:sz w:val="17"/>
                <w:szCs w:val="17"/>
              </w:rPr>
            </w:pPr>
            <w:r w:rsidRPr="00867BB6">
              <w:rPr>
                <w:sz w:val="17"/>
                <w:szCs w:val="17"/>
              </w:rPr>
              <w:t>2018</w:t>
            </w:r>
          </w:p>
        </w:tc>
      </w:tr>
      <w:tr w:rsidR="000334D6" w:rsidRPr="00867BB6" w14:paraId="3C6BE5BE" w14:textId="77777777" w:rsidTr="000334D6">
        <w:trPr>
          <w:trHeight w:val="400"/>
        </w:trPr>
        <w:tc>
          <w:tcPr>
            <w:tcW w:w="483" w:type="dxa"/>
            <w:vAlign w:val="center"/>
          </w:tcPr>
          <w:p w14:paraId="11B87A15" w14:textId="77777777" w:rsidR="00BB3B2C" w:rsidRPr="00867BB6" w:rsidRDefault="00BB3B2C" w:rsidP="000334D6">
            <w:pPr>
              <w:pStyle w:val="NoSpacing"/>
              <w:rPr>
                <w:sz w:val="17"/>
                <w:szCs w:val="17"/>
              </w:rPr>
            </w:pPr>
            <w:r w:rsidRPr="00867BB6">
              <w:rPr>
                <w:sz w:val="17"/>
                <w:szCs w:val="17"/>
              </w:rPr>
              <w:t>11</w:t>
            </w:r>
          </w:p>
        </w:tc>
        <w:tc>
          <w:tcPr>
            <w:tcW w:w="1213" w:type="dxa"/>
            <w:shd w:val="clear" w:color="auto" w:fill="auto"/>
            <w:noWrap/>
            <w:vAlign w:val="center"/>
            <w:hideMark/>
          </w:tcPr>
          <w:p w14:paraId="6D30228F" w14:textId="77777777" w:rsidR="00BB3B2C" w:rsidRPr="00867BB6" w:rsidRDefault="00BB3B2C" w:rsidP="000334D6">
            <w:pPr>
              <w:pStyle w:val="NoSpacing"/>
              <w:rPr>
                <w:sz w:val="17"/>
                <w:szCs w:val="17"/>
              </w:rPr>
            </w:pPr>
            <w:r w:rsidRPr="00867BB6">
              <w:rPr>
                <w:sz w:val="17"/>
                <w:szCs w:val="17"/>
              </w:rPr>
              <w:t>British Virgin Islands</w:t>
            </w:r>
          </w:p>
        </w:tc>
        <w:tc>
          <w:tcPr>
            <w:tcW w:w="962" w:type="dxa"/>
            <w:shd w:val="clear" w:color="auto" w:fill="auto"/>
            <w:vAlign w:val="center"/>
            <w:hideMark/>
          </w:tcPr>
          <w:p w14:paraId="6AAACB39" w14:textId="77777777" w:rsidR="00BB3B2C" w:rsidRPr="00867BB6" w:rsidRDefault="00BB3B2C" w:rsidP="000334D6">
            <w:pPr>
              <w:pStyle w:val="NoSpacing"/>
              <w:rPr>
                <w:i/>
                <w:iCs/>
                <w:sz w:val="17"/>
                <w:szCs w:val="17"/>
              </w:rPr>
            </w:pPr>
            <w:r w:rsidRPr="00867BB6">
              <w:rPr>
                <w:i/>
                <w:iCs/>
                <w:sz w:val="17"/>
                <w:szCs w:val="17"/>
              </w:rPr>
              <w:t>VH</w:t>
            </w:r>
          </w:p>
        </w:tc>
        <w:tc>
          <w:tcPr>
            <w:tcW w:w="1170" w:type="dxa"/>
            <w:shd w:val="clear" w:color="auto" w:fill="auto"/>
            <w:vAlign w:val="center"/>
            <w:hideMark/>
          </w:tcPr>
          <w:p w14:paraId="35432C8A" w14:textId="77777777" w:rsidR="00BB3B2C" w:rsidRPr="00867BB6" w:rsidRDefault="00BB3B2C" w:rsidP="000334D6">
            <w:pPr>
              <w:pStyle w:val="NoSpacing"/>
              <w:rPr>
                <w:sz w:val="17"/>
                <w:szCs w:val="17"/>
              </w:rPr>
            </w:pPr>
            <w:r w:rsidRPr="00867BB6">
              <w:rPr>
                <w:sz w:val="17"/>
                <w:szCs w:val="17"/>
              </w:rPr>
              <w:t>Statements to parliament</w:t>
            </w:r>
          </w:p>
        </w:tc>
        <w:tc>
          <w:tcPr>
            <w:tcW w:w="3282" w:type="dxa"/>
            <w:shd w:val="clear" w:color="auto" w:fill="auto"/>
            <w:noWrap/>
            <w:vAlign w:val="center"/>
            <w:hideMark/>
          </w:tcPr>
          <w:p w14:paraId="6D107402" w14:textId="77777777" w:rsidR="00BB3B2C" w:rsidRPr="00867BB6" w:rsidRDefault="00BB3B2C" w:rsidP="000334D6">
            <w:pPr>
              <w:pStyle w:val="NoSpacing"/>
              <w:rPr>
                <w:sz w:val="17"/>
                <w:szCs w:val="17"/>
              </w:rPr>
            </w:pPr>
            <w:r w:rsidRPr="00867BB6">
              <w:rPr>
                <w:color w:val="000000"/>
                <w:sz w:val="17"/>
                <w:szCs w:val="17"/>
              </w:rPr>
              <w:t>Statement by Deputy Premier and Minister for Natural Resources and Labour Dr. The Honourable Kedrick D Pickering "Sargassum Seaweed Phenomenon"</w:t>
            </w:r>
          </w:p>
        </w:tc>
        <w:tc>
          <w:tcPr>
            <w:tcW w:w="1379" w:type="dxa"/>
            <w:shd w:val="clear" w:color="auto" w:fill="auto"/>
            <w:noWrap/>
            <w:vAlign w:val="center"/>
            <w:hideMark/>
          </w:tcPr>
          <w:p w14:paraId="2B3F74AD" w14:textId="77777777" w:rsidR="00BB3B2C" w:rsidRPr="00867BB6" w:rsidRDefault="00BB3B2C" w:rsidP="000334D6">
            <w:pPr>
              <w:pStyle w:val="NoSpacing"/>
              <w:rPr>
                <w:sz w:val="17"/>
                <w:szCs w:val="17"/>
              </w:rPr>
            </w:pPr>
            <w:r w:rsidRPr="00867BB6">
              <w:rPr>
                <w:sz w:val="17"/>
                <w:szCs w:val="17"/>
              </w:rPr>
              <w:t>2015</w:t>
            </w:r>
          </w:p>
        </w:tc>
      </w:tr>
      <w:tr w:rsidR="000334D6" w:rsidRPr="00867BB6" w14:paraId="4A2C28EB" w14:textId="77777777" w:rsidTr="000334D6">
        <w:trPr>
          <w:trHeight w:val="400"/>
        </w:trPr>
        <w:tc>
          <w:tcPr>
            <w:tcW w:w="483" w:type="dxa"/>
            <w:vAlign w:val="center"/>
          </w:tcPr>
          <w:p w14:paraId="12597C26" w14:textId="77777777" w:rsidR="00BB3B2C" w:rsidRPr="00867BB6" w:rsidRDefault="00BB3B2C" w:rsidP="000334D6">
            <w:pPr>
              <w:pStyle w:val="NoSpacing"/>
              <w:rPr>
                <w:sz w:val="17"/>
                <w:szCs w:val="17"/>
              </w:rPr>
            </w:pPr>
            <w:r w:rsidRPr="00867BB6">
              <w:rPr>
                <w:sz w:val="17"/>
                <w:szCs w:val="17"/>
              </w:rPr>
              <w:t>12</w:t>
            </w:r>
          </w:p>
        </w:tc>
        <w:tc>
          <w:tcPr>
            <w:tcW w:w="1213" w:type="dxa"/>
            <w:shd w:val="clear" w:color="auto" w:fill="auto"/>
            <w:noWrap/>
            <w:vAlign w:val="center"/>
            <w:hideMark/>
          </w:tcPr>
          <w:p w14:paraId="0DFC7448" w14:textId="77777777" w:rsidR="00BB3B2C" w:rsidRPr="00867BB6" w:rsidRDefault="00BB3B2C" w:rsidP="000334D6">
            <w:pPr>
              <w:pStyle w:val="NoSpacing"/>
              <w:rPr>
                <w:sz w:val="17"/>
                <w:szCs w:val="17"/>
              </w:rPr>
            </w:pPr>
            <w:r w:rsidRPr="00867BB6">
              <w:rPr>
                <w:sz w:val="17"/>
                <w:szCs w:val="17"/>
              </w:rPr>
              <w:t>Cayman Islands (UK)</w:t>
            </w:r>
          </w:p>
        </w:tc>
        <w:tc>
          <w:tcPr>
            <w:tcW w:w="962" w:type="dxa"/>
            <w:shd w:val="clear" w:color="auto" w:fill="auto"/>
            <w:vAlign w:val="center"/>
            <w:hideMark/>
          </w:tcPr>
          <w:p w14:paraId="2905A3A8" w14:textId="77777777" w:rsidR="00BB3B2C" w:rsidRPr="00867BB6" w:rsidRDefault="00BB3B2C" w:rsidP="000334D6">
            <w:pPr>
              <w:pStyle w:val="NoSpacing"/>
              <w:rPr>
                <w:i/>
                <w:iCs/>
                <w:sz w:val="17"/>
                <w:szCs w:val="17"/>
              </w:rPr>
            </w:pPr>
            <w:r w:rsidRPr="00867BB6">
              <w:rPr>
                <w:i/>
                <w:iCs/>
                <w:sz w:val="17"/>
                <w:szCs w:val="17"/>
              </w:rPr>
              <w:t>H</w:t>
            </w:r>
          </w:p>
        </w:tc>
        <w:tc>
          <w:tcPr>
            <w:tcW w:w="1170" w:type="dxa"/>
            <w:shd w:val="clear" w:color="auto" w:fill="auto"/>
            <w:vAlign w:val="center"/>
            <w:hideMark/>
          </w:tcPr>
          <w:p w14:paraId="58643208" w14:textId="77777777" w:rsidR="00BB3B2C" w:rsidRPr="00867BB6" w:rsidRDefault="00BB3B2C" w:rsidP="000334D6">
            <w:pPr>
              <w:pStyle w:val="NoSpacing"/>
              <w:rPr>
                <w:sz w:val="17"/>
                <w:szCs w:val="17"/>
              </w:rPr>
            </w:pPr>
            <w:r w:rsidRPr="00867BB6">
              <w:rPr>
                <w:sz w:val="17"/>
                <w:szCs w:val="17"/>
              </w:rPr>
              <w:t>Removal guidelines</w:t>
            </w:r>
          </w:p>
        </w:tc>
        <w:tc>
          <w:tcPr>
            <w:tcW w:w="3282" w:type="dxa"/>
            <w:shd w:val="clear" w:color="auto" w:fill="auto"/>
            <w:noWrap/>
            <w:vAlign w:val="center"/>
            <w:hideMark/>
          </w:tcPr>
          <w:p w14:paraId="16E03A1F" w14:textId="77777777" w:rsidR="00BB3B2C" w:rsidRPr="00867BB6" w:rsidRDefault="00BB3B2C" w:rsidP="000334D6">
            <w:pPr>
              <w:pStyle w:val="NoSpacing"/>
              <w:rPr>
                <w:sz w:val="17"/>
                <w:szCs w:val="17"/>
              </w:rPr>
            </w:pPr>
            <w:r w:rsidRPr="00867BB6">
              <w:rPr>
                <w:color w:val="000000"/>
                <w:sz w:val="17"/>
                <w:szCs w:val="17"/>
              </w:rPr>
              <w:t>Guidelines on Removing Sargassum from Beaches</w:t>
            </w:r>
          </w:p>
        </w:tc>
        <w:tc>
          <w:tcPr>
            <w:tcW w:w="1379" w:type="dxa"/>
            <w:shd w:val="clear" w:color="auto" w:fill="auto"/>
            <w:noWrap/>
            <w:vAlign w:val="center"/>
            <w:hideMark/>
          </w:tcPr>
          <w:p w14:paraId="3322693D" w14:textId="77777777" w:rsidR="00BB3B2C" w:rsidRPr="00867BB6" w:rsidRDefault="00BB3B2C" w:rsidP="000334D6">
            <w:pPr>
              <w:pStyle w:val="NoSpacing"/>
              <w:rPr>
                <w:sz w:val="17"/>
                <w:szCs w:val="17"/>
              </w:rPr>
            </w:pPr>
            <w:r w:rsidRPr="00867BB6">
              <w:rPr>
                <w:sz w:val="17"/>
                <w:szCs w:val="17"/>
              </w:rPr>
              <w:t>2015</w:t>
            </w:r>
          </w:p>
        </w:tc>
      </w:tr>
      <w:tr w:rsidR="000334D6" w:rsidRPr="00867BB6" w14:paraId="50872602" w14:textId="77777777" w:rsidTr="000334D6">
        <w:trPr>
          <w:trHeight w:val="400"/>
        </w:trPr>
        <w:tc>
          <w:tcPr>
            <w:tcW w:w="483" w:type="dxa"/>
            <w:vAlign w:val="center"/>
          </w:tcPr>
          <w:p w14:paraId="5AE571CD" w14:textId="3DB2709B" w:rsidR="00BB69C5" w:rsidRPr="00867BB6" w:rsidRDefault="00BB69C5" w:rsidP="000334D6">
            <w:pPr>
              <w:pStyle w:val="NoSpacing"/>
              <w:rPr>
                <w:sz w:val="17"/>
                <w:szCs w:val="17"/>
              </w:rPr>
            </w:pPr>
            <w:r w:rsidRPr="00867BB6">
              <w:rPr>
                <w:sz w:val="17"/>
                <w:szCs w:val="17"/>
              </w:rPr>
              <w:t>13</w:t>
            </w:r>
          </w:p>
        </w:tc>
        <w:tc>
          <w:tcPr>
            <w:tcW w:w="1213" w:type="dxa"/>
            <w:shd w:val="clear" w:color="auto" w:fill="auto"/>
            <w:noWrap/>
            <w:vAlign w:val="center"/>
          </w:tcPr>
          <w:p w14:paraId="2F4BA3F5" w14:textId="71AF60EE" w:rsidR="00BB69C5" w:rsidRPr="00867BB6" w:rsidRDefault="00BB69C5" w:rsidP="000334D6">
            <w:pPr>
              <w:pStyle w:val="NoSpacing"/>
              <w:rPr>
                <w:sz w:val="17"/>
                <w:szCs w:val="17"/>
              </w:rPr>
            </w:pPr>
            <w:r w:rsidRPr="00867BB6">
              <w:rPr>
                <w:sz w:val="17"/>
                <w:szCs w:val="17"/>
              </w:rPr>
              <w:t>Cuba</w:t>
            </w:r>
          </w:p>
        </w:tc>
        <w:tc>
          <w:tcPr>
            <w:tcW w:w="962" w:type="dxa"/>
            <w:shd w:val="clear" w:color="auto" w:fill="auto"/>
            <w:vAlign w:val="center"/>
          </w:tcPr>
          <w:p w14:paraId="03DDC9B8" w14:textId="70267635" w:rsidR="00BB69C5" w:rsidRPr="00867BB6" w:rsidRDefault="00BB69C5" w:rsidP="000334D6">
            <w:pPr>
              <w:pStyle w:val="NoSpacing"/>
              <w:rPr>
                <w:i/>
                <w:iCs/>
                <w:sz w:val="17"/>
                <w:szCs w:val="17"/>
              </w:rPr>
            </w:pPr>
            <w:r w:rsidRPr="00867BB6">
              <w:rPr>
                <w:i/>
                <w:iCs/>
                <w:sz w:val="17"/>
                <w:szCs w:val="17"/>
              </w:rPr>
              <w:t>L</w:t>
            </w:r>
          </w:p>
        </w:tc>
        <w:tc>
          <w:tcPr>
            <w:tcW w:w="1170" w:type="dxa"/>
            <w:shd w:val="clear" w:color="auto" w:fill="auto"/>
            <w:vAlign w:val="center"/>
          </w:tcPr>
          <w:p w14:paraId="6E9057E8" w14:textId="5F541CA2" w:rsidR="00BB69C5" w:rsidRPr="00867BB6" w:rsidRDefault="00BB69C5" w:rsidP="000334D6">
            <w:pPr>
              <w:pStyle w:val="NoSpacing"/>
              <w:rPr>
                <w:sz w:val="17"/>
                <w:szCs w:val="17"/>
              </w:rPr>
            </w:pPr>
            <w:r w:rsidRPr="00867BB6">
              <w:rPr>
                <w:sz w:val="17"/>
                <w:szCs w:val="17"/>
              </w:rPr>
              <w:t>None found</w:t>
            </w:r>
          </w:p>
        </w:tc>
        <w:tc>
          <w:tcPr>
            <w:tcW w:w="3282" w:type="dxa"/>
            <w:shd w:val="clear" w:color="auto" w:fill="auto"/>
            <w:noWrap/>
            <w:vAlign w:val="center"/>
          </w:tcPr>
          <w:p w14:paraId="328944BC" w14:textId="4DA6431B" w:rsidR="00BB69C5" w:rsidRPr="00867BB6" w:rsidRDefault="00BB69C5" w:rsidP="000334D6">
            <w:pPr>
              <w:pStyle w:val="NoSpacing"/>
              <w:rPr>
                <w:color w:val="000000"/>
                <w:sz w:val="17"/>
                <w:szCs w:val="17"/>
              </w:rPr>
            </w:pPr>
            <w:r w:rsidRPr="00867BB6">
              <w:rPr>
                <w:color w:val="000000"/>
                <w:sz w:val="17"/>
                <w:szCs w:val="17"/>
              </w:rPr>
              <w:t>N/A</w:t>
            </w:r>
          </w:p>
        </w:tc>
        <w:tc>
          <w:tcPr>
            <w:tcW w:w="1379" w:type="dxa"/>
            <w:shd w:val="clear" w:color="auto" w:fill="auto"/>
            <w:noWrap/>
            <w:vAlign w:val="center"/>
          </w:tcPr>
          <w:p w14:paraId="571EB809" w14:textId="72E214F9" w:rsidR="00BB69C5" w:rsidRPr="00867BB6" w:rsidRDefault="00BB69C5" w:rsidP="000334D6">
            <w:pPr>
              <w:pStyle w:val="NoSpacing"/>
              <w:rPr>
                <w:sz w:val="17"/>
                <w:szCs w:val="17"/>
              </w:rPr>
            </w:pPr>
            <w:r w:rsidRPr="00867BB6">
              <w:rPr>
                <w:sz w:val="17"/>
                <w:szCs w:val="17"/>
              </w:rPr>
              <w:t>N/A</w:t>
            </w:r>
          </w:p>
        </w:tc>
      </w:tr>
      <w:tr w:rsidR="000334D6" w:rsidRPr="00867BB6" w14:paraId="38326955" w14:textId="77777777" w:rsidTr="000334D6">
        <w:trPr>
          <w:trHeight w:val="400"/>
        </w:trPr>
        <w:tc>
          <w:tcPr>
            <w:tcW w:w="483" w:type="dxa"/>
            <w:vAlign w:val="center"/>
          </w:tcPr>
          <w:p w14:paraId="1B2A9E75" w14:textId="46BA024E" w:rsidR="00BB3B2C" w:rsidRPr="00867BB6" w:rsidRDefault="00BB3B2C" w:rsidP="000334D6">
            <w:pPr>
              <w:pStyle w:val="NoSpacing"/>
              <w:rPr>
                <w:sz w:val="17"/>
                <w:szCs w:val="17"/>
              </w:rPr>
            </w:pPr>
            <w:r w:rsidRPr="00867BB6">
              <w:rPr>
                <w:sz w:val="17"/>
                <w:szCs w:val="17"/>
              </w:rPr>
              <w:t>1</w:t>
            </w:r>
            <w:r w:rsidR="00BB69C5" w:rsidRPr="00867BB6">
              <w:rPr>
                <w:sz w:val="17"/>
                <w:szCs w:val="17"/>
              </w:rPr>
              <w:t>4</w:t>
            </w:r>
          </w:p>
        </w:tc>
        <w:tc>
          <w:tcPr>
            <w:tcW w:w="1213" w:type="dxa"/>
            <w:shd w:val="clear" w:color="auto" w:fill="auto"/>
            <w:noWrap/>
            <w:vAlign w:val="center"/>
            <w:hideMark/>
          </w:tcPr>
          <w:p w14:paraId="4D0DB53C" w14:textId="77777777" w:rsidR="00BB3B2C" w:rsidRPr="00867BB6" w:rsidRDefault="00BB3B2C" w:rsidP="000334D6">
            <w:pPr>
              <w:pStyle w:val="NoSpacing"/>
              <w:rPr>
                <w:sz w:val="17"/>
                <w:szCs w:val="17"/>
              </w:rPr>
            </w:pPr>
            <w:r w:rsidRPr="00867BB6">
              <w:rPr>
                <w:sz w:val="17"/>
                <w:szCs w:val="17"/>
              </w:rPr>
              <w:t>Curaçao (NL)</w:t>
            </w:r>
          </w:p>
        </w:tc>
        <w:tc>
          <w:tcPr>
            <w:tcW w:w="962" w:type="dxa"/>
            <w:shd w:val="clear" w:color="auto" w:fill="auto"/>
            <w:vAlign w:val="center"/>
            <w:hideMark/>
          </w:tcPr>
          <w:p w14:paraId="21EEAA9F" w14:textId="77777777" w:rsidR="00BB3B2C" w:rsidRPr="00867BB6" w:rsidRDefault="00BB3B2C" w:rsidP="000334D6">
            <w:pPr>
              <w:pStyle w:val="NoSpacing"/>
              <w:rPr>
                <w:i/>
                <w:iCs/>
                <w:sz w:val="17"/>
                <w:szCs w:val="17"/>
              </w:rPr>
            </w:pPr>
            <w:r w:rsidRPr="00867BB6">
              <w:rPr>
                <w:i/>
                <w:iCs/>
                <w:sz w:val="17"/>
                <w:szCs w:val="17"/>
              </w:rPr>
              <w:t>H</w:t>
            </w:r>
          </w:p>
        </w:tc>
        <w:tc>
          <w:tcPr>
            <w:tcW w:w="1170" w:type="dxa"/>
            <w:shd w:val="clear" w:color="auto" w:fill="auto"/>
            <w:vAlign w:val="center"/>
            <w:hideMark/>
          </w:tcPr>
          <w:p w14:paraId="5C1457D9" w14:textId="77777777" w:rsidR="00BB3B2C" w:rsidRPr="00867BB6" w:rsidRDefault="00BB3B2C" w:rsidP="000334D6">
            <w:pPr>
              <w:pStyle w:val="NoSpacing"/>
              <w:rPr>
                <w:sz w:val="17"/>
                <w:szCs w:val="17"/>
              </w:rPr>
            </w:pPr>
            <w:r w:rsidRPr="00867BB6">
              <w:rPr>
                <w:sz w:val="17"/>
                <w:szCs w:val="17"/>
              </w:rPr>
              <w:t>Management brief (NL)</w:t>
            </w:r>
          </w:p>
        </w:tc>
        <w:tc>
          <w:tcPr>
            <w:tcW w:w="3282" w:type="dxa"/>
            <w:shd w:val="clear" w:color="auto" w:fill="auto"/>
            <w:noWrap/>
            <w:vAlign w:val="center"/>
            <w:hideMark/>
          </w:tcPr>
          <w:p w14:paraId="137B019E" w14:textId="77777777" w:rsidR="00BB3B2C" w:rsidRPr="00867BB6" w:rsidRDefault="00BB3B2C" w:rsidP="000334D6">
            <w:pPr>
              <w:pStyle w:val="NoSpacing"/>
              <w:rPr>
                <w:sz w:val="17"/>
                <w:szCs w:val="17"/>
              </w:rPr>
            </w:pPr>
            <w:r w:rsidRPr="00867BB6">
              <w:rPr>
                <w:color w:val="000000"/>
                <w:sz w:val="17"/>
                <w:szCs w:val="17"/>
              </w:rPr>
              <w:t>Prevention and clean-up of Sargassum in the Dutch Caribbean</w:t>
            </w:r>
          </w:p>
        </w:tc>
        <w:tc>
          <w:tcPr>
            <w:tcW w:w="1379" w:type="dxa"/>
            <w:shd w:val="clear" w:color="auto" w:fill="auto"/>
            <w:noWrap/>
            <w:vAlign w:val="center"/>
            <w:hideMark/>
          </w:tcPr>
          <w:p w14:paraId="70F9BF72" w14:textId="77777777" w:rsidR="00BB3B2C" w:rsidRPr="00867BB6" w:rsidRDefault="00BB3B2C" w:rsidP="000334D6">
            <w:pPr>
              <w:pStyle w:val="NoSpacing"/>
              <w:rPr>
                <w:sz w:val="17"/>
                <w:szCs w:val="17"/>
              </w:rPr>
            </w:pPr>
            <w:r w:rsidRPr="00867BB6">
              <w:rPr>
                <w:sz w:val="17"/>
                <w:szCs w:val="17"/>
              </w:rPr>
              <w:t>2019</w:t>
            </w:r>
          </w:p>
        </w:tc>
      </w:tr>
      <w:tr w:rsidR="000334D6" w:rsidRPr="00867BB6" w14:paraId="3E5EC187" w14:textId="77777777" w:rsidTr="000334D6">
        <w:trPr>
          <w:trHeight w:val="400"/>
        </w:trPr>
        <w:tc>
          <w:tcPr>
            <w:tcW w:w="483" w:type="dxa"/>
            <w:vAlign w:val="center"/>
          </w:tcPr>
          <w:p w14:paraId="00FFB188" w14:textId="68F74ED0" w:rsidR="00BB3B2C" w:rsidRPr="00867BB6" w:rsidRDefault="00BB3B2C" w:rsidP="000334D6">
            <w:pPr>
              <w:pStyle w:val="NoSpacing"/>
              <w:rPr>
                <w:sz w:val="17"/>
                <w:szCs w:val="17"/>
              </w:rPr>
            </w:pPr>
            <w:r w:rsidRPr="00867BB6">
              <w:rPr>
                <w:sz w:val="17"/>
                <w:szCs w:val="17"/>
              </w:rPr>
              <w:t>1</w:t>
            </w:r>
            <w:r w:rsidR="00BB69C5" w:rsidRPr="00867BB6">
              <w:rPr>
                <w:sz w:val="17"/>
                <w:szCs w:val="17"/>
              </w:rPr>
              <w:t>5</w:t>
            </w:r>
          </w:p>
        </w:tc>
        <w:tc>
          <w:tcPr>
            <w:tcW w:w="1213" w:type="dxa"/>
            <w:shd w:val="clear" w:color="auto" w:fill="auto"/>
            <w:noWrap/>
            <w:vAlign w:val="center"/>
            <w:hideMark/>
          </w:tcPr>
          <w:p w14:paraId="6C4A651A" w14:textId="77777777" w:rsidR="00BB3B2C" w:rsidRPr="00867BB6" w:rsidRDefault="00BB3B2C" w:rsidP="000334D6">
            <w:pPr>
              <w:pStyle w:val="NoSpacing"/>
              <w:rPr>
                <w:sz w:val="17"/>
                <w:szCs w:val="17"/>
              </w:rPr>
            </w:pPr>
            <w:r w:rsidRPr="00867BB6">
              <w:rPr>
                <w:sz w:val="17"/>
                <w:szCs w:val="17"/>
              </w:rPr>
              <w:t>Dominica</w:t>
            </w:r>
          </w:p>
        </w:tc>
        <w:tc>
          <w:tcPr>
            <w:tcW w:w="962" w:type="dxa"/>
            <w:shd w:val="clear" w:color="auto" w:fill="auto"/>
            <w:vAlign w:val="center"/>
            <w:hideMark/>
          </w:tcPr>
          <w:p w14:paraId="7D158736" w14:textId="77777777" w:rsidR="00BB3B2C" w:rsidRPr="00867BB6" w:rsidRDefault="00BB3B2C" w:rsidP="000334D6">
            <w:pPr>
              <w:pStyle w:val="NoSpacing"/>
              <w:rPr>
                <w:i/>
                <w:iCs/>
                <w:sz w:val="17"/>
                <w:szCs w:val="17"/>
              </w:rPr>
            </w:pPr>
            <w:r w:rsidRPr="00867BB6">
              <w:rPr>
                <w:i/>
                <w:iCs/>
                <w:sz w:val="17"/>
                <w:szCs w:val="17"/>
              </w:rPr>
              <w:t>H</w:t>
            </w:r>
          </w:p>
        </w:tc>
        <w:tc>
          <w:tcPr>
            <w:tcW w:w="1170" w:type="dxa"/>
            <w:shd w:val="clear" w:color="auto" w:fill="auto"/>
            <w:vAlign w:val="center"/>
            <w:hideMark/>
          </w:tcPr>
          <w:p w14:paraId="3DF1163B" w14:textId="77777777" w:rsidR="00BB3B2C" w:rsidRPr="00867BB6" w:rsidRDefault="00BB3B2C" w:rsidP="000334D6">
            <w:pPr>
              <w:pStyle w:val="NoSpacing"/>
              <w:rPr>
                <w:sz w:val="17"/>
                <w:szCs w:val="17"/>
              </w:rPr>
            </w:pPr>
            <w:r w:rsidRPr="00867BB6">
              <w:rPr>
                <w:sz w:val="17"/>
                <w:szCs w:val="17"/>
              </w:rPr>
              <w:t>Strategic preparedness plan</w:t>
            </w:r>
          </w:p>
        </w:tc>
        <w:tc>
          <w:tcPr>
            <w:tcW w:w="3282" w:type="dxa"/>
            <w:shd w:val="clear" w:color="auto" w:fill="auto"/>
            <w:noWrap/>
            <w:vAlign w:val="center"/>
            <w:hideMark/>
          </w:tcPr>
          <w:p w14:paraId="64EEB9C3" w14:textId="77777777" w:rsidR="00BB3B2C" w:rsidRPr="00867BB6" w:rsidRDefault="00BB3B2C" w:rsidP="000334D6">
            <w:pPr>
              <w:pStyle w:val="NoSpacing"/>
              <w:rPr>
                <w:sz w:val="17"/>
                <w:szCs w:val="17"/>
              </w:rPr>
            </w:pPr>
            <w:r w:rsidRPr="00867BB6">
              <w:rPr>
                <w:color w:val="000000"/>
                <w:sz w:val="17"/>
                <w:szCs w:val="17"/>
              </w:rPr>
              <w:t>Strategic Sargassum Preparedness Plan</w:t>
            </w:r>
          </w:p>
        </w:tc>
        <w:tc>
          <w:tcPr>
            <w:tcW w:w="1379" w:type="dxa"/>
            <w:shd w:val="clear" w:color="auto" w:fill="auto"/>
            <w:noWrap/>
            <w:vAlign w:val="center"/>
            <w:hideMark/>
          </w:tcPr>
          <w:p w14:paraId="35594FFF" w14:textId="77777777" w:rsidR="00BB3B2C" w:rsidRPr="00867BB6" w:rsidRDefault="00BB3B2C" w:rsidP="000334D6">
            <w:pPr>
              <w:pStyle w:val="NoSpacing"/>
              <w:rPr>
                <w:sz w:val="17"/>
                <w:szCs w:val="17"/>
              </w:rPr>
            </w:pPr>
            <w:r w:rsidRPr="00867BB6">
              <w:rPr>
                <w:sz w:val="17"/>
                <w:szCs w:val="17"/>
              </w:rPr>
              <w:t>2019</w:t>
            </w:r>
          </w:p>
        </w:tc>
      </w:tr>
      <w:tr w:rsidR="000334D6" w:rsidRPr="00867BB6" w14:paraId="5D714C69" w14:textId="77777777" w:rsidTr="000334D6">
        <w:trPr>
          <w:trHeight w:val="400"/>
        </w:trPr>
        <w:tc>
          <w:tcPr>
            <w:tcW w:w="483" w:type="dxa"/>
            <w:vAlign w:val="center"/>
          </w:tcPr>
          <w:p w14:paraId="5433345B" w14:textId="729771A7" w:rsidR="00BB3B2C" w:rsidRPr="00867BB6" w:rsidRDefault="00BB3B2C" w:rsidP="000334D6">
            <w:pPr>
              <w:pStyle w:val="NoSpacing"/>
              <w:rPr>
                <w:sz w:val="17"/>
                <w:szCs w:val="17"/>
              </w:rPr>
            </w:pPr>
            <w:r w:rsidRPr="00867BB6">
              <w:rPr>
                <w:sz w:val="17"/>
                <w:szCs w:val="17"/>
              </w:rPr>
              <w:t>1</w:t>
            </w:r>
            <w:r w:rsidR="00BB69C5" w:rsidRPr="00867BB6">
              <w:rPr>
                <w:sz w:val="17"/>
                <w:szCs w:val="17"/>
              </w:rPr>
              <w:t>6</w:t>
            </w:r>
          </w:p>
        </w:tc>
        <w:tc>
          <w:tcPr>
            <w:tcW w:w="1213" w:type="dxa"/>
            <w:shd w:val="clear" w:color="auto" w:fill="auto"/>
            <w:noWrap/>
            <w:vAlign w:val="center"/>
            <w:hideMark/>
          </w:tcPr>
          <w:p w14:paraId="4B6C5881" w14:textId="77777777" w:rsidR="00BB3B2C" w:rsidRPr="00867BB6" w:rsidRDefault="00BB3B2C" w:rsidP="000334D6">
            <w:pPr>
              <w:pStyle w:val="NoSpacing"/>
              <w:rPr>
                <w:sz w:val="17"/>
                <w:szCs w:val="17"/>
              </w:rPr>
            </w:pPr>
            <w:r w:rsidRPr="00867BB6">
              <w:rPr>
                <w:sz w:val="17"/>
                <w:szCs w:val="17"/>
              </w:rPr>
              <w:t>Dominican Republic</w:t>
            </w:r>
          </w:p>
        </w:tc>
        <w:tc>
          <w:tcPr>
            <w:tcW w:w="962" w:type="dxa"/>
            <w:shd w:val="clear" w:color="auto" w:fill="auto"/>
            <w:vAlign w:val="center"/>
            <w:hideMark/>
          </w:tcPr>
          <w:p w14:paraId="168C37B7" w14:textId="77777777" w:rsidR="00BB3B2C" w:rsidRPr="00867BB6" w:rsidRDefault="00BB3B2C" w:rsidP="000334D6">
            <w:pPr>
              <w:pStyle w:val="NoSpacing"/>
              <w:rPr>
                <w:i/>
                <w:iCs/>
                <w:sz w:val="17"/>
                <w:szCs w:val="17"/>
              </w:rPr>
            </w:pPr>
            <w:r w:rsidRPr="00867BB6">
              <w:rPr>
                <w:i/>
                <w:iCs/>
                <w:sz w:val="17"/>
                <w:szCs w:val="17"/>
              </w:rPr>
              <w:t>VH</w:t>
            </w:r>
          </w:p>
        </w:tc>
        <w:tc>
          <w:tcPr>
            <w:tcW w:w="1170" w:type="dxa"/>
            <w:shd w:val="clear" w:color="auto" w:fill="auto"/>
            <w:vAlign w:val="center"/>
            <w:hideMark/>
          </w:tcPr>
          <w:p w14:paraId="1C421BB5" w14:textId="77777777" w:rsidR="00BB3B2C" w:rsidRPr="00867BB6" w:rsidRDefault="00BB3B2C" w:rsidP="000334D6">
            <w:pPr>
              <w:pStyle w:val="NoSpacing"/>
              <w:rPr>
                <w:sz w:val="17"/>
                <w:szCs w:val="17"/>
              </w:rPr>
            </w:pPr>
            <w:r w:rsidRPr="00867BB6">
              <w:rPr>
                <w:sz w:val="17"/>
                <w:szCs w:val="17"/>
              </w:rPr>
              <w:t>Technical uses guide</w:t>
            </w:r>
          </w:p>
        </w:tc>
        <w:tc>
          <w:tcPr>
            <w:tcW w:w="3282" w:type="dxa"/>
            <w:shd w:val="clear" w:color="auto" w:fill="auto"/>
            <w:noWrap/>
            <w:vAlign w:val="center"/>
            <w:hideMark/>
          </w:tcPr>
          <w:p w14:paraId="2F2DB962" w14:textId="77777777" w:rsidR="00BB3B2C" w:rsidRPr="00867BB6" w:rsidRDefault="00BB3B2C" w:rsidP="000334D6">
            <w:pPr>
              <w:pStyle w:val="NoSpacing"/>
              <w:rPr>
                <w:sz w:val="17"/>
                <w:szCs w:val="17"/>
                <w:lang w:val="it-IT" w:eastAsia="en-AU"/>
              </w:rPr>
            </w:pPr>
            <w:r w:rsidRPr="00867BB6">
              <w:rPr>
                <w:color w:val="000000"/>
                <w:sz w:val="17"/>
                <w:szCs w:val="17"/>
                <w:lang w:val="it-IT"/>
              </w:rPr>
              <w:t xml:space="preserve">Informe </w:t>
            </w:r>
            <w:proofErr w:type="spellStart"/>
            <w:r w:rsidRPr="00867BB6">
              <w:rPr>
                <w:color w:val="000000"/>
                <w:sz w:val="17"/>
                <w:szCs w:val="17"/>
                <w:lang w:val="it-IT"/>
              </w:rPr>
              <w:t>sobre</w:t>
            </w:r>
            <w:proofErr w:type="spellEnd"/>
            <w:r w:rsidRPr="00867BB6">
              <w:rPr>
                <w:color w:val="000000"/>
                <w:sz w:val="17"/>
                <w:szCs w:val="17"/>
                <w:lang w:val="it-IT"/>
              </w:rPr>
              <w:t xml:space="preserve"> </w:t>
            </w:r>
            <w:proofErr w:type="spellStart"/>
            <w:r w:rsidRPr="00867BB6">
              <w:rPr>
                <w:color w:val="000000"/>
                <w:sz w:val="17"/>
                <w:szCs w:val="17"/>
                <w:lang w:val="it-IT"/>
              </w:rPr>
              <w:t>el</w:t>
            </w:r>
            <w:proofErr w:type="spellEnd"/>
            <w:r w:rsidRPr="00867BB6">
              <w:rPr>
                <w:color w:val="000000"/>
                <w:sz w:val="17"/>
                <w:szCs w:val="17"/>
                <w:lang w:val="it-IT"/>
              </w:rPr>
              <w:t xml:space="preserve"> </w:t>
            </w:r>
            <w:proofErr w:type="spellStart"/>
            <w:r w:rsidRPr="00867BB6">
              <w:rPr>
                <w:color w:val="000000"/>
                <w:sz w:val="17"/>
                <w:szCs w:val="17"/>
                <w:lang w:val="it-IT"/>
              </w:rPr>
              <w:t>estado</w:t>
            </w:r>
            <w:proofErr w:type="spellEnd"/>
            <w:r w:rsidRPr="00867BB6">
              <w:rPr>
                <w:color w:val="000000"/>
                <w:sz w:val="17"/>
                <w:szCs w:val="17"/>
                <w:lang w:val="it-IT"/>
              </w:rPr>
              <w:t xml:space="preserve"> de la </w:t>
            </w:r>
            <w:proofErr w:type="spellStart"/>
            <w:r w:rsidRPr="00867BB6">
              <w:rPr>
                <w:color w:val="000000"/>
                <w:sz w:val="17"/>
                <w:szCs w:val="17"/>
                <w:lang w:val="it-IT"/>
              </w:rPr>
              <w:t>técnica</w:t>
            </w:r>
            <w:proofErr w:type="spellEnd"/>
            <w:r w:rsidRPr="00867BB6">
              <w:rPr>
                <w:color w:val="000000"/>
                <w:sz w:val="17"/>
                <w:szCs w:val="17"/>
                <w:lang w:val="it-IT"/>
              </w:rPr>
              <w:t xml:space="preserve">: </w:t>
            </w:r>
            <w:proofErr w:type="spellStart"/>
            <w:r w:rsidRPr="00867BB6">
              <w:rPr>
                <w:color w:val="000000"/>
                <w:sz w:val="17"/>
                <w:szCs w:val="17"/>
                <w:lang w:val="it-IT"/>
              </w:rPr>
              <w:t>tecnologías</w:t>
            </w:r>
            <w:proofErr w:type="spellEnd"/>
            <w:r w:rsidRPr="00867BB6">
              <w:rPr>
                <w:color w:val="000000"/>
                <w:sz w:val="17"/>
                <w:szCs w:val="17"/>
                <w:lang w:val="it-IT"/>
              </w:rPr>
              <w:t xml:space="preserve"> </w:t>
            </w:r>
            <w:proofErr w:type="spellStart"/>
            <w:r w:rsidRPr="00867BB6">
              <w:rPr>
                <w:color w:val="000000"/>
                <w:sz w:val="17"/>
                <w:szCs w:val="17"/>
                <w:lang w:val="it-IT"/>
              </w:rPr>
              <w:t>sobre</w:t>
            </w:r>
            <w:proofErr w:type="spellEnd"/>
            <w:r w:rsidRPr="00867BB6">
              <w:rPr>
                <w:color w:val="000000"/>
                <w:sz w:val="17"/>
                <w:szCs w:val="17"/>
                <w:lang w:val="it-IT"/>
              </w:rPr>
              <w:t xml:space="preserve"> la </w:t>
            </w:r>
            <w:proofErr w:type="spellStart"/>
            <w:r w:rsidRPr="00867BB6">
              <w:rPr>
                <w:color w:val="000000"/>
                <w:sz w:val="17"/>
                <w:szCs w:val="17"/>
                <w:lang w:val="it-IT"/>
              </w:rPr>
              <w:t>recolección</w:t>
            </w:r>
            <w:proofErr w:type="spellEnd"/>
            <w:r w:rsidRPr="00867BB6">
              <w:rPr>
                <w:color w:val="000000"/>
                <w:sz w:val="17"/>
                <w:szCs w:val="17"/>
                <w:lang w:val="it-IT"/>
              </w:rPr>
              <w:t xml:space="preserve"> del </w:t>
            </w:r>
            <w:proofErr w:type="spellStart"/>
            <w:r w:rsidRPr="00867BB6">
              <w:rPr>
                <w:color w:val="000000"/>
                <w:sz w:val="17"/>
                <w:szCs w:val="17"/>
                <w:lang w:val="it-IT"/>
              </w:rPr>
              <w:t>sargazo</w:t>
            </w:r>
            <w:proofErr w:type="spellEnd"/>
          </w:p>
        </w:tc>
        <w:tc>
          <w:tcPr>
            <w:tcW w:w="1379" w:type="dxa"/>
            <w:shd w:val="clear" w:color="auto" w:fill="auto"/>
            <w:noWrap/>
            <w:vAlign w:val="center"/>
            <w:hideMark/>
          </w:tcPr>
          <w:p w14:paraId="082DBB26" w14:textId="77777777" w:rsidR="00BB3B2C" w:rsidRPr="00867BB6" w:rsidRDefault="00BB3B2C" w:rsidP="000334D6">
            <w:pPr>
              <w:pStyle w:val="NoSpacing"/>
              <w:rPr>
                <w:sz w:val="17"/>
                <w:szCs w:val="17"/>
              </w:rPr>
            </w:pPr>
            <w:r w:rsidRPr="00867BB6">
              <w:rPr>
                <w:sz w:val="17"/>
                <w:szCs w:val="17"/>
              </w:rPr>
              <w:t>2018</w:t>
            </w:r>
          </w:p>
        </w:tc>
      </w:tr>
      <w:tr w:rsidR="000334D6" w:rsidRPr="00867BB6" w14:paraId="631CB2AA" w14:textId="77777777" w:rsidTr="000334D6">
        <w:trPr>
          <w:trHeight w:val="400"/>
        </w:trPr>
        <w:tc>
          <w:tcPr>
            <w:tcW w:w="483" w:type="dxa"/>
            <w:vAlign w:val="center"/>
          </w:tcPr>
          <w:p w14:paraId="5E8D4D68" w14:textId="36F009AE" w:rsidR="00BB3B2C" w:rsidRPr="00867BB6" w:rsidRDefault="00BB3B2C" w:rsidP="000334D6">
            <w:pPr>
              <w:pStyle w:val="NoSpacing"/>
              <w:rPr>
                <w:sz w:val="17"/>
                <w:szCs w:val="17"/>
              </w:rPr>
            </w:pPr>
            <w:r w:rsidRPr="00867BB6">
              <w:rPr>
                <w:sz w:val="17"/>
                <w:szCs w:val="17"/>
              </w:rPr>
              <w:t>1</w:t>
            </w:r>
            <w:r w:rsidR="00BB69C5" w:rsidRPr="00867BB6">
              <w:rPr>
                <w:sz w:val="17"/>
                <w:szCs w:val="17"/>
              </w:rPr>
              <w:t>7</w:t>
            </w:r>
          </w:p>
        </w:tc>
        <w:tc>
          <w:tcPr>
            <w:tcW w:w="1213" w:type="dxa"/>
            <w:vMerge w:val="restart"/>
            <w:shd w:val="clear" w:color="auto" w:fill="auto"/>
            <w:noWrap/>
            <w:vAlign w:val="center"/>
            <w:hideMark/>
          </w:tcPr>
          <w:p w14:paraId="6DDF72E2" w14:textId="77777777" w:rsidR="00BB3B2C" w:rsidRPr="00867BB6" w:rsidRDefault="00BB3B2C" w:rsidP="000334D6">
            <w:pPr>
              <w:pStyle w:val="NoSpacing"/>
              <w:rPr>
                <w:sz w:val="17"/>
                <w:szCs w:val="17"/>
              </w:rPr>
            </w:pPr>
            <w:r w:rsidRPr="00867BB6">
              <w:rPr>
                <w:sz w:val="17"/>
                <w:szCs w:val="17"/>
              </w:rPr>
              <w:t>Grenada</w:t>
            </w:r>
          </w:p>
        </w:tc>
        <w:tc>
          <w:tcPr>
            <w:tcW w:w="962" w:type="dxa"/>
            <w:vMerge w:val="restart"/>
            <w:shd w:val="clear" w:color="auto" w:fill="auto"/>
            <w:vAlign w:val="center"/>
            <w:hideMark/>
          </w:tcPr>
          <w:p w14:paraId="30473BB8" w14:textId="77777777" w:rsidR="00BB3B2C" w:rsidRPr="00867BB6" w:rsidRDefault="00BB3B2C" w:rsidP="000334D6">
            <w:pPr>
              <w:pStyle w:val="NoSpacing"/>
              <w:rPr>
                <w:i/>
                <w:iCs/>
                <w:sz w:val="17"/>
                <w:szCs w:val="17"/>
              </w:rPr>
            </w:pPr>
            <w:r w:rsidRPr="00867BB6">
              <w:rPr>
                <w:i/>
                <w:iCs/>
                <w:sz w:val="17"/>
                <w:szCs w:val="17"/>
              </w:rPr>
              <w:t>M</w:t>
            </w:r>
          </w:p>
        </w:tc>
        <w:tc>
          <w:tcPr>
            <w:tcW w:w="1170" w:type="dxa"/>
            <w:shd w:val="clear" w:color="auto" w:fill="auto"/>
            <w:vAlign w:val="center"/>
            <w:hideMark/>
          </w:tcPr>
          <w:p w14:paraId="37CABFCF" w14:textId="77777777" w:rsidR="00BB3B2C" w:rsidRPr="00867BB6" w:rsidRDefault="00BB3B2C" w:rsidP="000334D6">
            <w:pPr>
              <w:pStyle w:val="NoSpacing"/>
              <w:rPr>
                <w:sz w:val="17"/>
                <w:szCs w:val="17"/>
              </w:rPr>
            </w:pPr>
            <w:r w:rsidRPr="00867BB6">
              <w:rPr>
                <w:sz w:val="17"/>
                <w:szCs w:val="17"/>
              </w:rPr>
              <w:t>Model protocol</w:t>
            </w:r>
          </w:p>
        </w:tc>
        <w:tc>
          <w:tcPr>
            <w:tcW w:w="3282" w:type="dxa"/>
            <w:shd w:val="clear" w:color="auto" w:fill="auto"/>
            <w:noWrap/>
            <w:vAlign w:val="center"/>
            <w:hideMark/>
          </w:tcPr>
          <w:p w14:paraId="782D4A5A" w14:textId="77777777" w:rsidR="00BB3B2C" w:rsidRPr="00867BB6" w:rsidRDefault="00BB3B2C" w:rsidP="000334D6">
            <w:pPr>
              <w:pStyle w:val="NoSpacing"/>
              <w:rPr>
                <w:sz w:val="17"/>
                <w:szCs w:val="17"/>
              </w:rPr>
            </w:pPr>
            <w:r w:rsidRPr="00867BB6">
              <w:rPr>
                <w:color w:val="000000"/>
                <w:sz w:val="17"/>
                <w:szCs w:val="17"/>
              </w:rPr>
              <w:t>Protocol for the Management of the Extreme Accumulations of Sargassum on the Coast of Grenada</w:t>
            </w:r>
          </w:p>
        </w:tc>
        <w:tc>
          <w:tcPr>
            <w:tcW w:w="1379" w:type="dxa"/>
            <w:shd w:val="clear" w:color="auto" w:fill="auto"/>
            <w:noWrap/>
            <w:vAlign w:val="center"/>
            <w:hideMark/>
          </w:tcPr>
          <w:p w14:paraId="7C8A5CF2" w14:textId="77777777" w:rsidR="00BB3B2C" w:rsidRPr="00867BB6" w:rsidRDefault="00BB3B2C" w:rsidP="000334D6">
            <w:pPr>
              <w:pStyle w:val="NoSpacing"/>
              <w:rPr>
                <w:sz w:val="17"/>
                <w:szCs w:val="17"/>
              </w:rPr>
            </w:pPr>
            <w:r w:rsidRPr="00867BB6">
              <w:rPr>
                <w:sz w:val="17"/>
                <w:szCs w:val="17"/>
              </w:rPr>
              <w:t>2017</w:t>
            </w:r>
          </w:p>
        </w:tc>
      </w:tr>
      <w:tr w:rsidR="000334D6" w:rsidRPr="00867BB6" w14:paraId="2919E99C" w14:textId="77777777" w:rsidTr="000334D6">
        <w:trPr>
          <w:trHeight w:val="400"/>
        </w:trPr>
        <w:tc>
          <w:tcPr>
            <w:tcW w:w="483" w:type="dxa"/>
            <w:vAlign w:val="center"/>
          </w:tcPr>
          <w:p w14:paraId="5EFEFC3F" w14:textId="31B03559" w:rsidR="00BB3B2C" w:rsidRPr="00867BB6" w:rsidRDefault="00BB3B2C" w:rsidP="000334D6">
            <w:pPr>
              <w:pStyle w:val="NoSpacing"/>
              <w:rPr>
                <w:sz w:val="17"/>
                <w:szCs w:val="17"/>
              </w:rPr>
            </w:pPr>
            <w:r w:rsidRPr="00867BB6">
              <w:rPr>
                <w:sz w:val="17"/>
                <w:szCs w:val="17"/>
              </w:rPr>
              <w:t>1</w:t>
            </w:r>
            <w:r w:rsidR="00BB69C5" w:rsidRPr="00867BB6">
              <w:rPr>
                <w:sz w:val="17"/>
                <w:szCs w:val="17"/>
              </w:rPr>
              <w:t>8</w:t>
            </w:r>
          </w:p>
        </w:tc>
        <w:tc>
          <w:tcPr>
            <w:tcW w:w="1213" w:type="dxa"/>
            <w:vMerge/>
            <w:shd w:val="clear" w:color="auto" w:fill="auto"/>
            <w:noWrap/>
            <w:vAlign w:val="center"/>
          </w:tcPr>
          <w:p w14:paraId="771FEA94" w14:textId="77777777" w:rsidR="00BB3B2C" w:rsidRPr="00867BB6" w:rsidRDefault="00BB3B2C" w:rsidP="000334D6">
            <w:pPr>
              <w:pStyle w:val="NoSpacing"/>
              <w:rPr>
                <w:sz w:val="17"/>
                <w:szCs w:val="17"/>
              </w:rPr>
            </w:pPr>
          </w:p>
        </w:tc>
        <w:tc>
          <w:tcPr>
            <w:tcW w:w="962" w:type="dxa"/>
            <w:vMerge/>
            <w:shd w:val="clear" w:color="auto" w:fill="auto"/>
            <w:vAlign w:val="center"/>
          </w:tcPr>
          <w:p w14:paraId="1E772CF9" w14:textId="77777777" w:rsidR="00BB3B2C" w:rsidRPr="00867BB6" w:rsidRDefault="00BB3B2C" w:rsidP="000334D6">
            <w:pPr>
              <w:pStyle w:val="NoSpacing"/>
              <w:rPr>
                <w:i/>
                <w:iCs/>
                <w:sz w:val="17"/>
                <w:szCs w:val="17"/>
              </w:rPr>
            </w:pPr>
          </w:p>
        </w:tc>
        <w:tc>
          <w:tcPr>
            <w:tcW w:w="1170" w:type="dxa"/>
            <w:shd w:val="clear" w:color="auto" w:fill="auto"/>
            <w:vAlign w:val="center"/>
          </w:tcPr>
          <w:p w14:paraId="5D051403" w14:textId="77777777" w:rsidR="00BB3B2C" w:rsidRPr="00867BB6" w:rsidRDefault="00BB3B2C" w:rsidP="000334D6">
            <w:pPr>
              <w:pStyle w:val="NoSpacing"/>
              <w:rPr>
                <w:sz w:val="17"/>
                <w:szCs w:val="17"/>
              </w:rPr>
            </w:pPr>
            <w:r w:rsidRPr="00867BB6">
              <w:rPr>
                <w:sz w:val="17"/>
                <w:szCs w:val="17"/>
              </w:rPr>
              <w:t>Management strategy</w:t>
            </w:r>
          </w:p>
        </w:tc>
        <w:tc>
          <w:tcPr>
            <w:tcW w:w="3282" w:type="dxa"/>
            <w:shd w:val="clear" w:color="auto" w:fill="auto"/>
            <w:noWrap/>
            <w:vAlign w:val="center"/>
          </w:tcPr>
          <w:p w14:paraId="26DDA2D7" w14:textId="77777777" w:rsidR="00BB3B2C" w:rsidRPr="00867BB6" w:rsidRDefault="00BB3B2C" w:rsidP="000334D6">
            <w:pPr>
              <w:pStyle w:val="NoSpacing"/>
              <w:rPr>
                <w:color w:val="000000"/>
                <w:sz w:val="17"/>
                <w:szCs w:val="17"/>
              </w:rPr>
            </w:pPr>
            <w:r w:rsidRPr="00867BB6">
              <w:rPr>
                <w:color w:val="000000"/>
                <w:sz w:val="17"/>
                <w:szCs w:val="17"/>
              </w:rPr>
              <w:t>Grenada Sargassum Adaptive Management Strategy</w:t>
            </w:r>
          </w:p>
        </w:tc>
        <w:tc>
          <w:tcPr>
            <w:tcW w:w="1379" w:type="dxa"/>
            <w:shd w:val="clear" w:color="auto" w:fill="auto"/>
            <w:noWrap/>
            <w:vAlign w:val="center"/>
          </w:tcPr>
          <w:p w14:paraId="1FBCCD3A" w14:textId="77777777" w:rsidR="00BB3B2C" w:rsidRPr="00867BB6" w:rsidRDefault="00BB3B2C" w:rsidP="000334D6">
            <w:pPr>
              <w:pStyle w:val="NoSpacing"/>
              <w:rPr>
                <w:sz w:val="17"/>
                <w:szCs w:val="17"/>
              </w:rPr>
            </w:pPr>
            <w:r w:rsidRPr="00867BB6">
              <w:rPr>
                <w:sz w:val="17"/>
                <w:szCs w:val="17"/>
              </w:rPr>
              <w:t>2021</w:t>
            </w:r>
          </w:p>
        </w:tc>
      </w:tr>
      <w:tr w:rsidR="000334D6" w:rsidRPr="00867BB6" w14:paraId="1B494E83" w14:textId="77777777" w:rsidTr="000334D6">
        <w:trPr>
          <w:trHeight w:val="400"/>
        </w:trPr>
        <w:tc>
          <w:tcPr>
            <w:tcW w:w="483" w:type="dxa"/>
            <w:vAlign w:val="center"/>
          </w:tcPr>
          <w:p w14:paraId="6223E0B5" w14:textId="4FFB68B4" w:rsidR="00BB3B2C" w:rsidRPr="00867BB6" w:rsidRDefault="00BB3B2C" w:rsidP="000334D6">
            <w:pPr>
              <w:pStyle w:val="NoSpacing"/>
              <w:rPr>
                <w:sz w:val="17"/>
                <w:szCs w:val="17"/>
              </w:rPr>
            </w:pPr>
            <w:r w:rsidRPr="00867BB6">
              <w:rPr>
                <w:sz w:val="17"/>
                <w:szCs w:val="17"/>
              </w:rPr>
              <w:t>1</w:t>
            </w:r>
            <w:r w:rsidR="00BB69C5" w:rsidRPr="00867BB6">
              <w:rPr>
                <w:sz w:val="17"/>
                <w:szCs w:val="17"/>
              </w:rPr>
              <w:t>9</w:t>
            </w:r>
          </w:p>
        </w:tc>
        <w:tc>
          <w:tcPr>
            <w:tcW w:w="1213" w:type="dxa"/>
            <w:vMerge w:val="restart"/>
            <w:shd w:val="clear" w:color="auto" w:fill="auto"/>
            <w:noWrap/>
            <w:vAlign w:val="center"/>
            <w:hideMark/>
          </w:tcPr>
          <w:p w14:paraId="15707432" w14:textId="77777777" w:rsidR="00BB3B2C" w:rsidRPr="00867BB6" w:rsidRDefault="00BB3B2C" w:rsidP="000334D6">
            <w:pPr>
              <w:pStyle w:val="NoSpacing"/>
              <w:rPr>
                <w:sz w:val="17"/>
                <w:szCs w:val="17"/>
              </w:rPr>
            </w:pPr>
            <w:r w:rsidRPr="00867BB6">
              <w:rPr>
                <w:sz w:val="17"/>
                <w:szCs w:val="17"/>
              </w:rPr>
              <w:t>Guadeloupe (Fr)</w:t>
            </w:r>
          </w:p>
        </w:tc>
        <w:tc>
          <w:tcPr>
            <w:tcW w:w="962" w:type="dxa"/>
            <w:vMerge w:val="restart"/>
            <w:shd w:val="clear" w:color="auto" w:fill="auto"/>
            <w:vAlign w:val="center"/>
            <w:hideMark/>
          </w:tcPr>
          <w:p w14:paraId="16265FFC" w14:textId="77777777" w:rsidR="00BB3B2C" w:rsidRPr="00867BB6" w:rsidRDefault="00BB3B2C" w:rsidP="000334D6">
            <w:pPr>
              <w:pStyle w:val="NoSpacing"/>
              <w:rPr>
                <w:i/>
                <w:iCs/>
                <w:sz w:val="17"/>
                <w:szCs w:val="17"/>
              </w:rPr>
            </w:pPr>
            <w:r w:rsidRPr="00867BB6">
              <w:rPr>
                <w:i/>
                <w:iCs/>
                <w:sz w:val="17"/>
                <w:szCs w:val="17"/>
              </w:rPr>
              <w:t>VH</w:t>
            </w:r>
          </w:p>
        </w:tc>
        <w:tc>
          <w:tcPr>
            <w:tcW w:w="1170" w:type="dxa"/>
            <w:shd w:val="clear" w:color="auto" w:fill="auto"/>
            <w:vAlign w:val="center"/>
          </w:tcPr>
          <w:p w14:paraId="593CF467" w14:textId="77777777" w:rsidR="00BB3B2C" w:rsidRPr="00867BB6" w:rsidRDefault="00BB3B2C" w:rsidP="000334D6">
            <w:pPr>
              <w:pStyle w:val="NoSpacing"/>
              <w:rPr>
                <w:sz w:val="17"/>
                <w:szCs w:val="17"/>
              </w:rPr>
            </w:pPr>
            <w:r w:rsidRPr="00867BB6">
              <w:rPr>
                <w:sz w:val="17"/>
                <w:szCs w:val="17"/>
              </w:rPr>
              <w:t>Training document</w:t>
            </w:r>
          </w:p>
        </w:tc>
        <w:tc>
          <w:tcPr>
            <w:tcW w:w="3282" w:type="dxa"/>
            <w:shd w:val="clear" w:color="auto" w:fill="auto"/>
            <w:noWrap/>
            <w:vAlign w:val="center"/>
          </w:tcPr>
          <w:p w14:paraId="1278F38E" w14:textId="77777777" w:rsidR="00BB3B2C" w:rsidRPr="00867BB6" w:rsidRDefault="00BB3B2C" w:rsidP="000334D6">
            <w:pPr>
              <w:pStyle w:val="NoSpacing"/>
              <w:rPr>
                <w:sz w:val="17"/>
                <w:szCs w:val="17"/>
              </w:rPr>
            </w:pPr>
            <w:r w:rsidRPr="00867BB6">
              <w:rPr>
                <w:sz w:val="17"/>
                <w:szCs w:val="17"/>
              </w:rPr>
              <w:t xml:space="preserve"> </w:t>
            </w:r>
            <w:r w:rsidRPr="00867BB6">
              <w:rPr>
                <w:color w:val="000000"/>
                <w:sz w:val="17"/>
                <w:szCs w:val="17"/>
              </w:rPr>
              <w:t>Creation of green brigades for collecting sargassum in Guadeloupe</w:t>
            </w:r>
          </w:p>
        </w:tc>
        <w:tc>
          <w:tcPr>
            <w:tcW w:w="1379" w:type="dxa"/>
            <w:shd w:val="clear" w:color="auto" w:fill="auto"/>
            <w:noWrap/>
            <w:vAlign w:val="center"/>
          </w:tcPr>
          <w:p w14:paraId="452443C9" w14:textId="77777777" w:rsidR="00BB3B2C" w:rsidRPr="00867BB6" w:rsidRDefault="00BB3B2C" w:rsidP="000334D6">
            <w:pPr>
              <w:pStyle w:val="NoSpacing"/>
              <w:rPr>
                <w:sz w:val="17"/>
                <w:szCs w:val="17"/>
              </w:rPr>
            </w:pPr>
            <w:r w:rsidRPr="00867BB6">
              <w:rPr>
                <w:sz w:val="17"/>
                <w:szCs w:val="17"/>
              </w:rPr>
              <w:t>2015</w:t>
            </w:r>
          </w:p>
        </w:tc>
      </w:tr>
      <w:tr w:rsidR="000334D6" w:rsidRPr="00867BB6" w14:paraId="4A2870F5" w14:textId="77777777" w:rsidTr="000334D6">
        <w:trPr>
          <w:trHeight w:val="400"/>
        </w:trPr>
        <w:tc>
          <w:tcPr>
            <w:tcW w:w="483" w:type="dxa"/>
            <w:vAlign w:val="center"/>
          </w:tcPr>
          <w:p w14:paraId="6655BEEB" w14:textId="7AECA544" w:rsidR="00BB3B2C" w:rsidRPr="00867BB6" w:rsidRDefault="00BB69C5" w:rsidP="000334D6">
            <w:pPr>
              <w:pStyle w:val="NoSpacing"/>
              <w:rPr>
                <w:sz w:val="17"/>
                <w:szCs w:val="17"/>
              </w:rPr>
            </w:pPr>
            <w:r w:rsidRPr="00867BB6">
              <w:rPr>
                <w:sz w:val="17"/>
                <w:szCs w:val="17"/>
              </w:rPr>
              <w:t>20</w:t>
            </w:r>
          </w:p>
        </w:tc>
        <w:tc>
          <w:tcPr>
            <w:tcW w:w="1213" w:type="dxa"/>
            <w:vMerge/>
            <w:shd w:val="clear" w:color="auto" w:fill="auto"/>
            <w:noWrap/>
            <w:vAlign w:val="center"/>
          </w:tcPr>
          <w:p w14:paraId="028A3A95" w14:textId="77777777" w:rsidR="00BB3B2C" w:rsidRPr="00867BB6" w:rsidRDefault="00BB3B2C" w:rsidP="000334D6">
            <w:pPr>
              <w:pStyle w:val="NoSpacing"/>
              <w:rPr>
                <w:sz w:val="17"/>
                <w:szCs w:val="17"/>
              </w:rPr>
            </w:pPr>
          </w:p>
        </w:tc>
        <w:tc>
          <w:tcPr>
            <w:tcW w:w="962" w:type="dxa"/>
            <w:vMerge/>
            <w:shd w:val="clear" w:color="auto" w:fill="auto"/>
            <w:vAlign w:val="center"/>
          </w:tcPr>
          <w:p w14:paraId="0BF60740" w14:textId="77777777" w:rsidR="00BB3B2C" w:rsidRPr="00867BB6" w:rsidRDefault="00BB3B2C" w:rsidP="000334D6">
            <w:pPr>
              <w:pStyle w:val="NoSpacing"/>
              <w:rPr>
                <w:i/>
                <w:iCs/>
                <w:sz w:val="17"/>
                <w:szCs w:val="17"/>
              </w:rPr>
            </w:pPr>
          </w:p>
        </w:tc>
        <w:tc>
          <w:tcPr>
            <w:tcW w:w="1170" w:type="dxa"/>
            <w:shd w:val="clear" w:color="auto" w:fill="auto"/>
            <w:vAlign w:val="center"/>
          </w:tcPr>
          <w:p w14:paraId="7880E0AA" w14:textId="77777777" w:rsidR="00BB3B2C" w:rsidRPr="00867BB6" w:rsidRDefault="00BB3B2C" w:rsidP="000334D6">
            <w:pPr>
              <w:pStyle w:val="NoSpacing"/>
              <w:rPr>
                <w:sz w:val="17"/>
                <w:szCs w:val="17"/>
              </w:rPr>
            </w:pPr>
            <w:r w:rsidRPr="00867BB6">
              <w:rPr>
                <w:sz w:val="17"/>
                <w:szCs w:val="17"/>
              </w:rPr>
              <w:t>Report and recommendations (Fr)</w:t>
            </w:r>
          </w:p>
        </w:tc>
        <w:tc>
          <w:tcPr>
            <w:tcW w:w="3282" w:type="dxa"/>
            <w:shd w:val="clear" w:color="auto" w:fill="auto"/>
            <w:noWrap/>
            <w:vAlign w:val="center"/>
          </w:tcPr>
          <w:p w14:paraId="0337D65C" w14:textId="77777777" w:rsidR="00BB3B2C" w:rsidRPr="00867BB6" w:rsidRDefault="00BB3B2C" w:rsidP="000334D6">
            <w:pPr>
              <w:pStyle w:val="NoSpacing"/>
              <w:rPr>
                <w:color w:val="000000"/>
                <w:sz w:val="17"/>
                <w:szCs w:val="17"/>
                <w:lang w:val="fr-FR"/>
              </w:rPr>
            </w:pPr>
            <w:r w:rsidRPr="00867BB6">
              <w:rPr>
                <w:color w:val="000000"/>
                <w:sz w:val="17"/>
                <w:szCs w:val="17"/>
                <w:lang w:val="fr-FR"/>
              </w:rPr>
              <w:t>Le phénomène d'échouage des sargasses dans les Antilles et en Guyane</w:t>
            </w:r>
          </w:p>
        </w:tc>
        <w:tc>
          <w:tcPr>
            <w:tcW w:w="1379" w:type="dxa"/>
            <w:shd w:val="clear" w:color="auto" w:fill="auto"/>
            <w:noWrap/>
            <w:vAlign w:val="center"/>
          </w:tcPr>
          <w:p w14:paraId="10272E50" w14:textId="77777777" w:rsidR="00BB3B2C" w:rsidRPr="00867BB6" w:rsidRDefault="00BB3B2C" w:rsidP="000334D6">
            <w:pPr>
              <w:pStyle w:val="NoSpacing"/>
              <w:rPr>
                <w:sz w:val="17"/>
                <w:szCs w:val="17"/>
              </w:rPr>
            </w:pPr>
            <w:r w:rsidRPr="00867BB6">
              <w:rPr>
                <w:sz w:val="17"/>
                <w:szCs w:val="17"/>
              </w:rPr>
              <w:t>2016</w:t>
            </w:r>
          </w:p>
        </w:tc>
      </w:tr>
      <w:tr w:rsidR="000334D6" w:rsidRPr="00867BB6" w14:paraId="27E32C5D" w14:textId="77777777" w:rsidTr="000334D6">
        <w:trPr>
          <w:trHeight w:val="400"/>
        </w:trPr>
        <w:tc>
          <w:tcPr>
            <w:tcW w:w="483" w:type="dxa"/>
            <w:vAlign w:val="center"/>
          </w:tcPr>
          <w:p w14:paraId="0C8232D6" w14:textId="638D26C6" w:rsidR="00BB3B2C" w:rsidRPr="00867BB6" w:rsidRDefault="00BB69C5" w:rsidP="000334D6">
            <w:pPr>
              <w:pStyle w:val="NoSpacing"/>
              <w:rPr>
                <w:sz w:val="17"/>
                <w:szCs w:val="17"/>
              </w:rPr>
            </w:pPr>
            <w:r w:rsidRPr="00867BB6">
              <w:rPr>
                <w:sz w:val="17"/>
                <w:szCs w:val="17"/>
              </w:rPr>
              <w:t>21</w:t>
            </w:r>
          </w:p>
        </w:tc>
        <w:tc>
          <w:tcPr>
            <w:tcW w:w="1213" w:type="dxa"/>
            <w:shd w:val="clear" w:color="auto" w:fill="auto"/>
            <w:noWrap/>
            <w:vAlign w:val="center"/>
            <w:hideMark/>
          </w:tcPr>
          <w:p w14:paraId="79E4E852" w14:textId="77777777" w:rsidR="00BB3B2C" w:rsidRPr="00867BB6" w:rsidRDefault="00BB3B2C" w:rsidP="000334D6">
            <w:pPr>
              <w:pStyle w:val="NoSpacing"/>
              <w:rPr>
                <w:sz w:val="17"/>
                <w:szCs w:val="17"/>
              </w:rPr>
            </w:pPr>
            <w:r w:rsidRPr="00867BB6">
              <w:rPr>
                <w:sz w:val="17"/>
                <w:szCs w:val="17"/>
              </w:rPr>
              <w:t>Guyana</w:t>
            </w:r>
          </w:p>
        </w:tc>
        <w:tc>
          <w:tcPr>
            <w:tcW w:w="962" w:type="dxa"/>
            <w:shd w:val="clear" w:color="auto" w:fill="auto"/>
            <w:vAlign w:val="center"/>
            <w:hideMark/>
          </w:tcPr>
          <w:p w14:paraId="5DB194E9" w14:textId="77777777" w:rsidR="00BB3B2C" w:rsidRPr="00867BB6" w:rsidRDefault="00BB3B2C" w:rsidP="000334D6">
            <w:pPr>
              <w:pStyle w:val="NoSpacing"/>
              <w:rPr>
                <w:i/>
                <w:iCs/>
                <w:sz w:val="17"/>
                <w:szCs w:val="17"/>
              </w:rPr>
            </w:pPr>
            <w:r w:rsidRPr="00867BB6">
              <w:rPr>
                <w:i/>
                <w:iCs/>
                <w:sz w:val="17"/>
                <w:szCs w:val="17"/>
              </w:rPr>
              <w:t>L</w:t>
            </w:r>
          </w:p>
        </w:tc>
        <w:tc>
          <w:tcPr>
            <w:tcW w:w="1170" w:type="dxa"/>
            <w:shd w:val="clear" w:color="auto" w:fill="auto"/>
            <w:vAlign w:val="center"/>
            <w:hideMark/>
          </w:tcPr>
          <w:p w14:paraId="00AAAA0E" w14:textId="77777777" w:rsidR="00BB3B2C" w:rsidRPr="00867BB6" w:rsidRDefault="00BB3B2C" w:rsidP="000334D6">
            <w:pPr>
              <w:pStyle w:val="NoSpacing"/>
              <w:rPr>
                <w:sz w:val="17"/>
                <w:szCs w:val="17"/>
              </w:rPr>
            </w:pPr>
            <w:r w:rsidRPr="00867BB6">
              <w:rPr>
                <w:sz w:val="17"/>
                <w:szCs w:val="17"/>
              </w:rPr>
              <w:t>None found</w:t>
            </w:r>
          </w:p>
        </w:tc>
        <w:tc>
          <w:tcPr>
            <w:tcW w:w="3282" w:type="dxa"/>
            <w:shd w:val="clear" w:color="auto" w:fill="auto"/>
            <w:noWrap/>
            <w:vAlign w:val="center"/>
            <w:hideMark/>
          </w:tcPr>
          <w:p w14:paraId="2E4A94C8" w14:textId="77777777" w:rsidR="00BB3B2C" w:rsidRPr="00867BB6" w:rsidRDefault="00BB3B2C" w:rsidP="000334D6">
            <w:pPr>
              <w:pStyle w:val="NoSpacing"/>
              <w:rPr>
                <w:sz w:val="17"/>
                <w:szCs w:val="17"/>
              </w:rPr>
            </w:pPr>
            <w:r w:rsidRPr="00867BB6">
              <w:rPr>
                <w:color w:val="000000"/>
                <w:sz w:val="17"/>
                <w:szCs w:val="17"/>
              </w:rPr>
              <w:t>N/A (supposed to be modifying CRFM protocol)</w:t>
            </w:r>
          </w:p>
        </w:tc>
        <w:tc>
          <w:tcPr>
            <w:tcW w:w="1379" w:type="dxa"/>
            <w:shd w:val="clear" w:color="auto" w:fill="auto"/>
            <w:noWrap/>
            <w:vAlign w:val="center"/>
            <w:hideMark/>
          </w:tcPr>
          <w:p w14:paraId="7E3A913F" w14:textId="77777777" w:rsidR="00BB3B2C" w:rsidRPr="00867BB6" w:rsidRDefault="00BB3B2C" w:rsidP="000334D6">
            <w:pPr>
              <w:pStyle w:val="NoSpacing"/>
              <w:rPr>
                <w:sz w:val="17"/>
                <w:szCs w:val="17"/>
              </w:rPr>
            </w:pPr>
            <w:r w:rsidRPr="00867BB6">
              <w:rPr>
                <w:sz w:val="17"/>
                <w:szCs w:val="17"/>
              </w:rPr>
              <w:t>N/A</w:t>
            </w:r>
          </w:p>
        </w:tc>
      </w:tr>
      <w:tr w:rsidR="000334D6" w:rsidRPr="00867BB6" w14:paraId="490F4C39" w14:textId="77777777" w:rsidTr="000334D6">
        <w:trPr>
          <w:trHeight w:val="400"/>
        </w:trPr>
        <w:tc>
          <w:tcPr>
            <w:tcW w:w="483" w:type="dxa"/>
            <w:vAlign w:val="center"/>
          </w:tcPr>
          <w:p w14:paraId="5129C16D" w14:textId="39156A8C" w:rsidR="00BB3B2C" w:rsidRPr="00867BB6" w:rsidRDefault="00BB69C5" w:rsidP="000334D6">
            <w:pPr>
              <w:pStyle w:val="NoSpacing"/>
              <w:rPr>
                <w:sz w:val="17"/>
                <w:szCs w:val="17"/>
              </w:rPr>
            </w:pPr>
            <w:r w:rsidRPr="00867BB6">
              <w:rPr>
                <w:sz w:val="17"/>
                <w:szCs w:val="17"/>
              </w:rPr>
              <w:t>22</w:t>
            </w:r>
          </w:p>
        </w:tc>
        <w:tc>
          <w:tcPr>
            <w:tcW w:w="1213" w:type="dxa"/>
            <w:shd w:val="clear" w:color="auto" w:fill="auto"/>
            <w:noWrap/>
            <w:vAlign w:val="center"/>
            <w:hideMark/>
          </w:tcPr>
          <w:p w14:paraId="49EE640A" w14:textId="77777777" w:rsidR="00BB3B2C" w:rsidRPr="00867BB6" w:rsidRDefault="00BB3B2C" w:rsidP="000334D6">
            <w:pPr>
              <w:pStyle w:val="NoSpacing"/>
              <w:rPr>
                <w:sz w:val="17"/>
                <w:szCs w:val="17"/>
              </w:rPr>
            </w:pPr>
            <w:proofErr w:type="spellStart"/>
            <w:r w:rsidRPr="00867BB6">
              <w:rPr>
                <w:sz w:val="17"/>
                <w:szCs w:val="17"/>
              </w:rPr>
              <w:t>Guyane</w:t>
            </w:r>
            <w:proofErr w:type="spellEnd"/>
            <w:r w:rsidRPr="00867BB6">
              <w:rPr>
                <w:sz w:val="17"/>
                <w:szCs w:val="17"/>
              </w:rPr>
              <w:t xml:space="preserve"> (French Guiana)</w:t>
            </w:r>
          </w:p>
        </w:tc>
        <w:tc>
          <w:tcPr>
            <w:tcW w:w="962" w:type="dxa"/>
            <w:shd w:val="clear" w:color="auto" w:fill="auto"/>
            <w:vAlign w:val="center"/>
            <w:hideMark/>
          </w:tcPr>
          <w:p w14:paraId="5980AD9F" w14:textId="77777777" w:rsidR="00BB3B2C" w:rsidRPr="00867BB6" w:rsidRDefault="00BB3B2C" w:rsidP="000334D6">
            <w:pPr>
              <w:pStyle w:val="NoSpacing"/>
              <w:rPr>
                <w:i/>
                <w:iCs/>
                <w:sz w:val="17"/>
                <w:szCs w:val="17"/>
              </w:rPr>
            </w:pPr>
            <w:r w:rsidRPr="00867BB6">
              <w:rPr>
                <w:i/>
                <w:iCs/>
                <w:sz w:val="17"/>
                <w:szCs w:val="17"/>
              </w:rPr>
              <w:t>NA</w:t>
            </w:r>
          </w:p>
        </w:tc>
        <w:tc>
          <w:tcPr>
            <w:tcW w:w="1170" w:type="dxa"/>
            <w:shd w:val="clear" w:color="auto" w:fill="auto"/>
            <w:vAlign w:val="center"/>
            <w:hideMark/>
          </w:tcPr>
          <w:p w14:paraId="38918C5F" w14:textId="77777777" w:rsidR="00BB3B2C" w:rsidRPr="00867BB6" w:rsidRDefault="00BB3B2C" w:rsidP="000334D6">
            <w:pPr>
              <w:pStyle w:val="NoSpacing"/>
              <w:rPr>
                <w:sz w:val="17"/>
                <w:szCs w:val="17"/>
              </w:rPr>
            </w:pPr>
            <w:r w:rsidRPr="00867BB6">
              <w:rPr>
                <w:sz w:val="17"/>
                <w:szCs w:val="17"/>
              </w:rPr>
              <w:t>Report and recommendations (Fr)</w:t>
            </w:r>
          </w:p>
        </w:tc>
        <w:tc>
          <w:tcPr>
            <w:tcW w:w="3282" w:type="dxa"/>
            <w:shd w:val="clear" w:color="auto" w:fill="auto"/>
            <w:noWrap/>
            <w:vAlign w:val="center"/>
            <w:hideMark/>
          </w:tcPr>
          <w:p w14:paraId="42C2E9A9" w14:textId="77777777" w:rsidR="00BB3B2C" w:rsidRPr="00867BB6" w:rsidRDefault="00BB3B2C" w:rsidP="000334D6">
            <w:pPr>
              <w:pStyle w:val="NoSpacing"/>
              <w:rPr>
                <w:sz w:val="17"/>
                <w:szCs w:val="17"/>
                <w:lang w:val="fr-FR" w:eastAsia="en-AU"/>
              </w:rPr>
            </w:pPr>
            <w:r w:rsidRPr="00867BB6">
              <w:rPr>
                <w:color w:val="000000"/>
                <w:sz w:val="17"/>
                <w:szCs w:val="17"/>
                <w:lang w:val="fr-FR"/>
              </w:rPr>
              <w:t>Le phénomène d'échouage des sargasses dans les Antilles et en Guyane</w:t>
            </w:r>
          </w:p>
        </w:tc>
        <w:tc>
          <w:tcPr>
            <w:tcW w:w="1379" w:type="dxa"/>
            <w:shd w:val="clear" w:color="auto" w:fill="auto"/>
            <w:noWrap/>
            <w:vAlign w:val="center"/>
            <w:hideMark/>
          </w:tcPr>
          <w:p w14:paraId="4A8AC75E" w14:textId="77777777" w:rsidR="00BB3B2C" w:rsidRPr="00867BB6" w:rsidRDefault="00BB3B2C" w:rsidP="000334D6">
            <w:pPr>
              <w:pStyle w:val="NoSpacing"/>
              <w:rPr>
                <w:sz w:val="17"/>
                <w:szCs w:val="17"/>
              </w:rPr>
            </w:pPr>
            <w:r w:rsidRPr="00867BB6">
              <w:rPr>
                <w:sz w:val="17"/>
                <w:szCs w:val="17"/>
              </w:rPr>
              <w:t>2016</w:t>
            </w:r>
          </w:p>
        </w:tc>
      </w:tr>
      <w:tr w:rsidR="000334D6" w:rsidRPr="00867BB6" w14:paraId="08EC5ADE" w14:textId="77777777" w:rsidTr="000334D6">
        <w:trPr>
          <w:trHeight w:val="400"/>
        </w:trPr>
        <w:tc>
          <w:tcPr>
            <w:tcW w:w="483" w:type="dxa"/>
            <w:vAlign w:val="center"/>
          </w:tcPr>
          <w:p w14:paraId="6AEBEFD6" w14:textId="05A556ED" w:rsidR="00BB3B2C" w:rsidRPr="00867BB6" w:rsidRDefault="00BB69C5" w:rsidP="000334D6">
            <w:pPr>
              <w:pStyle w:val="NoSpacing"/>
              <w:rPr>
                <w:sz w:val="17"/>
                <w:szCs w:val="17"/>
              </w:rPr>
            </w:pPr>
            <w:r w:rsidRPr="00867BB6">
              <w:rPr>
                <w:sz w:val="17"/>
                <w:szCs w:val="17"/>
              </w:rPr>
              <w:t>23</w:t>
            </w:r>
          </w:p>
        </w:tc>
        <w:tc>
          <w:tcPr>
            <w:tcW w:w="1213" w:type="dxa"/>
            <w:shd w:val="clear" w:color="auto" w:fill="auto"/>
            <w:noWrap/>
            <w:vAlign w:val="center"/>
            <w:hideMark/>
          </w:tcPr>
          <w:p w14:paraId="785CC95E" w14:textId="77777777" w:rsidR="00BB3B2C" w:rsidRPr="00867BB6" w:rsidRDefault="00BB3B2C" w:rsidP="000334D6">
            <w:pPr>
              <w:pStyle w:val="NoSpacing"/>
              <w:rPr>
                <w:sz w:val="17"/>
                <w:szCs w:val="17"/>
              </w:rPr>
            </w:pPr>
            <w:r w:rsidRPr="00867BB6">
              <w:rPr>
                <w:sz w:val="17"/>
                <w:szCs w:val="17"/>
              </w:rPr>
              <w:t>Haiti</w:t>
            </w:r>
          </w:p>
        </w:tc>
        <w:tc>
          <w:tcPr>
            <w:tcW w:w="962" w:type="dxa"/>
            <w:shd w:val="clear" w:color="auto" w:fill="auto"/>
            <w:vAlign w:val="center"/>
            <w:hideMark/>
          </w:tcPr>
          <w:p w14:paraId="1AA61941" w14:textId="77777777" w:rsidR="00BB3B2C" w:rsidRPr="00867BB6" w:rsidRDefault="00BB3B2C" w:rsidP="000334D6">
            <w:pPr>
              <w:pStyle w:val="NoSpacing"/>
              <w:rPr>
                <w:i/>
                <w:iCs/>
                <w:sz w:val="17"/>
                <w:szCs w:val="17"/>
              </w:rPr>
            </w:pPr>
            <w:r w:rsidRPr="00867BB6">
              <w:rPr>
                <w:i/>
                <w:iCs/>
                <w:sz w:val="17"/>
                <w:szCs w:val="17"/>
              </w:rPr>
              <w:t>L</w:t>
            </w:r>
          </w:p>
        </w:tc>
        <w:tc>
          <w:tcPr>
            <w:tcW w:w="1170" w:type="dxa"/>
            <w:shd w:val="clear" w:color="auto" w:fill="auto"/>
            <w:vAlign w:val="center"/>
            <w:hideMark/>
          </w:tcPr>
          <w:p w14:paraId="7123A10F" w14:textId="77777777" w:rsidR="00BB3B2C" w:rsidRPr="00867BB6" w:rsidRDefault="00BB3B2C" w:rsidP="000334D6">
            <w:pPr>
              <w:pStyle w:val="NoSpacing"/>
              <w:rPr>
                <w:sz w:val="17"/>
                <w:szCs w:val="17"/>
              </w:rPr>
            </w:pPr>
            <w:r w:rsidRPr="00867BB6">
              <w:rPr>
                <w:sz w:val="17"/>
                <w:szCs w:val="17"/>
              </w:rPr>
              <w:t>None found</w:t>
            </w:r>
          </w:p>
        </w:tc>
        <w:tc>
          <w:tcPr>
            <w:tcW w:w="3282" w:type="dxa"/>
            <w:shd w:val="clear" w:color="auto" w:fill="auto"/>
            <w:noWrap/>
            <w:vAlign w:val="center"/>
            <w:hideMark/>
          </w:tcPr>
          <w:p w14:paraId="7EE6C377" w14:textId="77777777" w:rsidR="00BB3B2C" w:rsidRPr="00867BB6" w:rsidRDefault="00BB3B2C" w:rsidP="000334D6">
            <w:pPr>
              <w:pStyle w:val="NoSpacing"/>
              <w:rPr>
                <w:sz w:val="17"/>
                <w:szCs w:val="17"/>
              </w:rPr>
            </w:pPr>
            <w:r w:rsidRPr="00867BB6">
              <w:rPr>
                <w:color w:val="000000"/>
                <w:sz w:val="17"/>
                <w:szCs w:val="17"/>
              </w:rPr>
              <w:t>N/A (Coastal Sanitation Protection of the Great South Coast)</w:t>
            </w:r>
          </w:p>
        </w:tc>
        <w:tc>
          <w:tcPr>
            <w:tcW w:w="1379" w:type="dxa"/>
            <w:shd w:val="clear" w:color="auto" w:fill="auto"/>
            <w:noWrap/>
            <w:vAlign w:val="center"/>
            <w:hideMark/>
          </w:tcPr>
          <w:p w14:paraId="75E5B8B8" w14:textId="77777777" w:rsidR="00BB3B2C" w:rsidRPr="00867BB6" w:rsidRDefault="00BB3B2C" w:rsidP="000334D6">
            <w:pPr>
              <w:pStyle w:val="NoSpacing"/>
              <w:rPr>
                <w:sz w:val="17"/>
                <w:szCs w:val="17"/>
              </w:rPr>
            </w:pPr>
            <w:r w:rsidRPr="00867BB6">
              <w:rPr>
                <w:sz w:val="17"/>
                <w:szCs w:val="17"/>
              </w:rPr>
              <w:t>N/A</w:t>
            </w:r>
          </w:p>
        </w:tc>
      </w:tr>
      <w:tr w:rsidR="000334D6" w:rsidRPr="00867BB6" w14:paraId="32CC40D6" w14:textId="77777777" w:rsidTr="000334D6">
        <w:trPr>
          <w:trHeight w:val="400"/>
        </w:trPr>
        <w:tc>
          <w:tcPr>
            <w:tcW w:w="483" w:type="dxa"/>
            <w:vAlign w:val="center"/>
          </w:tcPr>
          <w:p w14:paraId="6E66990A" w14:textId="33048250" w:rsidR="00BB3B2C" w:rsidRPr="00867BB6" w:rsidRDefault="00BB3B2C" w:rsidP="000334D6">
            <w:pPr>
              <w:pStyle w:val="NoSpacing"/>
              <w:rPr>
                <w:sz w:val="17"/>
                <w:szCs w:val="17"/>
              </w:rPr>
            </w:pPr>
            <w:r w:rsidRPr="00867BB6">
              <w:rPr>
                <w:sz w:val="17"/>
                <w:szCs w:val="17"/>
              </w:rPr>
              <w:t>2</w:t>
            </w:r>
            <w:r w:rsidR="00BB69C5" w:rsidRPr="00867BB6">
              <w:rPr>
                <w:sz w:val="17"/>
                <w:szCs w:val="17"/>
              </w:rPr>
              <w:t>4</w:t>
            </w:r>
          </w:p>
        </w:tc>
        <w:tc>
          <w:tcPr>
            <w:tcW w:w="1213" w:type="dxa"/>
            <w:shd w:val="clear" w:color="auto" w:fill="auto"/>
            <w:noWrap/>
            <w:vAlign w:val="center"/>
            <w:hideMark/>
          </w:tcPr>
          <w:p w14:paraId="7109FCC8" w14:textId="77777777" w:rsidR="00BB3B2C" w:rsidRPr="00867BB6" w:rsidRDefault="00BB3B2C" w:rsidP="000334D6">
            <w:pPr>
              <w:pStyle w:val="NoSpacing"/>
              <w:rPr>
                <w:sz w:val="17"/>
                <w:szCs w:val="17"/>
              </w:rPr>
            </w:pPr>
            <w:r w:rsidRPr="00867BB6">
              <w:rPr>
                <w:sz w:val="17"/>
                <w:szCs w:val="17"/>
              </w:rPr>
              <w:t>Jamaica</w:t>
            </w:r>
          </w:p>
        </w:tc>
        <w:tc>
          <w:tcPr>
            <w:tcW w:w="962" w:type="dxa"/>
            <w:shd w:val="clear" w:color="auto" w:fill="auto"/>
            <w:vAlign w:val="center"/>
            <w:hideMark/>
          </w:tcPr>
          <w:p w14:paraId="27337114" w14:textId="77777777" w:rsidR="00BB3B2C" w:rsidRPr="00867BB6" w:rsidRDefault="00BB3B2C" w:rsidP="000334D6">
            <w:pPr>
              <w:pStyle w:val="NoSpacing"/>
              <w:rPr>
                <w:i/>
                <w:iCs/>
                <w:sz w:val="17"/>
                <w:szCs w:val="17"/>
              </w:rPr>
            </w:pPr>
            <w:r w:rsidRPr="00867BB6">
              <w:rPr>
                <w:i/>
                <w:iCs/>
                <w:sz w:val="17"/>
                <w:szCs w:val="17"/>
              </w:rPr>
              <w:t>VH</w:t>
            </w:r>
          </w:p>
        </w:tc>
        <w:tc>
          <w:tcPr>
            <w:tcW w:w="1170" w:type="dxa"/>
            <w:shd w:val="clear" w:color="auto" w:fill="auto"/>
            <w:vAlign w:val="center"/>
            <w:hideMark/>
          </w:tcPr>
          <w:p w14:paraId="7B85DFCF" w14:textId="77777777" w:rsidR="00BB3B2C" w:rsidRPr="00867BB6" w:rsidRDefault="00BB3B2C" w:rsidP="000334D6">
            <w:pPr>
              <w:pStyle w:val="NoSpacing"/>
              <w:rPr>
                <w:sz w:val="17"/>
                <w:szCs w:val="17"/>
              </w:rPr>
            </w:pPr>
            <w:r w:rsidRPr="00867BB6">
              <w:rPr>
                <w:sz w:val="17"/>
                <w:szCs w:val="17"/>
              </w:rPr>
              <w:t>Strategic preparedness plan</w:t>
            </w:r>
          </w:p>
        </w:tc>
        <w:tc>
          <w:tcPr>
            <w:tcW w:w="3282" w:type="dxa"/>
            <w:shd w:val="clear" w:color="auto" w:fill="auto"/>
            <w:noWrap/>
            <w:vAlign w:val="center"/>
            <w:hideMark/>
          </w:tcPr>
          <w:p w14:paraId="59E7F658" w14:textId="77777777" w:rsidR="00BB3B2C" w:rsidRPr="00867BB6" w:rsidRDefault="00BB3B2C" w:rsidP="000334D6">
            <w:pPr>
              <w:pStyle w:val="NoSpacing"/>
              <w:rPr>
                <w:sz w:val="17"/>
                <w:szCs w:val="17"/>
              </w:rPr>
            </w:pPr>
            <w:r w:rsidRPr="00867BB6">
              <w:rPr>
                <w:color w:val="000000"/>
                <w:sz w:val="17"/>
                <w:szCs w:val="17"/>
              </w:rPr>
              <w:t>National Response Strategy: The Sargassum Threat</w:t>
            </w:r>
          </w:p>
        </w:tc>
        <w:tc>
          <w:tcPr>
            <w:tcW w:w="1379" w:type="dxa"/>
            <w:shd w:val="clear" w:color="auto" w:fill="auto"/>
            <w:noWrap/>
            <w:vAlign w:val="center"/>
            <w:hideMark/>
          </w:tcPr>
          <w:p w14:paraId="32E26869" w14:textId="77777777" w:rsidR="00BB3B2C" w:rsidRPr="00867BB6" w:rsidRDefault="00BB3B2C" w:rsidP="000334D6">
            <w:pPr>
              <w:pStyle w:val="NoSpacing"/>
              <w:rPr>
                <w:sz w:val="17"/>
                <w:szCs w:val="17"/>
              </w:rPr>
            </w:pPr>
            <w:r w:rsidRPr="00867BB6">
              <w:rPr>
                <w:sz w:val="17"/>
                <w:szCs w:val="17"/>
              </w:rPr>
              <w:t>2015</w:t>
            </w:r>
          </w:p>
        </w:tc>
      </w:tr>
      <w:tr w:rsidR="000334D6" w:rsidRPr="00867BB6" w14:paraId="60E2E3FD" w14:textId="77777777" w:rsidTr="000334D6">
        <w:trPr>
          <w:trHeight w:val="400"/>
        </w:trPr>
        <w:tc>
          <w:tcPr>
            <w:tcW w:w="483" w:type="dxa"/>
            <w:vAlign w:val="center"/>
          </w:tcPr>
          <w:p w14:paraId="60E03086" w14:textId="4F080417" w:rsidR="00BB3B2C" w:rsidRPr="00867BB6" w:rsidRDefault="00BB3B2C" w:rsidP="000334D6">
            <w:pPr>
              <w:pStyle w:val="NoSpacing"/>
              <w:rPr>
                <w:sz w:val="17"/>
                <w:szCs w:val="17"/>
              </w:rPr>
            </w:pPr>
            <w:r w:rsidRPr="00867BB6">
              <w:rPr>
                <w:sz w:val="17"/>
                <w:szCs w:val="17"/>
              </w:rPr>
              <w:lastRenderedPageBreak/>
              <w:t>2</w:t>
            </w:r>
            <w:r w:rsidR="00BB69C5" w:rsidRPr="00867BB6">
              <w:rPr>
                <w:sz w:val="17"/>
                <w:szCs w:val="17"/>
              </w:rPr>
              <w:t>5</w:t>
            </w:r>
          </w:p>
        </w:tc>
        <w:tc>
          <w:tcPr>
            <w:tcW w:w="1213" w:type="dxa"/>
            <w:shd w:val="clear" w:color="auto" w:fill="auto"/>
            <w:noWrap/>
            <w:vAlign w:val="center"/>
            <w:hideMark/>
          </w:tcPr>
          <w:p w14:paraId="13B27C45" w14:textId="77777777" w:rsidR="00BB3B2C" w:rsidRPr="00867BB6" w:rsidRDefault="00BB3B2C" w:rsidP="000334D6">
            <w:pPr>
              <w:pStyle w:val="NoSpacing"/>
              <w:rPr>
                <w:sz w:val="17"/>
                <w:szCs w:val="17"/>
              </w:rPr>
            </w:pPr>
            <w:r w:rsidRPr="00867BB6">
              <w:rPr>
                <w:sz w:val="17"/>
                <w:szCs w:val="17"/>
              </w:rPr>
              <w:t>Martinique (Fr)</w:t>
            </w:r>
          </w:p>
        </w:tc>
        <w:tc>
          <w:tcPr>
            <w:tcW w:w="962" w:type="dxa"/>
            <w:shd w:val="clear" w:color="auto" w:fill="auto"/>
            <w:vAlign w:val="center"/>
            <w:hideMark/>
          </w:tcPr>
          <w:p w14:paraId="415612A5" w14:textId="77777777" w:rsidR="00BB3B2C" w:rsidRPr="00867BB6" w:rsidRDefault="00BB3B2C" w:rsidP="000334D6">
            <w:pPr>
              <w:pStyle w:val="NoSpacing"/>
              <w:rPr>
                <w:i/>
                <w:iCs/>
                <w:sz w:val="17"/>
                <w:szCs w:val="17"/>
              </w:rPr>
            </w:pPr>
            <w:r w:rsidRPr="00867BB6">
              <w:rPr>
                <w:i/>
                <w:iCs/>
                <w:sz w:val="17"/>
                <w:szCs w:val="17"/>
              </w:rPr>
              <w:t>H</w:t>
            </w:r>
          </w:p>
        </w:tc>
        <w:tc>
          <w:tcPr>
            <w:tcW w:w="1170" w:type="dxa"/>
            <w:shd w:val="clear" w:color="auto" w:fill="auto"/>
            <w:vAlign w:val="center"/>
            <w:hideMark/>
          </w:tcPr>
          <w:p w14:paraId="1E162AE5" w14:textId="77777777" w:rsidR="00BB3B2C" w:rsidRPr="00867BB6" w:rsidRDefault="00BB3B2C" w:rsidP="000334D6">
            <w:pPr>
              <w:pStyle w:val="NoSpacing"/>
              <w:rPr>
                <w:sz w:val="17"/>
                <w:szCs w:val="17"/>
              </w:rPr>
            </w:pPr>
            <w:r w:rsidRPr="00867BB6">
              <w:rPr>
                <w:sz w:val="17"/>
                <w:szCs w:val="17"/>
              </w:rPr>
              <w:t>Report and recommendations (Fr)</w:t>
            </w:r>
          </w:p>
        </w:tc>
        <w:tc>
          <w:tcPr>
            <w:tcW w:w="3282" w:type="dxa"/>
            <w:shd w:val="clear" w:color="auto" w:fill="auto"/>
            <w:noWrap/>
            <w:vAlign w:val="center"/>
            <w:hideMark/>
          </w:tcPr>
          <w:p w14:paraId="53785CB2" w14:textId="77777777" w:rsidR="00BB3B2C" w:rsidRPr="00867BB6" w:rsidRDefault="00BB3B2C" w:rsidP="000334D6">
            <w:pPr>
              <w:pStyle w:val="NoSpacing"/>
              <w:rPr>
                <w:sz w:val="17"/>
                <w:szCs w:val="17"/>
                <w:lang w:val="fr-FR" w:eastAsia="en-AU"/>
              </w:rPr>
            </w:pPr>
            <w:r w:rsidRPr="00867BB6">
              <w:rPr>
                <w:color w:val="000000"/>
                <w:sz w:val="17"/>
                <w:szCs w:val="17"/>
                <w:lang w:val="fr-FR"/>
              </w:rPr>
              <w:t>Le phénomène d'échouage des sargasses dans les Antilles et en Guyane</w:t>
            </w:r>
          </w:p>
        </w:tc>
        <w:tc>
          <w:tcPr>
            <w:tcW w:w="1379" w:type="dxa"/>
            <w:shd w:val="clear" w:color="auto" w:fill="auto"/>
            <w:noWrap/>
            <w:vAlign w:val="center"/>
            <w:hideMark/>
          </w:tcPr>
          <w:p w14:paraId="4B88F9C5" w14:textId="77777777" w:rsidR="00BB3B2C" w:rsidRPr="00867BB6" w:rsidRDefault="00BB3B2C" w:rsidP="000334D6">
            <w:pPr>
              <w:pStyle w:val="NoSpacing"/>
              <w:rPr>
                <w:sz w:val="17"/>
                <w:szCs w:val="17"/>
              </w:rPr>
            </w:pPr>
            <w:r w:rsidRPr="00867BB6">
              <w:rPr>
                <w:sz w:val="17"/>
                <w:szCs w:val="17"/>
              </w:rPr>
              <w:t>2016</w:t>
            </w:r>
          </w:p>
        </w:tc>
      </w:tr>
      <w:tr w:rsidR="000334D6" w:rsidRPr="00867BB6" w14:paraId="2EC15984" w14:textId="77777777" w:rsidTr="000334D6">
        <w:trPr>
          <w:trHeight w:val="400"/>
        </w:trPr>
        <w:tc>
          <w:tcPr>
            <w:tcW w:w="483" w:type="dxa"/>
            <w:vAlign w:val="center"/>
          </w:tcPr>
          <w:p w14:paraId="7B51508D" w14:textId="0191B5B5" w:rsidR="00BB3B2C" w:rsidRPr="00867BB6" w:rsidRDefault="00BB3B2C" w:rsidP="000334D6">
            <w:pPr>
              <w:pStyle w:val="NoSpacing"/>
              <w:rPr>
                <w:sz w:val="17"/>
                <w:szCs w:val="17"/>
              </w:rPr>
            </w:pPr>
            <w:r w:rsidRPr="00867BB6">
              <w:rPr>
                <w:sz w:val="17"/>
                <w:szCs w:val="17"/>
              </w:rPr>
              <w:t>2</w:t>
            </w:r>
            <w:r w:rsidR="00BB69C5" w:rsidRPr="00867BB6">
              <w:rPr>
                <w:sz w:val="17"/>
                <w:szCs w:val="17"/>
              </w:rPr>
              <w:t>6</w:t>
            </w:r>
          </w:p>
        </w:tc>
        <w:tc>
          <w:tcPr>
            <w:tcW w:w="1213" w:type="dxa"/>
            <w:shd w:val="clear" w:color="auto" w:fill="auto"/>
            <w:noWrap/>
            <w:vAlign w:val="center"/>
            <w:hideMark/>
          </w:tcPr>
          <w:p w14:paraId="798C23C9" w14:textId="77777777" w:rsidR="00BB3B2C" w:rsidRPr="00867BB6" w:rsidRDefault="00BB3B2C" w:rsidP="000334D6">
            <w:pPr>
              <w:pStyle w:val="NoSpacing"/>
              <w:rPr>
                <w:sz w:val="17"/>
                <w:szCs w:val="17"/>
              </w:rPr>
            </w:pPr>
            <w:r w:rsidRPr="00867BB6">
              <w:rPr>
                <w:sz w:val="17"/>
                <w:szCs w:val="17"/>
              </w:rPr>
              <w:t>Montserrat (UK)</w:t>
            </w:r>
          </w:p>
        </w:tc>
        <w:tc>
          <w:tcPr>
            <w:tcW w:w="962" w:type="dxa"/>
            <w:shd w:val="clear" w:color="auto" w:fill="auto"/>
            <w:vAlign w:val="center"/>
            <w:hideMark/>
          </w:tcPr>
          <w:p w14:paraId="1045CBE3" w14:textId="77777777" w:rsidR="00BB3B2C" w:rsidRPr="00867BB6" w:rsidRDefault="00BB3B2C" w:rsidP="000334D6">
            <w:pPr>
              <w:pStyle w:val="NoSpacing"/>
              <w:rPr>
                <w:i/>
                <w:iCs/>
                <w:sz w:val="17"/>
                <w:szCs w:val="17"/>
              </w:rPr>
            </w:pPr>
            <w:r w:rsidRPr="00867BB6">
              <w:rPr>
                <w:i/>
                <w:iCs/>
                <w:sz w:val="17"/>
                <w:szCs w:val="17"/>
              </w:rPr>
              <w:t>H</w:t>
            </w:r>
          </w:p>
        </w:tc>
        <w:tc>
          <w:tcPr>
            <w:tcW w:w="1170" w:type="dxa"/>
            <w:shd w:val="clear" w:color="auto" w:fill="auto"/>
            <w:vAlign w:val="center"/>
            <w:hideMark/>
          </w:tcPr>
          <w:p w14:paraId="60AB6C4D" w14:textId="77777777" w:rsidR="00BB3B2C" w:rsidRPr="00867BB6" w:rsidRDefault="00BB3B2C" w:rsidP="000334D6">
            <w:pPr>
              <w:pStyle w:val="NoSpacing"/>
              <w:rPr>
                <w:sz w:val="17"/>
                <w:szCs w:val="17"/>
              </w:rPr>
            </w:pPr>
            <w:r w:rsidRPr="00867BB6">
              <w:rPr>
                <w:sz w:val="17"/>
                <w:szCs w:val="17"/>
              </w:rPr>
              <w:t>None found</w:t>
            </w:r>
          </w:p>
        </w:tc>
        <w:tc>
          <w:tcPr>
            <w:tcW w:w="3282" w:type="dxa"/>
            <w:shd w:val="clear" w:color="auto" w:fill="auto"/>
            <w:noWrap/>
            <w:vAlign w:val="center"/>
            <w:hideMark/>
          </w:tcPr>
          <w:p w14:paraId="2B669F97" w14:textId="77777777" w:rsidR="00BB3B2C" w:rsidRPr="00867BB6" w:rsidRDefault="00BB3B2C" w:rsidP="000334D6">
            <w:pPr>
              <w:pStyle w:val="NoSpacing"/>
              <w:rPr>
                <w:sz w:val="17"/>
                <w:szCs w:val="17"/>
              </w:rPr>
            </w:pPr>
            <w:r w:rsidRPr="00867BB6">
              <w:rPr>
                <w:color w:val="000000"/>
                <w:sz w:val="17"/>
                <w:szCs w:val="17"/>
              </w:rPr>
              <w:t>N/A</w:t>
            </w:r>
          </w:p>
        </w:tc>
        <w:tc>
          <w:tcPr>
            <w:tcW w:w="1379" w:type="dxa"/>
            <w:shd w:val="clear" w:color="auto" w:fill="auto"/>
            <w:noWrap/>
            <w:vAlign w:val="center"/>
            <w:hideMark/>
          </w:tcPr>
          <w:p w14:paraId="1B0520A0" w14:textId="77777777" w:rsidR="00BB3B2C" w:rsidRPr="00867BB6" w:rsidRDefault="00BB3B2C" w:rsidP="000334D6">
            <w:pPr>
              <w:pStyle w:val="NoSpacing"/>
              <w:rPr>
                <w:sz w:val="17"/>
                <w:szCs w:val="17"/>
              </w:rPr>
            </w:pPr>
            <w:r w:rsidRPr="00867BB6">
              <w:rPr>
                <w:sz w:val="17"/>
                <w:szCs w:val="17"/>
              </w:rPr>
              <w:t>N/A</w:t>
            </w:r>
          </w:p>
        </w:tc>
      </w:tr>
      <w:tr w:rsidR="000334D6" w:rsidRPr="00867BB6" w14:paraId="49074BBE" w14:textId="77777777" w:rsidTr="000334D6">
        <w:trPr>
          <w:trHeight w:val="400"/>
        </w:trPr>
        <w:tc>
          <w:tcPr>
            <w:tcW w:w="483" w:type="dxa"/>
            <w:vAlign w:val="center"/>
          </w:tcPr>
          <w:p w14:paraId="4A93EA0E" w14:textId="4DF4A1F1" w:rsidR="00BB3B2C" w:rsidRPr="00867BB6" w:rsidRDefault="00BB3B2C" w:rsidP="000334D6">
            <w:pPr>
              <w:pStyle w:val="NoSpacing"/>
              <w:rPr>
                <w:sz w:val="17"/>
                <w:szCs w:val="17"/>
              </w:rPr>
            </w:pPr>
            <w:r w:rsidRPr="00867BB6">
              <w:rPr>
                <w:sz w:val="17"/>
                <w:szCs w:val="17"/>
              </w:rPr>
              <w:t>2</w:t>
            </w:r>
            <w:r w:rsidR="00BB69C5" w:rsidRPr="00867BB6">
              <w:rPr>
                <w:sz w:val="17"/>
                <w:szCs w:val="17"/>
              </w:rPr>
              <w:t>7</w:t>
            </w:r>
          </w:p>
        </w:tc>
        <w:tc>
          <w:tcPr>
            <w:tcW w:w="1213" w:type="dxa"/>
            <w:shd w:val="clear" w:color="auto" w:fill="auto"/>
            <w:noWrap/>
            <w:vAlign w:val="center"/>
            <w:hideMark/>
          </w:tcPr>
          <w:p w14:paraId="2786F168" w14:textId="77777777" w:rsidR="00BB3B2C" w:rsidRPr="00867BB6" w:rsidRDefault="00BB3B2C" w:rsidP="000334D6">
            <w:pPr>
              <w:pStyle w:val="NoSpacing"/>
              <w:rPr>
                <w:sz w:val="17"/>
                <w:szCs w:val="17"/>
              </w:rPr>
            </w:pPr>
            <w:r w:rsidRPr="00867BB6">
              <w:rPr>
                <w:sz w:val="17"/>
                <w:szCs w:val="17"/>
              </w:rPr>
              <w:t>Puerto Rico</w:t>
            </w:r>
          </w:p>
        </w:tc>
        <w:tc>
          <w:tcPr>
            <w:tcW w:w="962" w:type="dxa"/>
            <w:shd w:val="clear" w:color="auto" w:fill="auto"/>
            <w:vAlign w:val="center"/>
            <w:hideMark/>
          </w:tcPr>
          <w:p w14:paraId="7EE7DFD8" w14:textId="77777777" w:rsidR="00BB3B2C" w:rsidRPr="00867BB6" w:rsidRDefault="00BB3B2C" w:rsidP="000334D6">
            <w:pPr>
              <w:pStyle w:val="NoSpacing"/>
              <w:rPr>
                <w:i/>
                <w:iCs/>
                <w:sz w:val="17"/>
                <w:szCs w:val="17"/>
              </w:rPr>
            </w:pPr>
            <w:r w:rsidRPr="00867BB6">
              <w:rPr>
                <w:i/>
                <w:iCs/>
                <w:sz w:val="17"/>
                <w:szCs w:val="17"/>
              </w:rPr>
              <w:t>H</w:t>
            </w:r>
          </w:p>
        </w:tc>
        <w:tc>
          <w:tcPr>
            <w:tcW w:w="1170" w:type="dxa"/>
            <w:shd w:val="clear" w:color="auto" w:fill="auto"/>
            <w:vAlign w:val="center"/>
            <w:hideMark/>
          </w:tcPr>
          <w:p w14:paraId="20836319" w14:textId="77777777" w:rsidR="00BB3B2C" w:rsidRPr="00867BB6" w:rsidRDefault="00BB3B2C" w:rsidP="000334D6">
            <w:pPr>
              <w:pStyle w:val="NoSpacing"/>
              <w:rPr>
                <w:sz w:val="17"/>
                <w:szCs w:val="17"/>
              </w:rPr>
            </w:pPr>
            <w:r w:rsidRPr="00867BB6">
              <w:rPr>
                <w:sz w:val="17"/>
                <w:szCs w:val="17"/>
              </w:rPr>
              <w:t>None found</w:t>
            </w:r>
          </w:p>
        </w:tc>
        <w:tc>
          <w:tcPr>
            <w:tcW w:w="3282" w:type="dxa"/>
            <w:shd w:val="clear" w:color="auto" w:fill="auto"/>
            <w:noWrap/>
            <w:vAlign w:val="center"/>
            <w:hideMark/>
          </w:tcPr>
          <w:p w14:paraId="6B7D72D9" w14:textId="77777777" w:rsidR="00BB3B2C" w:rsidRPr="00867BB6" w:rsidRDefault="00BB3B2C" w:rsidP="000334D6">
            <w:pPr>
              <w:pStyle w:val="NoSpacing"/>
              <w:rPr>
                <w:sz w:val="17"/>
                <w:szCs w:val="17"/>
              </w:rPr>
            </w:pPr>
            <w:r w:rsidRPr="00867BB6">
              <w:rPr>
                <w:color w:val="000000"/>
                <w:sz w:val="17"/>
                <w:szCs w:val="17"/>
              </w:rPr>
              <w:t>N/A (Protocol for the management of extreme accumulation of Sargassum on the coasts of Puerto Rico)</w:t>
            </w:r>
          </w:p>
        </w:tc>
        <w:tc>
          <w:tcPr>
            <w:tcW w:w="1379" w:type="dxa"/>
            <w:shd w:val="clear" w:color="auto" w:fill="auto"/>
            <w:noWrap/>
            <w:vAlign w:val="center"/>
            <w:hideMark/>
          </w:tcPr>
          <w:p w14:paraId="46ABD496" w14:textId="77777777" w:rsidR="00BB3B2C" w:rsidRPr="00867BB6" w:rsidRDefault="00BB3B2C" w:rsidP="000334D6">
            <w:pPr>
              <w:pStyle w:val="NoSpacing"/>
              <w:rPr>
                <w:sz w:val="17"/>
                <w:szCs w:val="17"/>
              </w:rPr>
            </w:pPr>
            <w:r w:rsidRPr="00867BB6">
              <w:rPr>
                <w:sz w:val="17"/>
                <w:szCs w:val="17"/>
              </w:rPr>
              <w:t>2015</w:t>
            </w:r>
          </w:p>
        </w:tc>
      </w:tr>
      <w:tr w:rsidR="000334D6" w:rsidRPr="00867BB6" w14:paraId="21032C60" w14:textId="77777777" w:rsidTr="000334D6">
        <w:trPr>
          <w:trHeight w:val="400"/>
        </w:trPr>
        <w:tc>
          <w:tcPr>
            <w:tcW w:w="483" w:type="dxa"/>
            <w:vAlign w:val="center"/>
          </w:tcPr>
          <w:p w14:paraId="37F19C47" w14:textId="3CF57571" w:rsidR="00BB3B2C" w:rsidRPr="00867BB6" w:rsidRDefault="00BB3B2C" w:rsidP="000334D6">
            <w:pPr>
              <w:pStyle w:val="NoSpacing"/>
              <w:rPr>
                <w:sz w:val="17"/>
                <w:szCs w:val="17"/>
              </w:rPr>
            </w:pPr>
            <w:r w:rsidRPr="00867BB6">
              <w:rPr>
                <w:sz w:val="17"/>
                <w:szCs w:val="17"/>
              </w:rPr>
              <w:t>2</w:t>
            </w:r>
            <w:r w:rsidR="00BB69C5" w:rsidRPr="00867BB6">
              <w:rPr>
                <w:sz w:val="17"/>
                <w:szCs w:val="17"/>
              </w:rPr>
              <w:t>8</w:t>
            </w:r>
          </w:p>
        </w:tc>
        <w:tc>
          <w:tcPr>
            <w:tcW w:w="1213" w:type="dxa"/>
            <w:shd w:val="clear" w:color="auto" w:fill="auto"/>
            <w:noWrap/>
            <w:vAlign w:val="center"/>
            <w:hideMark/>
          </w:tcPr>
          <w:p w14:paraId="4B052AFB" w14:textId="77777777" w:rsidR="00BB3B2C" w:rsidRPr="00867BB6" w:rsidRDefault="00BB3B2C" w:rsidP="000334D6">
            <w:pPr>
              <w:pStyle w:val="NoSpacing"/>
              <w:rPr>
                <w:sz w:val="17"/>
                <w:szCs w:val="17"/>
              </w:rPr>
            </w:pPr>
            <w:r w:rsidRPr="00867BB6">
              <w:rPr>
                <w:sz w:val="17"/>
                <w:szCs w:val="17"/>
              </w:rPr>
              <w:t>Saba (NL)</w:t>
            </w:r>
          </w:p>
        </w:tc>
        <w:tc>
          <w:tcPr>
            <w:tcW w:w="962" w:type="dxa"/>
            <w:shd w:val="clear" w:color="auto" w:fill="auto"/>
            <w:vAlign w:val="center"/>
            <w:hideMark/>
          </w:tcPr>
          <w:p w14:paraId="204EBB33" w14:textId="77777777" w:rsidR="00BB3B2C" w:rsidRPr="00867BB6" w:rsidRDefault="00BB3B2C" w:rsidP="000334D6">
            <w:pPr>
              <w:pStyle w:val="NoSpacing"/>
              <w:rPr>
                <w:i/>
                <w:iCs/>
                <w:sz w:val="17"/>
                <w:szCs w:val="17"/>
              </w:rPr>
            </w:pPr>
            <w:r w:rsidRPr="00867BB6">
              <w:rPr>
                <w:i/>
                <w:iCs/>
                <w:sz w:val="17"/>
                <w:szCs w:val="17"/>
              </w:rPr>
              <w:t>H</w:t>
            </w:r>
          </w:p>
        </w:tc>
        <w:tc>
          <w:tcPr>
            <w:tcW w:w="1170" w:type="dxa"/>
            <w:shd w:val="clear" w:color="auto" w:fill="auto"/>
            <w:vAlign w:val="center"/>
            <w:hideMark/>
          </w:tcPr>
          <w:p w14:paraId="0770491B" w14:textId="77777777" w:rsidR="00BB3B2C" w:rsidRPr="00867BB6" w:rsidRDefault="00BB3B2C" w:rsidP="000334D6">
            <w:pPr>
              <w:pStyle w:val="NoSpacing"/>
              <w:rPr>
                <w:sz w:val="17"/>
                <w:szCs w:val="17"/>
              </w:rPr>
            </w:pPr>
            <w:r w:rsidRPr="00867BB6">
              <w:rPr>
                <w:sz w:val="17"/>
                <w:szCs w:val="17"/>
              </w:rPr>
              <w:t>Management brief (NL)</w:t>
            </w:r>
          </w:p>
        </w:tc>
        <w:tc>
          <w:tcPr>
            <w:tcW w:w="3282" w:type="dxa"/>
            <w:shd w:val="clear" w:color="auto" w:fill="auto"/>
            <w:noWrap/>
            <w:vAlign w:val="center"/>
            <w:hideMark/>
          </w:tcPr>
          <w:p w14:paraId="79B13F69" w14:textId="77777777" w:rsidR="00BB3B2C" w:rsidRPr="00867BB6" w:rsidRDefault="00BB3B2C" w:rsidP="000334D6">
            <w:pPr>
              <w:pStyle w:val="NoSpacing"/>
              <w:rPr>
                <w:sz w:val="17"/>
                <w:szCs w:val="17"/>
              </w:rPr>
            </w:pPr>
            <w:r w:rsidRPr="00867BB6">
              <w:rPr>
                <w:color w:val="000000"/>
                <w:sz w:val="17"/>
                <w:szCs w:val="17"/>
              </w:rPr>
              <w:t>Prevention and clean-up of Sargassum in the Dutch Caribbean</w:t>
            </w:r>
          </w:p>
        </w:tc>
        <w:tc>
          <w:tcPr>
            <w:tcW w:w="1379" w:type="dxa"/>
            <w:shd w:val="clear" w:color="auto" w:fill="auto"/>
            <w:noWrap/>
            <w:vAlign w:val="center"/>
            <w:hideMark/>
          </w:tcPr>
          <w:p w14:paraId="1FDA9E9A" w14:textId="77777777" w:rsidR="00BB3B2C" w:rsidRPr="00867BB6" w:rsidRDefault="00BB3B2C" w:rsidP="000334D6">
            <w:pPr>
              <w:pStyle w:val="NoSpacing"/>
              <w:rPr>
                <w:sz w:val="17"/>
                <w:szCs w:val="17"/>
              </w:rPr>
            </w:pPr>
            <w:r w:rsidRPr="00867BB6">
              <w:rPr>
                <w:sz w:val="17"/>
                <w:szCs w:val="17"/>
              </w:rPr>
              <w:t>2019</w:t>
            </w:r>
          </w:p>
        </w:tc>
      </w:tr>
      <w:tr w:rsidR="000334D6" w:rsidRPr="00867BB6" w14:paraId="715BDD58" w14:textId="77777777" w:rsidTr="000334D6">
        <w:trPr>
          <w:trHeight w:val="400"/>
        </w:trPr>
        <w:tc>
          <w:tcPr>
            <w:tcW w:w="483" w:type="dxa"/>
            <w:vAlign w:val="center"/>
          </w:tcPr>
          <w:p w14:paraId="11CA1BB8" w14:textId="2FA73BA8" w:rsidR="00BB3B2C" w:rsidRPr="00867BB6" w:rsidRDefault="00BB3B2C" w:rsidP="000334D6">
            <w:pPr>
              <w:pStyle w:val="NoSpacing"/>
              <w:rPr>
                <w:sz w:val="17"/>
                <w:szCs w:val="17"/>
              </w:rPr>
            </w:pPr>
            <w:r w:rsidRPr="00867BB6">
              <w:rPr>
                <w:sz w:val="17"/>
                <w:szCs w:val="17"/>
              </w:rPr>
              <w:t>2</w:t>
            </w:r>
            <w:r w:rsidR="00BB69C5" w:rsidRPr="00867BB6">
              <w:rPr>
                <w:sz w:val="17"/>
                <w:szCs w:val="17"/>
              </w:rPr>
              <w:t>9</w:t>
            </w:r>
          </w:p>
        </w:tc>
        <w:tc>
          <w:tcPr>
            <w:tcW w:w="1213" w:type="dxa"/>
            <w:shd w:val="clear" w:color="auto" w:fill="auto"/>
            <w:noWrap/>
            <w:vAlign w:val="center"/>
            <w:hideMark/>
          </w:tcPr>
          <w:p w14:paraId="11962834" w14:textId="77777777" w:rsidR="00BB3B2C" w:rsidRPr="00867BB6" w:rsidRDefault="00BB3B2C" w:rsidP="000334D6">
            <w:pPr>
              <w:pStyle w:val="NoSpacing"/>
              <w:rPr>
                <w:sz w:val="17"/>
                <w:szCs w:val="17"/>
              </w:rPr>
            </w:pPr>
            <w:r w:rsidRPr="00867BB6">
              <w:rPr>
                <w:sz w:val="17"/>
                <w:szCs w:val="17"/>
              </w:rPr>
              <w:t>St Eustatius (NL)</w:t>
            </w:r>
          </w:p>
        </w:tc>
        <w:tc>
          <w:tcPr>
            <w:tcW w:w="962" w:type="dxa"/>
            <w:shd w:val="clear" w:color="auto" w:fill="auto"/>
            <w:vAlign w:val="center"/>
            <w:hideMark/>
          </w:tcPr>
          <w:p w14:paraId="48911BDF" w14:textId="77777777" w:rsidR="00BB3B2C" w:rsidRPr="00867BB6" w:rsidRDefault="00BB3B2C" w:rsidP="000334D6">
            <w:pPr>
              <w:pStyle w:val="NoSpacing"/>
              <w:rPr>
                <w:i/>
                <w:iCs/>
                <w:sz w:val="17"/>
                <w:szCs w:val="17"/>
              </w:rPr>
            </w:pPr>
            <w:r w:rsidRPr="00867BB6">
              <w:rPr>
                <w:i/>
                <w:iCs/>
                <w:sz w:val="17"/>
                <w:szCs w:val="17"/>
              </w:rPr>
              <w:t>H</w:t>
            </w:r>
          </w:p>
        </w:tc>
        <w:tc>
          <w:tcPr>
            <w:tcW w:w="1170" w:type="dxa"/>
            <w:shd w:val="clear" w:color="auto" w:fill="auto"/>
            <w:vAlign w:val="center"/>
            <w:hideMark/>
          </w:tcPr>
          <w:p w14:paraId="01E710B5" w14:textId="77777777" w:rsidR="00BB3B2C" w:rsidRPr="00867BB6" w:rsidRDefault="00BB3B2C" w:rsidP="000334D6">
            <w:pPr>
              <w:pStyle w:val="NoSpacing"/>
              <w:rPr>
                <w:sz w:val="17"/>
                <w:szCs w:val="17"/>
              </w:rPr>
            </w:pPr>
            <w:r w:rsidRPr="00867BB6">
              <w:rPr>
                <w:sz w:val="17"/>
                <w:szCs w:val="17"/>
              </w:rPr>
              <w:t>Management brief (NL)</w:t>
            </w:r>
          </w:p>
        </w:tc>
        <w:tc>
          <w:tcPr>
            <w:tcW w:w="3282" w:type="dxa"/>
            <w:shd w:val="clear" w:color="auto" w:fill="auto"/>
            <w:noWrap/>
            <w:vAlign w:val="center"/>
            <w:hideMark/>
          </w:tcPr>
          <w:p w14:paraId="1878A94D" w14:textId="77777777" w:rsidR="00BB3B2C" w:rsidRPr="00867BB6" w:rsidRDefault="00BB3B2C" w:rsidP="000334D6">
            <w:pPr>
              <w:pStyle w:val="NoSpacing"/>
              <w:rPr>
                <w:sz w:val="17"/>
                <w:szCs w:val="17"/>
              </w:rPr>
            </w:pPr>
            <w:r w:rsidRPr="00867BB6">
              <w:rPr>
                <w:color w:val="000000"/>
                <w:sz w:val="17"/>
                <w:szCs w:val="17"/>
              </w:rPr>
              <w:t>Prevention and clean-up of Sargassum in the Dutch Caribbean</w:t>
            </w:r>
          </w:p>
        </w:tc>
        <w:tc>
          <w:tcPr>
            <w:tcW w:w="1379" w:type="dxa"/>
            <w:shd w:val="clear" w:color="auto" w:fill="auto"/>
            <w:noWrap/>
            <w:vAlign w:val="center"/>
            <w:hideMark/>
          </w:tcPr>
          <w:p w14:paraId="6803B5A1" w14:textId="77777777" w:rsidR="00BB3B2C" w:rsidRPr="00867BB6" w:rsidRDefault="00BB3B2C" w:rsidP="000334D6">
            <w:pPr>
              <w:pStyle w:val="NoSpacing"/>
              <w:rPr>
                <w:sz w:val="17"/>
                <w:szCs w:val="17"/>
              </w:rPr>
            </w:pPr>
            <w:r w:rsidRPr="00867BB6">
              <w:rPr>
                <w:sz w:val="17"/>
                <w:szCs w:val="17"/>
              </w:rPr>
              <w:t>2019</w:t>
            </w:r>
          </w:p>
        </w:tc>
      </w:tr>
      <w:tr w:rsidR="000334D6" w:rsidRPr="00867BB6" w14:paraId="37B2F9C1" w14:textId="77777777" w:rsidTr="000334D6">
        <w:trPr>
          <w:trHeight w:val="260"/>
        </w:trPr>
        <w:tc>
          <w:tcPr>
            <w:tcW w:w="483" w:type="dxa"/>
            <w:vAlign w:val="center"/>
          </w:tcPr>
          <w:p w14:paraId="6C475C79" w14:textId="3DA85A13" w:rsidR="00BB3B2C" w:rsidRPr="00867BB6" w:rsidRDefault="00BB69C5" w:rsidP="000334D6">
            <w:pPr>
              <w:pStyle w:val="NoSpacing"/>
              <w:rPr>
                <w:sz w:val="17"/>
                <w:szCs w:val="17"/>
              </w:rPr>
            </w:pPr>
            <w:r w:rsidRPr="00867BB6">
              <w:rPr>
                <w:sz w:val="17"/>
                <w:szCs w:val="17"/>
              </w:rPr>
              <w:t>30</w:t>
            </w:r>
          </w:p>
        </w:tc>
        <w:tc>
          <w:tcPr>
            <w:tcW w:w="1213" w:type="dxa"/>
            <w:vMerge w:val="restart"/>
            <w:shd w:val="clear" w:color="auto" w:fill="auto"/>
            <w:noWrap/>
            <w:vAlign w:val="center"/>
            <w:hideMark/>
          </w:tcPr>
          <w:p w14:paraId="08B37031" w14:textId="77777777" w:rsidR="00BB3B2C" w:rsidRPr="00867BB6" w:rsidRDefault="00BB3B2C" w:rsidP="000334D6">
            <w:pPr>
              <w:pStyle w:val="NoSpacing"/>
              <w:rPr>
                <w:sz w:val="17"/>
                <w:szCs w:val="17"/>
              </w:rPr>
            </w:pPr>
            <w:r w:rsidRPr="00867BB6">
              <w:rPr>
                <w:sz w:val="17"/>
                <w:szCs w:val="17"/>
              </w:rPr>
              <w:t>St Kitts and Nevis</w:t>
            </w:r>
          </w:p>
        </w:tc>
        <w:tc>
          <w:tcPr>
            <w:tcW w:w="962" w:type="dxa"/>
            <w:vMerge w:val="restart"/>
            <w:shd w:val="clear" w:color="auto" w:fill="auto"/>
            <w:vAlign w:val="center"/>
            <w:hideMark/>
          </w:tcPr>
          <w:p w14:paraId="66E3C05F" w14:textId="77777777" w:rsidR="00BB3B2C" w:rsidRPr="00867BB6" w:rsidRDefault="00BB3B2C" w:rsidP="000334D6">
            <w:pPr>
              <w:pStyle w:val="NoSpacing"/>
              <w:rPr>
                <w:i/>
                <w:iCs/>
                <w:sz w:val="17"/>
                <w:szCs w:val="17"/>
              </w:rPr>
            </w:pPr>
            <w:r w:rsidRPr="00867BB6">
              <w:rPr>
                <w:i/>
                <w:iCs/>
                <w:sz w:val="17"/>
                <w:szCs w:val="17"/>
              </w:rPr>
              <w:t>VH</w:t>
            </w:r>
          </w:p>
        </w:tc>
        <w:tc>
          <w:tcPr>
            <w:tcW w:w="1170" w:type="dxa"/>
            <w:shd w:val="clear" w:color="auto" w:fill="auto"/>
            <w:vAlign w:val="center"/>
            <w:hideMark/>
          </w:tcPr>
          <w:p w14:paraId="4A57DBAC" w14:textId="77777777" w:rsidR="00BB3B2C" w:rsidRPr="00867BB6" w:rsidRDefault="00BB3B2C" w:rsidP="000334D6">
            <w:pPr>
              <w:pStyle w:val="NoSpacing"/>
              <w:rPr>
                <w:sz w:val="17"/>
                <w:szCs w:val="17"/>
              </w:rPr>
            </w:pPr>
            <w:r w:rsidRPr="00867BB6">
              <w:rPr>
                <w:sz w:val="17"/>
                <w:szCs w:val="17"/>
              </w:rPr>
              <w:t>Management brief</w:t>
            </w:r>
          </w:p>
        </w:tc>
        <w:tc>
          <w:tcPr>
            <w:tcW w:w="3282" w:type="dxa"/>
            <w:shd w:val="clear" w:color="auto" w:fill="auto"/>
            <w:noWrap/>
            <w:vAlign w:val="center"/>
            <w:hideMark/>
          </w:tcPr>
          <w:p w14:paraId="27932330" w14:textId="77777777" w:rsidR="00BB3B2C" w:rsidRPr="00867BB6" w:rsidRDefault="00BB3B2C" w:rsidP="000334D6">
            <w:pPr>
              <w:pStyle w:val="NoSpacing"/>
              <w:rPr>
                <w:color w:val="000000"/>
                <w:sz w:val="17"/>
                <w:szCs w:val="17"/>
              </w:rPr>
            </w:pPr>
            <w:r w:rsidRPr="00867BB6">
              <w:rPr>
                <w:color w:val="000000"/>
                <w:sz w:val="17"/>
                <w:szCs w:val="17"/>
              </w:rPr>
              <w:t>Plan for the Management of the Accumulations of Sargassum on the Coastal and Marine Ecosystem of St. Kitts and Nevis</w:t>
            </w:r>
          </w:p>
        </w:tc>
        <w:tc>
          <w:tcPr>
            <w:tcW w:w="1379" w:type="dxa"/>
            <w:shd w:val="clear" w:color="auto" w:fill="auto"/>
            <w:noWrap/>
            <w:vAlign w:val="center"/>
            <w:hideMark/>
          </w:tcPr>
          <w:p w14:paraId="52B9A9C6" w14:textId="77777777" w:rsidR="00BB3B2C" w:rsidRPr="00867BB6" w:rsidRDefault="00BB3B2C" w:rsidP="000334D6">
            <w:pPr>
              <w:pStyle w:val="NoSpacing"/>
              <w:rPr>
                <w:sz w:val="17"/>
                <w:szCs w:val="17"/>
              </w:rPr>
            </w:pPr>
            <w:r w:rsidRPr="00867BB6">
              <w:rPr>
                <w:sz w:val="17"/>
                <w:szCs w:val="17"/>
              </w:rPr>
              <w:t>2017</w:t>
            </w:r>
          </w:p>
        </w:tc>
      </w:tr>
      <w:tr w:rsidR="000334D6" w:rsidRPr="00867BB6" w14:paraId="35D51301" w14:textId="77777777" w:rsidTr="000334D6">
        <w:trPr>
          <w:trHeight w:val="260"/>
        </w:trPr>
        <w:tc>
          <w:tcPr>
            <w:tcW w:w="483" w:type="dxa"/>
            <w:vAlign w:val="center"/>
          </w:tcPr>
          <w:p w14:paraId="68243F5F" w14:textId="7E944DA9" w:rsidR="00BB3B2C" w:rsidRPr="00867BB6" w:rsidRDefault="00BB3B2C" w:rsidP="000334D6">
            <w:pPr>
              <w:pStyle w:val="NoSpacing"/>
              <w:rPr>
                <w:sz w:val="17"/>
                <w:szCs w:val="17"/>
              </w:rPr>
            </w:pPr>
            <w:r w:rsidRPr="00867BB6">
              <w:rPr>
                <w:sz w:val="17"/>
                <w:szCs w:val="17"/>
              </w:rPr>
              <w:t>3</w:t>
            </w:r>
            <w:r w:rsidR="00BB69C5" w:rsidRPr="00867BB6">
              <w:rPr>
                <w:sz w:val="17"/>
                <w:szCs w:val="17"/>
              </w:rPr>
              <w:t>1</w:t>
            </w:r>
          </w:p>
        </w:tc>
        <w:tc>
          <w:tcPr>
            <w:tcW w:w="1213" w:type="dxa"/>
            <w:vMerge/>
            <w:shd w:val="clear" w:color="auto" w:fill="auto"/>
            <w:noWrap/>
            <w:vAlign w:val="center"/>
          </w:tcPr>
          <w:p w14:paraId="51A00CAE" w14:textId="77777777" w:rsidR="00BB3B2C" w:rsidRPr="00867BB6" w:rsidRDefault="00BB3B2C" w:rsidP="000334D6">
            <w:pPr>
              <w:pStyle w:val="NoSpacing"/>
              <w:rPr>
                <w:sz w:val="17"/>
                <w:szCs w:val="17"/>
              </w:rPr>
            </w:pPr>
          </w:p>
        </w:tc>
        <w:tc>
          <w:tcPr>
            <w:tcW w:w="962" w:type="dxa"/>
            <w:vMerge/>
            <w:shd w:val="clear" w:color="auto" w:fill="auto"/>
            <w:vAlign w:val="center"/>
          </w:tcPr>
          <w:p w14:paraId="04136201" w14:textId="77777777" w:rsidR="00BB3B2C" w:rsidRPr="00867BB6" w:rsidRDefault="00BB3B2C" w:rsidP="000334D6">
            <w:pPr>
              <w:pStyle w:val="NoSpacing"/>
              <w:rPr>
                <w:i/>
                <w:iCs/>
                <w:sz w:val="17"/>
                <w:szCs w:val="17"/>
              </w:rPr>
            </w:pPr>
          </w:p>
        </w:tc>
        <w:tc>
          <w:tcPr>
            <w:tcW w:w="1170" w:type="dxa"/>
            <w:shd w:val="clear" w:color="auto" w:fill="auto"/>
            <w:vAlign w:val="center"/>
          </w:tcPr>
          <w:p w14:paraId="76A37E53" w14:textId="77777777" w:rsidR="00BB3B2C" w:rsidRPr="00867BB6" w:rsidRDefault="00BB3B2C" w:rsidP="000334D6">
            <w:pPr>
              <w:pStyle w:val="NoSpacing"/>
              <w:rPr>
                <w:sz w:val="17"/>
                <w:szCs w:val="17"/>
              </w:rPr>
            </w:pPr>
            <w:r w:rsidRPr="00867BB6">
              <w:rPr>
                <w:sz w:val="17"/>
                <w:szCs w:val="17"/>
              </w:rPr>
              <w:t>Management brief</w:t>
            </w:r>
          </w:p>
        </w:tc>
        <w:tc>
          <w:tcPr>
            <w:tcW w:w="3282" w:type="dxa"/>
            <w:shd w:val="clear" w:color="auto" w:fill="auto"/>
            <w:noWrap/>
            <w:vAlign w:val="center"/>
          </w:tcPr>
          <w:p w14:paraId="79323EAB" w14:textId="77777777" w:rsidR="00BB3B2C" w:rsidRPr="00867BB6" w:rsidRDefault="00BB3B2C" w:rsidP="000334D6">
            <w:pPr>
              <w:pStyle w:val="NoSpacing"/>
              <w:rPr>
                <w:color w:val="000000"/>
                <w:sz w:val="17"/>
                <w:szCs w:val="17"/>
              </w:rPr>
            </w:pPr>
            <w:r w:rsidRPr="00867BB6">
              <w:rPr>
                <w:color w:val="000000"/>
                <w:sz w:val="17"/>
                <w:szCs w:val="17"/>
              </w:rPr>
              <w:t xml:space="preserve">St. </w:t>
            </w:r>
            <w:r w:rsidRPr="00867BB6">
              <w:rPr>
                <w:sz w:val="17"/>
                <w:szCs w:val="17"/>
              </w:rPr>
              <w:t>Kitts and Nevis Sargassum Adaptive Management Strategy</w:t>
            </w:r>
          </w:p>
        </w:tc>
        <w:tc>
          <w:tcPr>
            <w:tcW w:w="1379" w:type="dxa"/>
            <w:shd w:val="clear" w:color="auto" w:fill="auto"/>
            <w:noWrap/>
            <w:vAlign w:val="center"/>
          </w:tcPr>
          <w:p w14:paraId="179B2487" w14:textId="77777777" w:rsidR="00BB3B2C" w:rsidRPr="00867BB6" w:rsidRDefault="00BB3B2C" w:rsidP="000334D6">
            <w:pPr>
              <w:pStyle w:val="NoSpacing"/>
              <w:rPr>
                <w:sz w:val="17"/>
                <w:szCs w:val="17"/>
              </w:rPr>
            </w:pPr>
            <w:r w:rsidRPr="00867BB6">
              <w:rPr>
                <w:sz w:val="17"/>
                <w:szCs w:val="17"/>
              </w:rPr>
              <w:t>2021</w:t>
            </w:r>
          </w:p>
        </w:tc>
      </w:tr>
      <w:tr w:rsidR="000334D6" w:rsidRPr="00867BB6" w14:paraId="71805DCB" w14:textId="77777777" w:rsidTr="000334D6">
        <w:trPr>
          <w:trHeight w:val="400"/>
        </w:trPr>
        <w:tc>
          <w:tcPr>
            <w:tcW w:w="483" w:type="dxa"/>
            <w:vAlign w:val="center"/>
          </w:tcPr>
          <w:p w14:paraId="4A46DD89" w14:textId="1A744688" w:rsidR="00BB3B2C" w:rsidRPr="00867BB6" w:rsidRDefault="00BB3B2C" w:rsidP="000334D6">
            <w:pPr>
              <w:pStyle w:val="NoSpacing"/>
              <w:rPr>
                <w:sz w:val="17"/>
                <w:szCs w:val="17"/>
              </w:rPr>
            </w:pPr>
            <w:r w:rsidRPr="00867BB6">
              <w:rPr>
                <w:sz w:val="17"/>
                <w:szCs w:val="17"/>
              </w:rPr>
              <w:t>3</w:t>
            </w:r>
            <w:r w:rsidR="00BB69C5" w:rsidRPr="00867BB6">
              <w:rPr>
                <w:sz w:val="17"/>
                <w:szCs w:val="17"/>
              </w:rPr>
              <w:t>2</w:t>
            </w:r>
          </w:p>
        </w:tc>
        <w:tc>
          <w:tcPr>
            <w:tcW w:w="1213" w:type="dxa"/>
            <w:vMerge w:val="restart"/>
            <w:shd w:val="clear" w:color="auto" w:fill="auto"/>
            <w:noWrap/>
            <w:vAlign w:val="center"/>
            <w:hideMark/>
          </w:tcPr>
          <w:p w14:paraId="1BADB83F" w14:textId="77777777" w:rsidR="00BB3B2C" w:rsidRPr="00867BB6" w:rsidRDefault="00BB3B2C" w:rsidP="000334D6">
            <w:pPr>
              <w:pStyle w:val="NoSpacing"/>
              <w:rPr>
                <w:sz w:val="17"/>
                <w:szCs w:val="17"/>
              </w:rPr>
            </w:pPr>
            <w:r w:rsidRPr="00867BB6">
              <w:rPr>
                <w:sz w:val="17"/>
                <w:szCs w:val="17"/>
              </w:rPr>
              <w:t>St Lucia</w:t>
            </w:r>
          </w:p>
        </w:tc>
        <w:tc>
          <w:tcPr>
            <w:tcW w:w="962" w:type="dxa"/>
            <w:vMerge w:val="restart"/>
            <w:shd w:val="clear" w:color="auto" w:fill="auto"/>
            <w:vAlign w:val="center"/>
            <w:hideMark/>
          </w:tcPr>
          <w:p w14:paraId="72821CCE" w14:textId="77777777" w:rsidR="00BB3B2C" w:rsidRPr="00867BB6" w:rsidRDefault="00BB3B2C" w:rsidP="000334D6">
            <w:pPr>
              <w:pStyle w:val="NoSpacing"/>
              <w:rPr>
                <w:i/>
                <w:iCs/>
                <w:sz w:val="17"/>
                <w:szCs w:val="17"/>
              </w:rPr>
            </w:pPr>
            <w:r w:rsidRPr="00867BB6">
              <w:rPr>
                <w:i/>
                <w:iCs/>
                <w:sz w:val="17"/>
                <w:szCs w:val="17"/>
              </w:rPr>
              <w:t>VH</w:t>
            </w:r>
          </w:p>
        </w:tc>
        <w:tc>
          <w:tcPr>
            <w:tcW w:w="1170" w:type="dxa"/>
            <w:shd w:val="clear" w:color="auto" w:fill="auto"/>
            <w:vAlign w:val="center"/>
            <w:hideMark/>
          </w:tcPr>
          <w:p w14:paraId="0497F576" w14:textId="77777777" w:rsidR="00BB3B2C" w:rsidRPr="00867BB6" w:rsidRDefault="00BB3B2C" w:rsidP="000334D6">
            <w:pPr>
              <w:pStyle w:val="NoSpacing"/>
              <w:rPr>
                <w:sz w:val="17"/>
                <w:szCs w:val="17"/>
              </w:rPr>
            </w:pPr>
            <w:r w:rsidRPr="00867BB6">
              <w:rPr>
                <w:sz w:val="17"/>
                <w:szCs w:val="17"/>
              </w:rPr>
              <w:t>Management brief</w:t>
            </w:r>
          </w:p>
        </w:tc>
        <w:tc>
          <w:tcPr>
            <w:tcW w:w="3282" w:type="dxa"/>
            <w:shd w:val="clear" w:color="auto" w:fill="auto"/>
            <w:noWrap/>
            <w:vAlign w:val="center"/>
            <w:hideMark/>
          </w:tcPr>
          <w:p w14:paraId="54B075A0" w14:textId="77777777" w:rsidR="00BB3B2C" w:rsidRPr="00867BB6" w:rsidRDefault="00BB3B2C" w:rsidP="000334D6">
            <w:pPr>
              <w:pStyle w:val="NoSpacing"/>
              <w:rPr>
                <w:color w:val="000000"/>
                <w:sz w:val="17"/>
                <w:szCs w:val="17"/>
              </w:rPr>
            </w:pPr>
            <w:r w:rsidRPr="00867BB6">
              <w:rPr>
                <w:color w:val="000000"/>
                <w:sz w:val="17"/>
                <w:szCs w:val="17"/>
              </w:rPr>
              <w:t>Saint Lucia National Strategy for the Management of Sargassum Influxes on Beaches, Bays and Small Harbours</w:t>
            </w:r>
          </w:p>
          <w:p w14:paraId="109D5917" w14:textId="77777777" w:rsidR="00BB3B2C" w:rsidRPr="00867BB6" w:rsidRDefault="00BB3B2C" w:rsidP="000334D6">
            <w:pPr>
              <w:pStyle w:val="NoSpacing"/>
              <w:rPr>
                <w:sz w:val="17"/>
                <w:szCs w:val="17"/>
              </w:rPr>
            </w:pPr>
          </w:p>
        </w:tc>
        <w:tc>
          <w:tcPr>
            <w:tcW w:w="1379" w:type="dxa"/>
            <w:shd w:val="clear" w:color="auto" w:fill="auto"/>
            <w:noWrap/>
            <w:vAlign w:val="center"/>
            <w:hideMark/>
          </w:tcPr>
          <w:p w14:paraId="7F6F7249" w14:textId="77777777" w:rsidR="00BB3B2C" w:rsidRPr="00867BB6" w:rsidRDefault="00BB3B2C" w:rsidP="000334D6">
            <w:pPr>
              <w:pStyle w:val="NoSpacing"/>
              <w:rPr>
                <w:sz w:val="17"/>
                <w:szCs w:val="17"/>
              </w:rPr>
            </w:pPr>
            <w:r w:rsidRPr="00867BB6">
              <w:rPr>
                <w:sz w:val="17"/>
                <w:szCs w:val="17"/>
              </w:rPr>
              <w:t>2017</w:t>
            </w:r>
          </w:p>
        </w:tc>
      </w:tr>
      <w:tr w:rsidR="000334D6" w:rsidRPr="00867BB6" w14:paraId="10DFAA6A" w14:textId="77777777" w:rsidTr="000334D6">
        <w:trPr>
          <w:trHeight w:val="400"/>
        </w:trPr>
        <w:tc>
          <w:tcPr>
            <w:tcW w:w="483" w:type="dxa"/>
            <w:vAlign w:val="center"/>
          </w:tcPr>
          <w:p w14:paraId="649B1793" w14:textId="79C285E0" w:rsidR="00BB3B2C" w:rsidRPr="00867BB6" w:rsidRDefault="00BB3B2C" w:rsidP="000334D6">
            <w:pPr>
              <w:pStyle w:val="NoSpacing"/>
              <w:rPr>
                <w:sz w:val="17"/>
                <w:szCs w:val="17"/>
              </w:rPr>
            </w:pPr>
            <w:r w:rsidRPr="00867BB6">
              <w:rPr>
                <w:sz w:val="17"/>
                <w:szCs w:val="17"/>
              </w:rPr>
              <w:t>3</w:t>
            </w:r>
            <w:r w:rsidR="00BB69C5" w:rsidRPr="00867BB6">
              <w:rPr>
                <w:sz w:val="17"/>
                <w:szCs w:val="17"/>
              </w:rPr>
              <w:t>3</w:t>
            </w:r>
          </w:p>
        </w:tc>
        <w:tc>
          <w:tcPr>
            <w:tcW w:w="1213" w:type="dxa"/>
            <w:vMerge/>
            <w:shd w:val="clear" w:color="auto" w:fill="auto"/>
            <w:noWrap/>
            <w:vAlign w:val="center"/>
          </w:tcPr>
          <w:p w14:paraId="2CE452B9" w14:textId="77777777" w:rsidR="00BB3B2C" w:rsidRPr="00867BB6" w:rsidRDefault="00BB3B2C" w:rsidP="000334D6">
            <w:pPr>
              <w:pStyle w:val="NoSpacing"/>
              <w:rPr>
                <w:sz w:val="17"/>
                <w:szCs w:val="17"/>
              </w:rPr>
            </w:pPr>
          </w:p>
        </w:tc>
        <w:tc>
          <w:tcPr>
            <w:tcW w:w="962" w:type="dxa"/>
            <w:vMerge/>
            <w:shd w:val="clear" w:color="auto" w:fill="auto"/>
            <w:vAlign w:val="center"/>
          </w:tcPr>
          <w:p w14:paraId="4E464166" w14:textId="77777777" w:rsidR="00BB3B2C" w:rsidRPr="00867BB6" w:rsidRDefault="00BB3B2C" w:rsidP="000334D6">
            <w:pPr>
              <w:pStyle w:val="NoSpacing"/>
              <w:rPr>
                <w:i/>
                <w:iCs/>
                <w:sz w:val="17"/>
                <w:szCs w:val="17"/>
              </w:rPr>
            </w:pPr>
          </w:p>
        </w:tc>
        <w:tc>
          <w:tcPr>
            <w:tcW w:w="1170" w:type="dxa"/>
            <w:shd w:val="clear" w:color="auto" w:fill="auto"/>
            <w:vAlign w:val="center"/>
          </w:tcPr>
          <w:p w14:paraId="7847B6C0" w14:textId="77777777" w:rsidR="00BB3B2C" w:rsidRPr="00867BB6" w:rsidRDefault="00BB3B2C" w:rsidP="000334D6">
            <w:pPr>
              <w:pStyle w:val="NoSpacing"/>
              <w:rPr>
                <w:sz w:val="17"/>
                <w:szCs w:val="17"/>
              </w:rPr>
            </w:pPr>
            <w:r w:rsidRPr="00867BB6">
              <w:rPr>
                <w:sz w:val="17"/>
                <w:szCs w:val="17"/>
              </w:rPr>
              <w:t>Management strategy</w:t>
            </w:r>
          </w:p>
        </w:tc>
        <w:tc>
          <w:tcPr>
            <w:tcW w:w="3282" w:type="dxa"/>
            <w:shd w:val="clear" w:color="auto" w:fill="auto"/>
            <w:noWrap/>
            <w:vAlign w:val="center"/>
          </w:tcPr>
          <w:p w14:paraId="723AD5A3" w14:textId="77777777" w:rsidR="00BB3B2C" w:rsidRPr="00867BB6" w:rsidRDefault="00BB3B2C" w:rsidP="000334D6">
            <w:pPr>
              <w:pStyle w:val="NoSpacing"/>
              <w:rPr>
                <w:color w:val="000000"/>
                <w:sz w:val="17"/>
                <w:szCs w:val="17"/>
              </w:rPr>
            </w:pPr>
            <w:r w:rsidRPr="00867BB6">
              <w:rPr>
                <w:color w:val="000000"/>
                <w:sz w:val="17"/>
                <w:szCs w:val="17"/>
              </w:rPr>
              <w:t>Saint Lucia Sargassum Adaptive Management Strategy</w:t>
            </w:r>
          </w:p>
        </w:tc>
        <w:tc>
          <w:tcPr>
            <w:tcW w:w="1379" w:type="dxa"/>
            <w:shd w:val="clear" w:color="auto" w:fill="auto"/>
            <w:noWrap/>
            <w:vAlign w:val="center"/>
          </w:tcPr>
          <w:p w14:paraId="5622D203" w14:textId="77777777" w:rsidR="00BB3B2C" w:rsidRPr="00867BB6" w:rsidRDefault="00BB3B2C" w:rsidP="000334D6">
            <w:pPr>
              <w:pStyle w:val="NoSpacing"/>
              <w:rPr>
                <w:sz w:val="17"/>
                <w:szCs w:val="17"/>
              </w:rPr>
            </w:pPr>
            <w:r w:rsidRPr="00867BB6">
              <w:rPr>
                <w:sz w:val="17"/>
                <w:szCs w:val="17"/>
              </w:rPr>
              <w:t>2021</w:t>
            </w:r>
          </w:p>
        </w:tc>
      </w:tr>
      <w:tr w:rsidR="000334D6" w:rsidRPr="00867BB6" w14:paraId="1367784F" w14:textId="77777777" w:rsidTr="000334D6">
        <w:trPr>
          <w:trHeight w:val="400"/>
        </w:trPr>
        <w:tc>
          <w:tcPr>
            <w:tcW w:w="483" w:type="dxa"/>
            <w:vAlign w:val="center"/>
          </w:tcPr>
          <w:p w14:paraId="6F995881" w14:textId="3696E49A" w:rsidR="00BB3B2C" w:rsidRPr="00867BB6" w:rsidRDefault="00BB3B2C" w:rsidP="000334D6">
            <w:pPr>
              <w:pStyle w:val="NoSpacing"/>
              <w:rPr>
                <w:sz w:val="17"/>
                <w:szCs w:val="17"/>
              </w:rPr>
            </w:pPr>
            <w:r w:rsidRPr="00867BB6">
              <w:rPr>
                <w:sz w:val="17"/>
                <w:szCs w:val="17"/>
              </w:rPr>
              <w:t>3</w:t>
            </w:r>
            <w:r w:rsidR="00BB69C5" w:rsidRPr="00867BB6">
              <w:rPr>
                <w:sz w:val="17"/>
                <w:szCs w:val="17"/>
              </w:rPr>
              <w:t>4</w:t>
            </w:r>
          </w:p>
        </w:tc>
        <w:tc>
          <w:tcPr>
            <w:tcW w:w="1213" w:type="dxa"/>
            <w:shd w:val="clear" w:color="auto" w:fill="auto"/>
            <w:noWrap/>
            <w:vAlign w:val="center"/>
            <w:hideMark/>
          </w:tcPr>
          <w:p w14:paraId="68E54F50" w14:textId="77777777" w:rsidR="00BB3B2C" w:rsidRPr="00867BB6" w:rsidRDefault="00BB3B2C" w:rsidP="000334D6">
            <w:pPr>
              <w:pStyle w:val="NoSpacing"/>
              <w:rPr>
                <w:sz w:val="17"/>
                <w:szCs w:val="17"/>
              </w:rPr>
            </w:pPr>
            <w:r w:rsidRPr="00867BB6">
              <w:rPr>
                <w:sz w:val="17"/>
                <w:szCs w:val="17"/>
              </w:rPr>
              <w:t>St Maarten (NL)</w:t>
            </w:r>
          </w:p>
        </w:tc>
        <w:tc>
          <w:tcPr>
            <w:tcW w:w="962" w:type="dxa"/>
            <w:shd w:val="clear" w:color="auto" w:fill="auto"/>
            <w:vAlign w:val="center"/>
            <w:hideMark/>
          </w:tcPr>
          <w:p w14:paraId="4020930B" w14:textId="77777777" w:rsidR="00BB3B2C" w:rsidRPr="00867BB6" w:rsidRDefault="00BB3B2C" w:rsidP="000334D6">
            <w:pPr>
              <w:pStyle w:val="NoSpacing"/>
              <w:rPr>
                <w:i/>
                <w:iCs/>
                <w:sz w:val="17"/>
                <w:szCs w:val="17"/>
              </w:rPr>
            </w:pPr>
            <w:r w:rsidRPr="00867BB6">
              <w:rPr>
                <w:i/>
                <w:iCs/>
                <w:sz w:val="17"/>
                <w:szCs w:val="17"/>
              </w:rPr>
              <w:t>VH</w:t>
            </w:r>
          </w:p>
        </w:tc>
        <w:tc>
          <w:tcPr>
            <w:tcW w:w="1170" w:type="dxa"/>
            <w:shd w:val="clear" w:color="auto" w:fill="auto"/>
            <w:vAlign w:val="center"/>
            <w:hideMark/>
          </w:tcPr>
          <w:p w14:paraId="3CB5E4D0" w14:textId="77777777" w:rsidR="00BB3B2C" w:rsidRPr="00867BB6" w:rsidRDefault="00BB3B2C" w:rsidP="000334D6">
            <w:pPr>
              <w:pStyle w:val="NoSpacing"/>
              <w:rPr>
                <w:sz w:val="17"/>
                <w:szCs w:val="17"/>
              </w:rPr>
            </w:pPr>
            <w:r w:rsidRPr="00867BB6">
              <w:rPr>
                <w:sz w:val="17"/>
                <w:szCs w:val="17"/>
              </w:rPr>
              <w:t>Management brief (NL)</w:t>
            </w:r>
          </w:p>
        </w:tc>
        <w:tc>
          <w:tcPr>
            <w:tcW w:w="3282" w:type="dxa"/>
            <w:shd w:val="clear" w:color="auto" w:fill="auto"/>
            <w:noWrap/>
            <w:vAlign w:val="center"/>
            <w:hideMark/>
          </w:tcPr>
          <w:p w14:paraId="2917D4E8" w14:textId="77777777" w:rsidR="00BB3B2C" w:rsidRPr="00867BB6" w:rsidRDefault="00BB3B2C" w:rsidP="000334D6">
            <w:pPr>
              <w:pStyle w:val="NoSpacing"/>
              <w:rPr>
                <w:sz w:val="17"/>
                <w:szCs w:val="17"/>
              </w:rPr>
            </w:pPr>
            <w:r w:rsidRPr="00867BB6">
              <w:rPr>
                <w:color w:val="000000"/>
                <w:sz w:val="17"/>
                <w:szCs w:val="17"/>
              </w:rPr>
              <w:t>Prevention and clean-up of Sargassum in the Dutch Caribbean</w:t>
            </w:r>
          </w:p>
        </w:tc>
        <w:tc>
          <w:tcPr>
            <w:tcW w:w="1379" w:type="dxa"/>
            <w:shd w:val="clear" w:color="auto" w:fill="auto"/>
            <w:noWrap/>
            <w:vAlign w:val="center"/>
            <w:hideMark/>
          </w:tcPr>
          <w:p w14:paraId="124F9DDA" w14:textId="77777777" w:rsidR="00BB3B2C" w:rsidRPr="00867BB6" w:rsidRDefault="00BB3B2C" w:rsidP="000334D6">
            <w:pPr>
              <w:pStyle w:val="NoSpacing"/>
              <w:rPr>
                <w:sz w:val="17"/>
                <w:szCs w:val="17"/>
              </w:rPr>
            </w:pPr>
            <w:r w:rsidRPr="00867BB6">
              <w:rPr>
                <w:sz w:val="17"/>
                <w:szCs w:val="17"/>
              </w:rPr>
              <w:t>2019</w:t>
            </w:r>
          </w:p>
        </w:tc>
      </w:tr>
      <w:tr w:rsidR="000334D6" w:rsidRPr="00867BB6" w14:paraId="5401B771" w14:textId="77777777" w:rsidTr="000334D6">
        <w:trPr>
          <w:trHeight w:val="580"/>
        </w:trPr>
        <w:tc>
          <w:tcPr>
            <w:tcW w:w="483" w:type="dxa"/>
            <w:vAlign w:val="center"/>
          </w:tcPr>
          <w:p w14:paraId="037F2673" w14:textId="55CCB618" w:rsidR="00BB3B2C" w:rsidRPr="00867BB6" w:rsidRDefault="00BB3B2C" w:rsidP="000334D6">
            <w:pPr>
              <w:pStyle w:val="NoSpacing"/>
              <w:rPr>
                <w:sz w:val="17"/>
                <w:szCs w:val="17"/>
              </w:rPr>
            </w:pPr>
            <w:r w:rsidRPr="00867BB6">
              <w:rPr>
                <w:sz w:val="17"/>
                <w:szCs w:val="17"/>
              </w:rPr>
              <w:t>3</w:t>
            </w:r>
            <w:r w:rsidR="00BB69C5" w:rsidRPr="00867BB6">
              <w:rPr>
                <w:sz w:val="17"/>
                <w:szCs w:val="17"/>
              </w:rPr>
              <w:t>5</w:t>
            </w:r>
          </w:p>
        </w:tc>
        <w:tc>
          <w:tcPr>
            <w:tcW w:w="1213" w:type="dxa"/>
            <w:shd w:val="clear" w:color="auto" w:fill="auto"/>
            <w:vAlign w:val="center"/>
            <w:hideMark/>
          </w:tcPr>
          <w:p w14:paraId="3FF2C2A6" w14:textId="77777777" w:rsidR="00BB3B2C" w:rsidRPr="00867BB6" w:rsidRDefault="00BB3B2C" w:rsidP="000334D6">
            <w:pPr>
              <w:pStyle w:val="NoSpacing"/>
              <w:rPr>
                <w:sz w:val="17"/>
                <w:szCs w:val="17"/>
              </w:rPr>
            </w:pPr>
            <w:r w:rsidRPr="00867BB6">
              <w:rPr>
                <w:sz w:val="17"/>
                <w:szCs w:val="17"/>
              </w:rPr>
              <w:t>St Martin (Fr)</w:t>
            </w:r>
          </w:p>
        </w:tc>
        <w:tc>
          <w:tcPr>
            <w:tcW w:w="962" w:type="dxa"/>
            <w:shd w:val="clear" w:color="auto" w:fill="auto"/>
            <w:vAlign w:val="center"/>
            <w:hideMark/>
          </w:tcPr>
          <w:p w14:paraId="5F222EF9" w14:textId="77777777" w:rsidR="00BB3B2C" w:rsidRPr="00867BB6" w:rsidRDefault="00BB3B2C" w:rsidP="000334D6">
            <w:pPr>
              <w:pStyle w:val="NoSpacing"/>
              <w:rPr>
                <w:i/>
                <w:iCs/>
                <w:sz w:val="17"/>
                <w:szCs w:val="17"/>
              </w:rPr>
            </w:pPr>
            <w:r w:rsidRPr="00867BB6">
              <w:rPr>
                <w:i/>
                <w:iCs/>
                <w:sz w:val="17"/>
                <w:szCs w:val="17"/>
              </w:rPr>
              <w:t>NA</w:t>
            </w:r>
          </w:p>
        </w:tc>
        <w:tc>
          <w:tcPr>
            <w:tcW w:w="1170" w:type="dxa"/>
            <w:shd w:val="clear" w:color="auto" w:fill="auto"/>
            <w:vAlign w:val="center"/>
            <w:hideMark/>
          </w:tcPr>
          <w:p w14:paraId="3D70EA0A" w14:textId="77777777" w:rsidR="00BB3B2C" w:rsidRPr="00867BB6" w:rsidRDefault="00BB3B2C" w:rsidP="000334D6">
            <w:pPr>
              <w:pStyle w:val="NoSpacing"/>
              <w:rPr>
                <w:sz w:val="17"/>
                <w:szCs w:val="17"/>
              </w:rPr>
            </w:pPr>
            <w:r w:rsidRPr="00867BB6">
              <w:rPr>
                <w:sz w:val="17"/>
                <w:szCs w:val="17"/>
              </w:rPr>
              <w:t>Green Brigade and government statements</w:t>
            </w:r>
          </w:p>
        </w:tc>
        <w:tc>
          <w:tcPr>
            <w:tcW w:w="3282" w:type="dxa"/>
            <w:shd w:val="clear" w:color="auto" w:fill="auto"/>
            <w:noWrap/>
            <w:vAlign w:val="center"/>
            <w:hideMark/>
          </w:tcPr>
          <w:p w14:paraId="2FCF4478" w14:textId="77777777" w:rsidR="00BB3B2C" w:rsidRPr="00867BB6" w:rsidRDefault="00BB3B2C" w:rsidP="000334D6">
            <w:pPr>
              <w:pStyle w:val="NoSpacing"/>
              <w:rPr>
                <w:sz w:val="17"/>
                <w:szCs w:val="17"/>
              </w:rPr>
            </w:pPr>
            <w:r w:rsidRPr="00867BB6">
              <w:rPr>
                <w:color w:val="000000"/>
                <w:sz w:val="17"/>
                <w:szCs w:val="17"/>
              </w:rPr>
              <w:t>N/A</w:t>
            </w:r>
          </w:p>
        </w:tc>
        <w:tc>
          <w:tcPr>
            <w:tcW w:w="1379" w:type="dxa"/>
            <w:shd w:val="clear" w:color="auto" w:fill="auto"/>
            <w:noWrap/>
            <w:vAlign w:val="center"/>
            <w:hideMark/>
          </w:tcPr>
          <w:p w14:paraId="3D828A55" w14:textId="77777777" w:rsidR="00BB3B2C" w:rsidRPr="00867BB6" w:rsidRDefault="00BB3B2C" w:rsidP="000334D6">
            <w:pPr>
              <w:pStyle w:val="NoSpacing"/>
              <w:rPr>
                <w:sz w:val="17"/>
                <w:szCs w:val="17"/>
              </w:rPr>
            </w:pPr>
            <w:r w:rsidRPr="00867BB6">
              <w:rPr>
                <w:sz w:val="17"/>
                <w:szCs w:val="17"/>
              </w:rPr>
              <w:t>N/A</w:t>
            </w:r>
          </w:p>
        </w:tc>
      </w:tr>
      <w:tr w:rsidR="000334D6" w:rsidRPr="00867BB6" w14:paraId="7A977496" w14:textId="77777777" w:rsidTr="000334D6">
        <w:trPr>
          <w:trHeight w:val="530"/>
        </w:trPr>
        <w:tc>
          <w:tcPr>
            <w:tcW w:w="483" w:type="dxa"/>
            <w:vAlign w:val="center"/>
          </w:tcPr>
          <w:p w14:paraId="60E75EB6" w14:textId="2972A1DE" w:rsidR="00BB3B2C" w:rsidRPr="00867BB6" w:rsidRDefault="00BB3B2C" w:rsidP="000334D6">
            <w:pPr>
              <w:pStyle w:val="NoSpacing"/>
              <w:rPr>
                <w:sz w:val="17"/>
                <w:szCs w:val="17"/>
              </w:rPr>
            </w:pPr>
            <w:r w:rsidRPr="00867BB6">
              <w:rPr>
                <w:sz w:val="17"/>
                <w:szCs w:val="17"/>
              </w:rPr>
              <w:t>3</w:t>
            </w:r>
            <w:r w:rsidR="00BB69C5" w:rsidRPr="00867BB6">
              <w:rPr>
                <w:sz w:val="17"/>
                <w:szCs w:val="17"/>
              </w:rPr>
              <w:t>6</w:t>
            </w:r>
          </w:p>
        </w:tc>
        <w:tc>
          <w:tcPr>
            <w:tcW w:w="1213" w:type="dxa"/>
            <w:vMerge w:val="restart"/>
            <w:shd w:val="clear" w:color="auto" w:fill="auto"/>
            <w:vAlign w:val="center"/>
            <w:hideMark/>
          </w:tcPr>
          <w:p w14:paraId="27296534" w14:textId="77777777" w:rsidR="00BB3B2C" w:rsidRPr="00867BB6" w:rsidRDefault="00BB3B2C" w:rsidP="000334D6">
            <w:pPr>
              <w:pStyle w:val="NoSpacing"/>
              <w:rPr>
                <w:sz w:val="17"/>
                <w:szCs w:val="17"/>
              </w:rPr>
            </w:pPr>
            <w:r w:rsidRPr="00867BB6">
              <w:rPr>
                <w:sz w:val="17"/>
                <w:szCs w:val="17"/>
              </w:rPr>
              <w:t>St Vincent and the Grenadines</w:t>
            </w:r>
          </w:p>
        </w:tc>
        <w:tc>
          <w:tcPr>
            <w:tcW w:w="962" w:type="dxa"/>
            <w:vMerge w:val="restart"/>
            <w:shd w:val="clear" w:color="auto" w:fill="auto"/>
            <w:vAlign w:val="center"/>
            <w:hideMark/>
          </w:tcPr>
          <w:p w14:paraId="7A1C43BE" w14:textId="77777777" w:rsidR="00BB3B2C" w:rsidRPr="00867BB6" w:rsidRDefault="00BB3B2C" w:rsidP="000334D6">
            <w:pPr>
              <w:pStyle w:val="NoSpacing"/>
              <w:rPr>
                <w:i/>
                <w:iCs/>
                <w:sz w:val="17"/>
                <w:szCs w:val="17"/>
              </w:rPr>
            </w:pPr>
            <w:r w:rsidRPr="00867BB6">
              <w:rPr>
                <w:i/>
                <w:iCs/>
                <w:sz w:val="17"/>
                <w:szCs w:val="17"/>
              </w:rPr>
              <w:t>VH</w:t>
            </w:r>
          </w:p>
        </w:tc>
        <w:tc>
          <w:tcPr>
            <w:tcW w:w="1170" w:type="dxa"/>
            <w:shd w:val="clear" w:color="auto" w:fill="auto"/>
            <w:vAlign w:val="center"/>
            <w:hideMark/>
          </w:tcPr>
          <w:p w14:paraId="295FD7A5" w14:textId="77777777" w:rsidR="00BB3B2C" w:rsidRPr="00867BB6" w:rsidRDefault="00BB3B2C" w:rsidP="000334D6">
            <w:pPr>
              <w:pStyle w:val="NoSpacing"/>
              <w:rPr>
                <w:sz w:val="17"/>
                <w:szCs w:val="17"/>
              </w:rPr>
            </w:pPr>
            <w:r w:rsidRPr="00867BB6">
              <w:rPr>
                <w:sz w:val="17"/>
                <w:szCs w:val="17"/>
              </w:rPr>
              <w:t>Management brief</w:t>
            </w:r>
          </w:p>
        </w:tc>
        <w:tc>
          <w:tcPr>
            <w:tcW w:w="3282" w:type="dxa"/>
            <w:shd w:val="clear" w:color="auto" w:fill="auto"/>
            <w:noWrap/>
            <w:vAlign w:val="center"/>
            <w:hideMark/>
          </w:tcPr>
          <w:p w14:paraId="5CE0A616" w14:textId="77777777" w:rsidR="00BB3B2C" w:rsidRPr="00867BB6" w:rsidRDefault="00BB3B2C" w:rsidP="000334D6">
            <w:pPr>
              <w:pStyle w:val="NoSpacing"/>
              <w:rPr>
                <w:sz w:val="17"/>
                <w:szCs w:val="17"/>
              </w:rPr>
            </w:pPr>
            <w:r w:rsidRPr="00867BB6">
              <w:rPr>
                <w:color w:val="000000"/>
                <w:sz w:val="17"/>
                <w:szCs w:val="17"/>
              </w:rPr>
              <w:t>Management of Extreme Accumulations of Sargassum on the Coasts of St. Vincent and the Grenadines</w:t>
            </w:r>
          </w:p>
        </w:tc>
        <w:tc>
          <w:tcPr>
            <w:tcW w:w="1379" w:type="dxa"/>
            <w:shd w:val="clear" w:color="auto" w:fill="auto"/>
            <w:noWrap/>
            <w:vAlign w:val="center"/>
            <w:hideMark/>
          </w:tcPr>
          <w:p w14:paraId="31508F55" w14:textId="77777777" w:rsidR="00BB3B2C" w:rsidRPr="00867BB6" w:rsidRDefault="00BB3B2C" w:rsidP="000334D6">
            <w:pPr>
              <w:pStyle w:val="NoSpacing"/>
              <w:rPr>
                <w:sz w:val="17"/>
                <w:szCs w:val="17"/>
              </w:rPr>
            </w:pPr>
            <w:r w:rsidRPr="00867BB6">
              <w:rPr>
                <w:sz w:val="17"/>
                <w:szCs w:val="17"/>
              </w:rPr>
              <w:t>2018</w:t>
            </w:r>
          </w:p>
        </w:tc>
      </w:tr>
      <w:tr w:rsidR="000334D6" w:rsidRPr="00867BB6" w14:paraId="5099C52F" w14:textId="77777777" w:rsidTr="000334D6">
        <w:trPr>
          <w:trHeight w:val="530"/>
        </w:trPr>
        <w:tc>
          <w:tcPr>
            <w:tcW w:w="483" w:type="dxa"/>
            <w:vAlign w:val="center"/>
          </w:tcPr>
          <w:p w14:paraId="1F608DFD" w14:textId="2DB891C0" w:rsidR="00BB3B2C" w:rsidRPr="00867BB6" w:rsidRDefault="00BB3B2C" w:rsidP="000334D6">
            <w:pPr>
              <w:pStyle w:val="NoSpacing"/>
              <w:rPr>
                <w:sz w:val="17"/>
                <w:szCs w:val="17"/>
              </w:rPr>
            </w:pPr>
            <w:r w:rsidRPr="00867BB6">
              <w:rPr>
                <w:sz w:val="17"/>
                <w:szCs w:val="17"/>
              </w:rPr>
              <w:t>3</w:t>
            </w:r>
            <w:r w:rsidR="00BB69C5" w:rsidRPr="00867BB6">
              <w:rPr>
                <w:sz w:val="17"/>
                <w:szCs w:val="17"/>
              </w:rPr>
              <w:t>7</w:t>
            </w:r>
          </w:p>
        </w:tc>
        <w:tc>
          <w:tcPr>
            <w:tcW w:w="1213" w:type="dxa"/>
            <w:vMerge/>
            <w:shd w:val="clear" w:color="auto" w:fill="auto"/>
            <w:vAlign w:val="center"/>
          </w:tcPr>
          <w:p w14:paraId="5633E12D" w14:textId="77777777" w:rsidR="00BB3B2C" w:rsidRPr="00867BB6" w:rsidRDefault="00BB3B2C" w:rsidP="000334D6">
            <w:pPr>
              <w:pStyle w:val="NoSpacing"/>
              <w:rPr>
                <w:sz w:val="17"/>
                <w:szCs w:val="17"/>
              </w:rPr>
            </w:pPr>
          </w:p>
        </w:tc>
        <w:tc>
          <w:tcPr>
            <w:tcW w:w="962" w:type="dxa"/>
            <w:vMerge/>
            <w:shd w:val="clear" w:color="auto" w:fill="auto"/>
            <w:vAlign w:val="center"/>
          </w:tcPr>
          <w:p w14:paraId="1F525304" w14:textId="77777777" w:rsidR="00BB3B2C" w:rsidRPr="00867BB6" w:rsidRDefault="00BB3B2C" w:rsidP="000334D6">
            <w:pPr>
              <w:pStyle w:val="NoSpacing"/>
              <w:rPr>
                <w:i/>
                <w:iCs/>
                <w:sz w:val="17"/>
                <w:szCs w:val="17"/>
              </w:rPr>
            </w:pPr>
          </w:p>
        </w:tc>
        <w:tc>
          <w:tcPr>
            <w:tcW w:w="1170" w:type="dxa"/>
            <w:shd w:val="clear" w:color="auto" w:fill="auto"/>
            <w:vAlign w:val="center"/>
          </w:tcPr>
          <w:p w14:paraId="344787DC" w14:textId="77777777" w:rsidR="00BB3B2C" w:rsidRPr="00867BB6" w:rsidRDefault="00BB3B2C" w:rsidP="000334D6">
            <w:pPr>
              <w:pStyle w:val="NoSpacing"/>
              <w:rPr>
                <w:sz w:val="17"/>
                <w:szCs w:val="17"/>
              </w:rPr>
            </w:pPr>
            <w:r w:rsidRPr="00867BB6">
              <w:rPr>
                <w:sz w:val="17"/>
                <w:szCs w:val="17"/>
              </w:rPr>
              <w:t>Management Strategy</w:t>
            </w:r>
          </w:p>
        </w:tc>
        <w:tc>
          <w:tcPr>
            <w:tcW w:w="3282" w:type="dxa"/>
            <w:shd w:val="clear" w:color="auto" w:fill="auto"/>
            <w:noWrap/>
            <w:vAlign w:val="center"/>
          </w:tcPr>
          <w:p w14:paraId="3733E0BC" w14:textId="77777777" w:rsidR="00BB3B2C" w:rsidRPr="00867BB6" w:rsidRDefault="00BB3B2C" w:rsidP="000334D6">
            <w:pPr>
              <w:pStyle w:val="NoSpacing"/>
              <w:rPr>
                <w:color w:val="000000"/>
                <w:sz w:val="17"/>
                <w:szCs w:val="17"/>
              </w:rPr>
            </w:pPr>
            <w:r w:rsidRPr="00867BB6">
              <w:rPr>
                <w:color w:val="000000"/>
                <w:sz w:val="17"/>
                <w:szCs w:val="17"/>
              </w:rPr>
              <w:t>St. Vincent and the Grenadines Sargassum Adaptive Management Strategy</w:t>
            </w:r>
          </w:p>
        </w:tc>
        <w:tc>
          <w:tcPr>
            <w:tcW w:w="1379" w:type="dxa"/>
            <w:shd w:val="clear" w:color="auto" w:fill="auto"/>
            <w:noWrap/>
            <w:vAlign w:val="center"/>
          </w:tcPr>
          <w:p w14:paraId="5C414FA8" w14:textId="77777777" w:rsidR="00BB3B2C" w:rsidRPr="00867BB6" w:rsidRDefault="00BB3B2C" w:rsidP="000334D6">
            <w:pPr>
              <w:pStyle w:val="NoSpacing"/>
              <w:rPr>
                <w:sz w:val="17"/>
                <w:szCs w:val="17"/>
              </w:rPr>
            </w:pPr>
            <w:r w:rsidRPr="00867BB6">
              <w:rPr>
                <w:sz w:val="17"/>
                <w:szCs w:val="17"/>
              </w:rPr>
              <w:t>2021</w:t>
            </w:r>
          </w:p>
        </w:tc>
      </w:tr>
      <w:tr w:rsidR="000334D6" w:rsidRPr="00867BB6" w14:paraId="53A73D16" w14:textId="77777777" w:rsidTr="000334D6">
        <w:trPr>
          <w:trHeight w:val="400"/>
        </w:trPr>
        <w:tc>
          <w:tcPr>
            <w:tcW w:w="483" w:type="dxa"/>
            <w:vAlign w:val="center"/>
          </w:tcPr>
          <w:p w14:paraId="362E7E28" w14:textId="1CBC2CE6" w:rsidR="00BB3B2C" w:rsidRPr="00867BB6" w:rsidRDefault="00BB3B2C" w:rsidP="000334D6">
            <w:pPr>
              <w:pStyle w:val="NoSpacing"/>
              <w:rPr>
                <w:sz w:val="17"/>
                <w:szCs w:val="17"/>
              </w:rPr>
            </w:pPr>
            <w:r w:rsidRPr="00867BB6">
              <w:rPr>
                <w:sz w:val="17"/>
                <w:szCs w:val="17"/>
              </w:rPr>
              <w:t>3</w:t>
            </w:r>
            <w:r w:rsidR="00BB69C5" w:rsidRPr="00867BB6">
              <w:rPr>
                <w:sz w:val="17"/>
                <w:szCs w:val="17"/>
              </w:rPr>
              <w:t>8</w:t>
            </w:r>
          </w:p>
        </w:tc>
        <w:tc>
          <w:tcPr>
            <w:tcW w:w="1213" w:type="dxa"/>
            <w:shd w:val="clear" w:color="auto" w:fill="auto"/>
            <w:noWrap/>
            <w:vAlign w:val="center"/>
            <w:hideMark/>
          </w:tcPr>
          <w:p w14:paraId="30AA9574" w14:textId="77777777" w:rsidR="00BB3B2C" w:rsidRPr="00867BB6" w:rsidRDefault="00BB3B2C" w:rsidP="000334D6">
            <w:pPr>
              <w:pStyle w:val="NoSpacing"/>
              <w:rPr>
                <w:sz w:val="17"/>
                <w:szCs w:val="17"/>
              </w:rPr>
            </w:pPr>
            <w:r w:rsidRPr="00867BB6">
              <w:rPr>
                <w:sz w:val="17"/>
                <w:szCs w:val="17"/>
              </w:rPr>
              <w:t>Suriname</w:t>
            </w:r>
          </w:p>
        </w:tc>
        <w:tc>
          <w:tcPr>
            <w:tcW w:w="962" w:type="dxa"/>
            <w:shd w:val="clear" w:color="auto" w:fill="auto"/>
            <w:vAlign w:val="center"/>
            <w:hideMark/>
          </w:tcPr>
          <w:p w14:paraId="1B346393" w14:textId="77777777" w:rsidR="00BB3B2C" w:rsidRPr="00867BB6" w:rsidRDefault="00BB3B2C" w:rsidP="000334D6">
            <w:pPr>
              <w:pStyle w:val="NoSpacing"/>
              <w:rPr>
                <w:i/>
                <w:iCs/>
                <w:sz w:val="17"/>
                <w:szCs w:val="17"/>
              </w:rPr>
            </w:pPr>
            <w:r w:rsidRPr="00867BB6">
              <w:rPr>
                <w:i/>
                <w:iCs/>
                <w:sz w:val="17"/>
                <w:szCs w:val="17"/>
              </w:rPr>
              <w:t>VH</w:t>
            </w:r>
          </w:p>
        </w:tc>
        <w:tc>
          <w:tcPr>
            <w:tcW w:w="1170" w:type="dxa"/>
            <w:shd w:val="clear" w:color="auto" w:fill="auto"/>
            <w:vAlign w:val="center"/>
            <w:hideMark/>
          </w:tcPr>
          <w:p w14:paraId="43DCCF7A" w14:textId="77777777" w:rsidR="00BB3B2C" w:rsidRPr="00867BB6" w:rsidRDefault="00BB3B2C" w:rsidP="000334D6">
            <w:pPr>
              <w:pStyle w:val="NoSpacing"/>
              <w:rPr>
                <w:sz w:val="17"/>
                <w:szCs w:val="17"/>
              </w:rPr>
            </w:pPr>
            <w:r w:rsidRPr="00867BB6">
              <w:rPr>
                <w:sz w:val="17"/>
                <w:szCs w:val="17"/>
              </w:rPr>
              <w:t>None found</w:t>
            </w:r>
          </w:p>
        </w:tc>
        <w:tc>
          <w:tcPr>
            <w:tcW w:w="3282" w:type="dxa"/>
            <w:shd w:val="clear" w:color="auto" w:fill="auto"/>
            <w:noWrap/>
            <w:vAlign w:val="center"/>
            <w:hideMark/>
          </w:tcPr>
          <w:p w14:paraId="09104355" w14:textId="77777777" w:rsidR="00BB3B2C" w:rsidRPr="00867BB6" w:rsidRDefault="00BB3B2C" w:rsidP="000334D6">
            <w:pPr>
              <w:pStyle w:val="NoSpacing"/>
              <w:rPr>
                <w:sz w:val="17"/>
                <w:szCs w:val="17"/>
              </w:rPr>
            </w:pPr>
            <w:r w:rsidRPr="00867BB6">
              <w:rPr>
                <w:color w:val="000000"/>
                <w:sz w:val="17"/>
                <w:szCs w:val="17"/>
              </w:rPr>
              <w:t>N/A</w:t>
            </w:r>
          </w:p>
        </w:tc>
        <w:tc>
          <w:tcPr>
            <w:tcW w:w="1379" w:type="dxa"/>
            <w:shd w:val="clear" w:color="auto" w:fill="auto"/>
            <w:noWrap/>
            <w:vAlign w:val="center"/>
            <w:hideMark/>
          </w:tcPr>
          <w:p w14:paraId="4FF3B658" w14:textId="77777777" w:rsidR="00BB3B2C" w:rsidRPr="00867BB6" w:rsidRDefault="00BB3B2C" w:rsidP="000334D6">
            <w:pPr>
              <w:pStyle w:val="NoSpacing"/>
              <w:rPr>
                <w:sz w:val="17"/>
                <w:szCs w:val="17"/>
              </w:rPr>
            </w:pPr>
            <w:r w:rsidRPr="00867BB6">
              <w:rPr>
                <w:sz w:val="17"/>
                <w:szCs w:val="17"/>
              </w:rPr>
              <w:t>N/A</w:t>
            </w:r>
          </w:p>
        </w:tc>
      </w:tr>
      <w:tr w:rsidR="000334D6" w:rsidRPr="00867BB6" w14:paraId="07E871F9" w14:textId="77777777" w:rsidTr="000334D6">
        <w:trPr>
          <w:trHeight w:val="400"/>
        </w:trPr>
        <w:tc>
          <w:tcPr>
            <w:tcW w:w="483" w:type="dxa"/>
            <w:vAlign w:val="center"/>
          </w:tcPr>
          <w:p w14:paraId="51DF5D24" w14:textId="7A13253B" w:rsidR="00BB3B2C" w:rsidRPr="00867BB6" w:rsidRDefault="00BB3B2C" w:rsidP="000334D6">
            <w:pPr>
              <w:pStyle w:val="NoSpacing"/>
              <w:rPr>
                <w:sz w:val="17"/>
                <w:szCs w:val="17"/>
              </w:rPr>
            </w:pPr>
            <w:r w:rsidRPr="00867BB6">
              <w:rPr>
                <w:sz w:val="17"/>
                <w:szCs w:val="17"/>
              </w:rPr>
              <w:t>3</w:t>
            </w:r>
            <w:r w:rsidR="00BB69C5" w:rsidRPr="00867BB6">
              <w:rPr>
                <w:sz w:val="17"/>
                <w:szCs w:val="17"/>
              </w:rPr>
              <w:t>9</w:t>
            </w:r>
          </w:p>
        </w:tc>
        <w:tc>
          <w:tcPr>
            <w:tcW w:w="1213" w:type="dxa"/>
            <w:vMerge w:val="restart"/>
            <w:shd w:val="clear" w:color="auto" w:fill="auto"/>
            <w:noWrap/>
            <w:vAlign w:val="center"/>
            <w:hideMark/>
          </w:tcPr>
          <w:p w14:paraId="01051A5B" w14:textId="77777777" w:rsidR="00BB3B2C" w:rsidRPr="00867BB6" w:rsidRDefault="00BB3B2C" w:rsidP="000334D6">
            <w:pPr>
              <w:pStyle w:val="NoSpacing"/>
              <w:rPr>
                <w:sz w:val="17"/>
                <w:szCs w:val="17"/>
              </w:rPr>
            </w:pPr>
            <w:r w:rsidRPr="00867BB6">
              <w:rPr>
                <w:sz w:val="17"/>
                <w:szCs w:val="17"/>
              </w:rPr>
              <w:t>Trinidad and Tobago</w:t>
            </w:r>
          </w:p>
        </w:tc>
        <w:tc>
          <w:tcPr>
            <w:tcW w:w="962" w:type="dxa"/>
            <w:vMerge w:val="restart"/>
            <w:shd w:val="clear" w:color="auto" w:fill="auto"/>
            <w:vAlign w:val="center"/>
            <w:hideMark/>
          </w:tcPr>
          <w:p w14:paraId="3BD0B43B" w14:textId="77777777" w:rsidR="00BB3B2C" w:rsidRPr="00867BB6" w:rsidRDefault="00BB3B2C" w:rsidP="000334D6">
            <w:pPr>
              <w:pStyle w:val="NoSpacing"/>
              <w:rPr>
                <w:i/>
                <w:iCs/>
                <w:sz w:val="17"/>
                <w:szCs w:val="17"/>
              </w:rPr>
            </w:pPr>
            <w:r w:rsidRPr="00867BB6">
              <w:rPr>
                <w:i/>
                <w:iCs/>
                <w:sz w:val="17"/>
                <w:szCs w:val="17"/>
              </w:rPr>
              <w:t>H</w:t>
            </w:r>
          </w:p>
        </w:tc>
        <w:tc>
          <w:tcPr>
            <w:tcW w:w="1170" w:type="dxa"/>
            <w:vMerge w:val="restart"/>
            <w:shd w:val="clear" w:color="auto" w:fill="auto"/>
            <w:vAlign w:val="center"/>
            <w:hideMark/>
          </w:tcPr>
          <w:p w14:paraId="509F047D" w14:textId="77777777" w:rsidR="00BB3B2C" w:rsidRPr="00867BB6" w:rsidRDefault="00BB3B2C" w:rsidP="000334D6">
            <w:pPr>
              <w:pStyle w:val="NoSpacing"/>
              <w:rPr>
                <w:sz w:val="17"/>
                <w:szCs w:val="17"/>
              </w:rPr>
            </w:pPr>
            <w:r w:rsidRPr="00867BB6">
              <w:rPr>
                <w:sz w:val="17"/>
                <w:szCs w:val="17"/>
              </w:rPr>
              <w:t>Management brief</w:t>
            </w:r>
          </w:p>
        </w:tc>
        <w:tc>
          <w:tcPr>
            <w:tcW w:w="3282" w:type="dxa"/>
            <w:shd w:val="clear" w:color="auto" w:fill="auto"/>
            <w:noWrap/>
            <w:vAlign w:val="center"/>
            <w:hideMark/>
          </w:tcPr>
          <w:p w14:paraId="7F7C1888" w14:textId="77777777" w:rsidR="00BB3B2C" w:rsidRPr="00867BB6" w:rsidRDefault="00BB3B2C" w:rsidP="000334D6">
            <w:pPr>
              <w:pStyle w:val="NoSpacing"/>
              <w:rPr>
                <w:color w:val="000000"/>
                <w:sz w:val="17"/>
                <w:szCs w:val="17"/>
              </w:rPr>
            </w:pPr>
            <w:r w:rsidRPr="00867BB6">
              <w:rPr>
                <w:color w:val="000000"/>
                <w:sz w:val="17"/>
                <w:szCs w:val="17"/>
              </w:rPr>
              <w:t>National Sargassum Response Plan [Trinidad]</w:t>
            </w:r>
          </w:p>
        </w:tc>
        <w:tc>
          <w:tcPr>
            <w:tcW w:w="1379" w:type="dxa"/>
            <w:shd w:val="clear" w:color="auto" w:fill="auto"/>
            <w:noWrap/>
            <w:vAlign w:val="center"/>
            <w:hideMark/>
          </w:tcPr>
          <w:p w14:paraId="56C6138A" w14:textId="77777777" w:rsidR="00BB3B2C" w:rsidRPr="00867BB6" w:rsidRDefault="00BB3B2C" w:rsidP="000334D6">
            <w:pPr>
              <w:pStyle w:val="NoSpacing"/>
              <w:rPr>
                <w:sz w:val="17"/>
                <w:szCs w:val="17"/>
              </w:rPr>
            </w:pPr>
            <w:r w:rsidRPr="00867BB6">
              <w:rPr>
                <w:sz w:val="17"/>
                <w:szCs w:val="17"/>
              </w:rPr>
              <w:t>2016</w:t>
            </w:r>
          </w:p>
        </w:tc>
      </w:tr>
      <w:tr w:rsidR="000334D6" w:rsidRPr="00867BB6" w14:paraId="58D3FB20" w14:textId="77777777" w:rsidTr="000334D6">
        <w:trPr>
          <w:trHeight w:val="400"/>
        </w:trPr>
        <w:tc>
          <w:tcPr>
            <w:tcW w:w="483" w:type="dxa"/>
            <w:vAlign w:val="center"/>
          </w:tcPr>
          <w:p w14:paraId="7B6912F4" w14:textId="4B8832AE" w:rsidR="00BB3B2C" w:rsidRPr="00867BB6" w:rsidRDefault="00BB69C5" w:rsidP="000334D6">
            <w:pPr>
              <w:pStyle w:val="NoSpacing"/>
              <w:rPr>
                <w:sz w:val="17"/>
                <w:szCs w:val="17"/>
              </w:rPr>
            </w:pPr>
            <w:r w:rsidRPr="00867BB6">
              <w:rPr>
                <w:sz w:val="17"/>
                <w:szCs w:val="17"/>
              </w:rPr>
              <w:t>40</w:t>
            </w:r>
          </w:p>
        </w:tc>
        <w:tc>
          <w:tcPr>
            <w:tcW w:w="1213" w:type="dxa"/>
            <w:vMerge/>
            <w:shd w:val="clear" w:color="auto" w:fill="auto"/>
            <w:noWrap/>
            <w:vAlign w:val="center"/>
          </w:tcPr>
          <w:p w14:paraId="09090F02" w14:textId="77777777" w:rsidR="00BB3B2C" w:rsidRPr="00867BB6" w:rsidRDefault="00BB3B2C" w:rsidP="000334D6">
            <w:pPr>
              <w:pStyle w:val="NoSpacing"/>
              <w:rPr>
                <w:sz w:val="17"/>
                <w:szCs w:val="17"/>
              </w:rPr>
            </w:pPr>
          </w:p>
        </w:tc>
        <w:tc>
          <w:tcPr>
            <w:tcW w:w="962" w:type="dxa"/>
            <w:vMerge/>
            <w:shd w:val="clear" w:color="auto" w:fill="auto"/>
            <w:vAlign w:val="center"/>
          </w:tcPr>
          <w:p w14:paraId="3B9176A6" w14:textId="77777777" w:rsidR="00BB3B2C" w:rsidRPr="00867BB6" w:rsidRDefault="00BB3B2C" w:rsidP="000334D6">
            <w:pPr>
              <w:pStyle w:val="NoSpacing"/>
              <w:rPr>
                <w:i/>
                <w:iCs/>
                <w:sz w:val="17"/>
                <w:szCs w:val="17"/>
              </w:rPr>
            </w:pPr>
          </w:p>
        </w:tc>
        <w:tc>
          <w:tcPr>
            <w:tcW w:w="1170" w:type="dxa"/>
            <w:vMerge/>
            <w:shd w:val="clear" w:color="auto" w:fill="auto"/>
            <w:vAlign w:val="center"/>
          </w:tcPr>
          <w:p w14:paraId="56819D9D" w14:textId="77777777" w:rsidR="00BB3B2C" w:rsidRPr="00867BB6" w:rsidRDefault="00BB3B2C" w:rsidP="000334D6">
            <w:pPr>
              <w:pStyle w:val="NoSpacing"/>
              <w:rPr>
                <w:sz w:val="17"/>
                <w:szCs w:val="17"/>
              </w:rPr>
            </w:pPr>
          </w:p>
        </w:tc>
        <w:tc>
          <w:tcPr>
            <w:tcW w:w="3282" w:type="dxa"/>
            <w:shd w:val="clear" w:color="auto" w:fill="auto"/>
            <w:noWrap/>
            <w:vAlign w:val="center"/>
          </w:tcPr>
          <w:p w14:paraId="45886BAC" w14:textId="77777777" w:rsidR="00BB3B2C" w:rsidRPr="00867BB6" w:rsidRDefault="00BB3B2C" w:rsidP="000334D6">
            <w:pPr>
              <w:pStyle w:val="NoSpacing"/>
              <w:rPr>
                <w:color w:val="000000"/>
                <w:sz w:val="17"/>
                <w:szCs w:val="17"/>
              </w:rPr>
            </w:pPr>
            <w:r w:rsidRPr="00867BB6">
              <w:rPr>
                <w:sz w:val="17"/>
                <w:szCs w:val="17"/>
              </w:rPr>
              <w:t>Tobago Sargassum Emergency Response Plan [Tobago]</w:t>
            </w:r>
          </w:p>
        </w:tc>
        <w:tc>
          <w:tcPr>
            <w:tcW w:w="1379" w:type="dxa"/>
            <w:shd w:val="clear" w:color="auto" w:fill="auto"/>
            <w:noWrap/>
            <w:vAlign w:val="center"/>
          </w:tcPr>
          <w:p w14:paraId="1D9784F2" w14:textId="77777777" w:rsidR="00BB3B2C" w:rsidRPr="00867BB6" w:rsidRDefault="00BB3B2C" w:rsidP="000334D6">
            <w:pPr>
              <w:pStyle w:val="NoSpacing"/>
              <w:rPr>
                <w:sz w:val="17"/>
                <w:szCs w:val="17"/>
              </w:rPr>
            </w:pPr>
            <w:r w:rsidRPr="00867BB6">
              <w:rPr>
                <w:sz w:val="17"/>
                <w:szCs w:val="17"/>
              </w:rPr>
              <w:t>2016</w:t>
            </w:r>
          </w:p>
        </w:tc>
      </w:tr>
      <w:tr w:rsidR="000334D6" w:rsidRPr="00867BB6" w14:paraId="51D23276" w14:textId="77777777" w:rsidTr="000334D6">
        <w:trPr>
          <w:trHeight w:val="400"/>
        </w:trPr>
        <w:tc>
          <w:tcPr>
            <w:tcW w:w="483" w:type="dxa"/>
            <w:vAlign w:val="center"/>
          </w:tcPr>
          <w:p w14:paraId="5755D1D7" w14:textId="430D2CEE" w:rsidR="00BB3B2C" w:rsidRPr="00867BB6" w:rsidRDefault="00BB3B2C" w:rsidP="000334D6">
            <w:pPr>
              <w:pStyle w:val="NoSpacing"/>
              <w:rPr>
                <w:sz w:val="17"/>
                <w:szCs w:val="17"/>
              </w:rPr>
            </w:pPr>
            <w:r w:rsidRPr="00867BB6">
              <w:rPr>
                <w:sz w:val="17"/>
                <w:szCs w:val="17"/>
              </w:rPr>
              <w:t>4</w:t>
            </w:r>
            <w:r w:rsidR="00BB69C5" w:rsidRPr="00867BB6">
              <w:rPr>
                <w:sz w:val="17"/>
                <w:szCs w:val="17"/>
              </w:rPr>
              <w:t>1</w:t>
            </w:r>
          </w:p>
        </w:tc>
        <w:tc>
          <w:tcPr>
            <w:tcW w:w="1213" w:type="dxa"/>
            <w:shd w:val="clear" w:color="auto" w:fill="auto"/>
            <w:noWrap/>
            <w:vAlign w:val="center"/>
            <w:hideMark/>
          </w:tcPr>
          <w:p w14:paraId="12600F6F" w14:textId="77777777" w:rsidR="00BB3B2C" w:rsidRPr="00867BB6" w:rsidRDefault="00BB3B2C" w:rsidP="000334D6">
            <w:pPr>
              <w:pStyle w:val="NoSpacing"/>
              <w:rPr>
                <w:sz w:val="17"/>
                <w:szCs w:val="17"/>
              </w:rPr>
            </w:pPr>
            <w:r w:rsidRPr="00867BB6">
              <w:rPr>
                <w:sz w:val="17"/>
                <w:szCs w:val="17"/>
              </w:rPr>
              <w:t>Turks and Caicos</w:t>
            </w:r>
          </w:p>
        </w:tc>
        <w:tc>
          <w:tcPr>
            <w:tcW w:w="962" w:type="dxa"/>
            <w:shd w:val="clear" w:color="auto" w:fill="auto"/>
            <w:vAlign w:val="center"/>
            <w:hideMark/>
          </w:tcPr>
          <w:p w14:paraId="0A3CBF23" w14:textId="77777777" w:rsidR="00BB3B2C" w:rsidRPr="00867BB6" w:rsidRDefault="00BB3B2C" w:rsidP="000334D6">
            <w:pPr>
              <w:pStyle w:val="NoSpacing"/>
              <w:rPr>
                <w:i/>
                <w:iCs/>
                <w:sz w:val="17"/>
                <w:szCs w:val="17"/>
              </w:rPr>
            </w:pPr>
            <w:r w:rsidRPr="00867BB6">
              <w:rPr>
                <w:i/>
                <w:iCs/>
                <w:sz w:val="17"/>
                <w:szCs w:val="17"/>
              </w:rPr>
              <w:t>VH</w:t>
            </w:r>
          </w:p>
        </w:tc>
        <w:tc>
          <w:tcPr>
            <w:tcW w:w="1170" w:type="dxa"/>
            <w:shd w:val="clear" w:color="auto" w:fill="auto"/>
            <w:vAlign w:val="center"/>
            <w:hideMark/>
          </w:tcPr>
          <w:p w14:paraId="577D62D4" w14:textId="77777777" w:rsidR="00BB3B2C" w:rsidRPr="00867BB6" w:rsidRDefault="00BB3B2C" w:rsidP="000334D6">
            <w:pPr>
              <w:pStyle w:val="NoSpacing"/>
              <w:rPr>
                <w:sz w:val="17"/>
                <w:szCs w:val="17"/>
              </w:rPr>
            </w:pPr>
            <w:r w:rsidRPr="00867BB6">
              <w:rPr>
                <w:sz w:val="17"/>
                <w:szCs w:val="17"/>
              </w:rPr>
              <w:t>None found</w:t>
            </w:r>
          </w:p>
        </w:tc>
        <w:tc>
          <w:tcPr>
            <w:tcW w:w="3282" w:type="dxa"/>
            <w:shd w:val="clear" w:color="auto" w:fill="auto"/>
            <w:noWrap/>
            <w:vAlign w:val="center"/>
            <w:hideMark/>
          </w:tcPr>
          <w:p w14:paraId="004532F1" w14:textId="77777777" w:rsidR="00BB3B2C" w:rsidRPr="00867BB6" w:rsidRDefault="00BB3B2C" w:rsidP="000334D6">
            <w:pPr>
              <w:pStyle w:val="NoSpacing"/>
              <w:rPr>
                <w:sz w:val="17"/>
                <w:szCs w:val="17"/>
              </w:rPr>
            </w:pPr>
            <w:r w:rsidRPr="00867BB6">
              <w:rPr>
                <w:color w:val="000000"/>
                <w:sz w:val="17"/>
                <w:szCs w:val="17"/>
              </w:rPr>
              <w:t>N/A (draft in progress)</w:t>
            </w:r>
          </w:p>
        </w:tc>
        <w:tc>
          <w:tcPr>
            <w:tcW w:w="1379" w:type="dxa"/>
            <w:shd w:val="clear" w:color="auto" w:fill="auto"/>
            <w:noWrap/>
            <w:vAlign w:val="center"/>
            <w:hideMark/>
          </w:tcPr>
          <w:p w14:paraId="79BFE572" w14:textId="77777777" w:rsidR="00BB3B2C" w:rsidRPr="00867BB6" w:rsidRDefault="00BB3B2C" w:rsidP="000334D6">
            <w:pPr>
              <w:pStyle w:val="NoSpacing"/>
              <w:rPr>
                <w:sz w:val="17"/>
                <w:szCs w:val="17"/>
              </w:rPr>
            </w:pPr>
            <w:r w:rsidRPr="00867BB6">
              <w:rPr>
                <w:sz w:val="17"/>
                <w:szCs w:val="17"/>
              </w:rPr>
              <w:t>N/A</w:t>
            </w:r>
          </w:p>
        </w:tc>
      </w:tr>
      <w:tr w:rsidR="000334D6" w:rsidRPr="00867BB6" w14:paraId="01150395" w14:textId="77777777" w:rsidTr="000334D6">
        <w:trPr>
          <w:trHeight w:val="400"/>
        </w:trPr>
        <w:tc>
          <w:tcPr>
            <w:tcW w:w="483" w:type="dxa"/>
            <w:vAlign w:val="center"/>
          </w:tcPr>
          <w:p w14:paraId="07E6BE40" w14:textId="6B8179A1" w:rsidR="00BB3B2C" w:rsidRPr="00867BB6" w:rsidRDefault="00BB3B2C" w:rsidP="000334D6">
            <w:pPr>
              <w:pStyle w:val="NoSpacing"/>
              <w:rPr>
                <w:sz w:val="17"/>
                <w:szCs w:val="17"/>
              </w:rPr>
            </w:pPr>
            <w:r w:rsidRPr="00867BB6">
              <w:rPr>
                <w:sz w:val="17"/>
                <w:szCs w:val="17"/>
              </w:rPr>
              <w:t>4</w:t>
            </w:r>
            <w:r w:rsidR="00BB69C5" w:rsidRPr="00867BB6">
              <w:rPr>
                <w:sz w:val="17"/>
                <w:szCs w:val="17"/>
              </w:rPr>
              <w:t>2</w:t>
            </w:r>
          </w:p>
        </w:tc>
        <w:tc>
          <w:tcPr>
            <w:tcW w:w="1213" w:type="dxa"/>
            <w:shd w:val="clear" w:color="auto" w:fill="auto"/>
            <w:noWrap/>
            <w:vAlign w:val="center"/>
            <w:hideMark/>
          </w:tcPr>
          <w:p w14:paraId="3A1D4783" w14:textId="77777777" w:rsidR="00BB3B2C" w:rsidRPr="00867BB6" w:rsidRDefault="00BB3B2C" w:rsidP="000334D6">
            <w:pPr>
              <w:pStyle w:val="NoSpacing"/>
              <w:rPr>
                <w:sz w:val="17"/>
                <w:szCs w:val="17"/>
              </w:rPr>
            </w:pPr>
            <w:r w:rsidRPr="00867BB6">
              <w:rPr>
                <w:sz w:val="17"/>
                <w:szCs w:val="17"/>
              </w:rPr>
              <w:t>US Virgin Islands</w:t>
            </w:r>
          </w:p>
        </w:tc>
        <w:tc>
          <w:tcPr>
            <w:tcW w:w="962" w:type="dxa"/>
            <w:shd w:val="clear" w:color="auto" w:fill="auto"/>
            <w:vAlign w:val="center"/>
            <w:hideMark/>
          </w:tcPr>
          <w:p w14:paraId="104D3127" w14:textId="77777777" w:rsidR="00BB3B2C" w:rsidRPr="00867BB6" w:rsidRDefault="00BB3B2C" w:rsidP="000334D6">
            <w:pPr>
              <w:pStyle w:val="NoSpacing"/>
              <w:rPr>
                <w:i/>
                <w:iCs/>
                <w:sz w:val="17"/>
                <w:szCs w:val="17"/>
              </w:rPr>
            </w:pPr>
            <w:r w:rsidRPr="00867BB6">
              <w:rPr>
                <w:i/>
                <w:iCs/>
                <w:sz w:val="17"/>
                <w:szCs w:val="17"/>
              </w:rPr>
              <w:t>H</w:t>
            </w:r>
          </w:p>
        </w:tc>
        <w:tc>
          <w:tcPr>
            <w:tcW w:w="1170" w:type="dxa"/>
            <w:shd w:val="clear" w:color="auto" w:fill="auto"/>
            <w:vAlign w:val="center"/>
            <w:hideMark/>
          </w:tcPr>
          <w:p w14:paraId="7C63605C" w14:textId="77777777" w:rsidR="00BB3B2C" w:rsidRPr="00867BB6" w:rsidRDefault="00BB3B2C" w:rsidP="000334D6">
            <w:pPr>
              <w:pStyle w:val="NoSpacing"/>
              <w:rPr>
                <w:sz w:val="17"/>
                <w:szCs w:val="17"/>
              </w:rPr>
            </w:pPr>
            <w:r w:rsidRPr="00867BB6">
              <w:rPr>
                <w:sz w:val="17"/>
                <w:szCs w:val="17"/>
              </w:rPr>
              <w:t>None found</w:t>
            </w:r>
          </w:p>
        </w:tc>
        <w:tc>
          <w:tcPr>
            <w:tcW w:w="3282" w:type="dxa"/>
            <w:shd w:val="clear" w:color="auto" w:fill="auto"/>
            <w:noWrap/>
            <w:vAlign w:val="center"/>
            <w:hideMark/>
          </w:tcPr>
          <w:p w14:paraId="0B74964C" w14:textId="77777777" w:rsidR="00BB3B2C" w:rsidRPr="00867BB6" w:rsidRDefault="00BB3B2C" w:rsidP="000334D6">
            <w:pPr>
              <w:pStyle w:val="NoSpacing"/>
              <w:rPr>
                <w:sz w:val="17"/>
                <w:szCs w:val="17"/>
              </w:rPr>
            </w:pPr>
            <w:r w:rsidRPr="00867BB6">
              <w:rPr>
                <w:color w:val="000000"/>
                <w:sz w:val="17"/>
                <w:szCs w:val="17"/>
              </w:rPr>
              <w:t>N/A</w:t>
            </w:r>
          </w:p>
        </w:tc>
        <w:tc>
          <w:tcPr>
            <w:tcW w:w="1379" w:type="dxa"/>
            <w:shd w:val="clear" w:color="auto" w:fill="auto"/>
            <w:noWrap/>
            <w:vAlign w:val="center"/>
            <w:hideMark/>
          </w:tcPr>
          <w:p w14:paraId="12B6923E" w14:textId="77777777" w:rsidR="00BB3B2C" w:rsidRPr="00867BB6" w:rsidRDefault="00BB3B2C" w:rsidP="000334D6">
            <w:pPr>
              <w:pStyle w:val="NoSpacing"/>
              <w:rPr>
                <w:sz w:val="17"/>
                <w:szCs w:val="17"/>
              </w:rPr>
            </w:pPr>
            <w:r w:rsidRPr="00867BB6">
              <w:rPr>
                <w:sz w:val="17"/>
                <w:szCs w:val="17"/>
              </w:rPr>
              <w:t>N/A</w:t>
            </w:r>
          </w:p>
        </w:tc>
      </w:tr>
      <w:tr w:rsidR="00BB3B2C" w:rsidRPr="00867BB6" w14:paraId="18FDD348" w14:textId="77777777" w:rsidTr="000334D6">
        <w:trPr>
          <w:trHeight w:val="400"/>
        </w:trPr>
        <w:tc>
          <w:tcPr>
            <w:tcW w:w="8489" w:type="dxa"/>
            <w:gridSpan w:val="6"/>
            <w:vAlign w:val="center"/>
          </w:tcPr>
          <w:p w14:paraId="1E37214E" w14:textId="77777777" w:rsidR="00BB3B2C" w:rsidRPr="00867BB6" w:rsidRDefault="00BB3B2C" w:rsidP="000334D6">
            <w:pPr>
              <w:pStyle w:val="NoSpacing"/>
              <w:rPr>
                <w:sz w:val="17"/>
                <w:szCs w:val="17"/>
              </w:rPr>
            </w:pPr>
            <w:r w:rsidRPr="00867BB6">
              <w:rPr>
                <w:sz w:val="17"/>
                <w:szCs w:val="17"/>
              </w:rPr>
              <w:t xml:space="preserve">* According to UNEP white paper (UNEP-CEP 2018): VH Very High; H High; M Medium; L Low; NA not included in UNEP paper. </w:t>
            </w:r>
          </w:p>
          <w:p w14:paraId="44056D53" w14:textId="77777777" w:rsidR="00BB3B2C" w:rsidRPr="00867BB6" w:rsidRDefault="00BB3B2C" w:rsidP="000334D6">
            <w:pPr>
              <w:pStyle w:val="NoSpacing"/>
              <w:rPr>
                <w:sz w:val="17"/>
                <w:szCs w:val="17"/>
              </w:rPr>
            </w:pPr>
          </w:p>
          <w:p w14:paraId="1F3FF324" w14:textId="77777777" w:rsidR="00BB3B2C" w:rsidRPr="00867BB6" w:rsidRDefault="00BB3B2C" w:rsidP="000334D6">
            <w:pPr>
              <w:pStyle w:val="NoSpacing"/>
              <w:rPr>
                <w:sz w:val="17"/>
                <w:szCs w:val="17"/>
              </w:rPr>
            </w:pPr>
            <w:r w:rsidRPr="00867BB6">
              <w:rPr>
                <w:sz w:val="17"/>
                <w:szCs w:val="17"/>
              </w:rPr>
              <w:t xml:space="preserve">This table includes all identified policies/strategies, but only those in English were </w:t>
            </w:r>
            <w:proofErr w:type="spellStart"/>
            <w:r w:rsidRPr="00867BB6">
              <w:rPr>
                <w:sz w:val="17"/>
                <w:szCs w:val="17"/>
              </w:rPr>
              <w:t>analyzed</w:t>
            </w:r>
            <w:proofErr w:type="spellEnd"/>
            <w:r w:rsidRPr="00867BB6">
              <w:rPr>
                <w:sz w:val="17"/>
                <w:szCs w:val="17"/>
              </w:rPr>
              <w:t xml:space="preserve"> in depth. See supplementary material for reference list of all policy briefs. Fr: France, </w:t>
            </w:r>
            <w:proofErr w:type="spellStart"/>
            <w:r w:rsidRPr="00867BB6">
              <w:rPr>
                <w:sz w:val="17"/>
                <w:szCs w:val="17"/>
              </w:rPr>
              <w:t>collectivity</w:t>
            </w:r>
            <w:proofErr w:type="spellEnd"/>
            <w:r w:rsidRPr="00867BB6">
              <w:rPr>
                <w:sz w:val="17"/>
                <w:szCs w:val="17"/>
              </w:rPr>
              <w:t>, NL: Netherlands, country or public body, UK: United Kingdom, overseas territory.</w:t>
            </w:r>
          </w:p>
          <w:p w14:paraId="735F701C" w14:textId="77777777" w:rsidR="00BB3B2C" w:rsidRPr="00867BB6" w:rsidRDefault="00BB3B2C" w:rsidP="000334D6">
            <w:pPr>
              <w:pStyle w:val="NoSpacing"/>
              <w:rPr>
                <w:sz w:val="17"/>
                <w:szCs w:val="17"/>
              </w:rPr>
            </w:pPr>
          </w:p>
          <w:p w14:paraId="2F5CDFAE" w14:textId="23CBDD61" w:rsidR="00BB3B2C" w:rsidRPr="00867BB6" w:rsidRDefault="00BB3B2C" w:rsidP="000334D6">
            <w:pPr>
              <w:pStyle w:val="NoSpacing"/>
              <w:rPr>
                <w:i/>
                <w:iCs/>
                <w:sz w:val="17"/>
                <w:szCs w:val="17"/>
              </w:rPr>
            </w:pPr>
            <w:r w:rsidRPr="00867BB6">
              <w:rPr>
                <w:i/>
                <w:iCs/>
                <w:sz w:val="17"/>
                <w:szCs w:val="17"/>
              </w:rPr>
              <w:t>Note: All reports were found through online search, except: (</w:t>
            </w:r>
            <w:proofErr w:type="spellStart"/>
            <w:r w:rsidRPr="00867BB6">
              <w:rPr>
                <w:i/>
                <w:iCs/>
                <w:sz w:val="17"/>
                <w:szCs w:val="17"/>
              </w:rPr>
              <w:t>i</w:t>
            </w:r>
            <w:proofErr w:type="spellEnd"/>
            <w:r w:rsidRPr="00867BB6">
              <w:rPr>
                <w:i/>
                <w:iCs/>
                <w:sz w:val="17"/>
                <w:szCs w:val="17"/>
              </w:rPr>
              <w:t xml:space="preserve">) Jamaica (2015) which was received directly from National Environment and Planning Agency, Jamaica, and (ii) Barbados, Grenada, St Kitts and Nevis, St Lucia, St Vincent and the Grenadines, Trinidad and Tobago which were all received from </w:t>
            </w:r>
            <w:r w:rsidR="00813E5C" w:rsidRPr="00867BB6">
              <w:rPr>
                <w:i/>
                <w:iCs/>
                <w:sz w:val="17"/>
                <w:szCs w:val="17"/>
              </w:rPr>
              <w:t>country contacts.</w:t>
            </w:r>
          </w:p>
        </w:tc>
      </w:tr>
    </w:tbl>
    <w:p w14:paraId="42EEE848" w14:textId="77777777" w:rsidR="00BB3B2C" w:rsidRPr="00867BB6" w:rsidRDefault="00BB3B2C" w:rsidP="00BB3B2C">
      <w:pPr>
        <w:rPr>
          <w:lang w:val="en-US"/>
        </w:rPr>
      </w:pPr>
    </w:p>
    <w:p w14:paraId="67D2D72A" w14:textId="77777777" w:rsidR="002071A5" w:rsidRPr="00867BB6" w:rsidRDefault="002071A5" w:rsidP="002071A5">
      <w:pPr>
        <w:rPr>
          <w:lang w:val="en-US"/>
        </w:rPr>
      </w:pPr>
    </w:p>
    <w:p w14:paraId="15F40A12" w14:textId="77777777" w:rsidR="002071A5" w:rsidRPr="00867BB6" w:rsidRDefault="002071A5">
      <w:pPr>
        <w:spacing w:line="240" w:lineRule="auto"/>
        <w:rPr>
          <w:lang w:val="en-US"/>
        </w:rPr>
      </w:pPr>
      <w:r w:rsidRPr="00867BB6">
        <w:rPr>
          <w:lang w:val="en-US"/>
        </w:rPr>
        <w:br w:type="page"/>
      </w:r>
    </w:p>
    <w:p w14:paraId="549CFD0A" w14:textId="599970E5" w:rsidR="00867BB6" w:rsidRDefault="00867BB6" w:rsidP="002071A5">
      <w:pPr>
        <w:pStyle w:val="Figurecaption"/>
        <w:rPr>
          <w:lang w:val="en-US"/>
        </w:rPr>
      </w:pPr>
      <w:r>
        <w:rPr>
          <w:noProof/>
        </w:rPr>
        <w:lastRenderedPageBreak/>
        <w:drawing>
          <wp:inline distT="0" distB="0" distL="0" distR="0" wp14:anchorId="2D0FAB7C" wp14:editId="59C37C3B">
            <wp:extent cx="3299000" cy="25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hqprint">
                      <a:extLst>
                        <a:ext uri="{28A0092B-C50C-407E-A947-70E740481C1C}">
                          <a14:useLocalDpi xmlns:a14="http://schemas.microsoft.com/office/drawing/2010/main" val="0"/>
                        </a:ext>
                      </a:extLst>
                    </a:blip>
                    <a:srcRect/>
                    <a:stretch>
                      <a:fillRect/>
                    </a:stretch>
                  </pic:blipFill>
                  <pic:spPr bwMode="auto">
                    <a:xfrm>
                      <a:off x="0" y="0"/>
                      <a:ext cx="3299000" cy="2520000"/>
                    </a:xfrm>
                    <a:prstGeom prst="rect">
                      <a:avLst/>
                    </a:prstGeom>
                    <a:noFill/>
                    <a:ln>
                      <a:noFill/>
                    </a:ln>
                  </pic:spPr>
                </pic:pic>
              </a:graphicData>
            </a:graphic>
          </wp:inline>
        </w:drawing>
      </w:r>
    </w:p>
    <w:p w14:paraId="7DCF54C0" w14:textId="338A6055" w:rsidR="002071A5" w:rsidRPr="00867BB6" w:rsidRDefault="002071A5" w:rsidP="002071A5">
      <w:pPr>
        <w:pStyle w:val="Figurecaption"/>
        <w:rPr>
          <w:lang w:val="en-US"/>
        </w:rPr>
      </w:pPr>
      <w:r w:rsidRPr="00867BB6">
        <w:rPr>
          <w:lang w:val="en-US"/>
        </w:rPr>
        <w:t>Figure 1: A governance modality spectrum indicating the relationship among some key stages</w:t>
      </w:r>
      <w:r w:rsidR="005C41AB">
        <w:rPr>
          <w:lang w:val="en-US"/>
        </w:rPr>
        <w:t xml:space="preserve">, </w:t>
      </w:r>
      <w:r w:rsidRPr="00867BB6">
        <w:rPr>
          <w:lang w:val="en-US"/>
        </w:rPr>
        <w:t xml:space="preserve">adapted from Mahon and Fanning </w:t>
      </w:r>
      <w:r w:rsidR="005C41AB">
        <w:rPr>
          <w:lang w:val="en-US"/>
        </w:rPr>
        <w:t>(</w:t>
      </w:r>
      <w:r w:rsidRPr="00867BB6">
        <w:rPr>
          <w:lang w:val="en-US"/>
        </w:rPr>
        <w:t>2019).</w:t>
      </w:r>
      <w:r w:rsidR="003677C3" w:rsidRPr="00867BB6">
        <w:rPr>
          <w:lang w:val="en-US"/>
        </w:rPr>
        <w:t xml:space="preserve"> Movements toward centralized authority may be driven by</w:t>
      </w:r>
      <w:r w:rsidR="001B3A1A" w:rsidRPr="00867BB6">
        <w:rPr>
          <w:lang w:val="en-US"/>
        </w:rPr>
        <w:t xml:space="preserve"> perceived complexity and dysfunctionality in </w:t>
      </w:r>
      <w:r w:rsidR="00E70325" w:rsidRPr="00867BB6">
        <w:rPr>
          <w:lang w:val="en-US"/>
        </w:rPr>
        <w:t xml:space="preserve">the polycentric governance arrangements, whilst movement toward functional polycentrism </w:t>
      </w:r>
      <w:r w:rsidR="00B23985" w:rsidRPr="00867BB6">
        <w:rPr>
          <w:lang w:val="en-US"/>
        </w:rPr>
        <w:t xml:space="preserve">may include actions to harmonize the system rules, facilitating learning and knowledge sharing, or establishing conflict resolution </w:t>
      </w:r>
      <w:r w:rsidR="00EE29B2" w:rsidRPr="00867BB6">
        <w:rPr>
          <w:lang w:val="en-US"/>
        </w:rPr>
        <w:t xml:space="preserve">pathways. </w:t>
      </w:r>
    </w:p>
    <w:p w14:paraId="08AE27E3" w14:textId="61240727" w:rsidR="002071A5" w:rsidRPr="00867BB6" w:rsidRDefault="002071A5" w:rsidP="002071A5">
      <w:pPr>
        <w:rPr>
          <w:lang w:val="en-US"/>
        </w:rPr>
      </w:pPr>
    </w:p>
    <w:p w14:paraId="7A9B423D" w14:textId="13B37ED2" w:rsidR="00DD5B81" w:rsidRDefault="00DD5B81">
      <w:pPr>
        <w:spacing w:line="240" w:lineRule="auto"/>
        <w:rPr>
          <w:lang w:val="en-US"/>
        </w:rPr>
      </w:pPr>
    </w:p>
    <w:p w14:paraId="6814F177" w14:textId="06B8FEBA" w:rsidR="00867BB6" w:rsidRPr="00867BB6" w:rsidRDefault="00CE324E" w:rsidP="00CE324E">
      <w:pPr>
        <w:rPr>
          <w:lang w:val="en-US"/>
        </w:rPr>
      </w:pPr>
      <w:r>
        <w:rPr>
          <w:noProof/>
        </w:rPr>
        <w:drawing>
          <wp:inline distT="0" distB="0" distL="0" distR="0" wp14:anchorId="1D08D27E" wp14:editId="7C21DF0C">
            <wp:extent cx="3490463" cy="25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hqprint">
                      <a:extLst>
                        <a:ext uri="{28A0092B-C50C-407E-A947-70E740481C1C}">
                          <a14:useLocalDpi xmlns:a14="http://schemas.microsoft.com/office/drawing/2010/main" val="0"/>
                        </a:ext>
                      </a:extLst>
                    </a:blip>
                    <a:srcRect/>
                    <a:stretch>
                      <a:fillRect/>
                    </a:stretch>
                  </pic:blipFill>
                  <pic:spPr bwMode="auto">
                    <a:xfrm>
                      <a:off x="0" y="0"/>
                      <a:ext cx="3490463" cy="2520000"/>
                    </a:xfrm>
                    <a:prstGeom prst="rect">
                      <a:avLst/>
                    </a:prstGeom>
                    <a:noFill/>
                    <a:ln>
                      <a:noFill/>
                    </a:ln>
                  </pic:spPr>
                </pic:pic>
              </a:graphicData>
            </a:graphic>
          </wp:inline>
        </w:drawing>
      </w:r>
    </w:p>
    <w:p w14:paraId="11848502" w14:textId="38CDAC3D" w:rsidR="002560CC" w:rsidRPr="00867BB6" w:rsidRDefault="002560CC" w:rsidP="00CE324E">
      <w:pPr>
        <w:rPr>
          <w:lang w:val="en-US"/>
        </w:rPr>
      </w:pPr>
      <w:r w:rsidRPr="00867BB6">
        <w:rPr>
          <w:lang w:val="en-US"/>
        </w:rPr>
        <w:t>Figure 2:</w:t>
      </w:r>
      <w:r w:rsidR="00336334" w:rsidRPr="00867BB6">
        <w:rPr>
          <w:lang w:val="en-US"/>
        </w:rPr>
        <w:t xml:space="preserve"> </w:t>
      </w:r>
      <w:r w:rsidR="002D0B29" w:rsidRPr="00867BB6">
        <w:rPr>
          <w:lang w:val="en-US"/>
        </w:rPr>
        <w:t xml:space="preserve">Small Island Developing States (SIDS) in the Wider Caribbean Region (WCR) and the approximate locations of the two dominant sources of sargassum </w:t>
      </w:r>
      <w:r w:rsidR="002B7729" w:rsidRPr="00867BB6">
        <w:rPr>
          <w:lang w:val="en-US"/>
        </w:rPr>
        <w:t>for influx events experienced in the Caribbean.</w:t>
      </w:r>
    </w:p>
    <w:sectPr w:rsidR="002560CC" w:rsidRPr="00867BB6" w:rsidSect="00DA0B8D">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56D0" w14:textId="77777777" w:rsidR="007C6795" w:rsidRDefault="007C6795" w:rsidP="00AF2C92">
      <w:r>
        <w:separator/>
      </w:r>
    </w:p>
  </w:endnote>
  <w:endnote w:type="continuationSeparator" w:id="0">
    <w:p w14:paraId="28106E98" w14:textId="77777777" w:rsidR="007C6795" w:rsidRDefault="007C679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AA41" w14:textId="77777777" w:rsidR="007C6795" w:rsidRDefault="007C6795" w:rsidP="00AF2C92">
      <w:r>
        <w:separator/>
      </w:r>
    </w:p>
  </w:footnote>
  <w:footnote w:type="continuationSeparator" w:id="0">
    <w:p w14:paraId="70C5B443" w14:textId="77777777" w:rsidR="007C6795" w:rsidRDefault="007C6795"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E7"/>
    <w:rsid w:val="00000A7E"/>
    <w:rsid w:val="00001899"/>
    <w:rsid w:val="000038E6"/>
    <w:rsid w:val="000049AD"/>
    <w:rsid w:val="0000681B"/>
    <w:rsid w:val="00012C32"/>
    <w:rsid w:val="000133C0"/>
    <w:rsid w:val="00014C4E"/>
    <w:rsid w:val="00017107"/>
    <w:rsid w:val="000202E2"/>
    <w:rsid w:val="00020D0E"/>
    <w:rsid w:val="00022441"/>
    <w:rsid w:val="000225E4"/>
    <w:rsid w:val="0002261E"/>
    <w:rsid w:val="00024839"/>
    <w:rsid w:val="000248BE"/>
    <w:rsid w:val="000251EC"/>
    <w:rsid w:val="00025638"/>
    <w:rsid w:val="00026871"/>
    <w:rsid w:val="00027117"/>
    <w:rsid w:val="000334D6"/>
    <w:rsid w:val="00033F53"/>
    <w:rsid w:val="00034473"/>
    <w:rsid w:val="00034EA0"/>
    <w:rsid w:val="00037A98"/>
    <w:rsid w:val="00037C38"/>
    <w:rsid w:val="000427FB"/>
    <w:rsid w:val="0004455E"/>
    <w:rsid w:val="00047CB5"/>
    <w:rsid w:val="00051FAA"/>
    <w:rsid w:val="00056875"/>
    <w:rsid w:val="000572A9"/>
    <w:rsid w:val="0006108B"/>
    <w:rsid w:val="00061325"/>
    <w:rsid w:val="000630D2"/>
    <w:rsid w:val="0006391E"/>
    <w:rsid w:val="00063F94"/>
    <w:rsid w:val="0006778C"/>
    <w:rsid w:val="00067FC4"/>
    <w:rsid w:val="00072325"/>
    <w:rsid w:val="0007286E"/>
    <w:rsid w:val="000733AC"/>
    <w:rsid w:val="00074B81"/>
    <w:rsid w:val="00074D22"/>
    <w:rsid w:val="00075081"/>
    <w:rsid w:val="0007528A"/>
    <w:rsid w:val="000753C6"/>
    <w:rsid w:val="000756DF"/>
    <w:rsid w:val="000811AB"/>
    <w:rsid w:val="00083C5F"/>
    <w:rsid w:val="0009172C"/>
    <w:rsid w:val="0009216A"/>
    <w:rsid w:val="000930EC"/>
    <w:rsid w:val="00095E61"/>
    <w:rsid w:val="000966C1"/>
    <w:rsid w:val="000970AC"/>
    <w:rsid w:val="000A02A3"/>
    <w:rsid w:val="000A1167"/>
    <w:rsid w:val="000A1ACE"/>
    <w:rsid w:val="000A2B32"/>
    <w:rsid w:val="000A4428"/>
    <w:rsid w:val="000A6D40"/>
    <w:rsid w:val="000A7BC3"/>
    <w:rsid w:val="000B1661"/>
    <w:rsid w:val="000B1F0B"/>
    <w:rsid w:val="000B2E88"/>
    <w:rsid w:val="000B4603"/>
    <w:rsid w:val="000B54A4"/>
    <w:rsid w:val="000C02E2"/>
    <w:rsid w:val="000C09BE"/>
    <w:rsid w:val="000C1380"/>
    <w:rsid w:val="000C554F"/>
    <w:rsid w:val="000C6B08"/>
    <w:rsid w:val="000D03BB"/>
    <w:rsid w:val="000D0DC5"/>
    <w:rsid w:val="000D15FF"/>
    <w:rsid w:val="000D1615"/>
    <w:rsid w:val="000D1884"/>
    <w:rsid w:val="000D28DF"/>
    <w:rsid w:val="000D3533"/>
    <w:rsid w:val="000D488B"/>
    <w:rsid w:val="000D48AF"/>
    <w:rsid w:val="000D68DF"/>
    <w:rsid w:val="000E138D"/>
    <w:rsid w:val="000E187A"/>
    <w:rsid w:val="000E2D61"/>
    <w:rsid w:val="000E450E"/>
    <w:rsid w:val="000E6259"/>
    <w:rsid w:val="000F1239"/>
    <w:rsid w:val="000F4677"/>
    <w:rsid w:val="000F5BE0"/>
    <w:rsid w:val="000F60DE"/>
    <w:rsid w:val="00100587"/>
    <w:rsid w:val="00100FC8"/>
    <w:rsid w:val="0010284E"/>
    <w:rsid w:val="00103122"/>
    <w:rsid w:val="0010336A"/>
    <w:rsid w:val="001050F1"/>
    <w:rsid w:val="00105AEA"/>
    <w:rsid w:val="00106B7A"/>
    <w:rsid w:val="00106DAF"/>
    <w:rsid w:val="00112699"/>
    <w:rsid w:val="00112A26"/>
    <w:rsid w:val="00114ABE"/>
    <w:rsid w:val="00116023"/>
    <w:rsid w:val="00116ED5"/>
    <w:rsid w:val="00126243"/>
    <w:rsid w:val="001349B2"/>
    <w:rsid w:val="00134A51"/>
    <w:rsid w:val="00135D2E"/>
    <w:rsid w:val="00137F30"/>
    <w:rsid w:val="00140727"/>
    <w:rsid w:val="00143585"/>
    <w:rsid w:val="00147569"/>
    <w:rsid w:val="001515B5"/>
    <w:rsid w:val="001517F7"/>
    <w:rsid w:val="00160628"/>
    <w:rsid w:val="00161344"/>
    <w:rsid w:val="00161BCE"/>
    <w:rsid w:val="00162195"/>
    <w:rsid w:val="0016322A"/>
    <w:rsid w:val="00165A21"/>
    <w:rsid w:val="001705CE"/>
    <w:rsid w:val="0017714B"/>
    <w:rsid w:val="001804DF"/>
    <w:rsid w:val="00181BDC"/>
    <w:rsid w:val="00181DB0"/>
    <w:rsid w:val="001829E3"/>
    <w:rsid w:val="00186DD1"/>
    <w:rsid w:val="001924C0"/>
    <w:rsid w:val="0019731E"/>
    <w:rsid w:val="001A02B2"/>
    <w:rsid w:val="001A09FE"/>
    <w:rsid w:val="001A1E90"/>
    <w:rsid w:val="001A59A3"/>
    <w:rsid w:val="001A6177"/>
    <w:rsid w:val="001A67C9"/>
    <w:rsid w:val="001A69DE"/>
    <w:rsid w:val="001A713C"/>
    <w:rsid w:val="001B1C7C"/>
    <w:rsid w:val="001B35F9"/>
    <w:rsid w:val="001B398F"/>
    <w:rsid w:val="001B3A1A"/>
    <w:rsid w:val="001B3E4C"/>
    <w:rsid w:val="001B42E2"/>
    <w:rsid w:val="001B46C6"/>
    <w:rsid w:val="001B4B48"/>
    <w:rsid w:val="001B4D1F"/>
    <w:rsid w:val="001B5F81"/>
    <w:rsid w:val="001B7681"/>
    <w:rsid w:val="001B7CAE"/>
    <w:rsid w:val="001C0772"/>
    <w:rsid w:val="001C0D4F"/>
    <w:rsid w:val="001C1BA3"/>
    <w:rsid w:val="001C1DA4"/>
    <w:rsid w:val="001C1DEC"/>
    <w:rsid w:val="001C43EB"/>
    <w:rsid w:val="001C4F4B"/>
    <w:rsid w:val="001C5736"/>
    <w:rsid w:val="001D647F"/>
    <w:rsid w:val="001D6857"/>
    <w:rsid w:val="001E0572"/>
    <w:rsid w:val="001E0A67"/>
    <w:rsid w:val="001E1028"/>
    <w:rsid w:val="001E14E2"/>
    <w:rsid w:val="001E1B9A"/>
    <w:rsid w:val="001E35AD"/>
    <w:rsid w:val="001E6302"/>
    <w:rsid w:val="001E7DCB"/>
    <w:rsid w:val="001F1AAE"/>
    <w:rsid w:val="001F3411"/>
    <w:rsid w:val="001F4287"/>
    <w:rsid w:val="001F4DBA"/>
    <w:rsid w:val="002027CC"/>
    <w:rsid w:val="00203121"/>
    <w:rsid w:val="002032E4"/>
    <w:rsid w:val="0020415E"/>
    <w:rsid w:val="00204FF4"/>
    <w:rsid w:val="002071A5"/>
    <w:rsid w:val="0021056E"/>
    <w:rsid w:val="0021072D"/>
    <w:rsid w:val="0021075D"/>
    <w:rsid w:val="0021165A"/>
    <w:rsid w:val="00211BC9"/>
    <w:rsid w:val="00214293"/>
    <w:rsid w:val="0021620C"/>
    <w:rsid w:val="00216E78"/>
    <w:rsid w:val="00217275"/>
    <w:rsid w:val="002211DD"/>
    <w:rsid w:val="00222E2A"/>
    <w:rsid w:val="002232E4"/>
    <w:rsid w:val="0023397E"/>
    <w:rsid w:val="00234717"/>
    <w:rsid w:val="00234819"/>
    <w:rsid w:val="00236F4B"/>
    <w:rsid w:val="002418B7"/>
    <w:rsid w:val="00242B0D"/>
    <w:rsid w:val="00242B29"/>
    <w:rsid w:val="002467C6"/>
    <w:rsid w:val="0024692A"/>
    <w:rsid w:val="00250962"/>
    <w:rsid w:val="00252940"/>
    <w:rsid w:val="00252BBA"/>
    <w:rsid w:val="00253123"/>
    <w:rsid w:val="00253EDD"/>
    <w:rsid w:val="00255C39"/>
    <w:rsid w:val="002560CC"/>
    <w:rsid w:val="00261E3B"/>
    <w:rsid w:val="00263958"/>
    <w:rsid w:val="00264001"/>
    <w:rsid w:val="00266354"/>
    <w:rsid w:val="002666BD"/>
    <w:rsid w:val="00267A18"/>
    <w:rsid w:val="00271406"/>
    <w:rsid w:val="00271FFB"/>
    <w:rsid w:val="0027275A"/>
    <w:rsid w:val="00273462"/>
    <w:rsid w:val="0027395B"/>
    <w:rsid w:val="00275854"/>
    <w:rsid w:val="00277F10"/>
    <w:rsid w:val="00283B41"/>
    <w:rsid w:val="00285F28"/>
    <w:rsid w:val="00286398"/>
    <w:rsid w:val="002A1070"/>
    <w:rsid w:val="002A3C42"/>
    <w:rsid w:val="002A58C3"/>
    <w:rsid w:val="002A5D75"/>
    <w:rsid w:val="002B1B1A"/>
    <w:rsid w:val="002B3425"/>
    <w:rsid w:val="002B3914"/>
    <w:rsid w:val="002B51F0"/>
    <w:rsid w:val="002B6D12"/>
    <w:rsid w:val="002B7228"/>
    <w:rsid w:val="002B7729"/>
    <w:rsid w:val="002C3F21"/>
    <w:rsid w:val="002C53EE"/>
    <w:rsid w:val="002D0B29"/>
    <w:rsid w:val="002D24F7"/>
    <w:rsid w:val="002D2799"/>
    <w:rsid w:val="002D2CD7"/>
    <w:rsid w:val="002D339C"/>
    <w:rsid w:val="002D3852"/>
    <w:rsid w:val="002D4B1B"/>
    <w:rsid w:val="002D4DDC"/>
    <w:rsid w:val="002D4F75"/>
    <w:rsid w:val="002D6493"/>
    <w:rsid w:val="002D7AB6"/>
    <w:rsid w:val="002E06D0"/>
    <w:rsid w:val="002E3C27"/>
    <w:rsid w:val="002E3CD6"/>
    <w:rsid w:val="002E403A"/>
    <w:rsid w:val="002E452C"/>
    <w:rsid w:val="002E7F3A"/>
    <w:rsid w:val="002F3886"/>
    <w:rsid w:val="002F4EDB"/>
    <w:rsid w:val="002F6054"/>
    <w:rsid w:val="002F74A8"/>
    <w:rsid w:val="00300D0B"/>
    <w:rsid w:val="00310C31"/>
    <w:rsid w:val="00310E13"/>
    <w:rsid w:val="00311DBE"/>
    <w:rsid w:val="00315713"/>
    <w:rsid w:val="00316263"/>
    <w:rsid w:val="00316666"/>
    <w:rsid w:val="0031686C"/>
    <w:rsid w:val="00316FE0"/>
    <w:rsid w:val="003201B4"/>
    <w:rsid w:val="003204D2"/>
    <w:rsid w:val="003208EC"/>
    <w:rsid w:val="00322C81"/>
    <w:rsid w:val="00323ACE"/>
    <w:rsid w:val="0032605E"/>
    <w:rsid w:val="003275D1"/>
    <w:rsid w:val="00330B2A"/>
    <w:rsid w:val="00331E17"/>
    <w:rsid w:val="003324EA"/>
    <w:rsid w:val="00333063"/>
    <w:rsid w:val="00334C01"/>
    <w:rsid w:val="00335751"/>
    <w:rsid w:val="00335C93"/>
    <w:rsid w:val="00336334"/>
    <w:rsid w:val="003408E3"/>
    <w:rsid w:val="0034110B"/>
    <w:rsid w:val="0034274C"/>
    <w:rsid w:val="00343480"/>
    <w:rsid w:val="00345E89"/>
    <w:rsid w:val="003522A1"/>
    <w:rsid w:val="0035254B"/>
    <w:rsid w:val="00353555"/>
    <w:rsid w:val="00355671"/>
    <w:rsid w:val="00355F6D"/>
    <w:rsid w:val="003561FF"/>
    <w:rsid w:val="0035643E"/>
    <w:rsid w:val="003565D4"/>
    <w:rsid w:val="00356E69"/>
    <w:rsid w:val="003607FB"/>
    <w:rsid w:val="00360FD5"/>
    <w:rsid w:val="00361254"/>
    <w:rsid w:val="00362958"/>
    <w:rsid w:val="0036340D"/>
    <w:rsid w:val="003634A5"/>
    <w:rsid w:val="00366868"/>
    <w:rsid w:val="00367506"/>
    <w:rsid w:val="003677C3"/>
    <w:rsid w:val="00370085"/>
    <w:rsid w:val="0037351C"/>
    <w:rsid w:val="003744A7"/>
    <w:rsid w:val="003749A3"/>
    <w:rsid w:val="003759AE"/>
    <w:rsid w:val="00376235"/>
    <w:rsid w:val="00381FB6"/>
    <w:rsid w:val="003836D3"/>
    <w:rsid w:val="00383A52"/>
    <w:rsid w:val="0038444A"/>
    <w:rsid w:val="00387671"/>
    <w:rsid w:val="00390DD0"/>
    <w:rsid w:val="00391652"/>
    <w:rsid w:val="0039455C"/>
    <w:rsid w:val="0039507F"/>
    <w:rsid w:val="003A1260"/>
    <w:rsid w:val="003A1A5B"/>
    <w:rsid w:val="003A295F"/>
    <w:rsid w:val="003A2C9D"/>
    <w:rsid w:val="003A41DD"/>
    <w:rsid w:val="003A7033"/>
    <w:rsid w:val="003B0303"/>
    <w:rsid w:val="003B4448"/>
    <w:rsid w:val="003B47FE"/>
    <w:rsid w:val="003B5673"/>
    <w:rsid w:val="003B6287"/>
    <w:rsid w:val="003B62C9"/>
    <w:rsid w:val="003C0D91"/>
    <w:rsid w:val="003C113C"/>
    <w:rsid w:val="003C15A7"/>
    <w:rsid w:val="003C4A5E"/>
    <w:rsid w:val="003C63CE"/>
    <w:rsid w:val="003C63F1"/>
    <w:rsid w:val="003C667B"/>
    <w:rsid w:val="003C7176"/>
    <w:rsid w:val="003D0929"/>
    <w:rsid w:val="003D0B5F"/>
    <w:rsid w:val="003D26B6"/>
    <w:rsid w:val="003D364A"/>
    <w:rsid w:val="003D4729"/>
    <w:rsid w:val="003D56CC"/>
    <w:rsid w:val="003D5EB6"/>
    <w:rsid w:val="003D7DD6"/>
    <w:rsid w:val="003E5AAF"/>
    <w:rsid w:val="003E5B7E"/>
    <w:rsid w:val="003E600D"/>
    <w:rsid w:val="003E64DF"/>
    <w:rsid w:val="003E6A5D"/>
    <w:rsid w:val="003F193A"/>
    <w:rsid w:val="003F2BC0"/>
    <w:rsid w:val="003F34DA"/>
    <w:rsid w:val="003F4207"/>
    <w:rsid w:val="003F5C46"/>
    <w:rsid w:val="003F6632"/>
    <w:rsid w:val="003F7970"/>
    <w:rsid w:val="003F7CBB"/>
    <w:rsid w:val="003F7D34"/>
    <w:rsid w:val="00401F33"/>
    <w:rsid w:val="00402229"/>
    <w:rsid w:val="004026A4"/>
    <w:rsid w:val="00403C52"/>
    <w:rsid w:val="00404EEE"/>
    <w:rsid w:val="00405177"/>
    <w:rsid w:val="00405C49"/>
    <w:rsid w:val="004072AE"/>
    <w:rsid w:val="00412C8E"/>
    <w:rsid w:val="0041518D"/>
    <w:rsid w:val="0041694B"/>
    <w:rsid w:val="0042102E"/>
    <w:rsid w:val="00421047"/>
    <w:rsid w:val="0042221D"/>
    <w:rsid w:val="00424DD3"/>
    <w:rsid w:val="00425B7D"/>
    <w:rsid w:val="004269C5"/>
    <w:rsid w:val="004309AD"/>
    <w:rsid w:val="00435939"/>
    <w:rsid w:val="00437CC7"/>
    <w:rsid w:val="00442B9C"/>
    <w:rsid w:val="00444D1F"/>
    <w:rsid w:val="00444DC8"/>
    <w:rsid w:val="00444DF7"/>
    <w:rsid w:val="004452A4"/>
    <w:rsid w:val="00445EFA"/>
    <w:rsid w:val="00446783"/>
    <w:rsid w:val="0044738A"/>
    <w:rsid w:val="004473D3"/>
    <w:rsid w:val="00451112"/>
    <w:rsid w:val="00452231"/>
    <w:rsid w:val="00452798"/>
    <w:rsid w:val="0045366C"/>
    <w:rsid w:val="00455E82"/>
    <w:rsid w:val="004566DD"/>
    <w:rsid w:val="00460C13"/>
    <w:rsid w:val="00463228"/>
    <w:rsid w:val="00463455"/>
    <w:rsid w:val="00463782"/>
    <w:rsid w:val="00465F50"/>
    <w:rsid w:val="004667E0"/>
    <w:rsid w:val="0046760E"/>
    <w:rsid w:val="00470E10"/>
    <w:rsid w:val="004751ED"/>
    <w:rsid w:val="00476867"/>
    <w:rsid w:val="00477A97"/>
    <w:rsid w:val="00481343"/>
    <w:rsid w:val="004839F0"/>
    <w:rsid w:val="0048549E"/>
    <w:rsid w:val="0048708D"/>
    <w:rsid w:val="004930C6"/>
    <w:rsid w:val="00493347"/>
    <w:rsid w:val="0049485F"/>
    <w:rsid w:val="00496092"/>
    <w:rsid w:val="004A08DB"/>
    <w:rsid w:val="004A25D0"/>
    <w:rsid w:val="004A3598"/>
    <w:rsid w:val="004A37E8"/>
    <w:rsid w:val="004A543E"/>
    <w:rsid w:val="004A6114"/>
    <w:rsid w:val="004A7549"/>
    <w:rsid w:val="004A7C9A"/>
    <w:rsid w:val="004B09D4"/>
    <w:rsid w:val="004B309D"/>
    <w:rsid w:val="004B330A"/>
    <w:rsid w:val="004B3A22"/>
    <w:rsid w:val="004B7C8E"/>
    <w:rsid w:val="004C352F"/>
    <w:rsid w:val="004C3D3C"/>
    <w:rsid w:val="004C5962"/>
    <w:rsid w:val="004C7C2F"/>
    <w:rsid w:val="004D0EDC"/>
    <w:rsid w:val="004D1220"/>
    <w:rsid w:val="004D14B3"/>
    <w:rsid w:val="004D1529"/>
    <w:rsid w:val="004D2253"/>
    <w:rsid w:val="004D4A3B"/>
    <w:rsid w:val="004D5514"/>
    <w:rsid w:val="004D56C3"/>
    <w:rsid w:val="004D6264"/>
    <w:rsid w:val="004E0338"/>
    <w:rsid w:val="004E107B"/>
    <w:rsid w:val="004E4FF3"/>
    <w:rsid w:val="004E56A8"/>
    <w:rsid w:val="004E79C4"/>
    <w:rsid w:val="004F3B55"/>
    <w:rsid w:val="004F428E"/>
    <w:rsid w:val="004F46F9"/>
    <w:rsid w:val="004F4E46"/>
    <w:rsid w:val="004F4EC2"/>
    <w:rsid w:val="004F6B7D"/>
    <w:rsid w:val="004F7A61"/>
    <w:rsid w:val="005015F6"/>
    <w:rsid w:val="00501ADF"/>
    <w:rsid w:val="00502946"/>
    <w:rsid w:val="005030C4"/>
    <w:rsid w:val="005031C5"/>
    <w:rsid w:val="005033ED"/>
    <w:rsid w:val="005035D2"/>
    <w:rsid w:val="00503A87"/>
    <w:rsid w:val="00504411"/>
    <w:rsid w:val="00504FDC"/>
    <w:rsid w:val="00506458"/>
    <w:rsid w:val="005120CC"/>
    <w:rsid w:val="00512B7B"/>
    <w:rsid w:val="00513623"/>
    <w:rsid w:val="00513A43"/>
    <w:rsid w:val="00514EA1"/>
    <w:rsid w:val="00515C17"/>
    <w:rsid w:val="00516B2B"/>
    <w:rsid w:val="00516CEE"/>
    <w:rsid w:val="00517841"/>
    <w:rsid w:val="0051798B"/>
    <w:rsid w:val="00521F5A"/>
    <w:rsid w:val="005248C4"/>
    <w:rsid w:val="0052506E"/>
    <w:rsid w:val="00525E06"/>
    <w:rsid w:val="00526454"/>
    <w:rsid w:val="00527BFE"/>
    <w:rsid w:val="00531823"/>
    <w:rsid w:val="00534ECC"/>
    <w:rsid w:val="0053720D"/>
    <w:rsid w:val="00540EF5"/>
    <w:rsid w:val="00541BF3"/>
    <w:rsid w:val="00541CD3"/>
    <w:rsid w:val="00543A24"/>
    <w:rsid w:val="00545DD4"/>
    <w:rsid w:val="005476FA"/>
    <w:rsid w:val="00554EE4"/>
    <w:rsid w:val="0055595E"/>
    <w:rsid w:val="005566CB"/>
    <w:rsid w:val="00556B9F"/>
    <w:rsid w:val="00557988"/>
    <w:rsid w:val="005607E6"/>
    <w:rsid w:val="005611A3"/>
    <w:rsid w:val="00562C49"/>
    <w:rsid w:val="00562DEF"/>
    <w:rsid w:val="0056321A"/>
    <w:rsid w:val="00563A35"/>
    <w:rsid w:val="00566596"/>
    <w:rsid w:val="005741E9"/>
    <w:rsid w:val="005748CF"/>
    <w:rsid w:val="00574A94"/>
    <w:rsid w:val="00576BB0"/>
    <w:rsid w:val="005813B3"/>
    <w:rsid w:val="00583050"/>
    <w:rsid w:val="00584270"/>
    <w:rsid w:val="00584738"/>
    <w:rsid w:val="0059092C"/>
    <w:rsid w:val="005920B0"/>
    <w:rsid w:val="0059380D"/>
    <w:rsid w:val="00595A8F"/>
    <w:rsid w:val="005977C2"/>
    <w:rsid w:val="00597BF2"/>
    <w:rsid w:val="005A1F54"/>
    <w:rsid w:val="005A26C6"/>
    <w:rsid w:val="005A3020"/>
    <w:rsid w:val="005A39A5"/>
    <w:rsid w:val="005A538B"/>
    <w:rsid w:val="005B134E"/>
    <w:rsid w:val="005B1EA6"/>
    <w:rsid w:val="005B2039"/>
    <w:rsid w:val="005B2BBC"/>
    <w:rsid w:val="005B344F"/>
    <w:rsid w:val="005B3FBA"/>
    <w:rsid w:val="005B4A1D"/>
    <w:rsid w:val="005B4F2C"/>
    <w:rsid w:val="005B674D"/>
    <w:rsid w:val="005C056D"/>
    <w:rsid w:val="005C072F"/>
    <w:rsid w:val="005C0CBE"/>
    <w:rsid w:val="005C1837"/>
    <w:rsid w:val="005C1EA6"/>
    <w:rsid w:val="005C1FCF"/>
    <w:rsid w:val="005C20EB"/>
    <w:rsid w:val="005C3E95"/>
    <w:rsid w:val="005C3F41"/>
    <w:rsid w:val="005C41AB"/>
    <w:rsid w:val="005C6851"/>
    <w:rsid w:val="005D1885"/>
    <w:rsid w:val="005D320C"/>
    <w:rsid w:val="005D409B"/>
    <w:rsid w:val="005D4A38"/>
    <w:rsid w:val="005D630A"/>
    <w:rsid w:val="005E12D5"/>
    <w:rsid w:val="005E26E9"/>
    <w:rsid w:val="005E2EEA"/>
    <w:rsid w:val="005E3708"/>
    <w:rsid w:val="005E3CCD"/>
    <w:rsid w:val="005E3D6B"/>
    <w:rsid w:val="005E5B55"/>
    <w:rsid w:val="005E5E4A"/>
    <w:rsid w:val="005E693D"/>
    <w:rsid w:val="005E75BF"/>
    <w:rsid w:val="005F2673"/>
    <w:rsid w:val="005F2E48"/>
    <w:rsid w:val="005F57BA"/>
    <w:rsid w:val="005F61E6"/>
    <w:rsid w:val="005F6C45"/>
    <w:rsid w:val="00605995"/>
    <w:rsid w:val="00605A69"/>
    <w:rsid w:val="00606C54"/>
    <w:rsid w:val="00607D3D"/>
    <w:rsid w:val="0061065C"/>
    <w:rsid w:val="0061113B"/>
    <w:rsid w:val="00614375"/>
    <w:rsid w:val="00615B0A"/>
    <w:rsid w:val="006168CF"/>
    <w:rsid w:val="0062011B"/>
    <w:rsid w:val="006239B1"/>
    <w:rsid w:val="00624A18"/>
    <w:rsid w:val="0062535C"/>
    <w:rsid w:val="006259B0"/>
    <w:rsid w:val="00626DE0"/>
    <w:rsid w:val="00627CE6"/>
    <w:rsid w:val="00630901"/>
    <w:rsid w:val="00631F8E"/>
    <w:rsid w:val="00632169"/>
    <w:rsid w:val="00635002"/>
    <w:rsid w:val="00636EE9"/>
    <w:rsid w:val="00637358"/>
    <w:rsid w:val="0063745F"/>
    <w:rsid w:val="00640950"/>
    <w:rsid w:val="00641AE7"/>
    <w:rsid w:val="00641B1B"/>
    <w:rsid w:val="00642629"/>
    <w:rsid w:val="00643FF1"/>
    <w:rsid w:val="0064782B"/>
    <w:rsid w:val="0064792C"/>
    <w:rsid w:val="0065293D"/>
    <w:rsid w:val="00653EFC"/>
    <w:rsid w:val="00654021"/>
    <w:rsid w:val="00660453"/>
    <w:rsid w:val="00661045"/>
    <w:rsid w:val="00663575"/>
    <w:rsid w:val="00666DA8"/>
    <w:rsid w:val="00670C03"/>
    <w:rsid w:val="00671057"/>
    <w:rsid w:val="00674216"/>
    <w:rsid w:val="00674A2C"/>
    <w:rsid w:val="00675AAF"/>
    <w:rsid w:val="00676477"/>
    <w:rsid w:val="00677E15"/>
    <w:rsid w:val="0068031A"/>
    <w:rsid w:val="0068067E"/>
    <w:rsid w:val="00680FE9"/>
    <w:rsid w:val="00681B2F"/>
    <w:rsid w:val="0068335F"/>
    <w:rsid w:val="00684898"/>
    <w:rsid w:val="00684A05"/>
    <w:rsid w:val="00687217"/>
    <w:rsid w:val="00687B62"/>
    <w:rsid w:val="0069132F"/>
    <w:rsid w:val="006917A4"/>
    <w:rsid w:val="00691B93"/>
    <w:rsid w:val="00693302"/>
    <w:rsid w:val="006963F4"/>
    <w:rsid w:val="0069640B"/>
    <w:rsid w:val="006A1B83"/>
    <w:rsid w:val="006A21CD"/>
    <w:rsid w:val="006A253B"/>
    <w:rsid w:val="006A3259"/>
    <w:rsid w:val="006A5918"/>
    <w:rsid w:val="006A64FE"/>
    <w:rsid w:val="006A790F"/>
    <w:rsid w:val="006B0F3E"/>
    <w:rsid w:val="006B21B2"/>
    <w:rsid w:val="006B4635"/>
    <w:rsid w:val="006B4A4A"/>
    <w:rsid w:val="006B4CE7"/>
    <w:rsid w:val="006B5E6A"/>
    <w:rsid w:val="006C1949"/>
    <w:rsid w:val="006C19B2"/>
    <w:rsid w:val="006C4409"/>
    <w:rsid w:val="006C5BB8"/>
    <w:rsid w:val="006C6936"/>
    <w:rsid w:val="006C7B01"/>
    <w:rsid w:val="006D0FE8"/>
    <w:rsid w:val="006D4B2B"/>
    <w:rsid w:val="006D4F3C"/>
    <w:rsid w:val="006D5C66"/>
    <w:rsid w:val="006D7002"/>
    <w:rsid w:val="006E1B3C"/>
    <w:rsid w:val="006E1F13"/>
    <w:rsid w:val="006E239A"/>
    <w:rsid w:val="006E23FB"/>
    <w:rsid w:val="006E325A"/>
    <w:rsid w:val="006E33EC"/>
    <w:rsid w:val="006E3802"/>
    <w:rsid w:val="006E4096"/>
    <w:rsid w:val="006E6C02"/>
    <w:rsid w:val="006E6C23"/>
    <w:rsid w:val="006F15BA"/>
    <w:rsid w:val="006F231A"/>
    <w:rsid w:val="006F268B"/>
    <w:rsid w:val="006F3AA5"/>
    <w:rsid w:val="006F6B55"/>
    <w:rsid w:val="006F788D"/>
    <w:rsid w:val="006F78E1"/>
    <w:rsid w:val="00700602"/>
    <w:rsid w:val="00701072"/>
    <w:rsid w:val="00702054"/>
    <w:rsid w:val="007035A4"/>
    <w:rsid w:val="007038D9"/>
    <w:rsid w:val="007046B2"/>
    <w:rsid w:val="00710BCE"/>
    <w:rsid w:val="00711799"/>
    <w:rsid w:val="00712B78"/>
    <w:rsid w:val="0071393B"/>
    <w:rsid w:val="00713EE2"/>
    <w:rsid w:val="00716AD7"/>
    <w:rsid w:val="007177FC"/>
    <w:rsid w:val="00717815"/>
    <w:rsid w:val="007206C5"/>
    <w:rsid w:val="00720C5E"/>
    <w:rsid w:val="00721701"/>
    <w:rsid w:val="00723098"/>
    <w:rsid w:val="007275E0"/>
    <w:rsid w:val="00730AD4"/>
    <w:rsid w:val="00731835"/>
    <w:rsid w:val="00733AC0"/>
    <w:rsid w:val="007341F8"/>
    <w:rsid w:val="00734372"/>
    <w:rsid w:val="00734EB8"/>
    <w:rsid w:val="00735F8B"/>
    <w:rsid w:val="0074090B"/>
    <w:rsid w:val="00740E27"/>
    <w:rsid w:val="00742D1F"/>
    <w:rsid w:val="00743EBA"/>
    <w:rsid w:val="00744C8E"/>
    <w:rsid w:val="0074707E"/>
    <w:rsid w:val="00747EFB"/>
    <w:rsid w:val="007516DC"/>
    <w:rsid w:val="00751CE7"/>
    <w:rsid w:val="00752B11"/>
    <w:rsid w:val="00752E58"/>
    <w:rsid w:val="00754B80"/>
    <w:rsid w:val="00761918"/>
    <w:rsid w:val="00762F03"/>
    <w:rsid w:val="00763BC3"/>
    <w:rsid w:val="0076413B"/>
    <w:rsid w:val="007648AE"/>
    <w:rsid w:val="00764BF8"/>
    <w:rsid w:val="0076514D"/>
    <w:rsid w:val="00766CB9"/>
    <w:rsid w:val="00767A06"/>
    <w:rsid w:val="007703D8"/>
    <w:rsid w:val="00773D59"/>
    <w:rsid w:val="00777144"/>
    <w:rsid w:val="0077775B"/>
    <w:rsid w:val="00780C68"/>
    <w:rsid w:val="00781003"/>
    <w:rsid w:val="007841CE"/>
    <w:rsid w:val="007843CA"/>
    <w:rsid w:val="00785983"/>
    <w:rsid w:val="007871EA"/>
    <w:rsid w:val="0079087E"/>
    <w:rsid w:val="007911FD"/>
    <w:rsid w:val="00793930"/>
    <w:rsid w:val="007939F7"/>
    <w:rsid w:val="00793DD1"/>
    <w:rsid w:val="00794FEC"/>
    <w:rsid w:val="00797A46"/>
    <w:rsid w:val="007A003E"/>
    <w:rsid w:val="007A0740"/>
    <w:rsid w:val="007A1965"/>
    <w:rsid w:val="007A1E93"/>
    <w:rsid w:val="007A290A"/>
    <w:rsid w:val="007A2ED1"/>
    <w:rsid w:val="007A4BE6"/>
    <w:rsid w:val="007A4DE6"/>
    <w:rsid w:val="007A7D1D"/>
    <w:rsid w:val="007B0DC6"/>
    <w:rsid w:val="007B1094"/>
    <w:rsid w:val="007B1762"/>
    <w:rsid w:val="007B3320"/>
    <w:rsid w:val="007B4685"/>
    <w:rsid w:val="007B60A9"/>
    <w:rsid w:val="007B7DA9"/>
    <w:rsid w:val="007C25AA"/>
    <w:rsid w:val="007C301F"/>
    <w:rsid w:val="007C4540"/>
    <w:rsid w:val="007C5010"/>
    <w:rsid w:val="007C65AF"/>
    <w:rsid w:val="007C6795"/>
    <w:rsid w:val="007D135D"/>
    <w:rsid w:val="007D730F"/>
    <w:rsid w:val="007D7CD8"/>
    <w:rsid w:val="007E1DEB"/>
    <w:rsid w:val="007E3AA7"/>
    <w:rsid w:val="007E6C80"/>
    <w:rsid w:val="007F00BA"/>
    <w:rsid w:val="007F737D"/>
    <w:rsid w:val="00802978"/>
    <w:rsid w:val="0080308E"/>
    <w:rsid w:val="00805303"/>
    <w:rsid w:val="00806705"/>
    <w:rsid w:val="00806738"/>
    <w:rsid w:val="008069A7"/>
    <w:rsid w:val="00807932"/>
    <w:rsid w:val="00810578"/>
    <w:rsid w:val="00813E5C"/>
    <w:rsid w:val="0081594E"/>
    <w:rsid w:val="00821518"/>
    <w:rsid w:val="008216D5"/>
    <w:rsid w:val="008249CE"/>
    <w:rsid w:val="00825F79"/>
    <w:rsid w:val="00831A50"/>
    <w:rsid w:val="00831B3C"/>
    <w:rsid w:val="00831C89"/>
    <w:rsid w:val="00832114"/>
    <w:rsid w:val="00834C46"/>
    <w:rsid w:val="00840813"/>
    <w:rsid w:val="0084093E"/>
    <w:rsid w:val="00841CE1"/>
    <w:rsid w:val="00844CB8"/>
    <w:rsid w:val="008473D8"/>
    <w:rsid w:val="008528DC"/>
    <w:rsid w:val="00852B8C"/>
    <w:rsid w:val="00854981"/>
    <w:rsid w:val="00855340"/>
    <w:rsid w:val="00861970"/>
    <w:rsid w:val="00864B2E"/>
    <w:rsid w:val="008650F5"/>
    <w:rsid w:val="0086580E"/>
    <w:rsid w:val="00865963"/>
    <w:rsid w:val="00866BC7"/>
    <w:rsid w:val="00867616"/>
    <w:rsid w:val="00867BB6"/>
    <w:rsid w:val="00871C1D"/>
    <w:rsid w:val="00873702"/>
    <w:rsid w:val="0087450E"/>
    <w:rsid w:val="00875A82"/>
    <w:rsid w:val="00876092"/>
    <w:rsid w:val="00876CA3"/>
    <w:rsid w:val="00876E97"/>
    <w:rsid w:val="00876EA1"/>
    <w:rsid w:val="008772FE"/>
    <w:rsid w:val="008775F1"/>
    <w:rsid w:val="008821AE"/>
    <w:rsid w:val="00883D3A"/>
    <w:rsid w:val="008854F7"/>
    <w:rsid w:val="00885A9D"/>
    <w:rsid w:val="0089006A"/>
    <w:rsid w:val="0089037C"/>
    <w:rsid w:val="008929D2"/>
    <w:rsid w:val="00893636"/>
    <w:rsid w:val="00893B94"/>
    <w:rsid w:val="008968CD"/>
    <w:rsid w:val="00896E9D"/>
    <w:rsid w:val="00896F11"/>
    <w:rsid w:val="00897AC4"/>
    <w:rsid w:val="008A1049"/>
    <w:rsid w:val="008A1C98"/>
    <w:rsid w:val="008A1DC2"/>
    <w:rsid w:val="008A322D"/>
    <w:rsid w:val="008A4D72"/>
    <w:rsid w:val="008A5821"/>
    <w:rsid w:val="008A6285"/>
    <w:rsid w:val="008A63B2"/>
    <w:rsid w:val="008A7BF0"/>
    <w:rsid w:val="008B345D"/>
    <w:rsid w:val="008B4521"/>
    <w:rsid w:val="008C1C2D"/>
    <w:rsid w:val="008C1FC2"/>
    <w:rsid w:val="008C2980"/>
    <w:rsid w:val="008C4DD6"/>
    <w:rsid w:val="008C5AFB"/>
    <w:rsid w:val="008C61B7"/>
    <w:rsid w:val="008C7A6A"/>
    <w:rsid w:val="008D07FB"/>
    <w:rsid w:val="008D0C02"/>
    <w:rsid w:val="008D357D"/>
    <w:rsid w:val="008D3D60"/>
    <w:rsid w:val="008D435A"/>
    <w:rsid w:val="008D703D"/>
    <w:rsid w:val="008D78EC"/>
    <w:rsid w:val="008E1B69"/>
    <w:rsid w:val="008E262A"/>
    <w:rsid w:val="008E387B"/>
    <w:rsid w:val="008E6087"/>
    <w:rsid w:val="008E6F48"/>
    <w:rsid w:val="008E758D"/>
    <w:rsid w:val="008E78D7"/>
    <w:rsid w:val="008F10A7"/>
    <w:rsid w:val="008F5144"/>
    <w:rsid w:val="008F5ADC"/>
    <w:rsid w:val="008F755D"/>
    <w:rsid w:val="008F75DB"/>
    <w:rsid w:val="008F7A39"/>
    <w:rsid w:val="00901285"/>
    <w:rsid w:val="009021E8"/>
    <w:rsid w:val="00904677"/>
    <w:rsid w:val="00905D7F"/>
    <w:rsid w:val="00905EE2"/>
    <w:rsid w:val="009069E9"/>
    <w:rsid w:val="00911440"/>
    <w:rsid w:val="00911712"/>
    <w:rsid w:val="00911B27"/>
    <w:rsid w:val="009132D1"/>
    <w:rsid w:val="00913497"/>
    <w:rsid w:val="009170BE"/>
    <w:rsid w:val="00920B55"/>
    <w:rsid w:val="009252A7"/>
    <w:rsid w:val="009262C9"/>
    <w:rsid w:val="00930EB9"/>
    <w:rsid w:val="00932F20"/>
    <w:rsid w:val="00933DC7"/>
    <w:rsid w:val="009372A6"/>
    <w:rsid w:val="009418F4"/>
    <w:rsid w:val="00941B43"/>
    <w:rsid w:val="00942BBC"/>
    <w:rsid w:val="00944180"/>
    <w:rsid w:val="00944AA0"/>
    <w:rsid w:val="00945296"/>
    <w:rsid w:val="00946ACF"/>
    <w:rsid w:val="00947DA2"/>
    <w:rsid w:val="00951177"/>
    <w:rsid w:val="00955B82"/>
    <w:rsid w:val="009564BE"/>
    <w:rsid w:val="009632A3"/>
    <w:rsid w:val="009634A2"/>
    <w:rsid w:val="00965ACE"/>
    <w:rsid w:val="00966A63"/>
    <w:rsid w:val="00966BB4"/>
    <w:rsid w:val="009673E8"/>
    <w:rsid w:val="0096779E"/>
    <w:rsid w:val="0097411A"/>
    <w:rsid w:val="00974DB8"/>
    <w:rsid w:val="0097686D"/>
    <w:rsid w:val="00976A73"/>
    <w:rsid w:val="00980661"/>
    <w:rsid w:val="0098093B"/>
    <w:rsid w:val="009846CB"/>
    <w:rsid w:val="00986ACF"/>
    <w:rsid w:val="00987004"/>
    <w:rsid w:val="009876D4"/>
    <w:rsid w:val="009914A5"/>
    <w:rsid w:val="009938EA"/>
    <w:rsid w:val="0099548E"/>
    <w:rsid w:val="00996456"/>
    <w:rsid w:val="00996A12"/>
    <w:rsid w:val="00997B0F"/>
    <w:rsid w:val="00997CBD"/>
    <w:rsid w:val="009A0CC3"/>
    <w:rsid w:val="009A14D8"/>
    <w:rsid w:val="009A1C5C"/>
    <w:rsid w:val="009A1CAD"/>
    <w:rsid w:val="009A2E0C"/>
    <w:rsid w:val="009A3440"/>
    <w:rsid w:val="009A4D67"/>
    <w:rsid w:val="009A5832"/>
    <w:rsid w:val="009A6838"/>
    <w:rsid w:val="009A7B06"/>
    <w:rsid w:val="009B24B5"/>
    <w:rsid w:val="009B4EBC"/>
    <w:rsid w:val="009B5ABB"/>
    <w:rsid w:val="009B73CE"/>
    <w:rsid w:val="009B7528"/>
    <w:rsid w:val="009C2461"/>
    <w:rsid w:val="009C2DE4"/>
    <w:rsid w:val="009C3D6A"/>
    <w:rsid w:val="009C417D"/>
    <w:rsid w:val="009C5A15"/>
    <w:rsid w:val="009C65B9"/>
    <w:rsid w:val="009C6FE2"/>
    <w:rsid w:val="009C7354"/>
    <w:rsid w:val="009C7674"/>
    <w:rsid w:val="009D004A"/>
    <w:rsid w:val="009D3A6E"/>
    <w:rsid w:val="009D5880"/>
    <w:rsid w:val="009E1FD4"/>
    <w:rsid w:val="009E3B07"/>
    <w:rsid w:val="009E51D1"/>
    <w:rsid w:val="009E5531"/>
    <w:rsid w:val="009F171E"/>
    <w:rsid w:val="009F2D03"/>
    <w:rsid w:val="009F3D2F"/>
    <w:rsid w:val="009F62B8"/>
    <w:rsid w:val="009F6FE0"/>
    <w:rsid w:val="009F7052"/>
    <w:rsid w:val="009F77ED"/>
    <w:rsid w:val="00A02668"/>
    <w:rsid w:val="00A02801"/>
    <w:rsid w:val="00A040A4"/>
    <w:rsid w:val="00A06A39"/>
    <w:rsid w:val="00A0798B"/>
    <w:rsid w:val="00A07AB4"/>
    <w:rsid w:val="00A07F58"/>
    <w:rsid w:val="00A131CB"/>
    <w:rsid w:val="00A14847"/>
    <w:rsid w:val="00A16D6D"/>
    <w:rsid w:val="00A21383"/>
    <w:rsid w:val="00A2199F"/>
    <w:rsid w:val="00A21B31"/>
    <w:rsid w:val="00A21E8B"/>
    <w:rsid w:val="00A2224F"/>
    <w:rsid w:val="00A233EA"/>
    <w:rsid w:val="00A2360E"/>
    <w:rsid w:val="00A2600B"/>
    <w:rsid w:val="00A26E0C"/>
    <w:rsid w:val="00A31039"/>
    <w:rsid w:val="00A32FCB"/>
    <w:rsid w:val="00A34C25"/>
    <w:rsid w:val="00A35075"/>
    <w:rsid w:val="00A3507D"/>
    <w:rsid w:val="00A3717A"/>
    <w:rsid w:val="00A4088C"/>
    <w:rsid w:val="00A43906"/>
    <w:rsid w:val="00A4456B"/>
    <w:rsid w:val="00A448D4"/>
    <w:rsid w:val="00A452E0"/>
    <w:rsid w:val="00A506DF"/>
    <w:rsid w:val="00A5161D"/>
    <w:rsid w:val="00A51EA5"/>
    <w:rsid w:val="00A5260B"/>
    <w:rsid w:val="00A53742"/>
    <w:rsid w:val="00A54D74"/>
    <w:rsid w:val="00A557A1"/>
    <w:rsid w:val="00A62123"/>
    <w:rsid w:val="00A63059"/>
    <w:rsid w:val="00A63AE3"/>
    <w:rsid w:val="00A651A4"/>
    <w:rsid w:val="00A71361"/>
    <w:rsid w:val="00A746E2"/>
    <w:rsid w:val="00A76379"/>
    <w:rsid w:val="00A7708B"/>
    <w:rsid w:val="00A81FF2"/>
    <w:rsid w:val="00A83904"/>
    <w:rsid w:val="00A90A79"/>
    <w:rsid w:val="00A90E3C"/>
    <w:rsid w:val="00A96B30"/>
    <w:rsid w:val="00AA16B2"/>
    <w:rsid w:val="00AA442D"/>
    <w:rsid w:val="00AA49D6"/>
    <w:rsid w:val="00AA59B5"/>
    <w:rsid w:val="00AA7777"/>
    <w:rsid w:val="00AA7B84"/>
    <w:rsid w:val="00AC0260"/>
    <w:rsid w:val="00AC0B4C"/>
    <w:rsid w:val="00AC1164"/>
    <w:rsid w:val="00AC2296"/>
    <w:rsid w:val="00AC2754"/>
    <w:rsid w:val="00AC3020"/>
    <w:rsid w:val="00AC48B0"/>
    <w:rsid w:val="00AC4ACD"/>
    <w:rsid w:val="00AC5D49"/>
    <w:rsid w:val="00AC5DFB"/>
    <w:rsid w:val="00AC5EBD"/>
    <w:rsid w:val="00AD09C2"/>
    <w:rsid w:val="00AD13DC"/>
    <w:rsid w:val="00AD3D2F"/>
    <w:rsid w:val="00AD5BC5"/>
    <w:rsid w:val="00AD6155"/>
    <w:rsid w:val="00AD6DE2"/>
    <w:rsid w:val="00AE0A40"/>
    <w:rsid w:val="00AE19FE"/>
    <w:rsid w:val="00AE1D32"/>
    <w:rsid w:val="00AE1ED4"/>
    <w:rsid w:val="00AE21E1"/>
    <w:rsid w:val="00AE2F8D"/>
    <w:rsid w:val="00AE3B50"/>
    <w:rsid w:val="00AE3BAE"/>
    <w:rsid w:val="00AE6A21"/>
    <w:rsid w:val="00AF06B6"/>
    <w:rsid w:val="00AF1A40"/>
    <w:rsid w:val="00AF1C8F"/>
    <w:rsid w:val="00AF2B68"/>
    <w:rsid w:val="00AF2C92"/>
    <w:rsid w:val="00AF3DC1"/>
    <w:rsid w:val="00AF3EC1"/>
    <w:rsid w:val="00AF5025"/>
    <w:rsid w:val="00AF519F"/>
    <w:rsid w:val="00AF5387"/>
    <w:rsid w:val="00AF5563"/>
    <w:rsid w:val="00AF55F5"/>
    <w:rsid w:val="00AF62F2"/>
    <w:rsid w:val="00AF7E86"/>
    <w:rsid w:val="00B01653"/>
    <w:rsid w:val="00B01BF5"/>
    <w:rsid w:val="00B024B9"/>
    <w:rsid w:val="00B02634"/>
    <w:rsid w:val="00B077FA"/>
    <w:rsid w:val="00B10FE3"/>
    <w:rsid w:val="00B127D7"/>
    <w:rsid w:val="00B13B0C"/>
    <w:rsid w:val="00B14408"/>
    <w:rsid w:val="00B1453A"/>
    <w:rsid w:val="00B20F82"/>
    <w:rsid w:val="00B23985"/>
    <w:rsid w:val="00B24F60"/>
    <w:rsid w:val="00B259D5"/>
    <w:rsid w:val="00B25BD5"/>
    <w:rsid w:val="00B30579"/>
    <w:rsid w:val="00B3108F"/>
    <w:rsid w:val="00B34079"/>
    <w:rsid w:val="00B3793A"/>
    <w:rsid w:val="00B401BA"/>
    <w:rsid w:val="00B407E4"/>
    <w:rsid w:val="00B41FBC"/>
    <w:rsid w:val="00B425B6"/>
    <w:rsid w:val="00B42A72"/>
    <w:rsid w:val="00B441AE"/>
    <w:rsid w:val="00B44797"/>
    <w:rsid w:val="00B45A65"/>
    <w:rsid w:val="00B45F33"/>
    <w:rsid w:val="00B46D50"/>
    <w:rsid w:val="00B46FB8"/>
    <w:rsid w:val="00B4743E"/>
    <w:rsid w:val="00B5278B"/>
    <w:rsid w:val="00B53170"/>
    <w:rsid w:val="00B548B9"/>
    <w:rsid w:val="00B56DBE"/>
    <w:rsid w:val="00B62999"/>
    <w:rsid w:val="00B63BE3"/>
    <w:rsid w:val="00B64885"/>
    <w:rsid w:val="00B64FA3"/>
    <w:rsid w:val="00B66810"/>
    <w:rsid w:val="00B72BE3"/>
    <w:rsid w:val="00B73B80"/>
    <w:rsid w:val="00B751E2"/>
    <w:rsid w:val="00B76E24"/>
    <w:rsid w:val="00B770C7"/>
    <w:rsid w:val="00B80F26"/>
    <w:rsid w:val="00B822BD"/>
    <w:rsid w:val="00B82C3A"/>
    <w:rsid w:val="00B842F4"/>
    <w:rsid w:val="00B90ED3"/>
    <w:rsid w:val="00B91A7B"/>
    <w:rsid w:val="00B929DD"/>
    <w:rsid w:val="00B93AF6"/>
    <w:rsid w:val="00B94660"/>
    <w:rsid w:val="00B95405"/>
    <w:rsid w:val="00B95E91"/>
    <w:rsid w:val="00B963F1"/>
    <w:rsid w:val="00BA020A"/>
    <w:rsid w:val="00BA3B5A"/>
    <w:rsid w:val="00BA41BC"/>
    <w:rsid w:val="00BB025A"/>
    <w:rsid w:val="00BB02A4"/>
    <w:rsid w:val="00BB1270"/>
    <w:rsid w:val="00BB1E44"/>
    <w:rsid w:val="00BB3B2C"/>
    <w:rsid w:val="00BB3B89"/>
    <w:rsid w:val="00BB5267"/>
    <w:rsid w:val="00BB52B8"/>
    <w:rsid w:val="00BB59D8"/>
    <w:rsid w:val="00BB69C5"/>
    <w:rsid w:val="00BB7E69"/>
    <w:rsid w:val="00BC0E51"/>
    <w:rsid w:val="00BC1A2A"/>
    <w:rsid w:val="00BC3C1F"/>
    <w:rsid w:val="00BC7CE7"/>
    <w:rsid w:val="00BD125A"/>
    <w:rsid w:val="00BD1692"/>
    <w:rsid w:val="00BD295E"/>
    <w:rsid w:val="00BD2BEE"/>
    <w:rsid w:val="00BD4664"/>
    <w:rsid w:val="00BE1193"/>
    <w:rsid w:val="00BE151C"/>
    <w:rsid w:val="00BE6F0D"/>
    <w:rsid w:val="00BE76DC"/>
    <w:rsid w:val="00BF0A65"/>
    <w:rsid w:val="00BF4641"/>
    <w:rsid w:val="00BF4849"/>
    <w:rsid w:val="00BF4EA7"/>
    <w:rsid w:val="00BF6525"/>
    <w:rsid w:val="00C00EDB"/>
    <w:rsid w:val="00C02863"/>
    <w:rsid w:val="00C03150"/>
    <w:rsid w:val="00C03218"/>
    <w:rsid w:val="00C0383A"/>
    <w:rsid w:val="00C03C31"/>
    <w:rsid w:val="00C067FF"/>
    <w:rsid w:val="00C10F03"/>
    <w:rsid w:val="00C12862"/>
    <w:rsid w:val="00C13D28"/>
    <w:rsid w:val="00C14585"/>
    <w:rsid w:val="00C165A0"/>
    <w:rsid w:val="00C216CE"/>
    <w:rsid w:val="00C2184F"/>
    <w:rsid w:val="00C22A78"/>
    <w:rsid w:val="00C23C7E"/>
    <w:rsid w:val="00C23DB2"/>
    <w:rsid w:val="00C246C5"/>
    <w:rsid w:val="00C25A82"/>
    <w:rsid w:val="00C27A7D"/>
    <w:rsid w:val="00C301C5"/>
    <w:rsid w:val="00C30A2A"/>
    <w:rsid w:val="00C30AD5"/>
    <w:rsid w:val="00C33993"/>
    <w:rsid w:val="00C357C0"/>
    <w:rsid w:val="00C36892"/>
    <w:rsid w:val="00C37796"/>
    <w:rsid w:val="00C40544"/>
    <w:rsid w:val="00C4069E"/>
    <w:rsid w:val="00C4101B"/>
    <w:rsid w:val="00C41ADC"/>
    <w:rsid w:val="00C44149"/>
    <w:rsid w:val="00C44410"/>
    <w:rsid w:val="00C44A15"/>
    <w:rsid w:val="00C4630A"/>
    <w:rsid w:val="00C4669F"/>
    <w:rsid w:val="00C50956"/>
    <w:rsid w:val="00C523F0"/>
    <w:rsid w:val="00C526D2"/>
    <w:rsid w:val="00C53A91"/>
    <w:rsid w:val="00C55366"/>
    <w:rsid w:val="00C557C7"/>
    <w:rsid w:val="00C55E18"/>
    <w:rsid w:val="00C576A9"/>
    <w:rsid w:val="00C5794E"/>
    <w:rsid w:val="00C60968"/>
    <w:rsid w:val="00C63D39"/>
    <w:rsid w:val="00C63EDD"/>
    <w:rsid w:val="00C65B36"/>
    <w:rsid w:val="00C7016E"/>
    <w:rsid w:val="00C7266A"/>
    <w:rsid w:val="00C7292E"/>
    <w:rsid w:val="00C74E88"/>
    <w:rsid w:val="00C76073"/>
    <w:rsid w:val="00C80924"/>
    <w:rsid w:val="00C8286B"/>
    <w:rsid w:val="00C858B1"/>
    <w:rsid w:val="00C9007F"/>
    <w:rsid w:val="00C947F8"/>
    <w:rsid w:val="00C94E94"/>
    <w:rsid w:val="00C9515F"/>
    <w:rsid w:val="00C95837"/>
    <w:rsid w:val="00C96330"/>
    <w:rsid w:val="00C963C5"/>
    <w:rsid w:val="00C97F5F"/>
    <w:rsid w:val="00CA030C"/>
    <w:rsid w:val="00CA1AF8"/>
    <w:rsid w:val="00CA1F41"/>
    <w:rsid w:val="00CA32EE"/>
    <w:rsid w:val="00CA3E35"/>
    <w:rsid w:val="00CA5771"/>
    <w:rsid w:val="00CA60CD"/>
    <w:rsid w:val="00CA6A1A"/>
    <w:rsid w:val="00CC080E"/>
    <w:rsid w:val="00CC1E75"/>
    <w:rsid w:val="00CC2E0E"/>
    <w:rsid w:val="00CC361C"/>
    <w:rsid w:val="00CC3F75"/>
    <w:rsid w:val="00CC474B"/>
    <w:rsid w:val="00CC48A7"/>
    <w:rsid w:val="00CC6364"/>
    <w:rsid w:val="00CC658C"/>
    <w:rsid w:val="00CC67BF"/>
    <w:rsid w:val="00CC6B79"/>
    <w:rsid w:val="00CC7430"/>
    <w:rsid w:val="00CC7CBB"/>
    <w:rsid w:val="00CD0843"/>
    <w:rsid w:val="00CD4A1C"/>
    <w:rsid w:val="00CD4E31"/>
    <w:rsid w:val="00CD5A78"/>
    <w:rsid w:val="00CD5BEB"/>
    <w:rsid w:val="00CD7345"/>
    <w:rsid w:val="00CE2760"/>
    <w:rsid w:val="00CE324E"/>
    <w:rsid w:val="00CE372E"/>
    <w:rsid w:val="00CF03E7"/>
    <w:rsid w:val="00CF0A1B"/>
    <w:rsid w:val="00CF19F6"/>
    <w:rsid w:val="00CF2F4F"/>
    <w:rsid w:val="00CF536D"/>
    <w:rsid w:val="00CF783B"/>
    <w:rsid w:val="00D02E9D"/>
    <w:rsid w:val="00D06054"/>
    <w:rsid w:val="00D0660E"/>
    <w:rsid w:val="00D06DBC"/>
    <w:rsid w:val="00D10CB8"/>
    <w:rsid w:val="00D1109B"/>
    <w:rsid w:val="00D12806"/>
    <w:rsid w:val="00D12D44"/>
    <w:rsid w:val="00D15018"/>
    <w:rsid w:val="00D158AC"/>
    <w:rsid w:val="00D1694C"/>
    <w:rsid w:val="00D20F5E"/>
    <w:rsid w:val="00D217FB"/>
    <w:rsid w:val="00D23B76"/>
    <w:rsid w:val="00D24B4A"/>
    <w:rsid w:val="00D27602"/>
    <w:rsid w:val="00D30092"/>
    <w:rsid w:val="00D334ED"/>
    <w:rsid w:val="00D34039"/>
    <w:rsid w:val="00D343F6"/>
    <w:rsid w:val="00D35EB5"/>
    <w:rsid w:val="00D379A3"/>
    <w:rsid w:val="00D42666"/>
    <w:rsid w:val="00D45FF3"/>
    <w:rsid w:val="00D512CF"/>
    <w:rsid w:val="00D5160B"/>
    <w:rsid w:val="00D528B9"/>
    <w:rsid w:val="00D53186"/>
    <w:rsid w:val="00D5392E"/>
    <w:rsid w:val="00D5443C"/>
    <w:rsid w:val="00D54769"/>
    <w:rsid w:val="00D5487D"/>
    <w:rsid w:val="00D55A4B"/>
    <w:rsid w:val="00D60140"/>
    <w:rsid w:val="00D6024A"/>
    <w:rsid w:val="00D608B5"/>
    <w:rsid w:val="00D64739"/>
    <w:rsid w:val="00D656F2"/>
    <w:rsid w:val="00D71F99"/>
    <w:rsid w:val="00D72D8E"/>
    <w:rsid w:val="00D73CA4"/>
    <w:rsid w:val="00D73D71"/>
    <w:rsid w:val="00D74396"/>
    <w:rsid w:val="00D80284"/>
    <w:rsid w:val="00D8130C"/>
    <w:rsid w:val="00D81F71"/>
    <w:rsid w:val="00D8642D"/>
    <w:rsid w:val="00D86680"/>
    <w:rsid w:val="00D87B6E"/>
    <w:rsid w:val="00D90A5E"/>
    <w:rsid w:val="00D913C5"/>
    <w:rsid w:val="00D91A68"/>
    <w:rsid w:val="00D92B80"/>
    <w:rsid w:val="00D940E8"/>
    <w:rsid w:val="00D95A68"/>
    <w:rsid w:val="00DA0B8D"/>
    <w:rsid w:val="00DA17C7"/>
    <w:rsid w:val="00DA2B48"/>
    <w:rsid w:val="00DA6A9A"/>
    <w:rsid w:val="00DB1EFD"/>
    <w:rsid w:val="00DB3EAF"/>
    <w:rsid w:val="00DB4216"/>
    <w:rsid w:val="00DB46C6"/>
    <w:rsid w:val="00DB5061"/>
    <w:rsid w:val="00DB6C22"/>
    <w:rsid w:val="00DC2445"/>
    <w:rsid w:val="00DC3203"/>
    <w:rsid w:val="00DC3C99"/>
    <w:rsid w:val="00DC52F5"/>
    <w:rsid w:val="00DC5E8B"/>
    <w:rsid w:val="00DC5FD0"/>
    <w:rsid w:val="00DC6808"/>
    <w:rsid w:val="00DC77D9"/>
    <w:rsid w:val="00DD0354"/>
    <w:rsid w:val="00DD2784"/>
    <w:rsid w:val="00DD27D7"/>
    <w:rsid w:val="00DD458C"/>
    <w:rsid w:val="00DD4828"/>
    <w:rsid w:val="00DD5206"/>
    <w:rsid w:val="00DD5B81"/>
    <w:rsid w:val="00DD72E9"/>
    <w:rsid w:val="00DD7605"/>
    <w:rsid w:val="00DE0483"/>
    <w:rsid w:val="00DE2020"/>
    <w:rsid w:val="00DE23CB"/>
    <w:rsid w:val="00DE3476"/>
    <w:rsid w:val="00DE479A"/>
    <w:rsid w:val="00DE4E3E"/>
    <w:rsid w:val="00DE7BEA"/>
    <w:rsid w:val="00DF1B9B"/>
    <w:rsid w:val="00DF3831"/>
    <w:rsid w:val="00DF4FD0"/>
    <w:rsid w:val="00DF520A"/>
    <w:rsid w:val="00DF54F1"/>
    <w:rsid w:val="00DF5B84"/>
    <w:rsid w:val="00DF6D5B"/>
    <w:rsid w:val="00DF6DF2"/>
    <w:rsid w:val="00DF771B"/>
    <w:rsid w:val="00DF7EE2"/>
    <w:rsid w:val="00E0076A"/>
    <w:rsid w:val="00E01BAA"/>
    <w:rsid w:val="00E0282A"/>
    <w:rsid w:val="00E02F9B"/>
    <w:rsid w:val="00E04A94"/>
    <w:rsid w:val="00E07E14"/>
    <w:rsid w:val="00E10702"/>
    <w:rsid w:val="00E12FBC"/>
    <w:rsid w:val="00E14F94"/>
    <w:rsid w:val="00E17336"/>
    <w:rsid w:val="00E17D15"/>
    <w:rsid w:val="00E2014B"/>
    <w:rsid w:val="00E22B95"/>
    <w:rsid w:val="00E30331"/>
    <w:rsid w:val="00E30BB8"/>
    <w:rsid w:val="00E3166F"/>
    <w:rsid w:val="00E31F9C"/>
    <w:rsid w:val="00E33F94"/>
    <w:rsid w:val="00E3760D"/>
    <w:rsid w:val="00E37FEC"/>
    <w:rsid w:val="00E40488"/>
    <w:rsid w:val="00E4090B"/>
    <w:rsid w:val="00E442B9"/>
    <w:rsid w:val="00E50367"/>
    <w:rsid w:val="00E51ABA"/>
    <w:rsid w:val="00E520C6"/>
    <w:rsid w:val="00E524CB"/>
    <w:rsid w:val="00E53C8D"/>
    <w:rsid w:val="00E60053"/>
    <w:rsid w:val="00E62D2F"/>
    <w:rsid w:val="00E64679"/>
    <w:rsid w:val="00E65456"/>
    <w:rsid w:val="00E65A91"/>
    <w:rsid w:val="00E66188"/>
    <w:rsid w:val="00E664FB"/>
    <w:rsid w:val="00E672F0"/>
    <w:rsid w:val="00E70325"/>
    <w:rsid w:val="00E70373"/>
    <w:rsid w:val="00E72E40"/>
    <w:rsid w:val="00E73665"/>
    <w:rsid w:val="00E736B7"/>
    <w:rsid w:val="00E73999"/>
    <w:rsid w:val="00E73BDC"/>
    <w:rsid w:val="00E73E9E"/>
    <w:rsid w:val="00E81660"/>
    <w:rsid w:val="00E84AD8"/>
    <w:rsid w:val="00E854FE"/>
    <w:rsid w:val="00E906CC"/>
    <w:rsid w:val="00E939A0"/>
    <w:rsid w:val="00E97422"/>
    <w:rsid w:val="00E9792C"/>
    <w:rsid w:val="00E97E4E"/>
    <w:rsid w:val="00EA1CC2"/>
    <w:rsid w:val="00EA1CFF"/>
    <w:rsid w:val="00EA2D76"/>
    <w:rsid w:val="00EA2EE7"/>
    <w:rsid w:val="00EA3511"/>
    <w:rsid w:val="00EA4644"/>
    <w:rsid w:val="00EA4AE0"/>
    <w:rsid w:val="00EA6BEF"/>
    <w:rsid w:val="00EA758A"/>
    <w:rsid w:val="00EB096F"/>
    <w:rsid w:val="00EB0DC1"/>
    <w:rsid w:val="00EB1804"/>
    <w:rsid w:val="00EB199F"/>
    <w:rsid w:val="00EB21A4"/>
    <w:rsid w:val="00EB27C4"/>
    <w:rsid w:val="00EB5387"/>
    <w:rsid w:val="00EB5C10"/>
    <w:rsid w:val="00EB60D8"/>
    <w:rsid w:val="00EB6266"/>
    <w:rsid w:val="00EB7322"/>
    <w:rsid w:val="00EC0FE9"/>
    <w:rsid w:val="00EC198B"/>
    <w:rsid w:val="00EC31DE"/>
    <w:rsid w:val="00EC3354"/>
    <w:rsid w:val="00EC38CD"/>
    <w:rsid w:val="00EC426D"/>
    <w:rsid w:val="00EC426E"/>
    <w:rsid w:val="00EC571B"/>
    <w:rsid w:val="00EC57D7"/>
    <w:rsid w:val="00EC6385"/>
    <w:rsid w:val="00ED0DA6"/>
    <w:rsid w:val="00ED1DE9"/>
    <w:rsid w:val="00ED23D4"/>
    <w:rsid w:val="00ED4852"/>
    <w:rsid w:val="00ED4CBB"/>
    <w:rsid w:val="00ED4FE8"/>
    <w:rsid w:val="00ED5DC0"/>
    <w:rsid w:val="00ED5E0B"/>
    <w:rsid w:val="00EE29B2"/>
    <w:rsid w:val="00EE37B6"/>
    <w:rsid w:val="00EE3FD6"/>
    <w:rsid w:val="00EF0F45"/>
    <w:rsid w:val="00EF1262"/>
    <w:rsid w:val="00EF7463"/>
    <w:rsid w:val="00EF7971"/>
    <w:rsid w:val="00EF7DC9"/>
    <w:rsid w:val="00F002EF"/>
    <w:rsid w:val="00F01EE9"/>
    <w:rsid w:val="00F04900"/>
    <w:rsid w:val="00F065A4"/>
    <w:rsid w:val="00F10D5F"/>
    <w:rsid w:val="00F126B9"/>
    <w:rsid w:val="00F12715"/>
    <w:rsid w:val="00F13941"/>
    <w:rsid w:val="00F144D5"/>
    <w:rsid w:val="00F146F0"/>
    <w:rsid w:val="00F15039"/>
    <w:rsid w:val="00F15488"/>
    <w:rsid w:val="00F17458"/>
    <w:rsid w:val="00F20FF3"/>
    <w:rsid w:val="00F216A1"/>
    <w:rsid w:val="00F2190B"/>
    <w:rsid w:val="00F228B5"/>
    <w:rsid w:val="00F2389C"/>
    <w:rsid w:val="00F25C67"/>
    <w:rsid w:val="00F27027"/>
    <w:rsid w:val="00F3079D"/>
    <w:rsid w:val="00F30DFF"/>
    <w:rsid w:val="00F316DE"/>
    <w:rsid w:val="00F32B80"/>
    <w:rsid w:val="00F340EB"/>
    <w:rsid w:val="00F34D7D"/>
    <w:rsid w:val="00F35285"/>
    <w:rsid w:val="00F43915"/>
    <w:rsid w:val="00F43B9D"/>
    <w:rsid w:val="00F43CF9"/>
    <w:rsid w:val="00F44D5E"/>
    <w:rsid w:val="00F45D6F"/>
    <w:rsid w:val="00F45FB8"/>
    <w:rsid w:val="00F47AB4"/>
    <w:rsid w:val="00F47B8D"/>
    <w:rsid w:val="00F506B6"/>
    <w:rsid w:val="00F526D0"/>
    <w:rsid w:val="00F5341E"/>
    <w:rsid w:val="00F53A35"/>
    <w:rsid w:val="00F55A3D"/>
    <w:rsid w:val="00F56F29"/>
    <w:rsid w:val="00F5744B"/>
    <w:rsid w:val="00F61209"/>
    <w:rsid w:val="00F6123E"/>
    <w:rsid w:val="00F6259E"/>
    <w:rsid w:val="00F63400"/>
    <w:rsid w:val="00F64BAB"/>
    <w:rsid w:val="00F64CA1"/>
    <w:rsid w:val="00F6521B"/>
    <w:rsid w:val="00F65DD4"/>
    <w:rsid w:val="00F663EE"/>
    <w:rsid w:val="00F672B2"/>
    <w:rsid w:val="00F70E5F"/>
    <w:rsid w:val="00F804EE"/>
    <w:rsid w:val="00F82C14"/>
    <w:rsid w:val="00F83973"/>
    <w:rsid w:val="00F84C52"/>
    <w:rsid w:val="00F87EFA"/>
    <w:rsid w:val="00F87FA3"/>
    <w:rsid w:val="00F91365"/>
    <w:rsid w:val="00F93D8C"/>
    <w:rsid w:val="00FA3102"/>
    <w:rsid w:val="00FA48D4"/>
    <w:rsid w:val="00FA54FA"/>
    <w:rsid w:val="00FA6D39"/>
    <w:rsid w:val="00FB196B"/>
    <w:rsid w:val="00FB227E"/>
    <w:rsid w:val="00FB387B"/>
    <w:rsid w:val="00FB3D61"/>
    <w:rsid w:val="00FB44CE"/>
    <w:rsid w:val="00FB5009"/>
    <w:rsid w:val="00FB76AB"/>
    <w:rsid w:val="00FC597F"/>
    <w:rsid w:val="00FD03FE"/>
    <w:rsid w:val="00FD126E"/>
    <w:rsid w:val="00FD3C36"/>
    <w:rsid w:val="00FD4270"/>
    <w:rsid w:val="00FD4D81"/>
    <w:rsid w:val="00FD7498"/>
    <w:rsid w:val="00FD7FB3"/>
    <w:rsid w:val="00FE05D1"/>
    <w:rsid w:val="00FE0F48"/>
    <w:rsid w:val="00FE3D1C"/>
    <w:rsid w:val="00FE4713"/>
    <w:rsid w:val="00FE6F52"/>
    <w:rsid w:val="00FF008C"/>
    <w:rsid w:val="00FF1F44"/>
    <w:rsid w:val="00FF225E"/>
    <w:rsid w:val="00FF2B71"/>
    <w:rsid w:val="00FF672C"/>
    <w:rsid w:val="00FF6CE8"/>
    <w:rsid w:val="00FF6D2D"/>
    <w:rsid w:val="00FF7E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30DA10"/>
  <w14:defaultImageDpi w14:val="330"/>
  <w15:docId w15:val="{142D8698-C206-4567-B1BC-895B269F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CommentReference">
    <w:name w:val="annotation reference"/>
    <w:basedOn w:val="DefaultParagraphFont"/>
    <w:uiPriority w:val="99"/>
    <w:semiHidden/>
    <w:unhideWhenUsed/>
    <w:rsid w:val="0048708D"/>
    <w:rPr>
      <w:sz w:val="16"/>
      <w:szCs w:val="16"/>
    </w:rPr>
  </w:style>
  <w:style w:type="paragraph" w:styleId="CommentText">
    <w:name w:val="annotation text"/>
    <w:basedOn w:val="Normal"/>
    <w:link w:val="CommentTextChar"/>
    <w:uiPriority w:val="99"/>
    <w:semiHidden/>
    <w:unhideWhenUsed/>
    <w:rsid w:val="0048708D"/>
    <w:pPr>
      <w:spacing w:line="240" w:lineRule="auto"/>
    </w:pPr>
    <w:rPr>
      <w:sz w:val="20"/>
      <w:szCs w:val="20"/>
    </w:rPr>
  </w:style>
  <w:style w:type="character" w:customStyle="1" w:styleId="CommentTextChar">
    <w:name w:val="Comment Text Char"/>
    <w:basedOn w:val="DefaultParagraphFont"/>
    <w:link w:val="CommentText"/>
    <w:uiPriority w:val="99"/>
    <w:semiHidden/>
    <w:rsid w:val="0048708D"/>
  </w:style>
  <w:style w:type="paragraph" w:styleId="CommentSubject">
    <w:name w:val="annotation subject"/>
    <w:basedOn w:val="CommentText"/>
    <w:next w:val="CommentText"/>
    <w:link w:val="CommentSubjectChar"/>
    <w:semiHidden/>
    <w:unhideWhenUsed/>
    <w:rsid w:val="0048708D"/>
    <w:rPr>
      <w:b/>
      <w:bCs/>
    </w:rPr>
  </w:style>
  <w:style w:type="character" w:customStyle="1" w:styleId="CommentSubjectChar">
    <w:name w:val="Comment Subject Char"/>
    <w:basedOn w:val="CommentTextChar"/>
    <w:link w:val="CommentSubject"/>
    <w:semiHidden/>
    <w:rsid w:val="0048708D"/>
    <w:rPr>
      <w:b/>
      <w:bCs/>
    </w:rPr>
  </w:style>
  <w:style w:type="paragraph" w:styleId="BalloonText">
    <w:name w:val="Balloon Text"/>
    <w:basedOn w:val="Normal"/>
    <w:link w:val="BalloonTextChar"/>
    <w:semiHidden/>
    <w:unhideWhenUsed/>
    <w:rsid w:val="004870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8708D"/>
    <w:rPr>
      <w:rFonts w:ascii="Segoe UI" w:hAnsi="Segoe UI" w:cs="Segoe UI"/>
      <w:sz w:val="18"/>
      <w:szCs w:val="18"/>
    </w:rPr>
  </w:style>
  <w:style w:type="paragraph" w:styleId="NoSpacing">
    <w:name w:val="No Spacing"/>
    <w:uiPriority w:val="1"/>
    <w:qFormat/>
    <w:rsid w:val="0048708D"/>
    <w:rPr>
      <w:rFonts w:eastAsiaTheme="minorHAnsi"/>
      <w:sz w:val="24"/>
      <w:szCs w:val="24"/>
      <w:lang w:val="en-AU" w:eastAsia="en-US"/>
    </w:rPr>
  </w:style>
  <w:style w:type="character" w:styleId="Hyperlink">
    <w:name w:val="Hyperlink"/>
    <w:basedOn w:val="DefaultParagraphFont"/>
    <w:uiPriority w:val="99"/>
    <w:unhideWhenUsed/>
    <w:rsid w:val="003F34DA"/>
    <w:rPr>
      <w:color w:val="0000FF" w:themeColor="hyperlink"/>
      <w:u w:val="single"/>
    </w:rPr>
  </w:style>
  <w:style w:type="character" w:styleId="UnresolvedMention">
    <w:name w:val="Unresolved Mention"/>
    <w:basedOn w:val="DefaultParagraphFont"/>
    <w:uiPriority w:val="99"/>
    <w:semiHidden/>
    <w:unhideWhenUsed/>
    <w:rsid w:val="003F34DA"/>
    <w:rPr>
      <w:color w:val="605E5C"/>
      <w:shd w:val="clear" w:color="auto" w:fill="E1DFDD"/>
    </w:rPr>
  </w:style>
  <w:style w:type="table" w:styleId="TableGrid">
    <w:name w:val="Table Grid"/>
    <w:basedOn w:val="TableNormal"/>
    <w:uiPriority w:val="39"/>
    <w:rsid w:val="00CA3E3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96779E"/>
  </w:style>
  <w:style w:type="paragraph" w:styleId="Revision">
    <w:name w:val="Revision"/>
    <w:hidden/>
    <w:semiHidden/>
    <w:rsid w:val="00063F94"/>
    <w:rPr>
      <w:sz w:val="24"/>
      <w:szCs w:val="24"/>
    </w:rPr>
  </w:style>
  <w:style w:type="character" w:customStyle="1" w:styleId="apple-converted-space">
    <w:name w:val="apple-converted-space"/>
    <w:basedOn w:val="DefaultParagraphFont"/>
    <w:rsid w:val="00FB3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3065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en.vanderplank@soton.ac.uk" TargetMode="External"/><Relationship Id="rId13" Type="http://schemas.openxmlformats.org/officeDocument/2006/relationships/hyperlink" Target="https://stinapabonaire.org/wp-content/uploads/2018/09/20180315-STINAPA-Sargassum-ppt.pdf" TargetMode="External"/><Relationship Id="rId18" Type="http://schemas.openxmlformats.org/officeDocument/2006/relationships/hyperlink" Target="https://www.interieur.gouv.fr/Publications/Rapports-de-l-IGA/Rapports-recents/Le-phenomene-d-echouage-des-sargasses-dans-les-Antilles-et-en-Guyan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ideshare.net/CRGuadeloupe/howard-robin-tobago-house-of-assembly-tobago-sargassum-emergency-response-plan" TargetMode="External"/><Relationship Id="rId7" Type="http://schemas.openxmlformats.org/officeDocument/2006/relationships/endnotes" Target="endnotes.xml"/><Relationship Id="rId12" Type="http://schemas.openxmlformats.org/officeDocument/2006/relationships/hyperlink" Target="http://www.sargassoseacommission.org/storage/documents/Sargasso.Report.9.12.pdf" TargetMode="External"/><Relationship Id="rId17" Type="http://schemas.openxmlformats.org/officeDocument/2006/relationships/hyperlink" Target="http://www.registronacional.go.cr/propiedad_industrial/Documentos/IVT%20TECNOLOGIAS%20SOBRE%20RECOLECCION%20DEL%20SARGAZO,%20RED%20CATI%20CARD%20REPUBLICA%20DOMINICANA.PDF"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repository.oceanbestpractices.org/handle/11329/1287" TargetMode="External"/><Relationship Id="rId20" Type="http://schemas.openxmlformats.org/officeDocument/2006/relationships/hyperlink" Target="http://www.nepa.gov.j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lizetourismboard.org/tourism-resources/sargassum-resource"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doe.ky/wp-content/uploads/2015/01/DoE-Guidelines-on-Removing-Sargassum-from-Beaches.pdf" TargetMode="External"/><Relationship Id="rId23" Type="http://schemas.openxmlformats.org/officeDocument/2006/relationships/hyperlink" Target="http://www.sargassoseacommission.org/storage/FINAL_MODEL_PROTOCOL_FOR_THE_MANAGEMENT_OF_EXTREME_ACCUMULATIONS_OF_SARGASSUM.pdf" TargetMode="External"/><Relationship Id="rId10" Type="http://schemas.openxmlformats.org/officeDocument/2006/relationships/hyperlink" Target="https://www.dcnanature.org/wp-content/uploads/2019/02/DCNA-Sargassum-Brief.pdf" TargetMode="External"/><Relationship Id="rId19" Type="http://schemas.openxmlformats.org/officeDocument/2006/relationships/hyperlink" Target="http://www.guadeloupe.developpement-durable.gouv.fr/IMG/pdf/anglais_sargasse.pdf" TargetMode="External"/><Relationship Id="rId4" Type="http://schemas.openxmlformats.org/officeDocument/2006/relationships/settings" Target="settings.xml"/><Relationship Id="rId9" Type="http://schemas.openxmlformats.org/officeDocument/2006/relationships/hyperlink" Target="https://environment.gov.ag/assets/uploads/attachments/68574-expression-of-interest-sargassum-removal-in-antigua.pdf" TargetMode="External"/><Relationship Id="rId14" Type="http://schemas.openxmlformats.org/officeDocument/2006/relationships/hyperlink" Target="http://www.bvi.gov.vg/media-centre/sargassum-seaweed-phenomenon" TargetMode="External"/><Relationship Id="rId22" Type="http://schemas.openxmlformats.org/officeDocument/2006/relationships/hyperlink" Target="https://demerarawaves.com/2016/11/01/sargassum-seaweed-partly-responsible-for-guyanas-reduced-fish-production/"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dp1r20\OneDrive%20-%20University%20of%20Southampton\SARTRAC_1\SARTRAC\WP4\Paper%201%20-%20Sargassum%20Management\CM%20Taylor%20and%20Francis%20guidelines\TF_Template_Word_Windows_2016(1)\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0</TotalTime>
  <Pages>37</Pages>
  <Words>10800</Words>
  <Characters>61563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72219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Sien Van Der Plank</dc:creator>
  <cp:lastModifiedBy>Sien Van Der Plank</cp:lastModifiedBy>
  <cp:revision>2</cp:revision>
  <cp:lastPrinted>2022-02-04T16:58:00Z</cp:lastPrinted>
  <dcterms:created xsi:type="dcterms:W3CDTF">2022-05-06T09:00:00Z</dcterms:created>
  <dcterms:modified xsi:type="dcterms:W3CDTF">2022-05-06T09:00:00Z</dcterms:modified>
</cp:coreProperties>
</file>