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66B3D" w14:textId="77777777" w:rsidR="00846BBC" w:rsidRPr="004272B3" w:rsidRDefault="00846BBC" w:rsidP="00846BBC">
      <w:pPr>
        <w:spacing w:line="360" w:lineRule="auto"/>
        <w:rPr>
          <w:rFonts w:ascii="Times New Roman" w:eastAsia="Times New Roman" w:hAnsi="Times New Roman" w:cs="Times New Roman"/>
          <w:b/>
          <w:bCs/>
          <w:lang w:val="en-US"/>
        </w:rPr>
      </w:pPr>
      <w:r w:rsidRPr="004272B3">
        <w:rPr>
          <w:rFonts w:ascii="Times New Roman" w:eastAsia="Times New Roman" w:hAnsi="Times New Roman" w:cs="Times New Roman"/>
          <w:b/>
          <w:bCs/>
          <w:lang w:val="en-US"/>
        </w:rPr>
        <w:t>Cognitive and behavioral profiles in children with Autism Spectrum Disorder with and without Attention-Deficit/Hyperactivity Disorder</w:t>
      </w:r>
    </w:p>
    <w:p w14:paraId="5DCCD5BB" w14:textId="77777777" w:rsidR="00846BBC" w:rsidRPr="004272B3" w:rsidRDefault="00846BBC" w:rsidP="00846BBC">
      <w:pPr>
        <w:spacing w:line="360" w:lineRule="auto"/>
        <w:rPr>
          <w:rFonts w:ascii="Times New Roman" w:eastAsia="Times New Roman" w:hAnsi="Times New Roman" w:cs="Times New Roman"/>
          <w:lang w:val="en-US"/>
        </w:rPr>
      </w:pPr>
    </w:p>
    <w:p w14:paraId="16304738" w14:textId="77777777" w:rsidR="00846BBC" w:rsidRPr="004272B3" w:rsidRDefault="00846BBC" w:rsidP="00846BBC">
      <w:pPr>
        <w:spacing w:line="360" w:lineRule="auto"/>
        <w:rPr>
          <w:rFonts w:ascii="Times New Roman" w:eastAsia="Times New Roman" w:hAnsi="Times New Roman" w:cs="Times New Roman"/>
          <w:lang w:val="en-US"/>
        </w:rPr>
      </w:pPr>
      <w:r w:rsidRPr="004272B3">
        <w:rPr>
          <w:rFonts w:ascii="Times New Roman" w:eastAsia="Times New Roman" w:hAnsi="Times New Roman" w:cs="Times New Roman"/>
          <w:lang w:val="en-US"/>
        </w:rPr>
        <w:t>Running title: Clinical profiles in ASD with/without ADHD</w:t>
      </w:r>
    </w:p>
    <w:p w14:paraId="5528F27B" w14:textId="77777777" w:rsidR="00846BBC" w:rsidRPr="004272B3" w:rsidRDefault="00846BBC" w:rsidP="00846BBC">
      <w:pPr>
        <w:spacing w:line="360" w:lineRule="auto"/>
        <w:rPr>
          <w:rFonts w:ascii="Times New Roman" w:eastAsia="Times New Roman" w:hAnsi="Times New Roman" w:cs="Times New Roman"/>
          <w:lang w:val="en-US"/>
        </w:rPr>
      </w:pPr>
    </w:p>
    <w:p w14:paraId="1EEB28EF" w14:textId="77777777" w:rsidR="00846BBC" w:rsidRPr="004272B3" w:rsidRDefault="00846BBC" w:rsidP="00846BBC">
      <w:pPr>
        <w:widowControl w:val="0"/>
        <w:autoSpaceDE w:val="0"/>
        <w:autoSpaceDN w:val="0"/>
        <w:adjustRightInd w:val="0"/>
        <w:spacing w:line="480" w:lineRule="auto"/>
        <w:rPr>
          <w:rFonts w:ascii="Times New Roman" w:hAnsi="Times New Roman" w:cs="Times New Roman"/>
          <w:b/>
          <w:lang w:val="en-US"/>
        </w:rPr>
      </w:pPr>
    </w:p>
    <w:p w14:paraId="3E8E20E8" w14:textId="77777777" w:rsidR="00846BBC" w:rsidRPr="004272B3" w:rsidRDefault="00846BBC" w:rsidP="00846BBC">
      <w:pPr>
        <w:widowControl w:val="0"/>
        <w:autoSpaceDE w:val="0"/>
        <w:autoSpaceDN w:val="0"/>
        <w:adjustRightInd w:val="0"/>
        <w:spacing w:line="480" w:lineRule="auto"/>
        <w:jc w:val="center"/>
        <w:rPr>
          <w:rFonts w:ascii="Times New Roman" w:hAnsi="Times New Roman" w:cs="Times New Roman"/>
          <w:b/>
          <w:lang w:val="en-US"/>
        </w:rPr>
      </w:pPr>
      <w:r w:rsidRPr="004272B3">
        <w:rPr>
          <w:rFonts w:ascii="Times New Roman" w:hAnsi="Times New Roman" w:cs="Times New Roman"/>
          <w:b/>
          <w:lang w:val="en-US"/>
        </w:rPr>
        <w:t>ABSTRACT</w:t>
      </w:r>
    </w:p>
    <w:p w14:paraId="6D913414" w14:textId="39DB14AC" w:rsidR="00846BBC" w:rsidRPr="004272B3" w:rsidRDefault="00846BBC" w:rsidP="00846BBC">
      <w:pPr>
        <w:spacing w:line="480" w:lineRule="auto"/>
        <w:jc w:val="both"/>
        <w:rPr>
          <w:rFonts w:ascii="Times New Roman" w:hAnsi="Times New Roman" w:cs="Times New Roman"/>
          <w:lang w:val="en-US"/>
        </w:rPr>
      </w:pPr>
      <w:r w:rsidRPr="004272B3">
        <w:rPr>
          <w:rFonts w:ascii="Times New Roman" w:hAnsi="Times New Roman" w:cs="Times New Roman"/>
          <w:b/>
          <w:bCs/>
          <w:lang w:val="en-US"/>
        </w:rPr>
        <w:t>Background:</w:t>
      </w:r>
      <w:r w:rsidRPr="004272B3">
        <w:rPr>
          <w:rFonts w:ascii="Times New Roman" w:hAnsi="Times New Roman" w:cs="Times New Roman"/>
          <w:lang w:val="en-US"/>
        </w:rPr>
        <w:t xml:space="preserve"> Understanding the developmental trajectories of children with autism spectrum disorder (ASD) with and without comorbid ADHD is relevant to tailor care plans. This prospective study assessed, for the first time, cognitive, emotional, behavioural, and learning outcomes in adolescence of children with ASD-ADHD and in those with ASD+ADHD in childhood. Possible predictors of severity of ASD core symptoms in adolescence were also evaluated. </w:t>
      </w:r>
    </w:p>
    <w:p w14:paraId="7687CE43" w14:textId="77777777" w:rsidR="00846BBC" w:rsidRPr="004272B3" w:rsidRDefault="00846BBC" w:rsidP="00846BBC">
      <w:pPr>
        <w:spacing w:line="480" w:lineRule="auto"/>
        <w:rPr>
          <w:rFonts w:ascii="Times New Roman" w:hAnsi="Times New Roman" w:cs="Times New Roman"/>
          <w:lang w:val="en-US"/>
        </w:rPr>
      </w:pPr>
      <w:r w:rsidRPr="004272B3">
        <w:rPr>
          <w:rFonts w:ascii="Times New Roman" w:hAnsi="Times New Roman" w:cs="Times New Roman"/>
          <w:b/>
          <w:bCs/>
          <w:lang w:val="en-US"/>
        </w:rPr>
        <w:t>Methods:</w:t>
      </w:r>
      <w:r w:rsidRPr="004272B3">
        <w:rPr>
          <w:rFonts w:ascii="Times New Roman" w:hAnsi="Times New Roman" w:cs="Times New Roman"/>
          <w:lang w:val="en-US"/>
        </w:rPr>
        <w:t xml:space="preserve"> Forty-five adolescents without intellectual disability, 26 diagnosed in childhood with ASD- ADHD and 19 with ASD+ADHD, were evaluated at baseline (mean age: 8.6 </w:t>
      </w:r>
      <w:r w:rsidRPr="004272B3">
        <w:rPr>
          <w:rFonts w:ascii="Times New Roman" w:hAnsi="Times New Roman" w:cs="Times New Roman"/>
          <w:shd w:val="clear" w:color="auto" w:fill="FFFFFF"/>
          <w:lang w:val="en-US"/>
        </w:rPr>
        <w:t>±</w:t>
      </w:r>
      <w:r w:rsidRPr="004272B3" w:rsidDel="003C4A63">
        <w:rPr>
          <w:rFonts w:ascii="Times New Roman" w:hAnsi="Times New Roman" w:cs="Times New Roman"/>
          <w:lang w:val="en-US"/>
        </w:rPr>
        <w:t xml:space="preserve"> </w:t>
      </w:r>
      <w:r w:rsidRPr="004272B3">
        <w:rPr>
          <w:rFonts w:ascii="Times New Roman" w:hAnsi="Times New Roman" w:cs="Times New Roman"/>
          <w:lang w:val="en-US"/>
        </w:rPr>
        <w:t xml:space="preserve">1.3) and at 5-year follow-up (mean age: 12.9 </w:t>
      </w:r>
      <w:r w:rsidRPr="004272B3">
        <w:rPr>
          <w:rFonts w:ascii="Times New Roman" w:hAnsi="Times New Roman" w:cs="Times New Roman"/>
          <w:shd w:val="clear" w:color="auto" w:fill="FFFFFF"/>
          <w:lang w:val="en-US"/>
        </w:rPr>
        <w:t>±</w:t>
      </w:r>
      <w:r w:rsidRPr="004272B3">
        <w:rPr>
          <w:rFonts w:ascii="Times New Roman" w:hAnsi="Times New Roman" w:cs="Times New Roman"/>
          <w:lang w:val="en-US"/>
        </w:rPr>
        <w:t xml:space="preserve"> 0.9). Parents and teachers completed questionnaires on executive functions, theory of mind (</w:t>
      </w:r>
      <w:proofErr w:type="spellStart"/>
      <w:r w:rsidRPr="004272B3">
        <w:rPr>
          <w:rFonts w:ascii="Times New Roman" w:hAnsi="Times New Roman" w:cs="Times New Roman"/>
          <w:lang w:val="en-US"/>
        </w:rPr>
        <w:t>ToM</w:t>
      </w:r>
      <w:proofErr w:type="spellEnd"/>
      <w:r w:rsidRPr="004272B3">
        <w:rPr>
          <w:rFonts w:ascii="Times New Roman" w:hAnsi="Times New Roman" w:cs="Times New Roman"/>
          <w:lang w:val="en-US"/>
        </w:rPr>
        <w:t>), emotional/behavioural difficulties (EBD), and learning style at both time points.</w:t>
      </w:r>
      <w:r w:rsidRPr="004272B3">
        <w:rPr>
          <w:rFonts w:ascii="Times New Roman" w:eastAsia="Times New Roman" w:hAnsi="Times New Roman" w:cs="Times New Roman"/>
          <w:shd w:val="clear" w:color="auto" w:fill="FFFFFF"/>
          <w:lang w:val="en-US"/>
        </w:rPr>
        <w:t xml:space="preserve"> </w:t>
      </w:r>
    </w:p>
    <w:p w14:paraId="5300C8DD" w14:textId="66C119BB" w:rsidR="00846BBC" w:rsidRPr="004272B3" w:rsidRDefault="00846BBC" w:rsidP="00846BBC">
      <w:pPr>
        <w:spacing w:line="480" w:lineRule="auto"/>
        <w:jc w:val="both"/>
        <w:rPr>
          <w:rFonts w:ascii="Times New Roman" w:hAnsi="Times New Roman" w:cs="Times New Roman"/>
          <w:lang w:val="en-US"/>
        </w:rPr>
      </w:pPr>
      <w:r w:rsidRPr="004272B3">
        <w:rPr>
          <w:rFonts w:ascii="Times New Roman" w:hAnsi="Times New Roman" w:cs="Times New Roman"/>
          <w:b/>
          <w:bCs/>
          <w:lang w:val="en-US"/>
        </w:rPr>
        <w:t>Results</w:t>
      </w:r>
      <w:r w:rsidRPr="004272B3">
        <w:rPr>
          <w:rFonts w:ascii="Times New Roman" w:hAnsi="Times New Roman" w:cs="Times New Roman"/>
          <w:lang w:val="en-US"/>
        </w:rPr>
        <w:t xml:space="preserve">: Overall different developmental trajectories for the two groups were found. In general, deficits in metacognition processes, </w:t>
      </w:r>
      <w:proofErr w:type="spellStart"/>
      <w:r w:rsidRPr="004272B3">
        <w:rPr>
          <w:rFonts w:ascii="Times New Roman" w:hAnsi="Times New Roman" w:cs="Times New Roman"/>
          <w:lang w:val="en-US"/>
        </w:rPr>
        <w:t>ToM</w:t>
      </w:r>
      <w:proofErr w:type="spellEnd"/>
      <w:r w:rsidRPr="004272B3">
        <w:rPr>
          <w:rFonts w:ascii="Times New Roman" w:hAnsi="Times New Roman" w:cs="Times New Roman"/>
          <w:lang w:val="en-US"/>
        </w:rPr>
        <w:t xml:space="preserve"> skills, EBD and learning abilities were more pronounced in the ASD+ group. Over time the ASD+ADHD group, but not the ASD-ADHD, tended to improve in EBD and metacognition but their level of development continued to be lower compared to</w:t>
      </w:r>
      <w:r w:rsidR="00D4134D" w:rsidRPr="004272B3">
        <w:rPr>
          <w:rFonts w:ascii="Times New Roman" w:hAnsi="Times New Roman" w:cs="Times New Roman"/>
          <w:lang w:val="en-US"/>
        </w:rPr>
        <w:t xml:space="preserve"> </w:t>
      </w:r>
      <w:r w:rsidRPr="004272B3">
        <w:rPr>
          <w:rFonts w:ascii="Times New Roman" w:hAnsi="Times New Roman" w:cs="Times New Roman"/>
          <w:lang w:val="en-US"/>
        </w:rPr>
        <w:t xml:space="preserve">ASD+ADHD. EBD in childhood were significant predictors of autism core symptoms of adolescents. </w:t>
      </w:r>
    </w:p>
    <w:p w14:paraId="6026AF1C" w14:textId="77777777" w:rsidR="00846BBC" w:rsidRPr="004272B3" w:rsidRDefault="00846BBC" w:rsidP="00846BBC">
      <w:pPr>
        <w:spacing w:line="480" w:lineRule="auto"/>
        <w:jc w:val="both"/>
        <w:rPr>
          <w:rFonts w:ascii="Times New Roman" w:eastAsia="Times New Roman" w:hAnsi="Times New Roman" w:cs="Times New Roman"/>
          <w:lang w:val="en-US"/>
        </w:rPr>
      </w:pPr>
      <w:r w:rsidRPr="004272B3">
        <w:rPr>
          <w:rFonts w:ascii="Times New Roman" w:hAnsi="Times New Roman" w:cs="Times New Roman"/>
          <w:b/>
          <w:bCs/>
          <w:lang w:val="en-US"/>
        </w:rPr>
        <w:t>Conclusions:</w:t>
      </w:r>
      <w:r w:rsidRPr="004272B3">
        <w:rPr>
          <w:rFonts w:ascii="Times New Roman" w:hAnsi="Times New Roman" w:cs="Times New Roman"/>
          <w:lang w:val="en-US"/>
        </w:rPr>
        <w:t xml:space="preserve"> Our findings highlight the importance of an early identification of comorbid ADHD symptoms in ASD to offer treatment strategies based on specific developmental trajectories.</w:t>
      </w:r>
      <w:r w:rsidRPr="004272B3">
        <w:rPr>
          <w:rFonts w:ascii="Times New Roman" w:eastAsia="Times New Roman" w:hAnsi="Times New Roman" w:cs="Times New Roman"/>
          <w:lang w:val="en-US"/>
        </w:rPr>
        <w:t xml:space="preserve"> </w:t>
      </w:r>
    </w:p>
    <w:p w14:paraId="4718A36E" w14:textId="77777777" w:rsidR="00846BBC" w:rsidRPr="004272B3" w:rsidRDefault="00846BBC" w:rsidP="00846BBC">
      <w:pPr>
        <w:spacing w:line="480" w:lineRule="auto"/>
        <w:jc w:val="both"/>
        <w:rPr>
          <w:rFonts w:ascii="Times New Roman" w:eastAsia="Times New Roman" w:hAnsi="Times New Roman" w:cs="Times New Roman"/>
          <w:lang w:val="en-US"/>
        </w:rPr>
      </w:pPr>
    </w:p>
    <w:p w14:paraId="1742A022" w14:textId="77777777" w:rsidR="00846BBC" w:rsidRPr="004272B3" w:rsidRDefault="00846BBC" w:rsidP="00846BBC">
      <w:pPr>
        <w:spacing w:line="480" w:lineRule="auto"/>
        <w:jc w:val="both"/>
        <w:rPr>
          <w:rFonts w:ascii="Times New Roman" w:eastAsia="Times New Roman" w:hAnsi="Times New Roman" w:cs="Times New Roman"/>
          <w:lang w:val="en-US"/>
        </w:rPr>
      </w:pPr>
      <w:r w:rsidRPr="004272B3">
        <w:rPr>
          <w:rFonts w:ascii="Times New Roman" w:eastAsia="Times New Roman" w:hAnsi="Times New Roman" w:cs="Times New Roman"/>
          <w:b/>
          <w:bCs/>
          <w:highlight w:val="white"/>
          <w:lang w:val="en-US"/>
        </w:rPr>
        <w:t>Keywords:</w:t>
      </w:r>
      <w:r w:rsidRPr="004272B3">
        <w:rPr>
          <w:rFonts w:ascii="Times New Roman" w:eastAsia="Times New Roman" w:hAnsi="Times New Roman" w:cs="Times New Roman"/>
          <w:highlight w:val="white"/>
          <w:lang w:val="en-US"/>
        </w:rPr>
        <w:t xml:space="preserve"> autism; ADHD; executive functions; theory of mind; behavioral and emotional problems; longitudinal.</w:t>
      </w:r>
    </w:p>
    <w:p w14:paraId="720604C7" w14:textId="77777777" w:rsidR="00846BBC" w:rsidRPr="004272B3" w:rsidRDefault="00846BBC" w:rsidP="00846BBC">
      <w:pPr>
        <w:spacing w:line="480" w:lineRule="auto"/>
        <w:jc w:val="both"/>
        <w:rPr>
          <w:rFonts w:ascii="Times New Roman" w:eastAsia="Times New Roman" w:hAnsi="Times New Roman" w:cs="Times New Roman"/>
          <w:lang w:val="en-US"/>
        </w:rPr>
      </w:pPr>
    </w:p>
    <w:p w14:paraId="6BF22A9F" w14:textId="77777777" w:rsidR="00846BBC" w:rsidRPr="004272B3" w:rsidRDefault="00846BBC" w:rsidP="00846BBC">
      <w:pPr>
        <w:spacing w:line="480" w:lineRule="auto"/>
        <w:jc w:val="both"/>
        <w:rPr>
          <w:rFonts w:ascii="Times New Roman" w:eastAsia="Times New Roman" w:hAnsi="Times New Roman" w:cs="Times New Roman"/>
          <w:b/>
          <w:bCs/>
          <w:lang w:val="en-US"/>
        </w:rPr>
      </w:pPr>
      <w:r w:rsidRPr="004272B3">
        <w:rPr>
          <w:rFonts w:ascii="Times New Roman" w:eastAsia="Times New Roman" w:hAnsi="Times New Roman" w:cs="Times New Roman"/>
          <w:b/>
          <w:bCs/>
          <w:lang w:val="en-US"/>
        </w:rPr>
        <w:t>Key practitioner message</w:t>
      </w:r>
    </w:p>
    <w:p w14:paraId="4459F7FE" w14:textId="77777777" w:rsidR="00846BBC" w:rsidRPr="004272B3" w:rsidRDefault="00846BBC" w:rsidP="00846BBC">
      <w:pPr>
        <w:spacing w:line="480" w:lineRule="auto"/>
        <w:jc w:val="both"/>
        <w:rPr>
          <w:rFonts w:ascii="Times New Roman" w:eastAsia="Times New Roman" w:hAnsi="Times New Roman" w:cs="Times New Roman"/>
          <w:lang w:val="en-US"/>
        </w:rPr>
      </w:pPr>
      <w:r w:rsidRPr="004272B3">
        <w:rPr>
          <w:rFonts w:ascii="Times New Roman" w:eastAsia="Times New Roman" w:hAnsi="Times New Roman" w:cs="Times New Roman"/>
          <w:lang w:val="en-US"/>
        </w:rPr>
        <w:t xml:space="preserve">- </w:t>
      </w:r>
      <w:r w:rsidRPr="004272B3">
        <w:rPr>
          <w:rFonts w:ascii="Times New Roman" w:hAnsi="Times New Roman" w:cs="Times New Roman"/>
          <w:lang w:val="en-US"/>
        </w:rPr>
        <w:t>No prospective studies have so far assessed the clinical evaluation of children with ASD and ADHD (ASD+ADHD) and children with ASD</w:t>
      </w:r>
      <w:r w:rsidRPr="004272B3" w:rsidDel="00622196">
        <w:rPr>
          <w:rFonts w:ascii="Times New Roman" w:eastAsia="Times New Roman" w:hAnsi="Times New Roman" w:cs="Times New Roman"/>
          <w:lang w:val="en-US"/>
        </w:rPr>
        <w:t xml:space="preserve"> </w:t>
      </w:r>
      <w:r w:rsidRPr="004272B3">
        <w:rPr>
          <w:rFonts w:ascii="Times New Roman" w:hAnsi="Times New Roman" w:cs="Times New Roman"/>
          <w:lang w:val="en-US"/>
        </w:rPr>
        <w:t>(ASD-ADHD).</w:t>
      </w:r>
    </w:p>
    <w:p w14:paraId="4A8BAA35" w14:textId="77777777" w:rsidR="00846BBC" w:rsidRPr="004272B3" w:rsidRDefault="00846BBC" w:rsidP="00846BBC">
      <w:pPr>
        <w:spacing w:line="480" w:lineRule="auto"/>
        <w:jc w:val="both"/>
        <w:rPr>
          <w:rFonts w:ascii="Times New Roman" w:eastAsia="Times New Roman" w:hAnsi="Times New Roman" w:cs="Times New Roman"/>
          <w:lang w:val="en-US"/>
        </w:rPr>
      </w:pPr>
      <w:r w:rsidRPr="004272B3">
        <w:rPr>
          <w:rFonts w:ascii="Times New Roman" w:eastAsia="Times New Roman" w:hAnsi="Times New Roman" w:cs="Times New Roman"/>
          <w:lang w:val="en-US"/>
        </w:rPr>
        <w:t>- Different developmental trajectories were found between both clinical groups, with more cognitive and co-occurring mental health difficulties observed in ASD+</w:t>
      </w:r>
      <w:r w:rsidRPr="004272B3">
        <w:rPr>
          <w:rFonts w:ascii="Times New Roman" w:hAnsi="Times New Roman" w:cs="Times New Roman"/>
          <w:lang w:val="en-US"/>
        </w:rPr>
        <w:t>ADHD</w:t>
      </w:r>
      <w:r w:rsidRPr="004272B3">
        <w:rPr>
          <w:rFonts w:ascii="Times New Roman" w:eastAsia="Times New Roman" w:hAnsi="Times New Roman" w:cs="Times New Roman"/>
          <w:lang w:val="en-US"/>
        </w:rPr>
        <w:t xml:space="preserve">. </w:t>
      </w:r>
    </w:p>
    <w:p w14:paraId="6B0D9269" w14:textId="43081C29" w:rsidR="00846BBC" w:rsidRPr="004272B3" w:rsidRDefault="00846BBC" w:rsidP="00846BBC">
      <w:pPr>
        <w:spacing w:line="480" w:lineRule="auto"/>
        <w:jc w:val="both"/>
        <w:rPr>
          <w:rFonts w:ascii="Times New Roman" w:hAnsi="Times New Roman" w:cs="Times New Roman"/>
          <w:lang w:val="en-US"/>
        </w:rPr>
      </w:pPr>
      <w:r w:rsidRPr="004272B3">
        <w:rPr>
          <w:rFonts w:ascii="Times New Roman" w:eastAsia="Times New Roman" w:hAnsi="Times New Roman" w:cs="Times New Roman"/>
          <w:lang w:val="en-US"/>
        </w:rPr>
        <w:t xml:space="preserve">- </w:t>
      </w:r>
      <w:r w:rsidR="00D4134D" w:rsidRPr="004272B3">
        <w:rPr>
          <w:rFonts w:ascii="Times New Roman" w:hAnsi="Times New Roman" w:cs="Times New Roman"/>
          <w:lang w:val="en-US"/>
        </w:rPr>
        <w:t>Emotional/b</w:t>
      </w:r>
      <w:r w:rsidRPr="004272B3">
        <w:rPr>
          <w:rFonts w:ascii="Times New Roman" w:hAnsi="Times New Roman" w:cs="Times New Roman"/>
          <w:lang w:val="en-US"/>
        </w:rPr>
        <w:t>ehavioral</w:t>
      </w:r>
      <w:r w:rsidR="00D4134D" w:rsidRPr="004272B3">
        <w:rPr>
          <w:rFonts w:ascii="Times New Roman" w:hAnsi="Times New Roman" w:cs="Times New Roman"/>
          <w:lang w:val="en-US"/>
        </w:rPr>
        <w:t xml:space="preserve"> </w:t>
      </w:r>
      <w:r w:rsidRPr="004272B3">
        <w:rPr>
          <w:rFonts w:ascii="Times New Roman" w:hAnsi="Times New Roman" w:cs="Times New Roman"/>
          <w:lang w:val="en-US"/>
        </w:rPr>
        <w:t>difficulties</w:t>
      </w:r>
      <w:r w:rsidR="00D4134D" w:rsidRPr="004272B3">
        <w:rPr>
          <w:rFonts w:ascii="Times New Roman" w:hAnsi="Times New Roman" w:cs="Times New Roman"/>
          <w:lang w:val="en-US"/>
        </w:rPr>
        <w:t xml:space="preserve"> </w:t>
      </w:r>
      <w:r w:rsidRPr="004272B3">
        <w:rPr>
          <w:rFonts w:ascii="Times New Roman" w:hAnsi="Times New Roman" w:cs="Times New Roman"/>
          <w:lang w:val="en-US"/>
        </w:rPr>
        <w:t>had predictive power over autism core symptoms in adolescence.</w:t>
      </w:r>
    </w:p>
    <w:p w14:paraId="02B6BA36" w14:textId="77777777" w:rsidR="00846BBC" w:rsidRPr="004272B3" w:rsidRDefault="00846BBC" w:rsidP="00846BBC">
      <w:pPr>
        <w:spacing w:line="480" w:lineRule="auto"/>
        <w:jc w:val="both"/>
        <w:rPr>
          <w:rFonts w:ascii="Times New Roman" w:eastAsia="Times New Roman" w:hAnsi="Times New Roman" w:cs="Times New Roman"/>
          <w:lang w:val="en-US"/>
        </w:rPr>
      </w:pPr>
      <w:r w:rsidRPr="004272B3">
        <w:rPr>
          <w:rFonts w:ascii="Times New Roman" w:eastAsia="Times New Roman" w:hAnsi="Times New Roman" w:cs="Times New Roman"/>
          <w:lang w:val="en-US"/>
        </w:rPr>
        <w:t xml:space="preserve">- Care plans and treatment strategies may be adapted to strengthen the specific areas impaired in each clinical group. </w:t>
      </w:r>
    </w:p>
    <w:p w14:paraId="37126B08" w14:textId="77777777" w:rsidR="00846BBC" w:rsidRPr="004272B3" w:rsidRDefault="00846BBC" w:rsidP="00846BBC">
      <w:pPr>
        <w:spacing w:line="480" w:lineRule="auto"/>
        <w:jc w:val="both"/>
        <w:rPr>
          <w:rFonts w:ascii="Times New Roman" w:hAnsi="Times New Roman" w:cs="Times New Roman"/>
          <w:lang w:val="en-US"/>
        </w:rPr>
      </w:pPr>
    </w:p>
    <w:p w14:paraId="58A0DB56" w14:textId="77777777" w:rsidR="00846BBC" w:rsidRPr="004272B3" w:rsidRDefault="00846BBC" w:rsidP="00846BBC">
      <w:pPr>
        <w:spacing w:line="480" w:lineRule="auto"/>
        <w:jc w:val="both"/>
        <w:rPr>
          <w:rFonts w:ascii="Times New Roman" w:eastAsia="Times New Roman" w:hAnsi="Times New Roman" w:cs="Times New Roman"/>
          <w:highlight w:val="white"/>
          <w:lang w:val="en-US"/>
        </w:rPr>
      </w:pPr>
    </w:p>
    <w:p w14:paraId="2E0B6363" w14:textId="77777777" w:rsidR="00846BBC" w:rsidRPr="004272B3" w:rsidRDefault="00846BBC" w:rsidP="00846BBC">
      <w:pPr>
        <w:spacing w:line="480" w:lineRule="auto"/>
        <w:jc w:val="both"/>
        <w:rPr>
          <w:rFonts w:ascii="Times New Roman" w:eastAsia="Times New Roman" w:hAnsi="Times New Roman" w:cs="Times New Roman"/>
          <w:highlight w:val="white"/>
          <w:lang w:val="en-US"/>
        </w:rPr>
      </w:pPr>
      <w:r w:rsidRPr="004272B3">
        <w:rPr>
          <w:rFonts w:ascii="Times New Roman" w:eastAsia="Times New Roman" w:hAnsi="Times New Roman" w:cs="Times New Roman"/>
          <w:b/>
          <w:bCs/>
          <w:highlight w:val="white"/>
          <w:lang w:val="en-US"/>
        </w:rPr>
        <w:t>Introduction</w:t>
      </w:r>
    </w:p>
    <w:p w14:paraId="05F08B16" w14:textId="77777777" w:rsidR="00846BBC" w:rsidRPr="004272B3" w:rsidRDefault="00846BBC" w:rsidP="00846BBC">
      <w:pPr>
        <w:spacing w:line="480" w:lineRule="auto"/>
        <w:ind w:firstLine="708"/>
        <w:jc w:val="both"/>
        <w:rPr>
          <w:rFonts w:ascii="Times New Roman" w:hAnsi="Times New Roman" w:cs="Times New Roman"/>
          <w:lang w:val="en-US"/>
        </w:rPr>
      </w:pPr>
      <w:r w:rsidRPr="004272B3">
        <w:rPr>
          <w:rFonts w:ascii="Times New Roman" w:eastAsia="Times New Roman" w:hAnsi="Times New Roman" w:cs="Times New Roman"/>
          <w:highlight w:val="white"/>
          <w:lang w:val="en-US"/>
        </w:rPr>
        <w:t>The fifth revision of the Diagnostic and Statistical Manual of Mental Disorders (</w:t>
      </w:r>
      <w:r w:rsidRPr="004272B3">
        <w:rPr>
          <w:rFonts w:ascii="Times New Roman" w:eastAsia="Times New Roman" w:hAnsi="Times New Roman" w:cs="Times New Roman"/>
          <w:lang w:val="en-US"/>
        </w:rPr>
        <w:t xml:space="preserve">DSM-5; American Psychiatric Association, 2013) </w:t>
      </w:r>
      <w:r w:rsidRPr="004272B3">
        <w:rPr>
          <w:rFonts w:ascii="Times New Roman" w:eastAsia="Times New Roman" w:hAnsi="Times New Roman" w:cs="Times New Roman"/>
          <w:highlight w:val="white"/>
          <w:lang w:val="en-US"/>
        </w:rPr>
        <w:t>formally recognised</w:t>
      </w:r>
      <w:r w:rsidRPr="004272B3">
        <w:rPr>
          <w:rFonts w:ascii="Times New Roman" w:eastAsia="Times New Roman" w:hAnsi="Times New Roman" w:cs="Times New Roman"/>
          <w:lang w:val="en-US"/>
        </w:rPr>
        <w:t xml:space="preserve"> </w:t>
      </w:r>
      <w:r w:rsidRPr="004272B3">
        <w:rPr>
          <w:rFonts w:ascii="Times New Roman" w:eastAsia="Times New Roman" w:hAnsi="Times New Roman" w:cs="Times New Roman"/>
          <w:highlight w:val="white"/>
          <w:lang w:val="en-US"/>
        </w:rPr>
        <w:t>the co-occurrence of autism spectrum disorder (ASD) and attention-deficit/hyperactivity disorder (ADHD), with the aim to foster a more appropriate and specific therapeutic approach for individuals with both disorders.</w:t>
      </w:r>
      <w:r w:rsidRPr="004272B3">
        <w:rPr>
          <w:rFonts w:ascii="Times New Roman" w:eastAsia="Times New Roman" w:hAnsi="Times New Roman" w:cs="Times New Roman"/>
          <w:lang w:val="en-US"/>
        </w:rPr>
        <w:t xml:space="preserve"> The co-occurrence of ASD+ADHD ranges</w:t>
      </w:r>
      <w:sdt>
        <w:sdtPr>
          <w:tag w:val="goog_rdk_65"/>
          <w:id w:val="1370413590"/>
        </w:sdtPr>
        <w:sdtEndPr/>
        <w:sdtContent>
          <w:r w:rsidRPr="004272B3">
            <w:rPr>
              <w:rFonts w:ascii="Times New Roman" w:eastAsia="Times New Roman" w:hAnsi="Times New Roman" w:cs="Times New Roman"/>
              <w:lang w:val="en-US"/>
            </w:rPr>
            <w:t xml:space="preserve"> between </w:t>
          </w:r>
        </w:sdtContent>
      </w:sdt>
      <w:r w:rsidRPr="004272B3">
        <w:rPr>
          <w:rFonts w:ascii="Times New Roman" w:eastAsia="Times New Roman" w:hAnsi="Times New Roman" w:cs="Times New Roman"/>
          <w:lang w:val="en-US"/>
        </w:rPr>
        <w:t xml:space="preserve">20 to 70% (Brookman-Frazee, </w:t>
      </w:r>
      <w:proofErr w:type="spellStart"/>
      <w:r w:rsidRPr="004272B3">
        <w:rPr>
          <w:rFonts w:ascii="Times New Roman" w:eastAsia="Times New Roman" w:hAnsi="Times New Roman" w:cs="Times New Roman"/>
          <w:highlight w:val="white"/>
          <w:lang w:val="en-US"/>
        </w:rPr>
        <w:t>Stadnick</w:t>
      </w:r>
      <w:proofErr w:type="spellEnd"/>
      <w:r w:rsidRPr="004272B3">
        <w:rPr>
          <w:rFonts w:ascii="Times New Roman" w:eastAsia="Times New Roman" w:hAnsi="Times New Roman" w:cs="Times New Roman"/>
          <w:highlight w:val="white"/>
          <w:lang w:val="en-US"/>
        </w:rPr>
        <w:t xml:space="preserve">, </w:t>
      </w:r>
      <w:proofErr w:type="spellStart"/>
      <w:r w:rsidRPr="004272B3">
        <w:rPr>
          <w:rFonts w:ascii="Times New Roman" w:eastAsia="Times New Roman" w:hAnsi="Times New Roman" w:cs="Times New Roman"/>
          <w:highlight w:val="white"/>
          <w:lang w:val="en-US"/>
        </w:rPr>
        <w:t>Chlebowski</w:t>
      </w:r>
      <w:proofErr w:type="spellEnd"/>
      <w:r w:rsidRPr="004272B3">
        <w:rPr>
          <w:rFonts w:ascii="Times New Roman" w:eastAsia="Times New Roman" w:hAnsi="Times New Roman" w:cs="Times New Roman"/>
          <w:highlight w:val="white"/>
          <w:lang w:val="en-US"/>
        </w:rPr>
        <w:t>, Baker-</w:t>
      </w:r>
      <w:proofErr w:type="spellStart"/>
      <w:r w:rsidRPr="004272B3">
        <w:rPr>
          <w:rFonts w:ascii="Times New Roman" w:eastAsia="Times New Roman" w:hAnsi="Times New Roman" w:cs="Times New Roman"/>
          <w:highlight w:val="white"/>
          <w:lang w:val="en-US"/>
        </w:rPr>
        <w:t>Ericzen</w:t>
      </w:r>
      <w:proofErr w:type="spellEnd"/>
      <w:r w:rsidRPr="004272B3">
        <w:rPr>
          <w:rFonts w:ascii="Times New Roman" w:eastAsia="Times New Roman" w:hAnsi="Times New Roman" w:cs="Times New Roman"/>
          <w:highlight w:val="white"/>
          <w:lang w:val="en-US"/>
        </w:rPr>
        <w:t>, &amp; Ganger</w:t>
      </w:r>
      <w:r w:rsidRPr="004272B3">
        <w:rPr>
          <w:rFonts w:ascii="Times New Roman" w:eastAsia="Times New Roman" w:hAnsi="Times New Roman" w:cs="Times New Roman"/>
          <w:lang w:val="en-US"/>
        </w:rPr>
        <w:t>, 2018; Salazar et al., 2015), depending on the type and characteristics of the samples included, the evaluation procedures, the informants, or</w:t>
      </w:r>
      <w:r w:rsidRPr="004272B3">
        <w:rPr>
          <w:lang w:val="en-US"/>
        </w:rPr>
        <w:t xml:space="preserve"> </w:t>
      </w:r>
      <w:r w:rsidRPr="004272B3">
        <w:rPr>
          <w:rFonts w:ascii="Times New Roman" w:eastAsia="Times New Roman" w:hAnsi="Times New Roman" w:cs="Times New Roman"/>
          <w:lang w:val="en-US"/>
        </w:rPr>
        <w:t>the diagnostic criteria. A recent</w:t>
      </w:r>
      <w:r w:rsidRPr="004272B3">
        <w:rPr>
          <w:rFonts w:ascii="Times New Roman" w:hAnsi="Times New Roman" w:cs="Times New Roman"/>
          <w:lang w:val="en-US"/>
        </w:rPr>
        <w:t xml:space="preserve"> meta-analysis (Rong et al., 2021) including 65 studies, reported </w:t>
      </w:r>
      <w:r w:rsidRPr="004272B3">
        <w:rPr>
          <w:rFonts w:ascii="Times New Roman" w:hAnsi="Times New Roman" w:cs="Times New Roman"/>
          <w:lang w:val="en-US"/>
        </w:rPr>
        <w:lastRenderedPageBreak/>
        <w:t xml:space="preserve">pooled current and lifetime prevalence rates of ADHD among individuals with ASD of 38.5 % and 40.2 %, respectively. The impact of ADHD symptoms in individuals with ASD is clinically relevant, as children with ASD and ADHD (ASD+ADHD) generally present with </w:t>
      </w:r>
      <w:r w:rsidRPr="004272B3">
        <w:rPr>
          <w:rFonts w:ascii="Times New Roman" w:eastAsia="Times New Roman" w:hAnsi="Times New Roman" w:cs="Times New Roman"/>
          <w:lang w:val="en-US"/>
        </w:rPr>
        <w:t xml:space="preserve">more severe impairments in executive functioning (EF), </w:t>
      </w:r>
      <w:proofErr w:type="spellStart"/>
      <w:r w:rsidRPr="004272B3">
        <w:rPr>
          <w:rFonts w:ascii="Times New Roman" w:eastAsia="Times New Roman" w:hAnsi="Times New Roman" w:cs="Times New Roman"/>
          <w:lang w:val="en-US"/>
        </w:rPr>
        <w:t>socioadaptive</w:t>
      </w:r>
      <w:proofErr w:type="spellEnd"/>
      <w:r w:rsidRPr="004272B3">
        <w:rPr>
          <w:rFonts w:ascii="Times New Roman" w:eastAsia="Times New Roman" w:hAnsi="Times New Roman" w:cs="Times New Roman"/>
          <w:lang w:val="en-US"/>
        </w:rPr>
        <w:t xml:space="preserve"> functioning, and learning-related behaviors</w:t>
      </w:r>
      <w:r w:rsidRPr="004272B3">
        <w:rPr>
          <w:rFonts w:ascii="Times New Roman" w:hAnsi="Times New Roman" w:cs="Times New Roman"/>
          <w:lang w:val="en-US"/>
        </w:rPr>
        <w:t xml:space="preserve"> </w:t>
      </w:r>
      <w:r w:rsidRPr="004272B3">
        <w:rPr>
          <w:rFonts w:ascii="Times New Roman" w:eastAsia="Times New Roman" w:hAnsi="Times New Roman" w:cs="Times New Roman"/>
          <w:lang w:val="en-US"/>
        </w:rPr>
        <w:t>(</w:t>
      </w:r>
      <w:proofErr w:type="spellStart"/>
      <w:r w:rsidRPr="004272B3">
        <w:rPr>
          <w:rFonts w:ascii="Times New Roman" w:eastAsia="Times New Roman" w:hAnsi="Times New Roman" w:cs="Times New Roman"/>
          <w:lang w:val="en-US"/>
        </w:rPr>
        <w:t>Antshel</w:t>
      </w:r>
      <w:proofErr w:type="spellEnd"/>
      <w:r w:rsidRPr="004272B3">
        <w:rPr>
          <w:rFonts w:ascii="Times New Roman" w:eastAsia="Times New Roman" w:hAnsi="Times New Roman" w:cs="Times New Roman"/>
          <w:lang w:val="en-US"/>
        </w:rPr>
        <w:t xml:space="preserve">, </w:t>
      </w:r>
      <w:r w:rsidRPr="004272B3">
        <w:rPr>
          <w:rFonts w:ascii="Times New Roman" w:hAnsi="Times New Roman" w:cs="Times New Roman"/>
          <w:lang w:val="en-US"/>
        </w:rPr>
        <w:t>Zhang-James, and Faraone</w:t>
      </w:r>
      <w:r w:rsidRPr="004272B3">
        <w:rPr>
          <w:rFonts w:ascii="Times New Roman" w:eastAsia="Times New Roman" w:hAnsi="Times New Roman" w:cs="Times New Roman"/>
          <w:lang w:val="en-US"/>
        </w:rPr>
        <w:t xml:space="preserve">, 2013; Leitner., 2014; </w:t>
      </w:r>
      <w:proofErr w:type="spellStart"/>
      <w:r w:rsidRPr="004272B3">
        <w:rPr>
          <w:rFonts w:ascii="Times New Roman" w:eastAsia="Times New Roman" w:hAnsi="Times New Roman" w:cs="Times New Roman"/>
          <w:lang w:val="en-US"/>
        </w:rPr>
        <w:t>Yeris</w:t>
      </w:r>
      <w:proofErr w:type="spellEnd"/>
      <w:r w:rsidRPr="004272B3">
        <w:rPr>
          <w:rFonts w:ascii="Times New Roman" w:eastAsia="Times New Roman" w:hAnsi="Times New Roman" w:cs="Times New Roman"/>
          <w:lang w:val="en-US"/>
        </w:rPr>
        <w:t xml:space="preserve">., 2020) compared to children with ASD without ADHD (ASD-ADHD). </w:t>
      </w:r>
    </w:p>
    <w:p w14:paraId="78146E5B" w14:textId="77777777" w:rsidR="00846BBC" w:rsidRPr="004272B3" w:rsidRDefault="00846BBC" w:rsidP="00846BBC">
      <w:pPr>
        <w:spacing w:line="480" w:lineRule="auto"/>
        <w:ind w:firstLine="708"/>
        <w:jc w:val="both"/>
        <w:rPr>
          <w:rFonts w:ascii="Times New Roman" w:hAnsi="Times New Roman" w:cs="Times New Roman"/>
          <w:lang w:val="en-US"/>
        </w:rPr>
      </w:pPr>
      <w:r w:rsidRPr="004272B3">
        <w:rPr>
          <w:rFonts w:ascii="Times New Roman" w:hAnsi="Times New Roman" w:cs="Times New Roman"/>
          <w:lang w:val="en-US"/>
        </w:rPr>
        <w:t>Additionally, studies comparing the performance in neuropsychological tasks among individuals with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 ADHD and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 xml:space="preserve"> generally report more significant executive impairments in the group with the dual diagnosis. In particular, deficits in inhibition observed in cognitive tasks requiring the withholding of prepotent responses, are commonly associated with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 xml:space="preserve"> rather than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 xml:space="preserve"> (</w:t>
      </w:r>
      <w:proofErr w:type="spellStart"/>
      <w:r w:rsidRPr="004272B3">
        <w:rPr>
          <w:rFonts w:ascii="Times New Roman" w:hAnsi="Times New Roman" w:cs="Times New Roman"/>
          <w:lang w:val="en-US"/>
        </w:rPr>
        <w:t>Sanlunkhe</w:t>
      </w:r>
      <w:proofErr w:type="spellEnd"/>
      <w:r w:rsidRPr="004272B3">
        <w:rPr>
          <w:rFonts w:ascii="Times New Roman" w:hAnsi="Times New Roman" w:cs="Times New Roman"/>
          <w:lang w:val="en-US"/>
        </w:rPr>
        <w:t xml:space="preserve"> et al., 2021; Tye et al., 2016). More severe impairments in the combined group have also been identified in flexibility (Kado et al., 2020), working memory and vigilance tasks (Goldin, </w:t>
      </w:r>
      <w:r w:rsidRPr="004272B3">
        <w:rPr>
          <w:rFonts w:ascii="Times New Roman" w:hAnsi="Times New Roman" w:cs="Times New Roman"/>
          <w:shd w:val="clear" w:color="auto" w:fill="FFFFFF"/>
          <w:lang w:val="en-GB"/>
        </w:rPr>
        <w:t xml:space="preserve">Matson, </w:t>
      </w:r>
      <w:proofErr w:type="spellStart"/>
      <w:r w:rsidRPr="004272B3">
        <w:rPr>
          <w:rFonts w:ascii="Times New Roman" w:hAnsi="Times New Roman" w:cs="Times New Roman"/>
          <w:shd w:val="clear" w:color="auto" w:fill="FFFFFF"/>
          <w:lang w:val="en-GB"/>
        </w:rPr>
        <w:t>Tureck</w:t>
      </w:r>
      <w:proofErr w:type="spellEnd"/>
      <w:r w:rsidRPr="004272B3">
        <w:rPr>
          <w:rFonts w:ascii="Times New Roman" w:hAnsi="Times New Roman" w:cs="Times New Roman"/>
          <w:shd w:val="clear" w:color="auto" w:fill="FFFFFF"/>
          <w:lang w:val="en-GB"/>
        </w:rPr>
        <w:t>, Cervantes and Jang</w:t>
      </w:r>
      <w:r w:rsidRPr="004272B3">
        <w:rPr>
          <w:rFonts w:ascii="Times New Roman" w:hAnsi="Times New Roman" w:cs="Times New Roman"/>
          <w:lang w:val="en-US"/>
        </w:rPr>
        <w:t xml:space="preserve">, 2013). For instance, </w:t>
      </w:r>
      <w:r w:rsidRPr="004272B3">
        <w:rPr>
          <w:rFonts w:ascii="Times New Roman" w:eastAsia="Times New Roman" w:hAnsi="Times New Roman" w:cs="Times New Roman"/>
          <w:lang w:val="en-US"/>
        </w:rPr>
        <w:t xml:space="preserve">a previous study using </w:t>
      </w:r>
      <w:r w:rsidRPr="004272B3">
        <w:rPr>
          <w:rFonts w:ascii="Times New Roman" w:hAnsi="Times New Roman" w:cs="Times New Roman"/>
          <w:lang w:val="en-US"/>
        </w:rPr>
        <w:t xml:space="preserve">questionnaires to measure EF </w:t>
      </w:r>
      <w:r w:rsidRPr="004272B3">
        <w:rPr>
          <w:rFonts w:ascii="Times New Roman" w:eastAsia="Times New Roman" w:hAnsi="Times New Roman" w:cs="Times New Roman"/>
          <w:lang w:val="en-US"/>
        </w:rPr>
        <w:t xml:space="preserve">in daily life reported 92% of children in the ASD+ADHD group classified as having impaired EF, compared to 47% of the children with ASD-ADHD and 63% with ADHD (Dajani et al., 2016). </w:t>
      </w:r>
    </w:p>
    <w:p w14:paraId="42DA8F12" w14:textId="77777777" w:rsidR="00846BBC" w:rsidRPr="004272B3" w:rsidRDefault="00846BBC" w:rsidP="00846BBC">
      <w:pPr>
        <w:spacing w:line="480" w:lineRule="auto"/>
        <w:ind w:firstLine="708"/>
        <w:jc w:val="both"/>
        <w:rPr>
          <w:rFonts w:ascii="Times New Roman" w:hAnsi="Times New Roman" w:cs="Times New Roman"/>
          <w:lang w:val="en-US"/>
        </w:rPr>
      </w:pPr>
      <w:r w:rsidRPr="004272B3">
        <w:rPr>
          <w:rFonts w:ascii="Times New Roman" w:hAnsi="Times New Roman" w:cs="Times New Roman"/>
          <w:lang w:val="en-US"/>
        </w:rPr>
        <w:t>Moreover, available findings suggest that ADHD symptoms contribute to increase deficits in Theory of mind (</w:t>
      </w:r>
      <w:proofErr w:type="spellStart"/>
      <w:r w:rsidRPr="004272B3">
        <w:rPr>
          <w:rFonts w:ascii="Times New Roman" w:hAnsi="Times New Roman" w:cs="Times New Roman"/>
          <w:lang w:val="en-US"/>
        </w:rPr>
        <w:t>ToM</w:t>
      </w:r>
      <w:proofErr w:type="spellEnd"/>
      <w:r w:rsidRPr="004272B3">
        <w:rPr>
          <w:rFonts w:ascii="Times New Roman" w:hAnsi="Times New Roman" w:cs="Times New Roman"/>
          <w:lang w:val="en-US"/>
        </w:rPr>
        <w:t>) and related abilities. Indeed, children with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 xml:space="preserve"> showed significantly more difficulties in </w:t>
      </w:r>
      <w:r w:rsidRPr="004272B3">
        <w:rPr>
          <w:rFonts w:ascii="Times New Roman" w:eastAsia="Times New Roman" w:hAnsi="Times New Roman" w:cs="Times New Roman"/>
          <w:lang w:val="en-US"/>
        </w:rPr>
        <w:t xml:space="preserve">facial emotion recognition (Oerlemans et al., 2014) and </w:t>
      </w:r>
      <w:r w:rsidRPr="004272B3">
        <w:rPr>
          <w:rFonts w:ascii="Times New Roman" w:hAnsi="Times New Roman" w:cs="Times New Roman"/>
          <w:lang w:val="en-US"/>
        </w:rPr>
        <w:t>less development of empathy, measured by the performance on “reading the mind in the eyes” test, than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 xml:space="preserve"> (Colombi and Ghaziuddin, 2017)</w:t>
      </w:r>
      <w:r w:rsidRPr="004272B3">
        <w:rPr>
          <w:rFonts w:ascii="Times New Roman" w:eastAsia="Arial" w:hAnsi="Times New Roman" w:cs="Times New Roman"/>
          <w:lang w:val="en-US"/>
        </w:rPr>
        <w:t xml:space="preserve">. </w:t>
      </w:r>
      <w:r w:rsidRPr="004272B3">
        <w:rPr>
          <w:rFonts w:ascii="Times New Roman" w:hAnsi="Times New Roman" w:cs="Times New Roman"/>
          <w:lang w:val="en-US"/>
        </w:rPr>
        <w:t xml:space="preserve">Parents’ ratings also revealed a more evident deficit in applying </w:t>
      </w:r>
      <w:proofErr w:type="spellStart"/>
      <w:r w:rsidRPr="004272B3">
        <w:rPr>
          <w:rFonts w:ascii="Times New Roman" w:hAnsi="Times New Roman" w:cs="Times New Roman"/>
          <w:lang w:val="en-US"/>
        </w:rPr>
        <w:t>ToM</w:t>
      </w:r>
      <w:proofErr w:type="spellEnd"/>
      <w:r w:rsidRPr="004272B3">
        <w:rPr>
          <w:rFonts w:ascii="Times New Roman" w:hAnsi="Times New Roman" w:cs="Times New Roman"/>
          <w:lang w:val="en-US"/>
        </w:rPr>
        <w:t xml:space="preserve"> in daily life social contexts in the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 xml:space="preserve"> group, in comparison to a typical development (TD) group. </w:t>
      </w:r>
    </w:p>
    <w:p w14:paraId="55AF82AD" w14:textId="77777777" w:rsidR="00846BBC" w:rsidRPr="004272B3" w:rsidRDefault="00846BBC" w:rsidP="00846BBC">
      <w:pPr>
        <w:widowControl w:val="0"/>
        <w:autoSpaceDE w:val="0"/>
        <w:autoSpaceDN w:val="0"/>
        <w:adjustRightInd w:val="0"/>
        <w:spacing w:line="480" w:lineRule="auto"/>
        <w:ind w:firstLine="708"/>
        <w:jc w:val="both"/>
        <w:rPr>
          <w:rFonts w:ascii="Times New Roman" w:eastAsia="Times New Roman" w:hAnsi="Times New Roman" w:cs="Times New Roman"/>
          <w:lang w:val="en-US"/>
        </w:rPr>
      </w:pPr>
      <w:r w:rsidRPr="004272B3">
        <w:rPr>
          <w:rFonts w:ascii="Times New Roman" w:hAnsi="Times New Roman" w:cs="Times New Roman"/>
          <w:lang w:val="en-US"/>
        </w:rPr>
        <w:t>The ASD+ADHD</w:t>
      </w:r>
      <w:r w:rsidRPr="004272B3">
        <w:rPr>
          <w:rFonts w:ascii="Times New Roman" w:eastAsia="Times New Roman" w:hAnsi="Times New Roman" w:cs="Times New Roman"/>
          <w:shd w:val="clear" w:color="auto" w:fill="FFFFFF"/>
          <w:lang w:val="en-US"/>
        </w:rPr>
        <w:t xml:space="preserve"> comorbidity is also associated with </w:t>
      </w:r>
      <w:r w:rsidRPr="004272B3">
        <w:rPr>
          <w:rFonts w:ascii="Times New Roman" w:hAnsi="Times New Roman" w:cs="Times New Roman"/>
          <w:lang w:val="en-US"/>
        </w:rPr>
        <w:t>higher rates of additional mental health (MH) problems. For instance, data from a community sample (Simonoff et al., 2008) showed that when ASD co-occurred with ADHD, the risk of experiencing other psychiatric problems increased by 14% (from 70% in the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 xml:space="preserve"> group to 84% in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 xml:space="preserve">). </w:t>
      </w:r>
      <w:r w:rsidRPr="004272B3">
        <w:rPr>
          <w:rFonts w:ascii="Times New Roman" w:hAnsi="Times New Roman" w:cs="Times New Roman"/>
          <w:lang w:val="en-US"/>
        </w:rPr>
        <w:lastRenderedPageBreak/>
        <w:t xml:space="preserve">Furthermore, greater severity of ADHD symptomatology significantly related to a higher number of comorbid psychiatric diagnoses, as well as higher levels of symptom severity as assessed by the Child Behavior Checklist (CBCL) (Mansour, Dovi, Lane, Loveland and Pearson, 2017). </w:t>
      </w:r>
      <w:r w:rsidRPr="004272B3">
        <w:rPr>
          <w:rFonts w:ascii="Times New Roman" w:eastAsia="Times New Roman" w:hAnsi="Times New Roman" w:cs="Times New Roman"/>
          <w:lang w:val="en-US"/>
        </w:rPr>
        <w:t xml:space="preserve">The total score of the Strengths and Difficulties Questionnaire (SDQ) which includes the emotional, conduct, peer problems and hyperactivity subscales, was also significantly higher in the comorbid group than in the ASD-ADHD (Berenguer et al., 2018). </w:t>
      </w:r>
    </w:p>
    <w:p w14:paraId="4934F838" w14:textId="77777777" w:rsidR="00846BBC" w:rsidRPr="004272B3" w:rsidRDefault="00846BBC" w:rsidP="00846BBC">
      <w:pPr>
        <w:spacing w:line="480" w:lineRule="auto"/>
        <w:ind w:firstLine="708"/>
        <w:jc w:val="both"/>
        <w:rPr>
          <w:rFonts w:ascii="Times New Roman" w:hAnsi="Times New Roman" w:cs="Times New Roman"/>
          <w:highlight w:val="cyan"/>
          <w:lang w:val="en-US"/>
        </w:rPr>
      </w:pPr>
      <w:r w:rsidRPr="004272B3">
        <w:rPr>
          <w:rFonts w:ascii="Times New Roman" w:hAnsi="Times New Roman" w:cs="Times New Roman"/>
          <w:lang w:val="en-US"/>
        </w:rPr>
        <w:t xml:space="preserve"> In addition to neuropsychological and MH aspects, the co-occurrence of ADHD in individuals with ASD is also relevant for learning functions. </w:t>
      </w:r>
      <w:r w:rsidRPr="004272B3">
        <w:rPr>
          <w:rFonts w:ascii="Times New Roman" w:eastAsia="Times New Roman" w:hAnsi="Times New Roman" w:cs="Times New Roman"/>
          <w:lang w:val="en-US"/>
        </w:rPr>
        <w:t xml:space="preserve">Besides the difficulties of ASD </w:t>
      </w:r>
      <w:r w:rsidRPr="004272B3">
        <w:rPr>
          <w:rFonts w:ascii="Times New Roman" w:hAnsi="Times New Roman" w:cs="Times New Roman"/>
          <w:lang w:val="en-US"/>
        </w:rPr>
        <w:t>such as inflexible style of learning, low classroom engagement and limited comprehension of abstraction, ADHD symptoms increase the negative impact on learning-related behaviours by associating problems in sustained attention, behavioural regulation and metacognition (Rosello et al., 2018).</w:t>
      </w:r>
      <w:r w:rsidRPr="004272B3">
        <w:rPr>
          <w:rFonts w:ascii="Times New Roman" w:eastAsia="Times New Roman" w:hAnsi="Times New Roman" w:cs="Times New Roman"/>
          <w:lang w:val="en-US"/>
        </w:rPr>
        <w:t xml:space="preserve"> In comparison to ASD-ADHD, </w:t>
      </w:r>
      <w:sdt>
        <w:sdtPr>
          <w:tag w:val="goog_rdk_132"/>
          <w:id w:val="1194510346"/>
          <w:placeholder>
            <w:docPart w:val="4F3349D0899A4DF7A6CD79EF8F9DA111"/>
          </w:placeholder>
        </w:sdtPr>
        <w:sdtEndPr/>
        <w:sdtContent>
          <w:r w:rsidRPr="004272B3">
            <w:rPr>
              <w:rFonts w:ascii="Times New Roman" w:eastAsia="Times New Roman" w:hAnsi="Times New Roman" w:cs="Times New Roman"/>
              <w:lang w:val="en-US"/>
            </w:rPr>
            <w:t xml:space="preserve">the </w:t>
          </w:r>
        </w:sdtContent>
      </w:sdt>
      <w:r w:rsidRPr="004272B3">
        <w:rPr>
          <w:rFonts w:ascii="Times New Roman" w:eastAsia="Times New Roman" w:hAnsi="Times New Roman" w:cs="Times New Roman"/>
          <w:lang w:val="en-US"/>
        </w:rPr>
        <w:t>comorbid group exhibited a poorer attitude towards schoolwork, together with more social interaction and behavioural problems at school (Chiang et al., 2018).</w:t>
      </w:r>
      <w:r w:rsidRPr="004272B3">
        <w:rPr>
          <w:rFonts w:ascii="Times New Roman" w:hAnsi="Times New Roman" w:cs="Times New Roman"/>
          <w:lang w:val="en-US"/>
        </w:rPr>
        <w:t xml:space="preserve"> In a cohort study (Stark et al., 2021), fewer autistic than non-autistic individuals were qualified for upper secondary education (57% and 86%, respectively), but those also diagnosed with ADHD were particularly at risk of non-qualification with an additional 8% increase. </w:t>
      </w:r>
    </w:p>
    <w:p w14:paraId="1023603A" w14:textId="77777777" w:rsidR="00846BBC" w:rsidRPr="004272B3" w:rsidRDefault="00846BBC" w:rsidP="00846BBC">
      <w:pPr>
        <w:spacing w:line="480" w:lineRule="auto"/>
        <w:rPr>
          <w:rFonts w:ascii="Times New Roman" w:hAnsi="Times New Roman" w:cs="Times New Roman"/>
          <w:lang w:val="en-US"/>
        </w:rPr>
      </w:pPr>
      <w:r w:rsidRPr="004272B3">
        <w:rPr>
          <w:rFonts w:ascii="Times New Roman" w:hAnsi="Times New Roman" w:cs="Times New Roman"/>
          <w:lang w:val="en-US"/>
        </w:rPr>
        <w:t xml:space="preserve">               In conclusion, ASD+ADHD seems to constitute a particular ASD phenotype with a higher risk of executive, </w:t>
      </w:r>
      <w:proofErr w:type="spellStart"/>
      <w:r w:rsidRPr="004272B3">
        <w:rPr>
          <w:rFonts w:ascii="Times New Roman" w:hAnsi="Times New Roman" w:cs="Times New Roman"/>
          <w:lang w:val="en-US"/>
        </w:rPr>
        <w:t>ToM</w:t>
      </w:r>
      <w:proofErr w:type="spellEnd"/>
      <w:r w:rsidRPr="004272B3">
        <w:rPr>
          <w:rFonts w:ascii="Times New Roman" w:hAnsi="Times New Roman" w:cs="Times New Roman"/>
          <w:lang w:val="en-US"/>
        </w:rPr>
        <w:t xml:space="preserve">, MH and learning problems. However, despite an increasing body of research focusing on the comorbidity ASD+ADHD, to our knowledge all available studies on this topic have used cross-sectional designs. Prospective studies are needed to understand the changes over time in different domains of functioning of children with ASD+ADHD and explore their predictive contribution to ASD symptoms severity and long-term outcomes. In ASD+ADHD, cross-sectional studies reported inattention symptoms as the strongest predictor of social and adaptive functioning (Avni, </w:t>
      </w:r>
      <w:proofErr w:type="spellStart"/>
      <w:r w:rsidRPr="004272B3">
        <w:rPr>
          <w:rFonts w:ascii="Times New Roman" w:hAnsi="Times New Roman" w:cs="Times New Roman"/>
          <w:lang w:val="en-US"/>
        </w:rPr>
        <w:t>Zachor</w:t>
      </w:r>
      <w:proofErr w:type="spellEnd"/>
      <w:r w:rsidRPr="004272B3">
        <w:rPr>
          <w:rFonts w:ascii="Times New Roman" w:hAnsi="Times New Roman" w:cs="Times New Roman"/>
          <w:lang w:val="en-US"/>
        </w:rPr>
        <w:t xml:space="preserve"> and Ben-</w:t>
      </w:r>
      <w:proofErr w:type="spellStart"/>
      <w:r w:rsidRPr="004272B3">
        <w:rPr>
          <w:rFonts w:ascii="Times New Roman" w:hAnsi="Times New Roman" w:cs="Times New Roman"/>
          <w:lang w:val="en-US"/>
        </w:rPr>
        <w:t>Itzchal</w:t>
      </w:r>
      <w:proofErr w:type="spellEnd"/>
      <w:r w:rsidRPr="004272B3">
        <w:rPr>
          <w:rFonts w:ascii="Times New Roman" w:hAnsi="Times New Roman" w:cs="Times New Roman"/>
          <w:lang w:val="en-US"/>
        </w:rPr>
        <w:t>, 2018). However, from a developmental perspective, other possible childhood predictors of severity in adolescents with ASD+ADHD are yet to be explored.</w:t>
      </w:r>
    </w:p>
    <w:p w14:paraId="382F496B" w14:textId="7DD70252" w:rsidR="00846BBC" w:rsidRPr="004272B3" w:rsidRDefault="00846BBC" w:rsidP="00846BBC">
      <w:pPr>
        <w:widowControl w:val="0"/>
        <w:autoSpaceDE w:val="0"/>
        <w:autoSpaceDN w:val="0"/>
        <w:adjustRightInd w:val="0"/>
        <w:spacing w:line="480" w:lineRule="auto"/>
        <w:ind w:firstLine="708"/>
        <w:rPr>
          <w:rFonts w:ascii="Times New Roman" w:hAnsi="Times New Roman" w:cs="Times New Roman"/>
          <w:lang w:val="en-US"/>
        </w:rPr>
      </w:pPr>
      <w:r w:rsidRPr="004272B3">
        <w:rPr>
          <w:rFonts w:ascii="Times New Roman" w:hAnsi="Times New Roman" w:cs="Times New Roman"/>
          <w:lang w:val="en-US"/>
        </w:rPr>
        <w:t xml:space="preserve">The present study was designed to compare the developmental profile and clinically </w:t>
      </w:r>
      <w:r w:rsidRPr="004272B3">
        <w:rPr>
          <w:rFonts w:ascii="Times New Roman" w:hAnsi="Times New Roman" w:cs="Times New Roman"/>
          <w:lang w:val="en-US"/>
        </w:rPr>
        <w:lastRenderedPageBreak/>
        <w:t>relevant changes in adolescence of children with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 xml:space="preserve"> and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 We measured changes in behaviour regulation, metacognition, theory of mind, emotional/behavioural problems and learning attitudes. A secondary aim was to assess to which extent these cognitive and behavioural factors predict more</w:t>
      </w:r>
      <w:r w:rsidRPr="004272B3">
        <w:rPr>
          <w:rFonts w:ascii="Times New Roman" w:hAnsi="Times New Roman" w:cs="Times New Roman"/>
          <w:lang w:val="en-US" w:eastAsia="zh-CN"/>
        </w:rPr>
        <w:t xml:space="preserve"> severe ASD core symptoms in adolescence</w:t>
      </w:r>
      <w:r w:rsidRPr="004272B3">
        <w:rPr>
          <w:rFonts w:ascii="Times New Roman" w:hAnsi="Times New Roman" w:cs="Times New Roman"/>
          <w:lang w:val="en-US"/>
        </w:rPr>
        <w:t>. We predicted different clinical trajectories in the two groups. We also hypothesized that cognitive and behavioural factors associated with ADHD predict more</w:t>
      </w:r>
      <w:r w:rsidRPr="004272B3">
        <w:rPr>
          <w:rFonts w:ascii="Times New Roman" w:hAnsi="Times New Roman" w:cs="Times New Roman"/>
          <w:lang w:val="en-US" w:eastAsia="zh-CN"/>
        </w:rPr>
        <w:t xml:space="preserve"> severe ASD core symptoms in adolescence.</w:t>
      </w:r>
    </w:p>
    <w:p w14:paraId="09205821" w14:textId="77777777" w:rsidR="00846BBC" w:rsidRPr="004272B3" w:rsidRDefault="00846BBC" w:rsidP="00846BBC">
      <w:pPr>
        <w:widowControl w:val="0"/>
        <w:autoSpaceDE w:val="0"/>
        <w:autoSpaceDN w:val="0"/>
        <w:adjustRightInd w:val="0"/>
        <w:spacing w:line="480" w:lineRule="auto"/>
        <w:rPr>
          <w:rFonts w:ascii="Times New Roman" w:hAnsi="Times New Roman" w:cs="Times New Roman"/>
          <w:lang w:val="en-US"/>
        </w:rPr>
      </w:pPr>
    </w:p>
    <w:p w14:paraId="38E19DB1" w14:textId="77777777" w:rsidR="00846BBC" w:rsidRPr="004272B3" w:rsidRDefault="00846BBC" w:rsidP="00846BBC">
      <w:pPr>
        <w:widowControl w:val="0"/>
        <w:autoSpaceDE w:val="0"/>
        <w:autoSpaceDN w:val="0"/>
        <w:adjustRightInd w:val="0"/>
        <w:spacing w:line="480" w:lineRule="auto"/>
        <w:jc w:val="both"/>
        <w:rPr>
          <w:rFonts w:ascii="Times New Roman" w:hAnsi="Times New Roman" w:cs="Times New Roman"/>
          <w:b/>
          <w:bCs/>
          <w:lang w:val="en-US"/>
        </w:rPr>
      </w:pPr>
      <w:r w:rsidRPr="004272B3">
        <w:rPr>
          <w:rFonts w:ascii="Times New Roman" w:hAnsi="Times New Roman" w:cs="Times New Roman"/>
          <w:b/>
          <w:bCs/>
          <w:lang w:val="en-US"/>
        </w:rPr>
        <w:t>Method</w:t>
      </w:r>
    </w:p>
    <w:p w14:paraId="426B4F84" w14:textId="77777777" w:rsidR="00846BBC" w:rsidRPr="004272B3" w:rsidRDefault="00846BBC" w:rsidP="00846BBC">
      <w:pPr>
        <w:spacing w:line="480" w:lineRule="auto"/>
        <w:rPr>
          <w:rFonts w:ascii="Times New Roman" w:hAnsi="Times New Roman" w:cs="Times New Roman"/>
          <w:lang w:val="en-US"/>
        </w:rPr>
      </w:pPr>
      <w:r w:rsidRPr="004272B3">
        <w:rPr>
          <w:rFonts w:ascii="Times New Roman" w:hAnsi="Times New Roman" w:cs="Times New Roman"/>
          <w:lang w:val="en-US"/>
        </w:rPr>
        <w:t>This study was part of an extensive research project designed to investigate the developmental outcomes in adolescence of children with ASD. At baseline and 5-year follow-up, parents completed an interview and questionnaires in a face-to-face session with researchers trained in the administration and rating of the assessment tools. Teachers also provided additional information through questionnaires. All participants were informed of the study aims and written informed consent was obtained. The study was approved by the Ethics Committee of the University of Valencia (HI425284258543).</w:t>
      </w:r>
    </w:p>
    <w:p w14:paraId="29D647FB" w14:textId="77777777" w:rsidR="00846BBC" w:rsidRPr="004272B3" w:rsidRDefault="00846BBC" w:rsidP="00846BBC">
      <w:pPr>
        <w:widowControl w:val="0"/>
        <w:autoSpaceDE w:val="0"/>
        <w:autoSpaceDN w:val="0"/>
        <w:adjustRightInd w:val="0"/>
        <w:spacing w:line="480" w:lineRule="auto"/>
        <w:jc w:val="both"/>
        <w:rPr>
          <w:rFonts w:ascii="Times New Roman" w:hAnsi="Times New Roman" w:cs="Times New Roman"/>
          <w:b/>
          <w:bCs/>
          <w:lang w:val="en-US"/>
        </w:rPr>
      </w:pPr>
    </w:p>
    <w:p w14:paraId="1C943789" w14:textId="77777777" w:rsidR="00846BBC" w:rsidRPr="004272B3" w:rsidRDefault="00846BBC" w:rsidP="00846BBC">
      <w:pPr>
        <w:widowControl w:val="0"/>
        <w:autoSpaceDE w:val="0"/>
        <w:autoSpaceDN w:val="0"/>
        <w:adjustRightInd w:val="0"/>
        <w:spacing w:line="480" w:lineRule="auto"/>
        <w:rPr>
          <w:rFonts w:ascii="Times New Roman" w:hAnsi="Times New Roman" w:cs="Times New Roman"/>
          <w:b/>
          <w:i/>
          <w:lang w:val="en-US"/>
        </w:rPr>
      </w:pPr>
      <w:bookmarkStart w:id="0" w:name="_Hlk89431473"/>
      <w:r w:rsidRPr="004272B3">
        <w:rPr>
          <w:rFonts w:ascii="Times New Roman" w:hAnsi="Times New Roman" w:cs="Times New Roman"/>
          <w:b/>
          <w:i/>
          <w:lang w:val="en-US"/>
        </w:rPr>
        <w:t>Participants</w:t>
      </w:r>
    </w:p>
    <w:p w14:paraId="7D2343F4" w14:textId="77777777" w:rsidR="00846BBC" w:rsidRPr="004272B3" w:rsidRDefault="00846BBC" w:rsidP="00846BBC">
      <w:pPr>
        <w:widowControl w:val="0"/>
        <w:autoSpaceDE w:val="0"/>
        <w:autoSpaceDN w:val="0"/>
        <w:adjustRightInd w:val="0"/>
        <w:spacing w:line="480" w:lineRule="auto"/>
        <w:ind w:firstLine="708"/>
        <w:rPr>
          <w:rFonts w:ascii="Times New Roman" w:hAnsi="Times New Roman" w:cs="Times New Roman"/>
          <w:lang w:val="en-US"/>
        </w:rPr>
      </w:pPr>
      <w:bookmarkStart w:id="1" w:name="_Hlk89431450"/>
      <w:bookmarkEnd w:id="0"/>
      <w:r w:rsidRPr="004272B3">
        <w:rPr>
          <w:rFonts w:ascii="Times New Roman" w:hAnsi="Times New Roman" w:cs="Times New Roman"/>
          <w:lang w:val="en-US"/>
        </w:rPr>
        <w:t xml:space="preserve"> Baseline assessment included 52 children with ASD (30 with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 xml:space="preserve"> and 22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 between 7 and 11 years old, with an intellectual functioning within the normal range (&gt; 80), measured with the Kaufman Brief Intelligence Test (K</w:t>
      </w:r>
      <w:r w:rsidRPr="004272B3">
        <w:rPr>
          <w:rFonts w:ascii="Palatino Linotype" w:hAnsi="Palatino Linotype" w:cs="Palatino Linotype"/>
          <w:lang w:val="en-US"/>
        </w:rPr>
        <w:t>‐</w:t>
      </w:r>
      <w:r w:rsidRPr="004272B3">
        <w:rPr>
          <w:rFonts w:ascii="Times New Roman" w:hAnsi="Times New Roman" w:cs="Times New Roman"/>
          <w:lang w:val="en-US"/>
        </w:rPr>
        <w:t xml:space="preserve">BIT; Kauffman and Kauffman, 2000). </w:t>
      </w:r>
      <w:r w:rsidRPr="004272B3">
        <w:rPr>
          <w:rFonts w:ascii="Times New Roman" w:hAnsi="Times New Roman" w:cs="Times New Roman"/>
          <w:sz w:val="16"/>
          <w:szCs w:val="16"/>
          <w:lang w:val="en-US"/>
        </w:rPr>
        <w:t xml:space="preserve"> </w:t>
      </w:r>
    </w:p>
    <w:p w14:paraId="4CF2E8E4" w14:textId="77777777" w:rsidR="00846BBC" w:rsidRPr="004272B3" w:rsidRDefault="00846BBC" w:rsidP="00846BBC">
      <w:pPr>
        <w:widowControl w:val="0"/>
        <w:autoSpaceDE w:val="0"/>
        <w:autoSpaceDN w:val="0"/>
        <w:adjustRightInd w:val="0"/>
        <w:spacing w:line="480" w:lineRule="auto"/>
        <w:rPr>
          <w:rFonts w:ascii="Times New Roman" w:hAnsi="Times New Roman" w:cs="Times New Roman"/>
          <w:lang w:val="en-US"/>
        </w:rPr>
      </w:pPr>
      <w:r w:rsidRPr="004272B3">
        <w:rPr>
          <w:rFonts w:ascii="Times New Roman" w:hAnsi="Times New Roman" w:cs="Times New Roman"/>
          <w:lang w:val="en-US"/>
        </w:rPr>
        <w:t xml:space="preserve">Participants had received a clinical diagnosis in child and adolescent mental health services in the Valencian Community, Spain, following an established research clinical protocol. To confirm the ASD diagnosis, the social communication questionnaire (SCQ; Rutter, Bailey and </w:t>
      </w:r>
      <w:r w:rsidRPr="004272B3">
        <w:rPr>
          <w:rFonts w:ascii="Times New Roman" w:hAnsi="Times New Roman" w:cs="Times New Roman"/>
          <w:lang w:val="en-US"/>
        </w:rPr>
        <w:lastRenderedPageBreak/>
        <w:t xml:space="preserve">Lord, 2003) and the revised autism diagnostic interview (ADI-R; Rutter, Le </w:t>
      </w:r>
      <w:proofErr w:type="spellStart"/>
      <w:r w:rsidRPr="004272B3">
        <w:rPr>
          <w:rFonts w:ascii="Times New Roman" w:hAnsi="Times New Roman" w:cs="Times New Roman"/>
          <w:lang w:val="en-US"/>
        </w:rPr>
        <w:t>Couteur</w:t>
      </w:r>
      <w:proofErr w:type="spellEnd"/>
      <w:r w:rsidRPr="004272B3">
        <w:rPr>
          <w:rFonts w:ascii="Times New Roman" w:hAnsi="Times New Roman" w:cs="Times New Roman"/>
          <w:lang w:val="en-US"/>
        </w:rPr>
        <w:t xml:space="preserve"> and Lord, 2003) were administered by a clinical psychologist from the research team. Additionally, an interview with parents was also conducted to evaluate the DSM-5 criteria (APA, 2013) for ADHD. Twenty-two children with ASD also met ADHD diagnostic criteria, considering that a symptom was present with a score of </w:t>
      </w:r>
      <w:r w:rsidRPr="004272B3">
        <w:rPr>
          <w:rFonts w:ascii="Times New Roman" w:hAnsi="Times New Roman" w:cs="Times New Roman"/>
          <w:shd w:val="clear" w:color="auto" w:fill="FFFFFF"/>
          <w:lang w:val="en-US"/>
        </w:rPr>
        <w:t>≥</w:t>
      </w:r>
      <w:r w:rsidRPr="004272B3">
        <w:rPr>
          <w:rFonts w:ascii="Arial" w:hAnsi="Arial" w:cs="Arial"/>
          <w:shd w:val="clear" w:color="auto" w:fill="FFFFFF"/>
          <w:lang w:val="en-US"/>
        </w:rPr>
        <w:t xml:space="preserve"> </w:t>
      </w:r>
      <w:r w:rsidRPr="004272B3">
        <w:rPr>
          <w:rFonts w:ascii="Times New Roman" w:hAnsi="Times New Roman" w:cs="Times New Roman"/>
          <w:lang w:val="en-US"/>
        </w:rPr>
        <w:t>2 (2=often; 3=many times). The majority of participants (77.1%) showed a combined presentation (hyperactive/inattentive), and 22.9% had a predominance of inattention. At baseline, 26.7% children with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 xml:space="preserve"> (10% risperidone, 13.4% methylphenidate and 3.3% </w:t>
      </w:r>
      <w:proofErr w:type="spellStart"/>
      <w:r w:rsidRPr="004272B3">
        <w:rPr>
          <w:rFonts w:ascii="Times New Roman" w:hAnsi="Times New Roman" w:cs="Times New Roman"/>
          <w:lang w:val="en-US"/>
        </w:rPr>
        <w:t>melatonine</w:t>
      </w:r>
      <w:proofErr w:type="spellEnd"/>
      <w:r w:rsidRPr="004272B3">
        <w:rPr>
          <w:rFonts w:ascii="Times New Roman" w:hAnsi="Times New Roman" w:cs="Times New Roman"/>
          <w:lang w:val="en-US"/>
        </w:rPr>
        <w:t>), and 41.7% children with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 xml:space="preserve"> (9.9% risperidone, 27.3% methylphenidate and 4.5% </w:t>
      </w:r>
      <w:proofErr w:type="spellStart"/>
      <w:r w:rsidRPr="004272B3">
        <w:rPr>
          <w:rFonts w:ascii="Times New Roman" w:hAnsi="Times New Roman" w:cs="Times New Roman"/>
          <w:lang w:val="en-US"/>
        </w:rPr>
        <w:t>melatonine</w:t>
      </w:r>
      <w:proofErr w:type="spellEnd"/>
      <w:r w:rsidRPr="004272B3">
        <w:rPr>
          <w:rFonts w:ascii="Times New Roman" w:hAnsi="Times New Roman" w:cs="Times New Roman"/>
          <w:lang w:val="en-US"/>
        </w:rPr>
        <w:t>) were taking psychotropic medication.</w:t>
      </w:r>
    </w:p>
    <w:p w14:paraId="1DDD5968" w14:textId="77777777" w:rsidR="00846BBC" w:rsidRPr="004272B3" w:rsidRDefault="00846BBC" w:rsidP="00846BBC">
      <w:pPr>
        <w:widowControl w:val="0"/>
        <w:autoSpaceDE w:val="0"/>
        <w:autoSpaceDN w:val="0"/>
        <w:adjustRightInd w:val="0"/>
        <w:spacing w:line="480" w:lineRule="auto"/>
        <w:rPr>
          <w:rFonts w:ascii="Times New Roman" w:hAnsi="Times New Roman" w:cs="Times New Roman"/>
          <w:lang w:val="en-US"/>
        </w:rPr>
      </w:pPr>
      <w:r w:rsidRPr="004272B3">
        <w:rPr>
          <w:rFonts w:ascii="Times New Roman" w:hAnsi="Times New Roman" w:cs="Times New Roman"/>
          <w:lang w:val="en-US"/>
        </w:rPr>
        <w:t>Exclusion criteria (neurological or genetic diseases, brain damage, visual/auditory/motor impairment) were evaluated through an extensive clinical history carried out with the families.</w:t>
      </w:r>
    </w:p>
    <w:p w14:paraId="4FBBB7CF" w14:textId="77777777" w:rsidR="00846BBC" w:rsidRPr="004272B3" w:rsidRDefault="00846BBC" w:rsidP="00846BBC">
      <w:pPr>
        <w:spacing w:line="480" w:lineRule="auto"/>
        <w:rPr>
          <w:rFonts w:ascii="Times New Roman" w:hAnsi="Times New Roman" w:cs="Times New Roman"/>
          <w:lang w:val="en-US"/>
        </w:rPr>
      </w:pPr>
      <w:r w:rsidRPr="004272B3">
        <w:rPr>
          <w:rFonts w:ascii="Times New Roman" w:hAnsi="Times New Roman" w:cs="Times New Roman"/>
          <w:lang w:val="en-US"/>
        </w:rPr>
        <w:t>Five-year follow</w:t>
      </w:r>
      <w:r w:rsidRPr="004272B3">
        <w:rPr>
          <w:rFonts w:ascii="Palatino Linotype" w:hAnsi="Palatino Linotype" w:cs="Palatino Linotype"/>
          <w:lang w:val="en-US"/>
        </w:rPr>
        <w:t>‐</w:t>
      </w:r>
      <w:r w:rsidRPr="004272B3">
        <w:rPr>
          <w:rFonts w:ascii="Times New Roman" w:hAnsi="Times New Roman" w:cs="Times New Roman"/>
          <w:lang w:val="en-US"/>
        </w:rPr>
        <w:t>up assessment included 45 adolescents with ASD (26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 xml:space="preserve"> and 19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 xml:space="preserve">) between 12 and 15 years old (retention rate of 86.5%). </w:t>
      </w:r>
      <w:bookmarkStart w:id="2" w:name="_Hlk90662853"/>
      <w:r w:rsidRPr="004272B3">
        <w:rPr>
          <w:rFonts w:ascii="Times New Roman" w:hAnsi="Times New Roman" w:cs="Times New Roman"/>
          <w:lang w:val="en-US"/>
        </w:rPr>
        <w:t>Seven families declined the invitation to attend the evaluations or could not be reached (4 ASD-ADHD and 3 ASD+ADHD).</w:t>
      </w:r>
      <w:bookmarkEnd w:id="2"/>
      <w:r w:rsidRPr="004272B3">
        <w:rPr>
          <w:rFonts w:ascii="Times New Roman" w:hAnsi="Times New Roman" w:cs="Times New Roman"/>
          <w:lang w:val="en-US"/>
        </w:rPr>
        <w:t xml:space="preserve"> No significant differences in IQ or ASD symptom severity were found among the children who remained in the study and those who did not. About 77% of the adolescents were receiving educational support at follow-up, and around 30% of the participants with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 xml:space="preserve"> and 52% of those with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 xml:space="preserve"> were taking psychotropics (mainly risperidone and/or methylphenidate).</w:t>
      </w:r>
    </w:p>
    <w:p w14:paraId="6F874F8C" w14:textId="77777777" w:rsidR="00846BBC" w:rsidRPr="004272B3" w:rsidRDefault="00846BBC" w:rsidP="00846BBC">
      <w:pPr>
        <w:spacing w:line="480" w:lineRule="auto"/>
        <w:rPr>
          <w:rFonts w:ascii="Times New Roman" w:hAnsi="Times New Roman" w:cs="Times New Roman"/>
          <w:lang w:val="en-US"/>
        </w:rPr>
      </w:pPr>
      <w:r w:rsidRPr="004272B3">
        <w:rPr>
          <w:rFonts w:ascii="Times New Roman" w:hAnsi="Times New Roman" w:cs="Times New Roman"/>
          <w:lang w:val="en-US"/>
        </w:rPr>
        <w:t>Both groups of participants were matched on vocabulary, assessed with the subtest from the Wechsler Intelligence Scale for children (WISC-IV) [F(1, 43 ) = 0.69, p = 0.50], IQ [F(1, 43 ) = –0.01, p = 0.99] , age  [F(1,43) = 0.39, p = 0.67]  and parental education level [F (1,43 ) = 1.18, p = 0.31]. Participants´ demographic information is reported in Table 1.</w:t>
      </w:r>
    </w:p>
    <w:p w14:paraId="35039569" w14:textId="77777777" w:rsidR="00846BBC" w:rsidRPr="004272B3" w:rsidRDefault="00846BBC" w:rsidP="00846BBC">
      <w:pPr>
        <w:spacing w:line="480" w:lineRule="auto"/>
        <w:rPr>
          <w:rFonts w:ascii="Times New Roman" w:hAnsi="Times New Roman" w:cs="Times New Roman"/>
          <w:lang w:val="en-US"/>
        </w:rPr>
      </w:pPr>
      <w:r w:rsidRPr="004272B3">
        <w:rPr>
          <w:rFonts w:ascii="Times New Roman" w:eastAsia="Times New Roman" w:hAnsi="Times New Roman" w:cs="Times New Roman"/>
          <w:lang w:val="en-US"/>
        </w:rPr>
        <w:t>Insert Table 1 about here</w:t>
      </w:r>
      <w:r w:rsidRPr="004272B3">
        <w:rPr>
          <w:rFonts w:ascii="Times New Roman" w:eastAsia="Times New Roman" w:hAnsi="Times New Roman" w:cs="Times New Roman"/>
          <w:lang w:val="en-US"/>
        </w:rPr>
        <w:tab/>
      </w:r>
    </w:p>
    <w:p w14:paraId="6587B82E" w14:textId="77777777" w:rsidR="00846BBC" w:rsidRPr="004272B3" w:rsidRDefault="00846BBC" w:rsidP="00846BBC">
      <w:pPr>
        <w:spacing w:line="480" w:lineRule="auto"/>
        <w:rPr>
          <w:rFonts w:ascii="Times New Roman" w:hAnsi="Times New Roman" w:cs="Times New Roman"/>
          <w:lang w:val="en-US"/>
        </w:rPr>
      </w:pPr>
    </w:p>
    <w:bookmarkEnd w:id="1"/>
    <w:p w14:paraId="22B1B127" w14:textId="77777777" w:rsidR="00846BBC" w:rsidRPr="004272B3" w:rsidRDefault="00846BBC" w:rsidP="00846BBC">
      <w:pPr>
        <w:spacing w:line="480" w:lineRule="auto"/>
        <w:rPr>
          <w:rFonts w:ascii="Times New Roman" w:hAnsi="Times New Roman" w:cs="Times New Roman"/>
          <w:b/>
          <w:i/>
          <w:lang w:val="en-US"/>
        </w:rPr>
      </w:pPr>
      <w:r w:rsidRPr="004272B3">
        <w:rPr>
          <w:rFonts w:ascii="Times New Roman" w:hAnsi="Times New Roman" w:cs="Times New Roman"/>
          <w:b/>
          <w:i/>
          <w:lang w:val="en-US"/>
        </w:rPr>
        <w:lastRenderedPageBreak/>
        <w:t>Tools</w:t>
      </w:r>
    </w:p>
    <w:p w14:paraId="15E5E2FD" w14:textId="68159FF9" w:rsidR="00846BBC" w:rsidRPr="004272B3" w:rsidRDefault="00846BBC" w:rsidP="00846BBC">
      <w:pPr>
        <w:spacing w:line="480" w:lineRule="auto"/>
        <w:rPr>
          <w:rFonts w:ascii="Times New Roman" w:hAnsi="Times New Roman" w:cs="Times New Roman"/>
          <w:iCs/>
          <w:lang w:val="en-GB"/>
        </w:rPr>
      </w:pPr>
      <w:r w:rsidRPr="004272B3">
        <w:rPr>
          <w:rFonts w:ascii="Times New Roman" w:hAnsi="Times New Roman" w:cs="Times New Roman"/>
          <w:iCs/>
          <w:lang w:val="en-GB"/>
        </w:rPr>
        <w:t>Sociodemographic information was collected for all participants, including age, sex, developmental history, age of diagnosis, medication, support received at school, family structure, and information about any history of MH problems in the family.</w:t>
      </w:r>
    </w:p>
    <w:p w14:paraId="2F41B1C5" w14:textId="72CE541A" w:rsidR="00846BBC" w:rsidRPr="004272B3" w:rsidRDefault="00846BBC" w:rsidP="00846BBC">
      <w:pPr>
        <w:spacing w:line="480" w:lineRule="auto"/>
        <w:rPr>
          <w:rFonts w:ascii="Times New Roman" w:hAnsi="Times New Roman" w:cs="Times New Roman"/>
          <w:lang w:val="en-US"/>
        </w:rPr>
      </w:pPr>
      <w:r w:rsidRPr="004272B3">
        <w:rPr>
          <w:rFonts w:ascii="Times New Roman" w:hAnsi="Times New Roman" w:cs="Times New Roman"/>
          <w:i/>
          <w:lang w:val="en-US"/>
        </w:rPr>
        <w:t>Executive functions.</w:t>
      </w:r>
      <w:r w:rsidRPr="004272B3">
        <w:rPr>
          <w:rFonts w:ascii="Times New Roman" w:hAnsi="Times New Roman" w:cs="Times New Roman"/>
          <w:lang w:val="en-US"/>
        </w:rPr>
        <w:t xml:space="preserve"> Teachers filled out the Behavior Rating Inventory of Executive Function (BRIEF; Gioia et al, 2000), a questionnaire with good reliability and validity. It consists of 86 items rated on a three-point Likert-type scale (</w:t>
      </w:r>
      <w:r w:rsidRPr="004272B3">
        <w:rPr>
          <w:rFonts w:ascii="Times New Roman" w:hAnsi="Times New Roman" w:cs="Times New Roman"/>
          <w:i/>
          <w:lang w:val="en-US"/>
        </w:rPr>
        <w:t>never</w:t>
      </w:r>
      <w:r w:rsidRPr="004272B3">
        <w:rPr>
          <w:rFonts w:ascii="Times New Roman" w:hAnsi="Times New Roman" w:cs="Times New Roman"/>
          <w:lang w:val="en-US"/>
        </w:rPr>
        <w:t xml:space="preserve">, </w:t>
      </w:r>
      <w:r w:rsidRPr="004272B3">
        <w:rPr>
          <w:rFonts w:ascii="Times New Roman" w:hAnsi="Times New Roman" w:cs="Times New Roman"/>
          <w:i/>
          <w:lang w:val="en-US"/>
        </w:rPr>
        <w:t>sometimes</w:t>
      </w:r>
      <w:r w:rsidRPr="004272B3">
        <w:rPr>
          <w:rFonts w:ascii="Times New Roman" w:hAnsi="Times New Roman" w:cs="Times New Roman"/>
          <w:lang w:val="en-US"/>
        </w:rPr>
        <w:t xml:space="preserve">, </w:t>
      </w:r>
      <w:r w:rsidRPr="004272B3">
        <w:rPr>
          <w:rFonts w:ascii="Times New Roman" w:hAnsi="Times New Roman" w:cs="Times New Roman"/>
          <w:i/>
          <w:lang w:val="en-US"/>
        </w:rPr>
        <w:t>often</w:t>
      </w:r>
      <w:r w:rsidRPr="004272B3">
        <w:rPr>
          <w:rFonts w:ascii="Times New Roman" w:hAnsi="Times New Roman" w:cs="Times New Roman"/>
          <w:lang w:val="en-US"/>
        </w:rPr>
        <w:t>) that are grouped in two indexes, behavioural regulation index (BRI) and metacognition index (MI). The BRI includes the subscales of inhibi</w:t>
      </w:r>
      <w:r w:rsidR="004133F5" w:rsidRPr="004272B3">
        <w:rPr>
          <w:rFonts w:ascii="Times New Roman" w:hAnsi="Times New Roman" w:cs="Times New Roman"/>
          <w:lang w:val="en-US"/>
        </w:rPr>
        <w:t>t</w:t>
      </w:r>
      <w:r w:rsidRPr="004272B3">
        <w:rPr>
          <w:rFonts w:ascii="Times New Roman" w:hAnsi="Times New Roman" w:cs="Times New Roman"/>
          <w:lang w:val="en-US"/>
        </w:rPr>
        <w:t xml:space="preserve">, shift and emotional control. The MI consists of working memory, </w:t>
      </w:r>
      <w:r w:rsidR="00C96147" w:rsidRPr="004272B3">
        <w:rPr>
          <w:rFonts w:ascii="Times New Roman" w:hAnsi="Times New Roman" w:cs="Times New Roman"/>
          <w:lang w:val="en-US"/>
        </w:rPr>
        <w:t xml:space="preserve">initiate, </w:t>
      </w:r>
      <w:r w:rsidRPr="004272B3">
        <w:rPr>
          <w:rFonts w:ascii="Times New Roman" w:hAnsi="Times New Roman" w:cs="Times New Roman"/>
          <w:lang w:val="en-US"/>
        </w:rPr>
        <w:t xml:space="preserve">plan/organize, organization of materials, and monitor subscales. In this study, the Cronbach's alpha coefficients for the BRI and MI indexes were </w:t>
      </w:r>
      <w:r w:rsidRPr="004272B3">
        <w:rPr>
          <w:rFonts w:ascii="Times New Roman" w:eastAsia="Times New Roman" w:hAnsi="Times New Roman" w:cs="Times New Roman"/>
          <w:shd w:val="clear" w:color="auto" w:fill="FFFFFF"/>
        </w:rPr>
        <w:t>α</w:t>
      </w:r>
      <w:r w:rsidRPr="004272B3">
        <w:rPr>
          <w:rFonts w:ascii="Times New Roman" w:eastAsia="Times New Roman" w:hAnsi="Times New Roman" w:cs="Times New Roman"/>
          <w:shd w:val="clear" w:color="auto" w:fill="FFFFFF"/>
          <w:lang w:val="en-US"/>
        </w:rPr>
        <w:t xml:space="preserve"> =</w:t>
      </w:r>
      <w:r w:rsidRPr="004272B3">
        <w:rPr>
          <w:rFonts w:ascii="Times New Roman" w:hAnsi="Times New Roman" w:cs="Times New Roman"/>
          <w:lang w:val="en-US"/>
        </w:rPr>
        <w:t xml:space="preserve">.83 and </w:t>
      </w:r>
      <w:r w:rsidRPr="004272B3">
        <w:rPr>
          <w:rFonts w:ascii="Times New Roman" w:eastAsia="Times New Roman" w:hAnsi="Times New Roman" w:cs="Times New Roman"/>
          <w:shd w:val="clear" w:color="auto" w:fill="FFFFFF"/>
        </w:rPr>
        <w:t>α</w:t>
      </w:r>
      <w:r w:rsidRPr="004272B3">
        <w:rPr>
          <w:rFonts w:ascii="Times New Roman" w:eastAsia="Times New Roman" w:hAnsi="Times New Roman" w:cs="Times New Roman"/>
          <w:shd w:val="clear" w:color="auto" w:fill="FFFFFF"/>
          <w:lang w:val="en-US"/>
        </w:rPr>
        <w:t xml:space="preserve"> =</w:t>
      </w:r>
      <w:r w:rsidRPr="004272B3">
        <w:rPr>
          <w:rFonts w:ascii="Times New Roman" w:hAnsi="Times New Roman" w:cs="Times New Roman"/>
          <w:lang w:val="en-US"/>
        </w:rPr>
        <w:t>.85, respectively.</w:t>
      </w:r>
      <w:r w:rsidR="003A52B4" w:rsidRPr="004272B3">
        <w:rPr>
          <w:rFonts w:ascii="Times New Roman" w:hAnsi="Times New Roman" w:cs="Times New Roman"/>
          <w:lang w:val="en-US"/>
        </w:rPr>
        <w:t xml:space="preserve"> Raw scores were used for both indexes.</w:t>
      </w:r>
    </w:p>
    <w:p w14:paraId="064D8C57" w14:textId="77777777" w:rsidR="00846BBC" w:rsidRPr="004272B3" w:rsidRDefault="00846BBC" w:rsidP="00846BBC">
      <w:pPr>
        <w:spacing w:line="480" w:lineRule="auto"/>
        <w:rPr>
          <w:rFonts w:ascii="Times New Roman" w:hAnsi="Times New Roman" w:cs="Times New Roman"/>
          <w:lang w:val="en-US"/>
        </w:rPr>
      </w:pPr>
      <w:r w:rsidRPr="004272B3">
        <w:rPr>
          <w:rFonts w:ascii="Times New Roman" w:hAnsi="Times New Roman" w:cs="Times New Roman"/>
          <w:i/>
          <w:lang w:val="en-US"/>
        </w:rPr>
        <w:t>Theory of mind.</w:t>
      </w:r>
      <w:r w:rsidRPr="004272B3">
        <w:rPr>
          <w:rFonts w:ascii="Times New Roman" w:hAnsi="Times New Roman" w:cs="Times New Roman"/>
          <w:lang w:val="en-US"/>
        </w:rPr>
        <w:t xml:space="preserve"> The </w:t>
      </w:r>
      <w:proofErr w:type="spellStart"/>
      <w:r w:rsidRPr="004272B3">
        <w:rPr>
          <w:rFonts w:ascii="Times New Roman" w:hAnsi="Times New Roman" w:cs="Times New Roman"/>
          <w:lang w:val="en-US"/>
        </w:rPr>
        <w:t>ToM</w:t>
      </w:r>
      <w:proofErr w:type="spellEnd"/>
      <w:r w:rsidRPr="004272B3">
        <w:rPr>
          <w:rFonts w:ascii="Times New Roman" w:hAnsi="Times New Roman" w:cs="Times New Roman"/>
          <w:lang w:val="en-US"/>
        </w:rPr>
        <w:t xml:space="preserve"> Inventory (Hutchins, </w:t>
      </w:r>
      <w:proofErr w:type="spellStart"/>
      <w:r w:rsidRPr="004272B3">
        <w:rPr>
          <w:rFonts w:ascii="Times New Roman" w:hAnsi="Times New Roman" w:cs="Times New Roman"/>
          <w:lang w:val="en-US"/>
        </w:rPr>
        <w:t>Prelock</w:t>
      </w:r>
      <w:proofErr w:type="spellEnd"/>
      <w:r w:rsidRPr="004272B3">
        <w:rPr>
          <w:rFonts w:ascii="Times New Roman" w:hAnsi="Times New Roman" w:cs="Times New Roman"/>
          <w:lang w:val="en-US"/>
        </w:rPr>
        <w:t xml:space="preserve"> and </w:t>
      </w:r>
      <w:proofErr w:type="spellStart"/>
      <w:r w:rsidRPr="004272B3">
        <w:rPr>
          <w:rFonts w:ascii="Times New Roman" w:hAnsi="Times New Roman" w:cs="Times New Roman"/>
          <w:lang w:val="en-US"/>
        </w:rPr>
        <w:t>Bonazinga-Bouyea</w:t>
      </w:r>
      <w:proofErr w:type="spellEnd"/>
      <w:r w:rsidRPr="004272B3">
        <w:rPr>
          <w:rFonts w:ascii="Times New Roman" w:hAnsi="Times New Roman" w:cs="Times New Roman"/>
          <w:lang w:val="en-US"/>
        </w:rPr>
        <w:t xml:space="preserve">, 2014; Spanish adaptation by Pujals et al., 2016) was completed by parents to evaluate social references and understanding of basic emotions, meta-representations, second-order inferences, and complex social judgements. The </w:t>
      </w:r>
      <w:proofErr w:type="spellStart"/>
      <w:r w:rsidRPr="004272B3">
        <w:rPr>
          <w:rFonts w:ascii="Times New Roman" w:hAnsi="Times New Roman" w:cs="Times New Roman"/>
          <w:lang w:val="en-US"/>
        </w:rPr>
        <w:t>ToMI</w:t>
      </w:r>
      <w:proofErr w:type="spellEnd"/>
      <w:r w:rsidRPr="004272B3">
        <w:rPr>
          <w:rFonts w:ascii="Times New Roman" w:hAnsi="Times New Roman" w:cs="Times New Roman"/>
          <w:lang w:val="en-US"/>
        </w:rPr>
        <w:t xml:space="preserve"> has three subscales (</w:t>
      </w:r>
      <w:r w:rsidRPr="004272B3">
        <w:rPr>
          <w:rFonts w:ascii="Times New Roman" w:hAnsi="Times New Roman" w:cs="Times New Roman"/>
          <w:i/>
          <w:lang w:val="en-US"/>
        </w:rPr>
        <w:t>early</w:t>
      </w:r>
      <w:r w:rsidRPr="004272B3">
        <w:rPr>
          <w:rFonts w:ascii="Times New Roman" w:hAnsi="Times New Roman" w:cs="Times New Roman"/>
          <w:lang w:val="en-US"/>
        </w:rPr>
        <w:t xml:space="preserve">, </w:t>
      </w:r>
      <w:r w:rsidRPr="004272B3">
        <w:rPr>
          <w:rFonts w:ascii="Times New Roman" w:hAnsi="Times New Roman" w:cs="Times New Roman"/>
          <w:i/>
          <w:lang w:val="en-US"/>
        </w:rPr>
        <w:t>basic</w:t>
      </w:r>
      <w:r w:rsidRPr="004272B3">
        <w:rPr>
          <w:rFonts w:ascii="Times New Roman" w:hAnsi="Times New Roman" w:cs="Times New Roman"/>
          <w:lang w:val="en-US"/>
        </w:rPr>
        <w:t xml:space="preserve">, and </w:t>
      </w:r>
      <w:r w:rsidRPr="004272B3">
        <w:rPr>
          <w:rFonts w:ascii="Times New Roman" w:hAnsi="Times New Roman" w:cs="Times New Roman"/>
          <w:i/>
          <w:lang w:val="en-US"/>
        </w:rPr>
        <w:t>advanced</w:t>
      </w:r>
      <w:r w:rsidRPr="004272B3">
        <w:rPr>
          <w:rFonts w:ascii="Times New Roman" w:hAnsi="Times New Roman" w:cs="Times New Roman"/>
          <w:lang w:val="en-US"/>
        </w:rPr>
        <w:t xml:space="preserve">) and a general average score. Each item is rated from 0-20 (“definitely not” to “definitely”), and higher scores indicate good </w:t>
      </w:r>
      <w:proofErr w:type="spellStart"/>
      <w:r w:rsidRPr="004272B3">
        <w:rPr>
          <w:rFonts w:ascii="Times New Roman" w:hAnsi="Times New Roman" w:cs="Times New Roman"/>
          <w:lang w:val="en-US"/>
        </w:rPr>
        <w:t>ToM</w:t>
      </w:r>
      <w:proofErr w:type="spellEnd"/>
      <w:r w:rsidRPr="004272B3">
        <w:rPr>
          <w:rFonts w:ascii="Times New Roman" w:hAnsi="Times New Roman" w:cs="Times New Roman"/>
          <w:lang w:val="en-US"/>
        </w:rPr>
        <w:t xml:space="preserve"> development. The inventory has shown excellent sensitivity (.9) and specificity (.9) (Hutchins et al., 2014), with high internal consistency in a Spanish sample (</w:t>
      </w:r>
      <w:r w:rsidRPr="004272B3">
        <w:rPr>
          <w:rFonts w:ascii="Times New Roman" w:hAnsi="Times New Roman" w:cs="Times New Roman"/>
        </w:rPr>
        <w:t>α</w:t>
      </w:r>
      <w:r w:rsidRPr="004272B3">
        <w:rPr>
          <w:rFonts w:ascii="Times New Roman" w:hAnsi="Times New Roman" w:cs="Times New Roman"/>
          <w:lang w:val="en-US"/>
        </w:rPr>
        <w:t>= .96) (Pujals et al., 2016).</w:t>
      </w:r>
    </w:p>
    <w:p w14:paraId="680D9ACD" w14:textId="77777777" w:rsidR="00846BBC" w:rsidRPr="004272B3" w:rsidRDefault="00846BBC" w:rsidP="00846BBC">
      <w:pPr>
        <w:spacing w:line="480" w:lineRule="auto"/>
        <w:jc w:val="both"/>
        <w:rPr>
          <w:rFonts w:ascii="Times New Roman" w:hAnsi="Times New Roman" w:cs="Times New Roman"/>
          <w:lang w:val="en-US"/>
        </w:rPr>
      </w:pPr>
      <w:r w:rsidRPr="004272B3">
        <w:rPr>
          <w:rFonts w:ascii="Times New Roman" w:hAnsi="Times New Roman" w:cs="Times New Roman"/>
          <w:i/>
          <w:lang w:val="en-GB"/>
        </w:rPr>
        <w:t>Emotional and behavioural problems.</w:t>
      </w:r>
      <w:r w:rsidRPr="004272B3">
        <w:rPr>
          <w:rFonts w:ascii="Times New Roman" w:hAnsi="Times New Roman" w:cs="Times New Roman"/>
          <w:lang w:val="en-GB"/>
        </w:rPr>
        <w:t xml:space="preserve"> The SDQ (Goodman., 2001) was completed by parents. It</w:t>
      </w:r>
      <w:r w:rsidRPr="004272B3">
        <w:rPr>
          <w:rFonts w:ascii="Times New Roman" w:hAnsi="Times New Roman" w:cs="Times New Roman"/>
          <w:lang w:val="en-US"/>
        </w:rPr>
        <w:t xml:space="preserve"> has 25 items divided into five subscales and a total difficulty score. It has good statistical and psychometric properties (</w:t>
      </w:r>
      <w:r w:rsidRPr="004272B3">
        <w:rPr>
          <w:rFonts w:ascii="Times New Roman" w:hAnsi="Times New Roman" w:cs="Times New Roman"/>
        </w:rPr>
        <w:t>α</w:t>
      </w:r>
      <w:r w:rsidRPr="004272B3">
        <w:rPr>
          <w:rFonts w:ascii="Times New Roman" w:hAnsi="Times New Roman" w:cs="Times New Roman"/>
          <w:lang w:val="en-US"/>
        </w:rPr>
        <w:t>=.73) (Goodman, 2001), confirmed also in a Spanish sample (</w:t>
      </w:r>
      <w:r w:rsidRPr="004272B3">
        <w:rPr>
          <w:rFonts w:ascii="Times New Roman" w:eastAsia="Times New Roman" w:hAnsi="Times New Roman" w:cs="Times New Roman"/>
          <w:shd w:val="clear" w:color="auto" w:fill="FFFFFF"/>
        </w:rPr>
        <w:t>α</w:t>
      </w:r>
      <w:r w:rsidRPr="004272B3">
        <w:rPr>
          <w:rFonts w:ascii="Times New Roman" w:eastAsia="Times New Roman" w:hAnsi="Times New Roman" w:cs="Times New Roman"/>
          <w:shd w:val="clear" w:color="auto" w:fill="FFFFFF"/>
          <w:lang w:val="en-US"/>
        </w:rPr>
        <w:t xml:space="preserve"> =</w:t>
      </w:r>
      <w:r w:rsidRPr="004272B3">
        <w:rPr>
          <w:rFonts w:ascii="Times New Roman" w:hAnsi="Times New Roman" w:cs="Times New Roman"/>
          <w:lang w:val="en-US"/>
        </w:rPr>
        <w:t xml:space="preserve">.76) (Rodriguez-Hernández et al., 2012). In the present study, internal consistency was between </w:t>
      </w:r>
      <w:r w:rsidRPr="004272B3">
        <w:rPr>
          <w:rFonts w:ascii="Times New Roman" w:eastAsia="Times New Roman" w:hAnsi="Times New Roman" w:cs="Times New Roman"/>
          <w:shd w:val="clear" w:color="auto" w:fill="FFFFFF"/>
        </w:rPr>
        <w:t>α</w:t>
      </w:r>
      <w:r w:rsidRPr="004272B3">
        <w:rPr>
          <w:rFonts w:ascii="Times New Roman" w:eastAsia="Times New Roman" w:hAnsi="Times New Roman" w:cs="Times New Roman"/>
          <w:shd w:val="clear" w:color="auto" w:fill="FFFFFF"/>
          <w:lang w:val="en-US"/>
        </w:rPr>
        <w:t xml:space="preserve"> =</w:t>
      </w:r>
      <w:r w:rsidRPr="004272B3">
        <w:rPr>
          <w:rFonts w:ascii="Times New Roman" w:hAnsi="Times New Roman" w:cs="Times New Roman"/>
          <w:lang w:val="en-US"/>
        </w:rPr>
        <w:t xml:space="preserve">.63 for the subscale of peer problems, and </w:t>
      </w:r>
      <w:r w:rsidRPr="004272B3">
        <w:rPr>
          <w:rFonts w:ascii="Times New Roman" w:eastAsia="Times New Roman" w:hAnsi="Times New Roman" w:cs="Times New Roman"/>
          <w:shd w:val="clear" w:color="auto" w:fill="FFFFFF"/>
        </w:rPr>
        <w:t>α</w:t>
      </w:r>
      <w:r w:rsidRPr="004272B3">
        <w:rPr>
          <w:rFonts w:ascii="Times New Roman" w:eastAsia="Times New Roman" w:hAnsi="Times New Roman" w:cs="Times New Roman"/>
          <w:shd w:val="clear" w:color="auto" w:fill="FFFFFF"/>
          <w:lang w:val="en-US"/>
        </w:rPr>
        <w:t xml:space="preserve"> =</w:t>
      </w:r>
      <w:r w:rsidRPr="004272B3">
        <w:rPr>
          <w:rFonts w:ascii="Times New Roman" w:hAnsi="Times New Roman" w:cs="Times New Roman"/>
          <w:lang w:val="en-US"/>
        </w:rPr>
        <w:t>.81 for the prosocial behavior subscale.</w:t>
      </w:r>
    </w:p>
    <w:p w14:paraId="6CF8A953" w14:textId="77777777" w:rsidR="00846BBC" w:rsidRPr="004272B3" w:rsidRDefault="00846BBC" w:rsidP="00846BBC">
      <w:pPr>
        <w:spacing w:line="480" w:lineRule="auto"/>
        <w:rPr>
          <w:rFonts w:ascii="Times New Roman" w:hAnsi="Times New Roman" w:cs="Times New Roman"/>
          <w:lang w:val="en-US"/>
        </w:rPr>
      </w:pPr>
      <w:r w:rsidRPr="004272B3">
        <w:rPr>
          <w:rFonts w:ascii="Times New Roman" w:hAnsi="Times New Roman" w:cs="Times New Roman"/>
          <w:i/>
          <w:lang w:val="en-US"/>
        </w:rPr>
        <w:lastRenderedPageBreak/>
        <w:t>Learning Behavior Scale</w:t>
      </w:r>
      <w:r w:rsidRPr="004272B3">
        <w:rPr>
          <w:rFonts w:ascii="Times New Roman" w:hAnsi="Times New Roman" w:cs="Times New Roman"/>
          <w:lang w:val="en-US"/>
        </w:rPr>
        <w:t xml:space="preserve"> </w:t>
      </w:r>
      <w:r w:rsidRPr="004272B3">
        <w:rPr>
          <w:rFonts w:ascii="Times New Roman" w:hAnsi="Times New Roman" w:cs="Times New Roman"/>
          <w:bCs/>
          <w:lang w:val="en-US"/>
        </w:rPr>
        <w:t xml:space="preserve">(LBS; McDermott, </w:t>
      </w:r>
      <w:r w:rsidRPr="004272B3">
        <w:rPr>
          <w:rFonts w:ascii="Times New Roman" w:hAnsi="Times New Roman" w:cs="Times New Roman"/>
          <w:lang w:val="en-US"/>
        </w:rPr>
        <w:t>Green and Francis</w:t>
      </w:r>
      <w:r w:rsidRPr="004272B3">
        <w:rPr>
          <w:rFonts w:ascii="Times New Roman" w:hAnsi="Times New Roman" w:cs="Times New Roman"/>
          <w:bCs/>
          <w:lang w:val="en-US"/>
        </w:rPr>
        <w:t xml:space="preserve">, 2001). This tool, </w:t>
      </w:r>
      <w:r w:rsidRPr="004272B3">
        <w:rPr>
          <w:rFonts w:ascii="Times New Roman" w:hAnsi="Times New Roman" w:cs="Times New Roman"/>
          <w:lang w:val="en-US"/>
        </w:rPr>
        <w:t>completed by teachers,</w:t>
      </w:r>
      <w:r w:rsidRPr="004272B3">
        <w:rPr>
          <w:rFonts w:ascii="Helvetica" w:hAnsi="Helvetica"/>
          <w:lang w:val="en-US"/>
        </w:rPr>
        <w:t xml:space="preserve"> </w:t>
      </w:r>
      <w:r w:rsidRPr="004272B3">
        <w:rPr>
          <w:rFonts w:ascii="Times New Roman" w:hAnsi="Times New Roman" w:cs="Times New Roman"/>
          <w:lang w:val="en-US"/>
        </w:rPr>
        <w:t>offers information on four dimensions of school learning: motivation/competence, attitude toward learning, persistence/attention, and learning strategy/flexibility. High scores indicate good learning behavior. The internal consistency coefficients were found to be high for the total score (.89, .92) and for the subscales (.70 -.87) (McDermott et al., 2001). In our sample, the internal consistency coefficient was high for the total score (</w:t>
      </w:r>
      <w:r w:rsidRPr="004272B3">
        <w:rPr>
          <w:rFonts w:ascii="Times New Roman" w:hAnsi="Times New Roman" w:cs="Times New Roman"/>
        </w:rPr>
        <w:t>α</w:t>
      </w:r>
      <w:r w:rsidRPr="004272B3">
        <w:rPr>
          <w:rFonts w:ascii="Times New Roman" w:hAnsi="Times New Roman" w:cs="Times New Roman"/>
          <w:lang w:val="en-US"/>
        </w:rPr>
        <w:t xml:space="preserve"> = .93) and all subscales (</w:t>
      </w:r>
      <w:r w:rsidRPr="004272B3">
        <w:rPr>
          <w:rFonts w:ascii="Times New Roman" w:hAnsi="Times New Roman" w:cs="Times New Roman"/>
        </w:rPr>
        <w:t>α</w:t>
      </w:r>
      <w:r w:rsidRPr="004272B3">
        <w:rPr>
          <w:rFonts w:ascii="Times New Roman" w:hAnsi="Times New Roman" w:cs="Times New Roman"/>
          <w:lang w:val="en-US"/>
        </w:rPr>
        <w:t xml:space="preserve"> = .76–.86). </w:t>
      </w:r>
    </w:p>
    <w:p w14:paraId="1A84C2DA" w14:textId="77777777" w:rsidR="00846BBC" w:rsidRPr="004272B3" w:rsidRDefault="00846BBC" w:rsidP="00846BBC">
      <w:pPr>
        <w:spacing w:line="480" w:lineRule="auto"/>
        <w:rPr>
          <w:rFonts w:ascii="Times New Roman" w:hAnsi="Times New Roman" w:cs="Times New Roman"/>
          <w:i/>
          <w:lang w:val="en-US"/>
        </w:rPr>
      </w:pPr>
      <w:r w:rsidRPr="004272B3">
        <w:rPr>
          <w:rFonts w:ascii="Times New Roman" w:hAnsi="Times New Roman" w:cs="Times New Roman"/>
          <w:i/>
          <w:lang w:val="fr-FR"/>
        </w:rPr>
        <w:t>Social Communication Questionnaire</w:t>
      </w:r>
      <w:r w:rsidRPr="004272B3">
        <w:rPr>
          <w:rFonts w:ascii="Times New Roman" w:hAnsi="Times New Roman" w:cs="Times New Roman"/>
          <w:lang w:val="fr-FR"/>
        </w:rPr>
        <w:t xml:space="preserve"> (SCQ. </w:t>
      </w:r>
      <w:proofErr w:type="spellStart"/>
      <w:r w:rsidRPr="004272B3">
        <w:rPr>
          <w:rFonts w:ascii="Times New Roman" w:hAnsi="Times New Roman" w:cs="Times New Roman"/>
          <w:lang w:val="fr-FR"/>
        </w:rPr>
        <w:t>Rutter</w:t>
      </w:r>
      <w:proofErr w:type="spellEnd"/>
      <w:r w:rsidRPr="004272B3">
        <w:rPr>
          <w:rFonts w:ascii="Times New Roman" w:hAnsi="Times New Roman" w:cs="Times New Roman"/>
          <w:lang w:val="fr-FR"/>
        </w:rPr>
        <w:t xml:space="preserve"> </w:t>
      </w:r>
      <w:r w:rsidRPr="004272B3">
        <w:rPr>
          <w:rFonts w:ascii="Times New Roman" w:hAnsi="Times New Roman" w:cs="Times New Roman"/>
          <w:iCs/>
          <w:lang w:val="fr-FR"/>
        </w:rPr>
        <w:t xml:space="preserve">et al., 2003; </w:t>
      </w:r>
      <w:proofErr w:type="spellStart"/>
      <w:r w:rsidRPr="004272B3">
        <w:rPr>
          <w:rFonts w:ascii="Times New Roman" w:hAnsi="Times New Roman" w:cs="Times New Roman"/>
          <w:iCs/>
          <w:lang w:val="fr-FR"/>
        </w:rPr>
        <w:t>Spanish</w:t>
      </w:r>
      <w:proofErr w:type="spellEnd"/>
      <w:r w:rsidRPr="004272B3">
        <w:rPr>
          <w:rFonts w:ascii="Times New Roman" w:hAnsi="Times New Roman" w:cs="Times New Roman"/>
          <w:iCs/>
          <w:lang w:val="fr-FR"/>
        </w:rPr>
        <w:t xml:space="preserve"> adaptation TEA, 2005).</w:t>
      </w:r>
      <w:r w:rsidRPr="004272B3">
        <w:rPr>
          <w:rFonts w:ascii="Times New Roman" w:hAnsi="Times New Roman" w:cs="Times New Roman"/>
          <w:lang w:val="fr-FR"/>
        </w:rPr>
        <w:t xml:space="preserve"> </w:t>
      </w:r>
      <w:r w:rsidRPr="004272B3">
        <w:rPr>
          <w:rFonts w:ascii="Times New Roman" w:hAnsi="Times New Roman" w:cs="Times New Roman"/>
          <w:lang w:val="en-GB"/>
        </w:rPr>
        <w:t xml:space="preserve">This questionnaire </w:t>
      </w:r>
      <w:r w:rsidRPr="004272B3">
        <w:rPr>
          <w:rFonts w:ascii="Times New Roman" w:hAnsi="Times New Roman" w:cs="Times New Roman"/>
          <w:iCs/>
          <w:lang w:val="en-US"/>
        </w:rPr>
        <w:t xml:space="preserve">provides information about parents’ perception of autistic symptoms in three domains: reciprocal social interaction, social communication and restricted and repetitive behaviours (RRB). The items refer to specific behaviors that are examples of DSM criteria, trying to improve the understandability for the parent. The items can be scored as absent (=0) or present (=1) with </w:t>
      </w:r>
      <w:r w:rsidRPr="004272B3">
        <w:rPr>
          <w:rFonts w:ascii="Times New Roman" w:hAnsi="Times New Roman" w:cs="Times New Roman"/>
          <w:lang w:val="en-US"/>
        </w:rPr>
        <w:t>higher scores indicating greater severity</w:t>
      </w:r>
      <w:r w:rsidRPr="004272B3">
        <w:rPr>
          <w:rFonts w:ascii="Times New Roman" w:hAnsi="Times New Roman" w:cs="Times New Roman"/>
          <w:iCs/>
          <w:lang w:val="en-US"/>
        </w:rPr>
        <w:t xml:space="preserve">. In this study, </w:t>
      </w:r>
      <w:r w:rsidRPr="004272B3">
        <w:rPr>
          <w:rFonts w:ascii="Times New Roman" w:eastAsia="Times New Roman" w:hAnsi="Times New Roman" w:cs="Times New Roman"/>
          <w:shd w:val="clear" w:color="auto" w:fill="FFFFFF"/>
        </w:rPr>
        <w:t>α</w:t>
      </w:r>
      <w:r w:rsidRPr="004272B3">
        <w:rPr>
          <w:rFonts w:ascii="Times New Roman" w:eastAsia="Times New Roman" w:hAnsi="Times New Roman" w:cs="Times New Roman"/>
          <w:shd w:val="clear" w:color="auto" w:fill="FFFFFF"/>
          <w:lang w:val="en-US"/>
        </w:rPr>
        <w:t xml:space="preserve"> was </w:t>
      </w:r>
      <w:r w:rsidRPr="004272B3">
        <w:rPr>
          <w:rFonts w:ascii="Times New Roman" w:hAnsi="Times New Roman" w:cs="Times New Roman"/>
          <w:iCs/>
          <w:lang w:val="en-US"/>
        </w:rPr>
        <w:t>.78, similarly to what originally reported by Rutter et al. (</w:t>
      </w:r>
      <w:r w:rsidRPr="004272B3">
        <w:rPr>
          <w:rFonts w:ascii="Times New Roman" w:hAnsi="Times New Roman" w:cs="Times New Roman"/>
          <w:iCs/>
          <w:lang w:val="en-GB"/>
        </w:rPr>
        <w:t>2003) in the UK sample.</w:t>
      </w:r>
    </w:p>
    <w:p w14:paraId="7233D5AC" w14:textId="77777777" w:rsidR="00846BBC" w:rsidRPr="004272B3" w:rsidRDefault="00846BBC" w:rsidP="00846BBC">
      <w:pPr>
        <w:spacing w:line="276" w:lineRule="auto"/>
        <w:rPr>
          <w:rFonts w:ascii="Times New Roman" w:hAnsi="Times New Roman" w:cs="Times New Roman"/>
          <w:b/>
          <w:bCs/>
          <w:i/>
          <w:lang w:val="en-US"/>
        </w:rPr>
      </w:pPr>
      <w:r w:rsidRPr="004272B3">
        <w:rPr>
          <w:rFonts w:ascii="Times New Roman" w:hAnsi="Times New Roman" w:cs="Times New Roman"/>
          <w:b/>
          <w:bCs/>
          <w:i/>
          <w:lang w:val="en-US"/>
        </w:rPr>
        <w:t>Data analysis</w:t>
      </w:r>
    </w:p>
    <w:p w14:paraId="49991554" w14:textId="77777777" w:rsidR="00846BBC" w:rsidRPr="004272B3" w:rsidRDefault="00846BBC" w:rsidP="00846BBC">
      <w:pPr>
        <w:spacing w:line="276" w:lineRule="auto"/>
        <w:rPr>
          <w:rFonts w:ascii="Times New Roman" w:hAnsi="Times New Roman" w:cs="Times New Roman"/>
          <w:i/>
          <w:lang w:val="en-US"/>
        </w:rPr>
      </w:pPr>
    </w:p>
    <w:p w14:paraId="10D41C72" w14:textId="6A716599" w:rsidR="00846BBC" w:rsidRPr="004272B3" w:rsidRDefault="00846BBC" w:rsidP="00846BBC">
      <w:pPr>
        <w:spacing w:line="480" w:lineRule="auto"/>
        <w:rPr>
          <w:rFonts w:ascii="Times New Roman" w:hAnsi="Times New Roman" w:cs="Times New Roman"/>
          <w:lang w:val="en-US"/>
        </w:rPr>
      </w:pPr>
      <w:r w:rsidRPr="004272B3">
        <w:rPr>
          <w:rFonts w:ascii="Times New Roman" w:hAnsi="Times New Roman" w:cs="Times New Roman"/>
          <w:lang w:val="en-US"/>
        </w:rPr>
        <w:t xml:space="preserve">Statistical analyses were performed with the Statistical Package for the Social Sciences (SPSS v 26.0. IBM, 2012). The distribution of the variables as well as their fit to the normal distribution curve, were analyzed by applying the Shapiro-Wilk test. To explore the trajectories in a) executive and </w:t>
      </w:r>
      <w:proofErr w:type="spellStart"/>
      <w:r w:rsidRPr="004272B3">
        <w:rPr>
          <w:rFonts w:ascii="Times New Roman" w:hAnsi="Times New Roman" w:cs="Times New Roman"/>
          <w:lang w:val="en-US"/>
        </w:rPr>
        <w:t>ToM</w:t>
      </w:r>
      <w:proofErr w:type="spellEnd"/>
      <w:r w:rsidRPr="004272B3">
        <w:rPr>
          <w:rFonts w:ascii="Times New Roman" w:hAnsi="Times New Roman" w:cs="Times New Roman"/>
          <w:lang w:val="en-US"/>
        </w:rPr>
        <w:t xml:space="preserve"> processes, b) emotional and behavioral problems (SDQ), and c) learning-related behaviour (LBS) for the two defined groups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 xml:space="preserve"> and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 a two-way (</w:t>
      </w:r>
      <w:r w:rsidRPr="004272B3">
        <w:rPr>
          <w:rFonts w:ascii="Times New Roman" w:hAnsi="Times New Roman" w:cs="Times New Roman"/>
          <w:shd w:val="clear" w:color="auto" w:fill="FFFFFF"/>
          <w:lang w:val="en-US"/>
        </w:rPr>
        <w:t>diagnostic status of the participant</w:t>
      </w:r>
      <w:r w:rsidRPr="004272B3">
        <w:rPr>
          <w:rFonts w:ascii="Times New Roman" w:hAnsi="Times New Roman" w:cs="Times New Roman"/>
          <w:lang w:val="en-US"/>
        </w:rPr>
        <w:t>: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 xml:space="preserve"> and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w:t>
      </w:r>
      <w:r w:rsidRPr="004272B3">
        <w:rPr>
          <w:rFonts w:ascii="Times New Roman" w:hAnsi="Times New Roman" w:cs="Times New Roman"/>
          <w:strike/>
          <w:lang w:val="en-US"/>
        </w:rPr>
        <w:t xml:space="preserve"> </w:t>
      </w:r>
      <w:r w:rsidRPr="004272B3">
        <w:rPr>
          <w:rFonts w:ascii="Times New Roman" w:hAnsi="Times New Roman" w:cs="Times New Roman"/>
          <w:lang w:val="en-US"/>
        </w:rPr>
        <w:t xml:space="preserve">x 2 (time: baseline and 5 years later) mixed ANOVA with repeated measures on the each of the domains in two time periods was performed. </w:t>
      </w:r>
    </w:p>
    <w:p w14:paraId="34540E97" w14:textId="0A55457D" w:rsidR="00846BBC" w:rsidRPr="004272B3" w:rsidRDefault="00846BBC" w:rsidP="00846BBC">
      <w:pPr>
        <w:spacing w:line="480" w:lineRule="auto"/>
        <w:rPr>
          <w:rFonts w:ascii="Times New Roman" w:hAnsi="Times New Roman" w:cs="Times New Roman"/>
          <w:lang w:val="en-US"/>
        </w:rPr>
      </w:pPr>
      <w:r w:rsidRPr="004272B3">
        <w:rPr>
          <w:rFonts w:ascii="Times New Roman" w:hAnsi="Times New Roman" w:cs="Times New Roman"/>
          <w:lang w:val="en-US"/>
        </w:rPr>
        <w:t xml:space="preserve">A hierarchical multiple regression analysis was conducted to test whether individual differences in EF, </w:t>
      </w:r>
      <w:proofErr w:type="spellStart"/>
      <w:r w:rsidRPr="004272B3">
        <w:rPr>
          <w:rFonts w:ascii="Times New Roman" w:hAnsi="Times New Roman" w:cs="Times New Roman"/>
          <w:lang w:val="en-US"/>
        </w:rPr>
        <w:t>ToM</w:t>
      </w:r>
      <w:proofErr w:type="spellEnd"/>
      <w:r w:rsidRPr="004272B3">
        <w:rPr>
          <w:rFonts w:ascii="Times New Roman" w:hAnsi="Times New Roman" w:cs="Times New Roman"/>
          <w:lang w:val="en-US"/>
        </w:rPr>
        <w:t xml:space="preserve">, SDQ and LBS measured in childhood predicted autistic features, as assessed with the SCQ in the adolescence. SCQ follow-up total score was the dependent variable and EF, </w:t>
      </w:r>
      <w:proofErr w:type="spellStart"/>
      <w:r w:rsidRPr="004272B3">
        <w:rPr>
          <w:rFonts w:ascii="Times New Roman" w:hAnsi="Times New Roman" w:cs="Times New Roman"/>
          <w:lang w:val="en-US"/>
        </w:rPr>
        <w:lastRenderedPageBreak/>
        <w:t>ToM</w:t>
      </w:r>
      <w:proofErr w:type="spellEnd"/>
      <w:r w:rsidRPr="004272B3">
        <w:rPr>
          <w:rFonts w:ascii="Times New Roman" w:hAnsi="Times New Roman" w:cs="Times New Roman"/>
          <w:lang w:val="en-US"/>
        </w:rPr>
        <w:t>, SDQ and LBS total scores at baseline were the main predictor variables. The statistical significance was set at p ≤ 0.05 in all analyses.</w:t>
      </w:r>
    </w:p>
    <w:p w14:paraId="17C09425" w14:textId="77777777" w:rsidR="00846BBC" w:rsidRPr="004272B3" w:rsidRDefault="00846BBC" w:rsidP="00846BBC">
      <w:pPr>
        <w:spacing w:line="480" w:lineRule="auto"/>
        <w:rPr>
          <w:rFonts w:ascii="Times New Roman" w:hAnsi="Times New Roman" w:cs="Times New Roman"/>
          <w:lang w:val="en-US"/>
        </w:rPr>
      </w:pPr>
    </w:p>
    <w:p w14:paraId="52000863" w14:textId="77777777" w:rsidR="00846BBC" w:rsidRPr="004272B3" w:rsidRDefault="00846BBC" w:rsidP="00846BBC">
      <w:pPr>
        <w:spacing w:line="480" w:lineRule="auto"/>
        <w:rPr>
          <w:rFonts w:ascii="Times New Roman" w:hAnsi="Times New Roman" w:cs="Times New Roman"/>
          <w:b/>
          <w:bCs/>
          <w:lang w:val="en-US"/>
        </w:rPr>
      </w:pPr>
      <w:r w:rsidRPr="004272B3">
        <w:rPr>
          <w:rFonts w:ascii="Times New Roman" w:hAnsi="Times New Roman" w:cs="Times New Roman"/>
          <w:b/>
          <w:bCs/>
          <w:lang w:val="en-US"/>
        </w:rPr>
        <w:t>Results</w:t>
      </w:r>
    </w:p>
    <w:p w14:paraId="664E999A" w14:textId="77777777" w:rsidR="00846BBC" w:rsidRPr="004272B3" w:rsidRDefault="00846BBC" w:rsidP="00846BBC">
      <w:pPr>
        <w:spacing w:line="480" w:lineRule="auto"/>
        <w:rPr>
          <w:rFonts w:ascii="Times New Roman" w:eastAsia="Times New Roman" w:hAnsi="Times New Roman" w:cs="Times New Roman"/>
          <w:i/>
          <w:iCs/>
          <w:lang w:val="en-US"/>
        </w:rPr>
      </w:pPr>
      <w:r w:rsidRPr="004272B3">
        <w:rPr>
          <w:rFonts w:ascii="Times New Roman" w:hAnsi="Times New Roman" w:cs="Times New Roman"/>
          <w:i/>
          <w:iCs/>
          <w:lang w:val="en-US"/>
        </w:rPr>
        <w:t>Developmental profile and changes in adolescence of children with ASD+</w:t>
      </w:r>
      <w:r w:rsidRPr="004272B3">
        <w:rPr>
          <w:rFonts w:ascii="Times New Roman" w:eastAsia="Times New Roman" w:hAnsi="Times New Roman" w:cs="Times New Roman"/>
          <w:i/>
          <w:iCs/>
          <w:lang w:val="en-US"/>
        </w:rPr>
        <w:t>ADHD</w:t>
      </w:r>
      <w:r w:rsidRPr="004272B3">
        <w:rPr>
          <w:rFonts w:ascii="Times New Roman" w:hAnsi="Times New Roman" w:cs="Times New Roman"/>
          <w:i/>
          <w:iCs/>
          <w:lang w:val="en-US"/>
        </w:rPr>
        <w:t xml:space="preserve"> and ASD-</w:t>
      </w:r>
      <w:r w:rsidRPr="004272B3">
        <w:rPr>
          <w:rFonts w:ascii="Times New Roman" w:eastAsia="Times New Roman" w:hAnsi="Times New Roman" w:cs="Times New Roman"/>
          <w:i/>
          <w:iCs/>
          <w:lang w:val="en-US"/>
        </w:rPr>
        <w:t>ADHD</w:t>
      </w:r>
      <w:r w:rsidRPr="004272B3">
        <w:rPr>
          <w:rFonts w:ascii="Times New Roman" w:hAnsi="Times New Roman" w:cs="Times New Roman"/>
          <w:i/>
          <w:iCs/>
          <w:lang w:val="en-US"/>
        </w:rPr>
        <w:t>:</w:t>
      </w:r>
    </w:p>
    <w:p w14:paraId="70678867" w14:textId="77777777" w:rsidR="00846BBC" w:rsidRPr="004272B3" w:rsidRDefault="00846BBC" w:rsidP="00846BBC">
      <w:pPr>
        <w:spacing w:line="480" w:lineRule="auto"/>
        <w:rPr>
          <w:rFonts w:ascii="Times New Roman" w:eastAsia="Times New Roman" w:hAnsi="Times New Roman" w:cs="Times New Roman"/>
          <w:i/>
          <w:iCs/>
          <w:lang w:val="en-US"/>
        </w:rPr>
      </w:pPr>
      <w:r w:rsidRPr="004272B3">
        <w:rPr>
          <w:rFonts w:ascii="Times New Roman" w:eastAsia="Times New Roman" w:hAnsi="Times New Roman" w:cs="Times New Roman"/>
          <w:i/>
          <w:iCs/>
          <w:lang w:val="en-US"/>
        </w:rPr>
        <w:t xml:space="preserve">ANOVA on executive functions </w:t>
      </w:r>
    </w:p>
    <w:p w14:paraId="5240A790" w14:textId="6C41FB14" w:rsidR="00846BBC" w:rsidRPr="004272B3" w:rsidRDefault="00846BBC" w:rsidP="00846BBC">
      <w:pPr>
        <w:spacing w:line="480" w:lineRule="auto"/>
        <w:rPr>
          <w:rFonts w:ascii="Times New Roman" w:hAnsi="Times New Roman" w:cs="Times New Roman"/>
          <w:lang w:val="en-US"/>
        </w:rPr>
      </w:pPr>
      <w:r w:rsidRPr="004272B3">
        <w:rPr>
          <w:rFonts w:ascii="Times New Roman" w:hAnsi="Times New Roman" w:cs="Times New Roman"/>
          <w:lang w:val="en-US"/>
        </w:rPr>
        <w:t>For the behaviour regulation index (BRI), there w</w:t>
      </w:r>
      <w:r w:rsidR="00A229ED" w:rsidRPr="004272B3">
        <w:rPr>
          <w:rFonts w:ascii="Times New Roman" w:hAnsi="Times New Roman" w:cs="Times New Roman"/>
          <w:lang w:val="en-US"/>
        </w:rPr>
        <w:t>ere</w:t>
      </w:r>
      <w:r w:rsidRPr="004272B3">
        <w:rPr>
          <w:rFonts w:ascii="Times New Roman" w:hAnsi="Times New Roman" w:cs="Times New Roman"/>
          <w:lang w:val="en-US"/>
        </w:rPr>
        <w:t xml:space="preserve"> significant main effect</w:t>
      </w:r>
      <w:r w:rsidR="00A229ED" w:rsidRPr="004272B3">
        <w:rPr>
          <w:rFonts w:ascii="Times New Roman" w:hAnsi="Times New Roman" w:cs="Times New Roman"/>
          <w:lang w:val="en-US"/>
        </w:rPr>
        <w:t>s</w:t>
      </w:r>
      <w:r w:rsidRPr="004272B3">
        <w:rPr>
          <w:rFonts w:ascii="Times New Roman" w:hAnsi="Times New Roman" w:cs="Times New Roman"/>
          <w:lang w:val="en-US"/>
        </w:rPr>
        <w:t xml:space="preserve"> of time, </w:t>
      </w:r>
      <w:r w:rsidR="00FA3AF2" w:rsidRPr="004272B3">
        <w:rPr>
          <w:rFonts w:ascii="Times New Roman" w:hAnsi="Times New Roman" w:cs="Times New Roman"/>
          <w:lang w:val="en-US"/>
        </w:rPr>
        <w:t>F (1, 43) = 7.34, p= .009, η</w:t>
      </w:r>
      <w:r w:rsidR="00FA3AF2" w:rsidRPr="004272B3">
        <w:rPr>
          <w:rFonts w:ascii="Times New Roman" w:hAnsi="Times New Roman" w:cs="Times New Roman"/>
          <w:vertAlign w:val="superscript"/>
          <w:lang w:val="en-US"/>
        </w:rPr>
        <w:t>2</w:t>
      </w:r>
      <w:r w:rsidR="00FA3AF2" w:rsidRPr="004272B3">
        <w:rPr>
          <w:rFonts w:ascii="Times New Roman" w:hAnsi="Times New Roman" w:cs="Times New Roman"/>
          <w:lang w:val="en-US"/>
        </w:rPr>
        <w:t xml:space="preserve"> = .147</w:t>
      </w:r>
      <w:r w:rsidR="00A229ED" w:rsidRPr="004272B3">
        <w:rPr>
          <w:rFonts w:ascii="Times New Roman" w:hAnsi="Times New Roman" w:cs="Times New Roman"/>
          <w:lang w:val="en-US"/>
        </w:rPr>
        <w:t xml:space="preserve">, and </w:t>
      </w:r>
      <w:r w:rsidRPr="004272B3">
        <w:rPr>
          <w:rFonts w:ascii="Times New Roman" w:hAnsi="Times New Roman" w:cs="Times New Roman"/>
          <w:shd w:val="clear" w:color="auto" w:fill="FFFFFF"/>
          <w:lang w:val="en-US"/>
        </w:rPr>
        <w:t>diagnostic status of the participant</w:t>
      </w:r>
      <w:r w:rsidRPr="004272B3">
        <w:rPr>
          <w:rFonts w:ascii="Times New Roman" w:hAnsi="Times New Roman" w:cs="Times New Roman"/>
          <w:lang w:val="en-US"/>
        </w:rPr>
        <w:t xml:space="preserve"> (group), F (1, 43) = </w:t>
      </w:r>
      <w:r w:rsidR="00A229ED" w:rsidRPr="004272B3">
        <w:rPr>
          <w:rFonts w:ascii="Times New Roman" w:hAnsi="Times New Roman" w:cs="Times New Roman"/>
          <w:lang w:val="en-US"/>
        </w:rPr>
        <w:t>6.29</w:t>
      </w:r>
      <w:r w:rsidRPr="004272B3">
        <w:rPr>
          <w:rFonts w:ascii="Times New Roman" w:hAnsi="Times New Roman" w:cs="Times New Roman"/>
          <w:lang w:val="en-US"/>
        </w:rPr>
        <w:t>, p= .0</w:t>
      </w:r>
      <w:r w:rsidR="00A229ED" w:rsidRPr="004272B3">
        <w:rPr>
          <w:rFonts w:ascii="Times New Roman" w:hAnsi="Times New Roman" w:cs="Times New Roman"/>
          <w:lang w:val="en-US"/>
        </w:rPr>
        <w:t>1</w:t>
      </w:r>
      <w:r w:rsidRPr="004272B3">
        <w:rPr>
          <w:rFonts w:ascii="Times New Roman" w:hAnsi="Times New Roman" w:cs="Times New Roman"/>
          <w:lang w:val="en-US"/>
        </w:rPr>
        <w:t>, η</w:t>
      </w:r>
      <w:r w:rsidRPr="004272B3">
        <w:rPr>
          <w:rFonts w:ascii="Times New Roman" w:hAnsi="Times New Roman" w:cs="Times New Roman"/>
          <w:vertAlign w:val="superscript"/>
          <w:lang w:val="en-US"/>
        </w:rPr>
        <w:t>2</w:t>
      </w:r>
      <w:r w:rsidRPr="004272B3">
        <w:rPr>
          <w:rFonts w:ascii="Times New Roman" w:hAnsi="Times New Roman" w:cs="Times New Roman"/>
          <w:lang w:val="en-US"/>
        </w:rPr>
        <w:t xml:space="preserve"> = .</w:t>
      </w:r>
      <w:r w:rsidR="00A229ED" w:rsidRPr="004272B3">
        <w:rPr>
          <w:rFonts w:ascii="Times New Roman" w:hAnsi="Times New Roman" w:cs="Times New Roman"/>
          <w:lang w:val="en-US"/>
        </w:rPr>
        <w:t>128</w:t>
      </w:r>
      <w:r w:rsidRPr="004272B3">
        <w:rPr>
          <w:rFonts w:ascii="Times New Roman" w:hAnsi="Times New Roman" w:cs="Times New Roman"/>
          <w:lang w:val="en-US"/>
        </w:rPr>
        <w:t xml:space="preserve">. There was no significant interaction between time and the </w:t>
      </w:r>
      <w:r w:rsidRPr="004272B3">
        <w:rPr>
          <w:rFonts w:ascii="Times New Roman" w:hAnsi="Times New Roman" w:cs="Times New Roman"/>
          <w:shd w:val="clear" w:color="auto" w:fill="FFFFFF"/>
          <w:lang w:val="en-US"/>
        </w:rPr>
        <w:t>diagnostic status of the participant</w:t>
      </w:r>
      <w:r w:rsidRPr="004272B3">
        <w:rPr>
          <w:rFonts w:ascii="Times New Roman" w:hAnsi="Times New Roman" w:cs="Times New Roman"/>
          <w:lang w:val="en-US"/>
        </w:rPr>
        <w:t>, F (1, 43) = 2.</w:t>
      </w:r>
      <w:r w:rsidR="006C2CC6" w:rsidRPr="004272B3">
        <w:rPr>
          <w:rFonts w:ascii="Times New Roman" w:hAnsi="Times New Roman" w:cs="Times New Roman"/>
          <w:lang w:val="en-US"/>
        </w:rPr>
        <w:t>025</w:t>
      </w:r>
      <w:r w:rsidRPr="004272B3">
        <w:rPr>
          <w:rFonts w:ascii="Times New Roman" w:hAnsi="Times New Roman" w:cs="Times New Roman"/>
          <w:lang w:val="en-US"/>
        </w:rPr>
        <w:t>, p= .1</w:t>
      </w:r>
      <w:r w:rsidR="006C2CC6" w:rsidRPr="004272B3">
        <w:rPr>
          <w:rFonts w:ascii="Times New Roman" w:hAnsi="Times New Roman" w:cs="Times New Roman"/>
          <w:lang w:val="en-US"/>
        </w:rPr>
        <w:t>6</w:t>
      </w:r>
      <w:r w:rsidRPr="004272B3">
        <w:rPr>
          <w:rFonts w:ascii="Times New Roman" w:hAnsi="Times New Roman" w:cs="Times New Roman"/>
          <w:lang w:val="en-US"/>
        </w:rPr>
        <w:t>2, η</w:t>
      </w:r>
      <w:r w:rsidRPr="004272B3">
        <w:rPr>
          <w:rFonts w:ascii="Times New Roman" w:hAnsi="Times New Roman" w:cs="Times New Roman"/>
          <w:vertAlign w:val="superscript"/>
          <w:lang w:val="en-US"/>
        </w:rPr>
        <w:t>2</w:t>
      </w:r>
      <w:r w:rsidRPr="004272B3">
        <w:rPr>
          <w:rFonts w:ascii="Times New Roman" w:hAnsi="Times New Roman" w:cs="Times New Roman"/>
          <w:lang w:val="en-US"/>
        </w:rPr>
        <w:t xml:space="preserve"> = .0</w:t>
      </w:r>
      <w:r w:rsidR="006C2CC6" w:rsidRPr="004272B3">
        <w:rPr>
          <w:rFonts w:ascii="Times New Roman" w:hAnsi="Times New Roman" w:cs="Times New Roman"/>
          <w:lang w:val="en-US"/>
        </w:rPr>
        <w:t>4</w:t>
      </w:r>
      <w:r w:rsidRPr="004272B3">
        <w:rPr>
          <w:rFonts w:ascii="Times New Roman" w:hAnsi="Times New Roman" w:cs="Times New Roman"/>
          <w:lang w:val="en-US"/>
        </w:rPr>
        <w:t>5 (</w:t>
      </w:r>
      <w:r w:rsidRPr="004272B3">
        <w:rPr>
          <w:rFonts w:ascii="Times New Roman" w:eastAsia="Times New Roman" w:hAnsi="Times New Roman" w:cs="Times New Roman"/>
          <w:lang w:val="en-US"/>
        </w:rPr>
        <w:t>see Table 2).</w:t>
      </w:r>
      <w:r w:rsidRPr="004272B3">
        <w:rPr>
          <w:rFonts w:ascii="Times New Roman" w:eastAsia="Times New Roman" w:hAnsi="Times New Roman" w:cs="Times New Roman"/>
          <w:lang w:val="en-US"/>
        </w:rPr>
        <w:tab/>
      </w:r>
      <w:r w:rsidRPr="004272B3">
        <w:rPr>
          <w:rFonts w:ascii="Times New Roman" w:eastAsia="Times New Roman" w:hAnsi="Times New Roman" w:cs="Times New Roman"/>
          <w:lang w:val="en-US"/>
        </w:rPr>
        <w:tab/>
      </w:r>
      <w:r w:rsidRPr="004272B3">
        <w:rPr>
          <w:rFonts w:ascii="Times New Roman" w:eastAsia="Times New Roman" w:hAnsi="Times New Roman" w:cs="Times New Roman"/>
          <w:lang w:val="en-US"/>
        </w:rPr>
        <w:tab/>
      </w:r>
      <w:r w:rsidRPr="004272B3">
        <w:rPr>
          <w:rFonts w:ascii="Times New Roman" w:eastAsia="Times New Roman" w:hAnsi="Times New Roman" w:cs="Times New Roman"/>
          <w:lang w:val="en-US"/>
        </w:rPr>
        <w:tab/>
      </w:r>
    </w:p>
    <w:p w14:paraId="1569309B" w14:textId="286F3FFB" w:rsidR="00846BBC" w:rsidRPr="004272B3" w:rsidRDefault="00846BBC" w:rsidP="00846BBC">
      <w:pPr>
        <w:spacing w:line="480" w:lineRule="auto"/>
        <w:rPr>
          <w:rFonts w:ascii="Times New Roman" w:hAnsi="Times New Roman" w:cs="Times New Roman"/>
          <w:lang w:val="en-US"/>
        </w:rPr>
      </w:pPr>
      <w:r w:rsidRPr="004272B3">
        <w:rPr>
          <w:rFonts w:ascii="Times New Roman" w:hAnsi="Times New Roman" w:cs="Times New Roman"/>
          <w:lang w:val="en-US"/>
        </w:rPr>
        <w:t xml:space="preserve">For the metacognition index (MI), time </w:t>
      </w:r>
      <w:r w:rsidR="002079DF" w:rsidRPr="004272B3">
        <w:rPr>
          <w:rFonts w:ascii="Times New Roman" w:hAnsi="Times New Roman" w:cs="Times New Roman"/>
          <w:lang w:val="en-US"/>
        </w:rPr>
        <w:t>had</w:t>
      </w:r>
      <w:r w:rsidRPr="004272B3">
        <w:rPr>
          <w:rFonts w:ascii="Times New Roman" w:hAnsi="Times New Roman" w:cs="Times New Roman"/>
          <w:lang w:val="en-US"/>
        </w:rPr>
        <w:t xml:space="preserve"> a </w:t>
      </w:r>
      <w:r w:rsidR="002079DF" w:rsidRPr="004272B3">
        <w:rPr>
          <w:rFonts w:ascii="Times New Roman" w:hAnsi="Times New Roman" w:cs="Times New Roman"/>
          <w:lang w:val="en-US"/>
        </w:rPr>
        <w:t xml:space="preserve">statistically </w:t>
      </w:r>
      <w:r w:rsidRPr="004272B3">
        <w:rPr>
          <w:rFonts w:ascii="Times New Roman" w:hAnsi="Times New Roman" w:cs="Times New Roman"/>
          <w:lang w:val="en-US"/>
        </w:rPr>
        <w:t>significant impact on the scores (F (1, 43) =</w:t>
      </w:r>
      <w:r w:rsidR="002079DF" w:rsidRPr="004272B3">
        <w:rPr>
          <w:rFonts w:ascii="Times New Roman" w:hAnsi="Times New Roman" w:cs="Times New Roman"/>
          <w:lang w:val="en-US"/>
        </w:rPr>
        <w:t>10.18</w:t>
      </w:r>
      <w:r w:rsidRPr="004272B3">
        <w:rPr>
          <w:rFonts w:ascii="Times New Roman" w:hAnsi="Times New Roman" w:cs="Times New Roman"/>
          <w:lang w:val="en-US"/>
        </w:rPr>
        <w:t>, p= .</w:t>
      </w:r>
      <w:r w:rsidR="002079DF" w:rsidRPr="004272B3">
        <w:rPr>
          <w:rFonts w:ascii="Times New Roman" w:hAnsi="Times New Roman" w:cs="Times New Roman"/>
          <w:lang w:val="en-US"/>
        </w:rPr>
        <w:t>003</w:t>
      </w:r>
      <w:r w:rsidRPr="004272B3">
        <w:rPr>
          <w:rFonts w:ascii="Times New Roman" w:hAnsi="Times New Roman" w:cs="Times New Roman"/>
          <w:lang w:val="en-US"/>
        </w:rPr>
        <w:t xml:space="preserve">, </w:t>
      </w:r>
      <w:r w:rsidRPr="004272B3">
        <w:rPr>
          <w:rFonts w:ascii="Times New Roman" w:hAnsi="Times New Roman" w:cs="Times New Roman"/>
          <w:bCs/>
          <w:iCs/>
        </w:rPr>
        <w:t>η</w:t>
      </w:r>
      <w:r w:rsidRPr="004272B3">
        <w:rPr>
          <w:rFonts w:ascii="Times New Roman" w:hAnsi="Times New Roman" w:cs="Times New Roman"/>
          <w:bCs/>
          <w:iCs/>
          <w:vertAlign w:val="superscript"/>
          <w:lang w:val="en-US"/>
        </w:rPr>
        <w:t>2</w:t>
      </w:r>
      <w:r w:rsidRPr="004272B3">
        <w:rPr>
          <w:rFonts w:ascii="Times New Roman" w:hAnsi="Times New Roman" w:cs="Times New Roman"/>
          <w:b/>
          <w:iCs/>
          <w:vertAlign w:val="superscript"/>
          <w:lang w:val="en-US"/>
        </w:rPr>
        <w:t xml:space="preserve"> </w:t>
      </w:r>
      <w:r w:rsidRPr="004272B3">
        <w:rPr>
          <w:rFonts w:ascii="Times New Roman" w:hAnsi="Times New Roman" w:cs="Times New Roman"/>
          <w:lang w:val="en-US"/>
        </w:rPr>
        <w:t>=</w:t>
      </w:r>
      <w:r w:rsidRPr="004272B3">
        <w:rPr>
          <w:lang w:val="en-US"/>
        </w:rPr>
        <w:t xml:space="preserve"> </w:t>
      </w:r>
      <w:r w:rsidRPr="004272B3">
        <w:rPr>
          <w:rFonts w:ascii="Times New Roman" w:hAnsi="Times New Roman" w:cs="Times New Roman"/>
          <w:lang w:val="en-US"/>
        </w:rPr>
        <w:t>.1</w:t>
      </w:r>
      <w:r w:rsidR="002079DF" w:rsidRPr="004272B3">
        <w:rPr>
          <w:rFonts w:ascii="Times New Roman" w:hAnsi="Times New Roman" w:cs="Times New Roman"/>
          <w:lang w:val="en-US"/>
        </w:rPr>
        <w:t>92</w:t>
      </w:r>
      <w:r w:rsidRPr="004272B3">
        <w:rPr>
          <w:rFonts w:ascii="Times New Roman" w:hAnsi="Times New Roman" w:cs="Times New Roman"/>
          <w:lang w:val="en-US"/>
        </w:rPr>
        <w:t>). Th</w:t>
      </w:r>
      <w:r w:rsidR="00B50E1B" w:rsidRPr="004272B3">
        <w:rPr>
          <w:rFonts w:ascii="Times New Roman" w:hAnsi="Times New Roman" w:cs="Times New Roman"/>
          <w:lang w:val="en-US"/>
        </w:rPr>
        <w:t>e</w:t>
      </w:r>
      <w:r w:rsidRPr="004272B3">
        <w:rPr>
          <w:rFonts w:ascii="Times New Roman" w:hAnsi="Times New Roman" w:cs="Times New Roman"/>
          <w:lang w:val="en-US"/>
        </w:rPr>
        <w:t xml:space="preserve"> </w:t>
      </w:r>
      <w:r w:rsidRPr="004272B3">
        <w:rPr>
          <w:rFonts w:ascii="Times New Roman" w:hAnsi="Times New Roman" w:cs="Times New Roman"/>
          <w:shd w:val="clear" w:color="auto" w:fill="FFFFFF"/>
          <w:lang w:val="en-US"/>
        </w:rPr>
        <w:t>diagnostic status of the participant</w:t>
      </w:r>
      <w:r w:rsidRPr="004272B3">
        <w:rPr>
          <w:rFonts w:ascii="Times New Roman" w:hAnsi="Times New Roman" w:cs="Times New Roman"/>
          <w:lang w:val="en-US"/>
        </w:rPr>
        <w:t xml:space="preserve"> (group) </w:t>
      </w:r>
      <w:r w:rsidR="002079DF" w:rsidRPr="004272B3">
        <w:rPr>
          <w:rFonts w:ascii="Times New Roman" w:hAnsi="Times New Roman" w:cs="Times New Roman"/>
          <w:lang w:val="en-US"/>
        </w:rPr>
        <w:t xml:space="preserve">also </w:t>
      </w:r>
      <w:r w:rsidRPr="004272B3">
        <w:rPr>
          <w:rFonts w:ascii="Times New Roman" w:hAnsi="Times New Roman" w:cs="Times New Roman"/>
          <w:lang w:val="en-US"/>
        </w:rPr>
        <w:t>had a significant and large effect on the MI: F (1, 43) = 1</w:t>
      </w:r>
      <w:r w:rsidR="002079DF" w:rsidRPr="004272B3">
        <w:rPr>
          <w:rFonts w:ascii="Times New Roman" w:hAnsi="Times New Roman" w:cs="Times New Roman"/>
          <w:lang w:val="en-US"/>
        </w:rPr>
        <w:t>7.72</w:t>
      </w:r>
      <w:r w:rsidRPr="004272B3">
        <w:rPr>
          <w:rFonts w:ascii="Times New Roman" w:hAnsi="Times New Roman" w:cs="Times New Roman"/>
          <w:lang w:val="en-US"/>
        </w:rPr>
        <w:t xml:space="preserve">, p&lt; .01, </w:t>
      </w:r>
      <w:r w:rsidRPr="004272B3">
        <w:rPr>
          <w:rFonts w:ascii="Times New Roman" w:hAnsi="Times New Roman" w:cs="Times New Roman"/>
          <w:bCs/>
          <w:iCs/>
        </w:rPr>
        <w:t>η</w:t>
      </w:r>
      <w:r w:rsidRPr="004272B3">
        <w:rPr>
          <w:rFonts w:ascii="Times New Roman" w:hAnsi="Times New Roman" w:cs="Times New Roman"/>
          <w:bCs/>
          <w:iCs/>
          <w:vertAlign w:val="superscript"/>
          <w:lang w:val="en-US"/>
        </w:rPr>
        <w:t xml:space="preserve">2 </w:t>
      </w:r>
      <w:r w:rsidRPr="004272B3">
        <w:rPr>
          <w:rFonts w:ascii="Times New Roman" w:hAnsi="Times New Roman" w:cs="Times New Roman"/>
          <w:lang w:val="en-US"/>
        </w:rPr>
        <w:t>=.2</w:t>
      </w:r>
      <w:r w:rsidR="002079DF" w:rsidRPr="004272B3">
        <w:rPr>
          <w:rFonts w:ascii="Times New Roman" w:hAnsi="Times New Roman" w:cs="Times New Roman"/>
          <w:lang w:val="en-US"/>
        </w:rPr>
        <w:t>92</w:t>
      </w:r>
      <w:r w:rsidRPr="004272B3">
        <w:rPr>
          <w:rFonts w:ascii="Times New Roman" w:hAnsi="Times New Roman" w:cs="Times New Roman"/>
          <w:lang w:val="en-US"/>
        </w:rPr>
        <w:t xml:space="preserve">, with the ASD-ADHD group showing better scores at both assessment points. Finally, </w:t>
      </w:r>
      <w:r w:rsidR="00900605" w:rsidRPr="004272B3">
        <w:rPr>
          <w:rFonts w:ascii="Times New Roman" w:hAnsi="Times New Roman" w:cs="Times New Roman"/>
          <w:lang w:val="en-US"/>
        </w:rPr>
        <w:t xml:space="preserve">no significant effect was found for the </w:t>
      </w:r>
      <w:r w:rsidRPr="004272B3">
        <w:rPr>
          <w:rFonts w:ascii="Times New Roman" w:hAnsi="Times New Roman" w:cs="Times New Roman"/>
          <w:lang w:val="en-US"/>
        </w:rPr>
        <w:t xml:space="preserve">interaction (time x group) : F (1, 43) = </w:t>
      </w:r>
      <w:r w:rsidR="00900605" w:rsidRPr="004272B3">
        <w:rPr>
          <w:rFonts w:ascii="Times New Roman" w:hAnsi="Times New Roman" w:cs="Times New Roman"/>
          <w:lang w:val="en-US"/>
        </w:rPr>
        <w:t>3.13</w:t>
      </w:r>
      <w:r w:rsidRPr="004272B3">
        <w:rPr>
          <w:rFonts w:ascii="Times New Roman" w:hAnsi="Times New Roman" w:cs="Times New Roman"/>
          <w:lang w:val="en-US"/>
        </w:rPr>
        <w:t>, p</w:t>
      </w:r>
      <w:r w:rsidR="00900605" w:rsidRPr="004272B3">
        <w:rPr>
          <w:rFonts w:ascii="Times New Roman" w:hAnsi="Times New Roman" w:cs="Times New Roman"/>
          <w:lang w:val="en-US"/>
        </w:rPr>
        <w:t>=.08</w:t>
      </w:r>
      <w:r w:rsidRPr="004272B3">
        <w:rPr>
          <w:rFonts w:ascii="Times New Roman" w:hAnsi="Times New Roman" w:cs="Times New Roman"/>
          <w:lang w:val="en-US"/>
        </w:rPr>
        <w:t xml:space="preserve">, </w:t>
      </w:r>
      <w:bookmarkStart w:id="3" w:name="_Hlk94608162"/>
      <w:r w:rsidRPr="004272B3">
        <w:rPr>
          <w:bCs/>
          <w:iCs/>
        </w:rPr>
        <w:t>η</w:t>
      </w:r>
      <w:r w:rsidRPr="004272B3">
        <w:rPr>
          <w:bCs/>
          <w:iCs/>
          <w:vertAlign w:val="superscript"/>
          <w:lang w:val="en-US"/>
        </w:rPr>
        <w:t xml:space="preserve">2 </w:t>
      </w:r>
      <w:r w:rsidRPr="004272B3">
        <w:rPr>
          <w:lang w:val="en-US"/>
        </w:rPr>
        <w:t>=</w:t>
      </w:r>
      <w:r w:rsidRPr="004272B3">
        <w:rPr>
          <w:rFonts w:ascii="Times New Roman" w:hAnsi="Times New Roman" w:cs="Times New Roman"/>
          <w:lang w:val="en-US"/>
        </w:rPr>
        <w:t>.</w:t>
      </w:r>
      <w:r w:rsidR="00900605" w:rsidRPr="004272B3">
        <w:rPr>
          <w:rFonts w:ascii="Times New Roman" w:hAnsi="Times New Roman" w:cs="Times New Roman"/>
          <w:lang w:val="en-US"/>
        </w:rPr>
        <w:t>068</w:t>
      </w:r>
      <w:r w:rsidR="00FA5761" w:rsidRPr="004272B3">
        <w:rPr>
          <w:rFonts w:ascii="Times New Roman" w:hAnsi="Times New Roman" w:cs="Times New Roman"/>
          <w:lang w:val="en-US"/>
        </w:rPr>
        <w:t xml:space="preserve"> </w:t>
      </w:r>
      <w:bookmarkEnd w:id="3"/>
      <w:r w:rsidR="00FA5761" w:rsidRPr="004272B3">
        <w:rPr>
          <w:rFonts w:ascii="Times New Roman" w:hAnsi="Times New Roman" w:cs="Times New Roman"/>
          <w:lang w:val="en-US"/>
        </w:rPr>
        <w:t>(</w:t>
      </w:r>
      <w:r w:rsidR="00FA5761" w:rsidRPr="004272B3">
        <w:rPr>
          <w:rFonts w:ascii="Times New Roman" w:eastAsia="Times New Roman" w:hAnsi="Times New Roman" w:cs="Times New Roman"/>
          <w:lang w:val="en-US"/>
        </w:rPr>
        <w:t>see Table 2).</w:t>
      </w:r>
    </w:p>
    <w:p w14:paraId="7F7A765B" w14:textId="77777777" w:rsidR="00846BBC" w:rsidRPr="004272B3" w:rsidRDefault="00846BBC" w:rsidP="00846BBC">
      <w:pPr>
        <w:spacing w:line="480" w:lineRule="auto"/>
        <w:rPr>
          <w:rFonts w:ascii="Times New Roman" w:eastAsia="Times New Roman" w:hAnsi="Times New Roman" w:cs="Times New Roman"/>
          <w:i/>
          <w:iCs/>
          <w:lang w:val="en-US"/>
        </w:rPr>
      </w:pPr>
      <w:r w:rsidRPr="004272B3">
        <w:rPr>
          <w:rFonts w:ascii="Times New Roman" w:eastAsia="Times New Roman" w:hAnsi="Times New Roman" w:cs="Times New Roman"/>
          <w:i/>
          <w:iCs/>
          <w:lang w:val="en-US"/>
        </w:rPr>
        <w:t>ANOVA on theory of mind</w:t>
      </w:r>
    </w:p>
    <w:p w14:paraId="745440FA" w14:textId="46471FED" w:rsidR="00846BBC" w:rsidRPr="004272B3" w:rsidRDefault="00846BBC" w:rsidP="00846BBC">
      <w:pPr>
        <w:spacing w:line="480" w:lineRule="auto"/>
        <w:rPr>
          <w:rFonts w:ascii="Times New Roman" w:hAnsi="Times New Roman" w:cs="Times New Roman"/>
          <w:lang w:val="en-US"/>
        </w:rPr>
      </w:pPr>
      <w:bookmarkStart w:id="4" w:name="_Hlk90662689"/>
      <w:r w:rsidRPr="004272B3">
        <w:rPr>
          <w:rFonts w:ascii="Times New Roman" w:eastAsia="Times New Roman" w:hAnsi="Times New Roman" w:cs="Times New Roman"/>
          <w:lang w:val="en-US"/>
        </w:rPr>
        <w:t>For theory of mind (</w:t>
      </w:r>
      <w:proofErr w:type="spellStart"/>
      <w:r w:rsidRPr="004272B3">
        <w:rPr>
          <w:rFonts w:ascii="Times New Roman" w:eastAsia="Times New Roman" w:hAnsi="Times New Roman" w:cs="Times New Roman"/>
          <w:lang w:val="en-US"/>
        </w:rPr>
        <w:t>ToM</w:t>
      </w:r>
      <w:proofErr w:type="spellEnd"/>
      <w:r w:rsidRPr="004272B3">
        <w:rPr>
          <w:rFonts w:ascii="Times New Roman" w:eastAsia="Times New Roman" w:hAnsi="Times New Roman" w:cs="Times New Roman"/>
          <w:lang w:val="en-US"/>
        </w:rPr>
        <w:t xml:space="preserve">), time had a significant main effect, </w:t>
      </w:r>
      <w:r w:rsidRPr="004272B3">
        <w:rPr>
          <w:rFonts w:ascii="Times New Roman" w:hAnsi="Times New Roman" w:cs="Times New Roman"/>
          <w:lang w:val="en-US"/>
        </w:rPr>
        <w:t xml:space="preserve">F (1, 43) = 6.97, p&lt; .05, </w:t>
      </w:r>
      <w:r w:rsidRPr="004272B3">
        <w:rPr>
          <w:rFonts w:ascii="Times New Roman" w:hAnsi="Times New Roman" w:cs="Times New Roman"/>
          <w:bCs/>
          <w:iCs/>
        </w:rPr>
        <w:t>η</w:t>
      </w:r>
      <w:r w:rsidRPr="004272B3">
        <w:rPr>
          <w:rFonts w:ascii="Times New Roman" w:hAnsi="Times New Roman" w:cs="Times New Roman"/>
          <w:bCs/>
          <w:iCs/>
          <w:vertAlign w:val="superscript"/>
          <w:lang w:val="en-US"/>
        </w:rPr>
        <w:t xml:space="preserve">2 </w:t>
      </w:r>
      <w:r w:rsidRPr="004272B3">
        <w:rPr>
          <w:rFonts w:ascii="Times New Roman" w:hAnsi="Times New Roman" w:cs="Times New Roman"/>
          <w:lang w:val="en-US"/>
        </w:rPr>
        <w:t xml:space="preserve">=.139, and participants tended to improve. There was a significant effect for </w:t>
      </w:r>
      <w:r w:rsidRPr="004272B3">
        <w:rPr>
          <w:rFonts w:ascii="Times New Roman" w:hAnsi="Times New Roman" w:cs="Times New Roman"/>
          <w:shd w:val="clear" w:color="auto" w:fill="FFFFFF"/>
          <w:lang w:val="en-US"/>
        </w:rPr>
        <w:t>diagnostic status of the participant</w:t>
      </w:r>
      <w:r w:rsidRPr="004272B3">
        <w:rPr>
          <w:rFonts w:ascii="Times New Roman" w:hAnsi="Times New Roman" w:cs="Times New Roman"/>
          <w:lang w:val="en-US"/>
        </w:rPr>
        <w:t xml:space="preserve"> (group), F (1, 43) = 10.36, p&lt; .005, </w:t>
      </w:r>
      <w:r w:rsidRPr="004272B3">
        <w:rPr>
          <w:bCs/>
          <w:iCs/>
        </w:rPr>
        <w:t>η</w:t>
      </w:r>
      <w:r w:rsidRPr="004272B3">
        <w:rPr>
          <w:bCs/>
          <w:iCs/>
          <w:vertAlign w:val="superscript"/>
          <w:lang w:val="en-US"/>
        </w:rPr>
        <w:t xml:space="preserve">2 </w:t>
      </w:r>
      <w:r w:rsidRPr="004272B3">
        <w:rPr>
          <w:lang w:val="en-US"/>
        </w:rPr>
        <w:t>=</w:t>
      </w:r>
      <w:r w:rsidRPr="004272B3">
        <w:rPr>
          <w:rFonts w:ascii="Times New Roman" w:hAnsi="Times New Roman" w:cs="Times New Roman"/>
          <w:lang w:val="en-US"/>
        </w:rPr>
        <w:t>.194, and ASD-ADHD individuals scored better than the ASD+ADHD group at both assessments.</w:t>
      </w:r>
      <w:bookmarkEnd w:id="4"/>
      <w:r w:rsidRPr="004272B3">
        <w:rPr>
          <w:rFonts w:ascii="Times New Roman" w:hAnsi="Times New Roman" w:cs="Times New Roman"/>
          <w:lang w:val="en-US"/>
        </w:rPr>
        <w:t xml:space="preserve"> No significant interaction between time and</w:t>
      </w:r>
      <w:r w:rsidR="00B50E1B" w:rsidRPr="004272B3">
        <w:rPr>
          <w:rFonts w:ascii="Times New Roman" w:hAnsi="Times New Roman" w:cs="Times New Roman"/>
          <w:lang w:val="en-US"/>
        </w:rPr>
        <w:t xml:space="preserve"> </w:t>
      </w:r>
      <w:r w:rsidRPr="004272B3">
        <w:rPr>
          <w:rFonts w:ascii="Times New Roman" w:hAnsi="Times New Roman" w:cs="Times New Roman"/>
          <w:shd w:val="clear" w:color="auto" w:fill="FFFFFF"/>
          <w:lang w:val="en-US"/>
        </w:rPr>
        <w:t>diagnostic status of the participant</w:t>
      </w:r>
      <w:r w:rsidRPr="004272B3">
        <w:rPr>
          <w:rFonts w:ascii="Times New Roman" w:hAnsi="Times New Roman" w:cs="Times New Roman"/>
          <w:lang w:val="en-US"/>
        </w:rPr>
        <w:t xml:space="preserve"> (time x group) was found (F (1, 43) =.145, p= .705, η</w:t>
      </w:r>
      <w:r w:rsidRPr="004272B3">
        <w:rPr>
          <w:rFonts w:ascii="Times New Roman" w:hAnsi="Times New Roman" w:cs="Times New Roman"/>
          <w:vertAlign w:val="superscript"/>
          <w:lang w:val="en-US"/>
        </w:rPr>
        <w:t>2</w:t>
      </w:r>
      <w:r w:rsidRPr="004272B3">
        <w:rPr>
          <w:rFonts w:ascii="Times New Roman" w:hAnsi="Times New Roman" w:cs="Times New Roman"/>
          <w:lang w:val="en-US"/>
        </w:rPr>
        <w:t xml:space="preserve"> = .003) (</w:t>
      </w:r>
      <w:r w:rsidRPr="004272B3">
        <w:rPr>
          <w:rFonts w:ascii="Times New Roman" w:eastAsia="Times New Roman" w:hAnsi="Times New Roman" w:cs="Times New Roman"/>
          <w:lang w:val="en-US"/>
        </w:rPr>
        <w:t>see Table 2).</w:t>
      </w:r>
    </w:p>
    <w:p w14:paraId="5F4D9AC6" w14:textId="77777777" w:rsidR="00846BBC" w:rsidRPr="004272B3" w:rsidRDefault="00846BBC" w:rsidP="00846BBC">
      <w:pPr>
        <w:spacing w:line="480" w:lineRule="auto"/>
        <w:rPr>
          <w:rFonts w:ascii="Times New Roman" w:eastAsia="Times New Roman" w:hAnsi="Times New Roman" w:cs="Times New Roman"/>
          <w:i/>
          <w:iCs/>
          <w:lang w:val="en-US"/>
        </w:rPr>
      </w:pPr>
      <w:r w:rsidRPr="004272B3">
        <w:rPr>
          <w:rFonts w:ascii="Times New Roman" w:eastAsia="Times New Roman" w:hAnsi="Times New Roman" w:cs="Times New Roman"/>
          <w:i/>
          <w:iCs/>
          <w:lang w:val="en-US"/>
        </w:rPr>
        <w:t xml:space="preserve">ANOVA on emotional and behavioural problems </w:t>
      </w:r>
    </w:p>
    <w:p w14:paraId="3F3783C2" w14:textId="789CED8E" w:rsidR="00846BBC" w:rsidRPr="004272B3" w:rsidRDefault="00846BBC" w:rsidP="00846BBC">
      <w:pPr>
        <w:spacing w:line="480" w:lineRule="auto"/>
        <w:rPr>
          <w:rFonts w:ascii="Times New Roman" w:eastAsia="Times New Roman" w:hAnsi="Times New Roman" w:cs="Times New Roman"/>
          <w:lang w:val="en-US"/>
        </w:rPr>
      </w:pPr>
      <w:r w:rsidRPr="004272B3">
        <w:rPr>
          <w:rFonts w:ascii="Times New Roman" w:hAnsi="Times New Roman" w:cs="Times New Roman"/>
          <w:lang w:val="en-US"/>
        </w:rPr>
        <w:lastRenderedPageBreak/>
        <w:t xml:space="preserve">Time did not have a significant impact on the scores of internalizing/externalizing problems (F(1, 43)= 2.84, p= .099, </w:t>
      </w:r>
      <w:r w:rsidRPr="004272B3">
        <w:rPr>
          <w:rFonts w:ascii="Symbol" w:hAnsi="Symbol" w:cs="Times New Roman"/>
          <w:lang w:val="en-US"/>
        </w:rPr>
        <w:t></w:t>
      </w:r>
      <w:r w:rsidRPr="004272B3">
        <w:rPr>
          <w:rFonts w:ascii="Times New Roman" w:hAnsi="Times New Roman" w:cs="Times New Roman"/>
          <w:vertAlign w:val="superscript"/>
          <w:lang w:val="en-US"/>
        </w:rPr>
        <w:t>2</w:t>
      </w:r>
      <w:r w:rsidRPr="004272B3">
        <w:rPr>
          <w:rFonts w:ascii="Times New Roman" w:hAnsi="Times New Roman" w:cs="Times New Roman"/>
          <w:lang w:val="en-US"/>
        </w:rPr>
        <w:t xml:space="preserve">= .062). On the other hand, the </w:t>
      </w:r>
      <w:r w:rsidRPr="004272B3">
        <w:rPr>
          <w:rFonts w:ascii="Times New Roman" w:hAnsi="Times New Roman" w:cs="Times New Roman"/>
          <w:shd w:val="clear" w:color="auto" w:fill="FFFFFF"/>
          <w:lang w:val="en-US"/>
        </w:rPr>
        <w:t>diagnostic status of the participant</w:t>
      </w:r>
      <w:r w:rsidRPr="004272B3">
        <w:rPr>
          <w:rFonts w:ascii="Times New Roman" w:hAnsi="Times New Roman" w:cs="Times New Roman"/>
          <w:lang w:val="en-US"/>
        </w:rPr>
        <w:t xml:space="preserve"> (group) had a significant effect on internalizing/externalizing problems: F(1,43)= 9.96, p&lt; .005, </w:t>
      </w:r>
      <w:r w:rsidRPr="004272B3">
        <w:rPr>
          <w:rFonts w:ascii="Symbol" w:hAnsi="Symbol" w:cs="Times New Roman"/>
          <w:lang w:val="en-US"/>
        </w:rPr>
        <w:t></w:t>
      </w:r>
      <w:r w:rsidRPr="004272B3">
        <w:rPr>
          <w:rFonts w:ascii="Times New Roman" w:hAnsi="Times New Roman" w:cs="Times New Roman"/>
          <w:vertAlign w:val="superscript"/>
          <w:lang w:val="en-US"/>
        </w:rPr>
        <w:t>2</w:t>
      </w:r>
      <w:r w:rsidRPr="004272B3">
        <w:rPr>
          <w:rFonts w:ascii="Times New Roman" w:hAnsi="Times New Roman" w:cs="Times New Roman"/>
          <w:lang w:val="en-US"/>
        </w:rPr>
        <w:t xml:space="preserve">= .188, with better scores in the ASD+ADHD group at T1 and T2. Finally, the interaction (time x group) was statistically significant (F(1, 43)= 4.49, p&lt; .05, </w:t>
      </w:r>
      <w:r w:rsidRPr="004272B3">
        <w:rPr>
          <w:rFonts w:ascii="Symbol" w:hAnsi="Symbol" w:cs="Times New Roman"/>
          <w:lang w:val="en-US"/>
        </w:rPr>
        <w:t></w:t>
      </w:r>
      <w:r w:rsidRPr="004272B3">
        <w:rPr>
          <w:rFonts w:ascii="Times New Roman" w:hAnsi="Times New Roman" w:cs="Times New Roman"/>
          <w:vertAlign w:val="superscript"/>
          <w:lang w:val="en-US"/>
        </w:rPr>
        <w:t>2</w:t>
      </w:r>
      <w:r w:rsidRPr="004272B3">
        <w:rPr>
          <w:rFonts w:ascii="Times New Roman" w:hAnsi="Times New Roman" w:cs="Times New Roman"/>
          <w:lang w:val="en-US"/>
        </w:rPr>
        <w:t>= .095), with improvements in the ASD+ADHD group, while the scores of the ASD-ADHD participants were very similar over time (</w:t>
      </w:r>
      <w:r w:rsidRPr="004272B3">
        <w:rPr>
          <w:rFonts w:ascii="Times New Roman" w:eastAsia="Times New Roman" w:hAnsi="Times New Roman" w:cs="Times New Roman"/>
          <w:lang w:val="en-US"/>
        </w:rPr>
        <w:t>see Table 2)</w:t>
      </w:r>
      <w:r w:rsidRPr="004272B3">
        <w:rPr>
          <w:rFonts w:ascii="Times New Roman" w:hAnsi="Times New Roman" w:cs="Times New Roman"/>
          <w:lang w:val="en-US"/>
        </w:rPr>
        <w:t>.</w:t>
      </w:r>
    </w:p>
    <w:p w14:paraId="4FC67D8C" w14:textId="77777777" w:rsidR="00846BBC" w:rsidRPr="004272B3" w:rsidRDefault="00846BBC" w:rsidP="00846BBC">
      <w:pPr>
        <w:spacing w:line="480" w:lineRule="auto"/>
        <w:rPr>
          <w:rFonts w:ascii="Times New Roman" w:eastAsia="Times New Roman" w:hAnsi="Times New Roman" w:cs="Times New Roman"/>
          <w:i/>
          <w:iCs/>
          <w:lang w:val="en-US"/>
        </w:rPr>
      </w:pPr>
      <w:r w:rsidRPr="004272B3">
        <w:rPr>
          <w:rFonts w:ascii="Times New Roman" w:eastAsia="Times New Roman" w:hAnsi="Times New Roman" w:cs="Times New Roman"/>
          <w:i/>
          <w:iCs/>
          <w:lang w:val="en-US"/>
        </w:rPr>
        <w:t xml:space="preserve">ANOVA on learning-related behaviours </w:t>
      </w:r>
    </w:p>
    <w:p w14:paraId="0CCB360F" w14:textId="77777777" w:rsidR="00846BBC" w:rsidRPr="004272B3" w:rsidRDefault="00846BBC" w:rsidP="00846BBC">
      <w:pPr>
        <w:spacing w:line="480" w:lineRule="auto"/>
        <w:rPr>
          <w:rFonts w:ascii="Times New Roman" w:eastAsia="Times New Roman" w:hAnsi="Times New Roman" w:cs="Times New Roman"/>
          <w:lang w:val="en-US"/>
        </w:rPr>
      </w:pPr>
      <w:r w:rsidRPr="004272B3">
        <w:rPr>
          <w:rFonts w:ascii="Times New Roman" w:hAnsi="Times New Roman" w:cs="Times New Roman"/>
          <w:lang w:val="en-US"/>
        </w:rPr>
        <w:t xml:space="preserve">Time had a significant impact on the learning scores, and both groups showed better outcomes at T2 (F(1, 43)= 4.19, p&lt; .05, </w:t>
      </w:r>
      <w:r w:rsidRPr="004272B3">
        <w:rPr>
          <w:rFonts w:ascii="Symbol" w:hAnsi="Symbol" w:cs="Times New Roman"/>
          <w:lang w:val="en-US"/>
        </w:rPr>
        <w:t></w:t>
      </w:r>
      <w:r w:rsidRPr="004272B3">
        <w:rPr>
          <w:rFonts w:ascii="Times New Roman" w:hAnsi="Times New Roman" w:cs="Times New Roman"/>
          <w:vertAlign w:val="superscript"/>
          <w:lang w:val="en-US"/>
        </w:rPr>
        <w:t>2</w:t>
      </w:r>
      <w:r w:rsidRPr="004272B3">
        <w:rPr>
          <w:rFonts w:ascii="Times New Roman" w:hAnsi="Times New Roman" w:cs="Times New Roman"/>
          <w:lang w:val="en-US"/>
        </w:rPr>
        <w:t xml:space="preserve">= .089). Group had a significant effect on learning and the ASD+ADHD had lower scores: F(1, 43)= 12.84, p&lt; .001, </w:t>
      </w:r>
      <w:r w:rsidRPr="004272B3">
        <w:rPr>
          <w:rFonts w:ascii="Symbol" w:hAnsi="Symbol" w:cs="Times New Roman"/>
          <w:lang w:val="en-US"/>
        </w:rPr>
        <w:t></w:t>
      </w:r>
      <w:r w:rsidRPr="004272B3">
        <w:rPr>
          <w:rFonts w:ascii="Times New Roman" w:hAnsi="Times New Roman" w:cs="Times New Roman"/>
          <w:vertAlign w:val="superscript"/>
          <w:lang w:val="en-US"/>
        </w:rPr>
        <w:t>2</w:t>
      </w:r>
      <w:r w:rsidRPr="004272B3">
        <w:rPr>
          <w:rFonts w:ascii="Times New Roman" w:hAnsi="Times New Roman" w:cs="Times New Roman"/>
          <w:lang w:val="en-US"/>
        </w:rPr>
        <w:t xml:space="preserve">= .230.  However, the interaction (time x group) was not statistically significant: F(1, 43)= 2.06, p= .159, </w:t>
      </w:r>
      <w:r w:rsidRPr="004272B3">
        <w:rPr>
          <w:rFonts w:ascii="Symbol" w:hAnsi="Symbol" w:cs="Times New Roman"/>
          <w:lang w:val="en-US"/>
        </w:rPr>
        <w:t></w:t>
      </w:r>
      <w:r w:rsidRPr="004272B3">
        <w:rPr>
          <w:rFonts w:ascii="Times New Roman" w:hAnsi="Times New Roman" w:cs="Times New Roman"/>
          <w:vertAlign w:val="superscript"/>
          <w:lang w:val="en-US"/>
        </w:rPr>
        <w:t>2</w:t>
      </w:r>
      <w:r w:rsidRPr="004272B3">
        <w:rPr>
          <w:rFonts w:ascii="Times New Roman" w:hAnsi="Times New Roman" w:cs="Times New Roman"/>
          <w:lang w:val="en-US"/>
        </w:rPr>
        <w:t>= .046 (</w:t>
      </w:r>
      <w:r w:rsidRPr="004272B3">
        <w:rPr>
          <w:rFonts w:ascii="Times New Roman" w:eastAsia="Times New Roman" w:hAnsi="Times New Roman" w:cs="Times New Roman"/>
          <w:lang w:val="en-US"/>
        </w:rPr>
        <w:t>see Table 2).</w:t>
      </w:r>
      <w:r w:rsidRPr="004272B3">
        <w:rPr>
          <w:rFonts w:ascii="Times New Roman" w:eastAsia="Times New Roman" w:hAnsi="Times New Roman" w:cs="Times New Roman"/>
          <w:lang w:val="en-US"/>
        </w:rPr>
        <w:tab/>
      </w:r>
      <w:r w:rsidRPr="004272B3">
        <w:rPr>
          <w:rFonts w:ascii="Times New Roman" w:eastAsia="Times New Roman" w:hAnsi="Times New Roman" w:cs="Times New Roman"/>
          <w:lang w:val="en-US"/>
        </w:rPr>
        <w:tab/>
      </w:r>
      <w:r w:rsidRPr="004272B3">
        <w:rPr>
          <w:rFonts w:ascii="Times New Roman" w:eastAsia="Times New Roman" w:hAnsi="Times New Roman" w:cs="Times New Roman"/>
          <w:lang w:val="en-US"/>
        </w:rPr>
        <w:tab/>
      </w:r>
    </w:p>
    <w:p w14:paraId="6AE59AE3" w14:textId="77777777" w:rsidR="00846BBC" w:rsidRPr="004272B3" w:rsidRDefault="00846BBC" w:rsidP="00846BBC">
      <w:pPr>
        <w:spacing w:line="480" w:lineRule="auto"/>
        <w:rPr>
          <w:rFonts w:ascii="Times New Roman" w:eastAsia="Times New Roman" w:hAnsi="Times New Roman" w:cs="Times New Roman"/>
          <w:lang w:val="en-US"/>
        </w:rPr>
      </w:pPr>
      <w:r w:rsidRPr="004272B3">
        <w:rPr>
          <w:rFonts w:ascii="Times New Roman" w:eastAsia="Times New Roman" w:hAnsi="Times New Roman" w:cs="Times New Roman"/>
          <w:lang w:val="en-US"/>
        </w:rPr>
        <w:t>Figure 1 shows the percentage of ASD+ADHD and ASD-ADHD individuals with scores above the clinical threshold on the different variables assessed, showing higher figures in the comorbid group, both at baseline and follow-up.</w:t>
      </w:r>
    </w:p>
    <w:p w14:paraId="4C7A537D" w14:textId="37526B0E" w:rsidR="00846BBC" w:rsidRPr="004272B3" w:rsidRDefault="00846BBC" w:rsidP="00846BBC">
      <w:pPr>
        <w:spacing w:line="480" w:lineRule="auto"/>
        <w:rPr>
          <w:rFonts w:ascii="Times New Roman" w:eastAsia="Times New Roman" w:hAnsi="Times New Roman" w:cs="Times New Roman"/>
          <w:lang w:val="en-US"/>
        </w:rPr>
      </w:pPr>
      <w:r w:rsidRPr="004272B3">
        <w:rPr>
          <w:rFonts w:ascii="Times New Roman" w:eastAsia="Times New Roman" w:hAnsi="Times New Roman" w:cs="Times New Roman"/>
          <w:lang w:val="en-US"/>
        </w:rPr>
        <w:tab/>
      </w:r>
      <w:r w:rsidRPr="004272B3">
        <w:rPr>
          <w:rFonts w:ascii="Times New Roman" w:eastAsia="Times New Roman" w:hAnsi="Times New Roman" w:cs="Times New Roman"/>
          <w:lang w:val="en-US"/>
        </w:rPr>
        <w:tab/>
      </w:r>
      <w:r w:rsidRPr="004272B3">
        <w:rPr>
          <w:rFonts w:ascii="Times New Roman" w:eastAsia="Times New Roman" w:hAnsi="Times New Roman" w:cs="Times New Roman"/>
          <w:lang w:val="en-US"/>
        </w:rPr>
        <w:tab/>
      </w:r>
      <w:r w:rsidRPr="004272B3">
        <w:rPr>
          <w:rFonts w:ascii="Times New Roman" w:eastAsia="Times New Roman" w:hAnsi="Times New Roman" w:cs="Times New Roman"/>
          <w:lang w:val="en-US"/>
        </w:rPr>
        <w:tab/>
        <w:t>Insert Figure 1 about here</w:t>
      </w:r>
    </w:p>
    <w:p w14:paraId="0BE1C312" w14:textId="77777777" w:rsidR="00846BBC" w:rsidRPr="004272B3" w:rsidRDefault="00846BBC" w:rsidP="00846BBC">
      <w:pPr>
        <w:spacing w:line="480" w:lineRule="auto"/>
        <w:rPr>
          <w:rFonts w:ascii="Times New Roman" w:eastAsia="Times New Roman" w:hAnsi="Times New Roman" w:cs="Times New Roman"/>
          <w:lang w:val="en-US"/>
        </w:rPr>
      </w:pPr>
      <w:r w:rsidRPr="004272B3">
        <w:rPr>
          <w:rFonts w:ascii="Times New Roman" w:eastAsia="Times New Roman" w:hAnsi="Times New Roman" w:cs="Times New Roman"/>
          <w:lang w:val="en-US"/>
        </w:rPr>
        <w:t>Furthermore, the percentage of individuals with four or five variables affected at baseline and follow-up was superior for ASD+ADHD than the ASD-ADHD group (52.6% versus 7.7% at baseline and 21.5% versus 3.8% at follow-up).</w:t>
      </w:r>
    </w:p>
    <w:p w14:paraId="6F054927" w14:textId="77777777" w:rsidR="00846BBC" w:rsidRPr="004272B3" w:rsidRDefault="00846BBC" w:rsidP="00846BBC">
      <w:pPr>
        <w:spacing w:line="480" w:lineRule="auto"/>
        <w:rPr>
          <w:rFonts w:ascii="Times New Roman" w:eastAsia="Times New Roman" w:hAnsi="Times New Roman" w:cs="Times New Roman"/>
          <w:lang w:val="en-US"/>
        </w:rPr>
      </w:pPr>
      <w:r w:rsidRPr="004272B3">
        <w:rPr>
          <w:rFonts w:ascii="Times New Roman" w:eastAsia="Times New Roman" w:hAnsi="Times New Roman" w:cs="Times New Roman"/>
          <w:lang w:val="en-US"/>
        </w:rPr>
        <w:t xml:space="preserve"> (see Table 3).</w:t>
      </w:r>
    </w:p>
    <w:p w14:paraId="41886B4D" w14:textId="6FE1C556" w:rsidR="00846BBC" w:rsidRPr="004272B3" w:rsidRDefault="00846BBC" w:rsidP="00846BBC">
      <w:pPr>
        <w:spacing w:line="480" w:lineRule="auto"/>
        <w:rPr>
          <w:rFonts w:ascii="Times New Roman" w:eastAsia="Times New Roman" w:hAnsi="Times New Roman" w:cs="Times New Roman"/>
          <w:lang w:val="en-US"/>
        </w:rPr>
      </w:pPr>
      <w:r w:rsidRPr="004272B3">
        <w:rPr>
          <w:rFonts w:ascii="Times New Roman" w:eastAsia="Times New Roman" w:hAnsi="Times New Roman" w:cs="Times New Roman"/>
          <w:lang w:val="en-US"/>
        </w:rPr>
        <w:tab/>
      </w:r>
      <w:r w:rsidRPr="004272B3">
        <w:rPr>
          <w:rFonts w:ascii="Times New Roman" w:eastAsia="Times New Roman" w:hAnsi="Times New Roman" w:cs="Times New Roman"/>
          <w:lang w:val="en-US"/>
        </w:rPr>
        <w:tab/>
      </w:r>
      <w:r w:rsidRPr="004272B3">
        <w:rPr>
          <w:rFonts w:ascii="Times New Roman" w:eastAsia="Times New Roman" w:hAnsi="Times New Roman" w:cs="Times New Roman"/>
          <w:lang w:val="en-US"/>
        </w:rPr>
        <w:tab/>
      </w:r>
      <w:r w:rsidRPr="004272B3">
        <w:rPr>
          <w:rFonts w:ascii="Times New Roman" w:eastAsia="Times New Roman" w:hAnsi="Times New Roman" w:cs="Times New Roman"/>
          <w:lang w:val="en-US"/>
        </w:rPr>
        <w:tab/>
        <w:t>Insert Table 3 about here</w:t>
      </w:r>
    </w:p>
    <w:p w14:paraId="29894D87" w14:textId="77777777" w:rsidR="00846BBC" w:rsidRPr="004272B3" w:rsidRDefault="00846BBC" w:rsidP="00846BBC">
      <w:pPr>
        <w:spacing w:line="480" w:lineRule="auto"/>
        <w:rPr>
          <w:rFonts w:ascii="Times New Roman" w:hAnsi="Times New Roman" w:cs="Times New Roman"/>
          <w:i/>
          <w:iCs/>
          <w:lang w:val="en-US" w:eastAsia="zh-CN"/>
        </w:rPr>
      </w:pPr>
      <w:r w:rsidRPr="004272B3">
        <w:rPr>
          <w:rFonts w:ascii="Times New Roman" w:hAnsi="Times New Roman" w:cs="Times New Roman"/>
          <w:i/>
          <w:iCs/>
          <w:lang w:val="en-US" w:eastAsia="zh-CN"/>
        </w:rPr>
        <w:t>Predictors of ASD core symptoms in adolescence for the ASD+</w:t>
      </w:r>
      <w:r w:rsidRPr="004272B3">
        <w:rPr>
          <w:rFonts w:ascii="Times New Roman" w:eastAsia="Times New Roman" w:hAnsi="Times New Roman" w:cs="Times New Roman"/>
          <w:lang w:val="en-US"/>
        </w:rPr>
        <w:t>ADHD</w:t>
      </w:r>
      <w:r w:rsidRPr="004272B3">
        <w:rPr>
          <w:rFonts w:ascii="Times New Roman" w:hAnsi="Times New Roman" w:cs="Times New Roman"/>
          <w:i/>
          <w:iCs/>
          <w:lang w:val="en-US" w:eastAsia="zh-CN"/>
        </w:rPr>
        <w:t xml:space="preserve"> and the ASD-</w:t>
      </w:r>
      <w:r w:rsidRPr="004272B3">
        <w:rPr>
          <w:rFonts w:ascii="Times New Roman" w:eastAsia="Times New Roman" w:hAnsi="Times New Roman" w:cs="Times New Roman"/>
          <w:lang w:val="en-US"/>
        </w:rPr>
        <w:t>ADHD</w:t>
      </w:r>
      <w:r w:rsidRPr="004272B3">
        <w:rPr>
          <w:rFonts w:ascii="Times New Roman" w:hAnsi="Times New Roman" w:cs="Times New Roman"/>
          <w:i/>
          <w:iCs/>
          <w:lang w:val="en-US" w:eastAsia="zh-CN"/>
        </w:rPr>
        <w:t xml:space="preserve"> groups.</w:t>
      </w:r>
    </w:p>
    <w:p w14:paraId="137004BE" w14:textId="435C587F" w:rsidR="00846BBC" w:rsidRPr="004272B3" w:rsidRDefault="00846BBC" w:rsidP="00846BBC">
      <w:pPr>
        <w:spacing w:line="480" w:lineRule="auto"/>
        <w:rPr>
          <w:rFonts w:ascii="Times New Roman" w:eastAsia="Times New Roman" w:hAnsi="Times New Roman" w:cs="Times New Roman"/>
          <w:lang w:val="en-US"/>
        </w:rPr>
      </w:pPr>
      <w:r w:rsidRPr="004272B3">
        <w:rPr>
          <w:rFonts w:ascii="Times New Roman" w:eastAsia="Times New Roman" w:hAnsi="Times New Roman" w:cs="Times New Roman"/>
          <w:lang w:val="en-US"/>
        </w:rPr>
        <w:lastRenderedPageBreak/>
        <w:t xml:space="preserve">A hierarchical multiple regression was calculated with follow-up SCQ total score as the dependent variable and a first block of predictors being baseline total scores of EF, </w:t>
      </w:r>
      <w:proofErr w:type="spellStart"/>
      <w:r w:rsidRPr="004272B3">
        <w:rPr>
          <w:rFonts w:ascii="Times New Roman" w:eastAsia="Times New Roman" w:hAnsi="Times New Roman" w:cs="Times New Roman"/>
          <w:lang w:val="en-US"/>
        </w:rPr>
        <w:t>ToMI</w:t>
      </w:r>
      <w:proofErr w:type="spellEnd"/>
      <w:r w:rsidRPr="004272B3">
        <w:rPr>
          <w:rFonts w:ascii="Times New Roman" w:eastAsia="Times New Roman" w:hAnsi="Times New Roman" w:cs="Times New Roman"/>
          <w:lang w:val="en-US"/>
        </w:rPr>
        <w:t>, SDQ, LBS and Group. In a second block, interactions of all quantitative predictors and Group were entered. This regression allowed us to assess the associations of follow-up SCQ total score with the other measures at baseline as well as with group. The results of the hierarchical model showed that the second block did not add significant prediction into the regression1 (F(5, 33)= .97, p= .108), and therefore that the association between the quantitative predictors and the dependent variable did changed by group. All predictors collectively explained about 20% of the variance</w:t>
      </w:r>
      <w:r w:rsidRPr="004272B3">
        <w:rPr>
          <w:rFonts w:ascii="Times New Roman" w:hAnsi="Times New Roman" w:cs="Times New Roman"/>
          <w:lang w:val="en-US"/>
        </w:rPr>
        <w:t xml:space="preserve">. Only the total score of SDQ at baseline was a significant predictor that individually explained the highest percentage of variance of follow-up SCQ scores (β = .364, </w:t>
      </w:r>
      <w:r w:rsidRPr="004272B3">
        <w:rPr>
          <w:rFonts w:ascii="Times New Roman" w:hAnsi="Times New Roman" w:cs="Times New Roman"/>
          <w:i/>
          <w:iCs/>
          <w:lang w:val="en-US"/>
        </w:rPr>
        <w:t xml:space="preserve">p </w:t>
      </w:r>
      <w:r w:rsidRPr="004272B3">
        <w:rPr>
          <w:rFonts w:ascii="Times New Roman" w:hAnsi="Times New Roman" w:cs="Times New Roman"/>
          <w:lang w:val="en-US"/>
        </w:rPr>
        <w:t>= .044)</w:t>
      </w:r>
      <w:r w:rsidRPr="004272B3">
        <w:rPr>
          <w:rFonts w:ascii="Times New Roman" w:eastAsia="Times New Roman" w:hAnsi="Times New Roman" w:cs="Times New Roman"/>
          <w:lang w:val="en-US"/>
        </w:rPr>
        <w:t>. Table 4 shows the results of the multiple regression analysis.</w:t>
      </w:r>
    </w:p>
    <w:p w14:paraId="4B72B88D" w14:textId="77777777" w:rsidR="00846BBC" w:rsidRPr="004272B3" w:rsidRDefault="00846BBC" w:rsidP="00846BBC">
      <w:pPr>
        <w:spacing w:line="480" w:lineRule="auto"/>
        <w:rPr>
          <w:rFonts w:ascii="Times New Roman" w:eastAsia="Times New Roman" w:hAnsi="Times New Roman" w:cs="Times New Roman"/>
          <w:lang w:val="en-US"/>
        </w:rPr>
      </w:pPr>
      <w:r w:rsidRPr="004272B3">
        <w:rPr>
          <w:rFonts w:ascii="Times New Roman" w:eastAsia="Times New Roman" w:hAnsi="Times New Roman" w:cs="Times New Roman"/>
          <w:lang w:val="en-US"/>
        </w:rPr>
        <w:t>Insert Table 4 about here</w:t>
      </w:r>
    </w:p>
    <w:p w14:paraId="772AE4A4" w14:textId="77777777" w:rsidR="00846BBC" w:rsidRPr="004272B3" w:rsidRDefault="00846BBC" w:rsidP="00B50E1B">
      <w:pPr>
        <w:spacing w:line="276" w:lineRule="auto"/>
        <w:rPr>
          <w:rFonts w:ascii="Times New Roman" w:hAnsi="Times New Roman" w:cs="Times New Roman"/>
          <w:lang w:val="en-US"/>
        </w:rPr>
      </w:pPr>
    </w:p>
    <w:p w14:paraId="43927079" w14:textId="77777777" w:rsidR="00846BBC" w:rsidRPr="004272B3" w:rsidRDefault="00846BBC" w:rsidP="00846BBC">
      <w:pPr>
        <w:spacing w:line="276" w:lineRule="auto"/>
        <w:rPr>
          <w:rFonts w:ascii="Times New Roman" w:hAnsi="Times New Roman" w:cs="Times New Roman"/>
          <w:b/>
          <w:bCs/>
          <w:lang w:val="en-US"/>
        </w:rPr>
      </w:pPr>
      <w:r w:rsidRPr="004272B3">
        <w:rPr>
          <w:rFonts w:ascii="Times New Roman" w:hAnsi="Times New Roman" w:cs="Times New Roman"/>
          <w:b/>
          <w:bCs/>
          <w:lang w:val="en-US"/>
        </w:rPr>
        <w:t>Discussion</w:t>
      </w:r>
    </w:p>
    <w:p w14:paraId="63F1A666" w14:textId="77777777" w:rsidR="00846BBC" w:rsidRPr="004272B3" w:rsidRDefault="00846BBC" w:rsidP="00846BBC">
      <w:pPr>
        <w:spacing w:line="276" w:lineRule="auto"/>
        <w:rPr>
          <w:rFonts w:ascii="Times New Roman" w:hAnsi="Times New Roman" w:cs="Times New Roman"/>
          <w:b/>
          <w:bCs/>
          <w:lang w:val="en-US"/>
        </w:rPr>
      </w:pPr>
    </w:p>
    <w:p w14:paraId="48898C18" w14:textId="3644DCDC" w:rsidR="00846BBC" w:rsidRPr="004272B3" w:rsidRDefault="00846BBC" w:rsidP="00846BBC">
      <w:pPr>
        <w:widowControl w:val="0"/>
        <w:autoSpaceDE w:val="0"/>
        <w:autoSpaceDN w:val="0"/>
        <w:adjustRightInd w:val="0"/>
        <w:spacing w:line="480" w:lineRule="auto"/>
        <w:ind w:firstLine="708"/>
        <w:jc w:val="both"/>
        <w:rPr>
          <w:rFonts w:ascii="Times New Roman" w:hAnsi="Times New Roman" w:cs="Times New Roman"/>
          <w:lang w:val="en-US"/>
        </w:rPr>
      </w:pPr>
      <w:r w:rsidRPr="004272B3">
        <w:rPr>
          <w:rFonts w:ascii="Times New Roman" w:hAnsi="Times New Roman" w:cs="Times New Roman"/>
          <w:lang w:val="en-US"/>
        </w:rPr>
        <w:t>This study explored, for the first time, the developmental profile of young people with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 xml:space="preserve"> and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 xml:space="preserve"> in terms of measures of EF, theory of mind, emotional/behavioural problems, and learning-related behaviors. The impairments in all domains assessed, both at childhood and adolescence, were higher in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 xml:space="preserve"> individuals. These results support the greatest severity of the comorbid group (Leitner, 2014; </w:t>
      </w:r>
      <w:proofErr w:type="spellStart"/>
      <w:r w:rsidRPr="004272B3">
        <w:rPr>
          <w:rFonts w:ascii="Times New Roman" w:hAnsi="Times New Roman" w:cs="Times New Roman"/>
          <w:lang w:val="en-US"/>
        </w:rPr>
        <w:t>Yerys</w:t>
      </w:r>
      <w:proofErr w:type="spellEnd"/>
      <w:r w:rsidRPr="004272B3">
        <w:rPr>
          <w:rFonts w:ascii="Times New Roman" w:hAnsi="Times New Roman" w:cs="Times New Roman"/>
          <w:lang w:val="en-US"/>
        </w:rPr>
        <w:t xml:space="preserve">, 2020) which may be partly explained by deficits in impulsivity regulation and inhibitory control of ADHD. </w:t>
      </w:r>
    </w:p>
    <w:p w14:paraId="0AD9AF61" w14:textId="4F4F17BF" w:rsidR="00485AF1" w:rsidRPr="004272B3" w:rsidRDefault="009C73DE" w:rsidP="00C0345F">
      <w:pPr>
        <w:widowControl w:val="0"/>
        <w:autoSpaceDE w:val="0"/>
        <w:autoSpaceDN w:val="0"/>
        <w:adjustRightInd w:val="0"/>
        <w:spacing w:line="480" w:lineRule="auto"/>
        <w:ind w:firstLine="708"/>
        <w:jc w:val="both"/>
        <w:rPr>
          <w:rFonts w:ascii="Times New Roman" w:hAnsi="Times New Roman" w:cs="Times New Roman"/>
          <w:lang w:val="en-US"/>
        </w:rPr>
      </w:pPr>
      <w:r w:rsidRPr="004272B3">
        <w:rPr>
          <w:rFonts w:ascii="Times New Roman" w:hAnsi="Times New Roman" w:cs="Times New Roman"/>
          <w:lang w:val="en-US"/>
        </w:rPr>
        <w:t xml:space="preserve">Two main components of EF, namely the behavioral regulation and metacognition indexes, were analyzed in this study. No significant effect for the interaction were observed in the BRI or the MI indexes. However, in the case of the MI, the effects were close to significance (p=.08; </w:t>
      </w:r>
      <w:r w:rsidRPr="004272B3">
        <w:rPr>
          <w:rFonts w:ascii="Times New Roman" w:hAnsi="Times New Roman" w:cs="Times New Roman"/>
          <w:bCs/>
          <w:iCs/>
        </w:rPr>
        <w:t>η</w:t>
      </w:r>
      <w:r w:rsidRPr="004272B3">
        <w:rPr>
          <w:rFonts w:ascii="Times New Roman" w:hAnsi="Times New Roman" w:cs="Times New Roman"/>
          <w:bCs/>
          <w:iCs/>
          <w:vertAlign w:val="superscript"/>
          <w:lang w:val="en-US"/>
        </w:rPr>
        <w:t xml:space="preserve">2 </w:t>
      </w:r>
      <w:r w:rsidRPr="004272B3">
        <w:rPr>
          <w:rFonts w:ascii="Times New Roman" w:hAnsi="Times New Roman" w:cs="Times New Roman"/>
          <w:lang w:val="en-US"/>
        </w:rPr>
        <w:t xml:space="preserve">=.068) suggesting that the ASD+ADHD showed some improvement, while the ASD-ADHD did not present with much change over time in metacognition scores (working memory, monitoring, plan/organize). For group and time, significant effects were observed in the BRI and </w:t>
      </w:r>
      <w:r w:rsidRPr="004272B3">
        <w:rPr>
          <w:rFonts w:ascii="Times New Roman" w:hAnsi="Times New Roman" w:cs="Times New Roman"/>
          <w:lang w:val="en-US"/>
        </w:rPr>
        <w:lastRenderedPageBreak/>
        <w:t>MI indexes, with the ASD+ADHD receiving poorer rates from teachers at childhood and adolescence than the ASD-ADHD. A similar tendency of executive functioning deficits in ASD+ADHD, as assessed by the BRIEF, was found in another cross-sectional study (</w:t>
      </w:r>
      <w:proofErr w:type="spellStart"/>
      <w:r w:rsidRPr="004272B3">
        <w:rPr>
          <w:rFonts w:ascii="Times New Roman" w:hAnsi="Times New Roman" w:cs="Times New Roman"/>
          <w:lang w:val="en-US"/>
        </w:rPr>
        <w:t>Dajani</w:t>
      </w:r>
      <w:proofErr w:type="spellEnd"/>
      <w:r w:rsidRPr="004272B3">
        <w:rPr>
          <w:rFonts w:ascii="Times New Roman" w:hAnsi="Times New Roman" w:cs="Times New Roman"/>
          <w:lang w:val="en-US"/>
        </w:rPr>
        <w:t xml:space="preserve"> et al., 2016), and supported in a recent systematic review including studies that used performance based and indirect measures of EF (Benallie et al., 2021). Moreover, in our study, the percentage of adolescents with affected metacognition and behaviour regulation processes at 5-year follow-up assessment was higher than about 30% in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 xml:space="preserve"> and around 50% in the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 xml:space="preserve"> group. These findings are relevant for clinical practice, highlighting the need to specifically evaluate executive functioning in ASD. Recent research emphasizes the negative impact of executive deficits on daily live aspects</w:t>
      </w:r>
      <w:r w:rsidRPr="004272B3">
        <w:rPr>
          <w:rFonts w:ascii="Times New Roman" w:eastAsia="Times New Roman" w:hAnsi="Times New Roman" w:cs="Times New Roman"/>
          <w:shd w:val="clear" w:color="auto" w:fill="FFFFFF"/>
          <w:lang w:val="en-US"/>
        </w:rPr>
        <w:t xml:space="preserve"> of individuals with ASD such as social cognition, academic functioning, adaptive skills and mental health problems (Pugliese et al., 2020). </w:t>
      </w:r>
    </w:p>
    <w:p w14:paraId="1226FF9A" w14:textId="77777777" w:rsidR="00846BBC" w:rsidRPr="004272B3" w:rsidRDefault="00846BBC" w:rsidP="00846BBC">
      <w:pPr>
        <w:spacing w:line="480" w:lineRule="auto"/>
        <w:ind w:firstLine="708"/>
        <w:jc w:val="both"/>
        <w:rPr>
          <w:rFonts w:ascii="Times New Roman" w:eastAsia="Palatino Linotype" w:hAnsi="Times New Roman" w:cs="Times New Roman"/>
          <w:lang w:val="en-GB"/>
        </w:rPr>
      </w:pPr>
      <w:bookmarkStart w:id="5" w:name="_Hlk90663082"/>
      <w:r w:rsidRPr="004272B3">
        <w:rPr>
          <w:rFonts w:ascii="Times New Roman" w:eastAsia="Times New Roman" w:hAnsi="Times New Roman" w:cs="Times New Roman"/>
          <w:lang w:val="en-US"/>
        </w:rPr>
        <w:t xml:space="preserve">In childhood and adolescence, the ASD+ADHD group had a poorer functioning of </w:t>
      </w:r>
      <w:proofErr w:type="spellStart"/>
      <w:r w:rsidRPr="004272B3">
        <w:rPr>
          <w:rFonts w:ascii="Times New Roman" w:eastAsia="Times New Roman" w:hAnsi="Times New Roman" w:cs="Times New Roman"/>
          <w:lang w:val="en-US"/>
        </w:rPr>
        <w:t>ToM</w:t>
      </w:r>
      <w:proofErr w:type="spellEnd"/>
      <w:r w:rsidRPr="004272B3">
        <w:rPr>
          <w:rFonts w:ascii="Times New Roman" w:eastAsia="Times New Roman" w:hAnsi="Times New Roman" w:cs="Times New Roman"/>
          <w:lang w:val="en-US"/>
        </w:rPr>
        <w:t xml:space="preserve"> applied skills compared to the ASD-ADHD group, as suggested by our findings that showed significant differences between groups (ASD-ADHD vs ASD+ADHD) and over time, with no effect for the interaction. This is in line with other cross-sectional studies suggesting ADHD symptoms may contribute to increase deficits in </w:t>
      </w:r>
      <w:proofErr w:type="spellStart"/>
      <w:r w:rsidRPr="004272B3">
        <w:rPr>
          <w:rFonts w:ascii="Times New Roman" w:eastAsia="Times New Roman" w:hAnsi="Times New Roman" w:cs="Times New Roman"/>
          <w:lang w:val="en-US"/>
        </w:rPr>
        <w:t>ToM</w:t>
      </w:r>
      <w:proofErr w:type="spellEnd"/>
      <w:r w:rsidRPr="004272B3">
        <w:rPr>
          <w:rFonts w:ascii="Times New Roman" w:eastAsia="Times New Roman" w:hAnsi="Times New Roman" w:cs="Times New Roman"/>
          <w:lang w:val="en-US"/>
        </w:rPr>
        <w:t xml:space="preserve"> in young people with ASD in performance tasks like “reading the mind in the eyes” (Colombi &amp; </w:t>
      </w:r>
      <w:r w:rsidRPr="004272B3">
        <w:rPr>
          <w:rFonts w:ascii="Times New Roman" w:eastAsia="Palatino Linotype" w:hAnsi="Times New Roman" w:cs="Times New Roman"/>
          <w:lang w:val="en-GB"/>
        </w:rPr>
        <w:t>Ghaziuddin et al., 2017)</w:t>
      </w:r>
      <w:r w:rsidRPr="004272B3">
        <w:rPr>
          <w:rFonts w:ascii="Times New Roman" w:eastAsia="Times New Roman" w:hAnsi="Times New Roman" w:cs="Times New Roman"/>
          <w:lang w:val="en-US"/>
        </w:rPr>
        <w:t>. The ability to recognize facial emotions may be impaired in individuals with ADHD possibly in relation to the difficulties they experience in sustained attention, inhibitory control and working memory (Van der Meer et al. 2011</w:t>
      </w:r>
      <w:r w:rsidRPr="004272B3">
        <w:rPr>
          <w:rFonts w:ascii="Times New Roman" w:eastAsia="Palatino Linotype" w:hAnsi="Times New Roman" w:cs="Times New Roman"/>
          <w:lang w:val="en-GB"/>
        </w:rPr>
        <w:t xml:space="preserve">). However, a considerable number of participants in the ASD-ADHD group also presented deficits in </w:t>
      </w:r>
      <w:proofErr w:type="spellStart"/>
      <w:r w:rsidRPr="004272B3">
        <w:rPr>
          <w:rFonts w:ascii="Times New Roman" w:eastAsia="Palatino Linotype" w:hAnsi="Times New Roman" w:cs="Times New Roman"/>
          <w:lang w:val="en-GB"/>
        </w:rPr>
        <w:t>ToM</w:t>
      </w:r>
      <w:proofErr w:type="spellEnd"/>
      <w:r w:rsidRPr="004272B3">
        <w:rPr>
          <w:rFonts w:ascii="Times New Roman" w:eastAsia="Palatino Linotype" w:hAnsi="Times New Roman" w:cs="Times New Roman"/>
          <w:lang w:val="en-GB"/>
        </w:rPr>
        <w:t xml:space="preserve"> (over 70% individuals in both time points). </w:t>
      </w:r>
    </w:p>
    <w:bookmarkEnd w:id="5"/>
    <w:p w14:paraId="45C74E47" w14:textId="7CE7B700" w:rsidR="00846BBC" w:rsidRPr="004272B3" w:rsidRDefault="00357140" w:rsidP="00846BBC">
      <w:pPr>
        <w:spacing w:line="480" w:lineRule="auto"/>
        <w:rPr>
          <w:rFonts w:ascii="Times New Roman" w:hAnsi="Times New Roman" w:cs="Times New Roman"/>
          <w:lang w:val="en-US"/>
        </w:rPr>
      </w:pPr>
      <w:r w:rsidRPr="004272B3">
        <w:rPr>
          <w:rFonts w:ascii="Times New Roman" w:hAnsi="Times New Roman" w:cs="Times New Roman"/>
          <w:lang w:val="en-US"/>
        </w:rPr>
        <w:t xml:space="preserve">              </w:t>
      </w:r>
      <w:r w:rsidR="00846BBC" w:rsidRPr="004272B3">
        <w:rPr>
          <w:rFonts w:ascii="Times New Roman" w:hAnsi="Times New Roman" w:cs="Times New Roman"/>
          <w:lang w:val="en-US"/>
        </w:rPr>
        <w:t>A significant effect for the interaction in emotional/behavioural difficulties was found, indicating over time a decrease of difficulties in the ASD+</w:t>
      </w:r>
      <w:r w:rsidR="00846BBC" w:rsidRPr="004272B3">
        <w:rPr>
          <w:rFonts w:ascii="Times New Roman" w:eastAsia="Times New Roman" w:hAnsi="Times New Roman" w:cs="Times New Roman"/>
          <w:lang w:val="en-US"/>
        </w:rPr>
        <w:t>ADHD</w:t>
      </w:r>
      <w:r w:rsidR="00846BBC" w:rsidRPr="004272B3">
        <w:rPr>
          <w:rFonts w:ascii="Times New Roman" w:hAnsi="Times New Roman" w:cs="Times New Roman"/>
          <w:lang w:val="en-US"/>
        </w:rPr>
        <w:t xml:space="preserve"> group, whereas in the ASD-</w:t>
      </w:r>
      <w:r w:rsidR="00846BBC" w:rsidRPr="004272B3">
        <w:rPr>
          <w:rFonts w:ascii="Times New Roman" w:eastAsia="Times New Roman" w:hAnsi="Times New Roman" w:cs="Times New Roman"/>
          <w:lang w:val="en-US"/>
        </w:rPr>
        <w:t>ADHD</w:t>
      </w:r>
      <w:r w:rsidR="00846BBC" w:rsidRPr="004272B3">
        <w:rPr>
          <w:rFonts w:ascii="Times New Roman" w:hAnsi="Times New Roman" w:cs="Times New Roman"/>
          <w:lang w:val="en-US"/>
        </w:rPr>
        <w:t xml:space="preserve"> these difficulties slightly increased. At childhood, when ASD co-occurred with ADHD</w:t>
      </w:r>
      <w:r w:rsidR="0066452B" w:rsidRPr="004272B3">
        <w:rPr>
          <w:rFonts w:ascii="Times New Roman" w:hAnsi="Times New Roman" w:cs="Times New Roman"/>
          <w:lang w:val="en-US"/>
        </w:rPr>
        <w:t xml:space="preserve">, </w:t>
      </w:r>
      <w:r w:rsidR="00846BBC" w:rsidRPr="004272B3">
        <w:rPr>
          <w:rFonts w:ascii="Times New Roman" w:hAnsi="Times New Roman" w:cs="Times New Roman"/>
          <w:lang w:val="en-US"/>
        </w:rPr>
        <w:t xml:space="preserve"> more emotional/behavioural problems were observed, similar to a recent study (</w:t>
      </w:r>
      <w:proofErr w:type="spellStart"/>
      <w:r w:rsidR="00846BBC" w:rsidRPr="004272B3">
        <w:rPr>
          <w:rFonts w:ascii="Times New Roman" w:hAnsi="Times New Roman" w:cs="Times New Roman"/>
          <w:lang w:val="en-US"/>
        </w:rPr>
        <w:t>Yamawaki</w:t>
      </w:r>
      <w:proofErr w:type="spellEnd"/>
      <w:r w:rsidR="00846BBC" w:rsidRPr="004272B3">
        <w:rPr>
          <w:rFonts w:ascii="Times New Roman" w:hAnsi="Times New Roman" w:cs="Times New Roman"/>
          <w:lang w:val="en-US"/>
        </w:rPr>
        <w:t xml:space="preserve"> et al., 2021). However, in adolescence, both groups showed similar rates of comorbid emotional/behavioral difficulties (68% in ASD+ADHD vs 65% in ASD-ADHD). These results </w:t>
      </w:r>
      <w:r w:rsidR="00846BBC" w:rsidRPr="004272B3">
        <w:rPr>
          <w:rFonts w:ascii="Times New Roman" w:hAnsi="Times New Roman" w:cs="Times New Roman"/>
          <w:lang w:val="en-US"/>
        </w:rPr>
        <w:lastRenderedPageBreak/>
        <w:t>match another study showing a high persistence of associated psychopathology in adolescence for ASD individuals in general (Mandy et al., 2016). It is possible that the use of a clinical interview, rather than questionnaires, to assess MH problems could determine more accurately if the co-occurrence of ASD+ADHD, compared to ASD alone, increases the likelihood of presenting with other psychiatric conditions such as bipolar disorder of depression (Chen et al., 2015).</w:t>
      </w:r>
    </w:p>
    <w:p w14:paraId="0F845D12" w14:textId="4DF89B88" w:rsidR="00846BBC" w:rsidRPr="004272B3" w:rsidRDefault="00846BBC" w:rsidP="00357140">
      <w:pPr>
        <w:widowControl w:val="0"/>
        <w:autoSpaceDE w:val="0"/>
        <w:autoSpaceDN w:val="0"/>
        <w:adjustRightInd w:val="0"/>
        <w:spacing w:line="480" w:lineRule="auto"/>
        <w:ind w:firstLine="708"/>
        <w:jc w:val="both"/>
        <w:rPr>
          <w:rFonts w:ascii="Times New Roman" w:eastAsia="Times New Roman" w:hAnsi="Times New Roman" w:cs="Times New Roman"/>
          <w:lang w:val="en-US"/>
        </w:rPr>
      </w:pPr>
      <w:r w:rsidRPr="004272B3">
        <w:rPr>
          <w:rFonts w:ascii="Times New Roman" w:hAnsi="Times New Roman" w:cs="Times New Roman"/>
          <w:lang w:val="en-US"/>
        </w:rPr>
        <w:t xml:space="preserve">In terms of learning-related abilities, a significant effect </w:t>
      </w:r>
      <w:r w:rsidRPr="004272B3">
        <w:rPr>
          <w:rFonts w:ascii="Times New Roman" w:eastAsia="Times New Roman" w:hAnsi="Times New Roman" w:cs="Times New Roman"/>
          <w:shd w:val="clear" w:color="auto" w:fill="FFFFFF"/>
          <w:lang w:val="en-US"/>
        </w:rPr>
        <w:t>was found for time and group, but not for the interaction.</w:t>
      </w:r>
      <w:r w:rsidRPr="004272B3">
        <w:rPr>
          <w:rFonts w:ascii="Times New Roman" w:hAnsi="Times New Roman" w:cs="Times New Roman"/>
          <w:lang w:val="en-US"/>
        </w:rPr>
        <w:t xml:space="preserve"> The deficits as measured with the LBS, were higher in the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 xml:space="preserve"> group than in ASD-</w:t>
      </w:r>
      <w:r w:rsidRPr="004272B3">
        <w:rPr>
          <w:rFonts w:ascii="Times New Roman" w:eastAsia="Times New Roman" w:hAnsi="Times New Roman" w:cs="Times New Roman"/>
          <w:lang w:val="en-US"/>
        </w:rPr>
        <w:t>ADHD. The difference between groups decreased over time,</w:t>
      </w:r>
      <w:r w:rsidR="00072C20" w:rsidRPr="004272B3">
        <w:rPr>
          <w:rFonts w:ascii="Times New Roman" w:eastAsia="Times New Roman" w:hAnsi="Times New Roman" w:cs="Times New Roman"/>
          <w:lang w:val="en-US"/>
        </w:rPr>
        <w:t xml:space="preserve"> </w:t>
      </w:r>
      <w:r w:rsidRPr="004272B3">
        <w:rPr>
          <w:rFonts w:ascii="Times New Roman" w:eastAsia="Times New Roman" w:hAnsi="Times New Roman" w:cs="Times New Roman"/>
          <w:lang w:val="en-US"/>
        </w:rPr>
        <w:t xml:space="preserve">though adolescents with ASD+ADHD continued to show poorer learning behaviors. In any case, participants with ASD+ADHD and ASD-ADHD experienced considerable learning-related problems at childhood (84% vs 61%, respectively) and at follow-up (74% vs 54%). </w:t>
      </w:r>
      <w:r w:rsidRPr="004272B3">
        <w:rPr>
          <w:rFonts w:ascii="Times New Roman" w:hAnsi="Times New Roman" w:cs="Times New Roman"/>
          <w:lang w:val="en-US"/>
        </w:rPr>
        <w:t xml:space="preserve">Such figures are of similar magnitude to those in a study showing that over a half of high functioning children with ASD experienced problems in learning attitudes and behaviours (Estes et al., 2011). The impairments in attention and inhibition may contribute to the challenges at school, such as motivation/competence, attitude towards learning, persistence/attention, and learning strategy/flexibility. These impairments in LBS may in part explain the high risk of non-qualification for secondary education of adolescents diagnosed with ASD+ADHD (Stark et al., 2021). </w:t>
      </w:r>
    </w:p>
    <w:p w14:paraId="60093FF7" w14:textId="77777777" w:rsidR="00846BBC" w:rsidRPr="004272B3" w:rsidRDefault="00846BBC" w:rsidP="00846BBC">
      <w:pPr>
        <w:spacing w:line="480" w:lineRule="auto"/>
        <w:ind w:firstLine="708"/>
        <w:jc w:val="both"/>
        <w:rPr>
          <w:rFonts w:ascii="Times New Roman" w:eastAsia="Times New Roman" w:hAnsi="Times New Roman" w:cs="Times New Roman"/>
          <w:lang w:val="en-US"/>
        </w:rPr>
      </w:pPr>
      <w:r w:rsidRPr="004272B3">
        <w:rPr>
          <w:rFonts w:ascii="Times New Roman" w:eastAsia="Times New Roman" w:hAnsi="Times New Roman" w:cs="Times New Roman"/>
          <w:lang w:val="en-US"/>
        </w:rPr>
        <w:t xml:space="preserve">A relationship between the level of ASD symptoms and more mental health comorbidity in children has been reported (Rosenberg et al., 2011). More specifically, our study explored potential predictors of ASD symptoms in adolescence. Emotional and behavioral difficulties was the only variable with predictive power, and higher scores in the SDQ predicted more severe symptoms, emphasizing the importance </w:t>
      </w:r>
      <w:r w:rsidRPr="004272B3">
        <w:rPr>
          <w:rFonts w:ascii="Times New Roman" w:hAnsi="Times New Roman" w:cs="Times New Roman"/>
          <w:lang w:val="en-US"/>
        </w:rPr>
        <w:t xml:space="preserve">of prompt detection and support of these needs. The results are in line with those of another study where </w:t>
      </w:r>
      <w:r w:rsidRPr="004272B3">
        <w:rPr>
          <w:rFonts w:ascii="Times New Roman" w:eastAsia="Times New Roman" w:hAnsi="Times New Roman" w:cs="Times New Roman"/>
          <w:lang w:val="en-US"/>
        </w:rPr>
        <w:t>emotional/behavioural problems predicted longitudinal trajectories of symptoms in autism from childhood to adulthood (</w:t>
      </w:r>
      <w:r w:rsidRPr="004272B3">
        <w:rPr>
          <w:rFonts w:ascii="Times New Roman" w:hAnsi="Times New Roman" w:cs="Times New Roman"/>
          <w:lang w:val="en-US"/>
        </w:rPr>
        <w:t>Simonoff et al., 2019).</w:t>
      </w:r>
    </w:p>
    <w:p w14:paraId="5DE7D134" w14:textId="4B79325F" w:rsidR="00846BBC" w:rsidRPr="004272B3" w:rsidRDefault="00846BBC" w:rsidP="00846BBC">
      <w:pPr>
        <w:spacing w:line="480" w:lineRule="auto"/>
        <w:ind w:firstLine="708"/>
        <w:jc w:val="both"/>
        <w:rPr>
          <w:rFonts w:ascii="Times New Roman" w:hAnsi="Times New Roman" w:cs="Times New Roman"/>
          <w:lang w:val="en-US"/>
        </w:rPr>
      </w:pPr>
      <w:r w:rsidRPr="004272B3">
        <w:rPr>
          <w:rFonts w:ascii="Times New Roman" w:eastAsia="Times New Roman" w:hAnsi="Times New Roman" w:cs="Times New Roman"/>
          <w:shd w:val="clear" w:color="auto" w:fill="FFFFFF"/>
          <w:lang w:val="en-US"/>
        </w:rPr>
        <w:lastRenderedPageBreak/>
        <w:t xml:space="preserve">The findings of the present study have clinical implications for the assessment and management of children with ASD. Timely assessment </w:t>
      </w:r>
      <w:r w:rsidRPr="004272B3">
        <w:rPr>
          <w:rFonts w:ascii="Times New Roman" w:hAnsi="Times New Roman" w:cs="Times New Roman"/>
          <w:lang w:val="en-US"/>
        </w:rPr>
        <w:t>of possible co-occurring ADHD symptoms coupled with more intensive educational, psychological, and psychiatric interventions are key to effectively manage the higher load of MH problems and other deficits in children with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 This subgroup could benefit from a variety of pharmacological and non-pharmacological interventions for ADHD that would differ from those for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 Adolescents with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 xml:space="preserve"> (58%) seem to require pharmacological treatment in more cases than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 xml:space="preserve"> (34%) or ADHD without ASD (49%) (Murray, 2010), and the efficacy of ADHD medications for the treatment of young people with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 xml:space="preserve"> has been supported in a recent meta-analysis (Rodrigues et al., 2020) even though individuals with ASD+</w:t>
      </w:r>
      <w:r w:rsidRPr="004272B3">
        <w:rPr>
          <w:rFonts w:ascii="Times New Roman" w:eastAsia="Times New Roman" w:hAnsi="Times New Roman" w:cs="Times New Roman"/>
          <w:lang w:val="en-US"/>
        </w:rPr>
        <w:t>ADHD</w:t>
      </w:r>
      <w:r w:rsidRPr="004272B3">
        <w:rPr>
          <w:rFonts w:ascii="Times New Roman" w:hAnsi="Times New Roman" w:cs="Times New Roman"/>
          <w:lang w:val="en-US"/>
        </w:rPr>
        <w:t xml:space="preserve"> showed less tolerance to ADHD medications and benefit less from them compared to people with just ADHD (Cortese et al., 2012). Furthermore, self-regulation and one-to-one delivery are relevant components of interventions for learning outcomes of students with ADHD,</w:t>
      </w:r>
      <w:r w:rsidR="00357140" w:rsidRPr="004272B3">
        <w:rPr>
          <w:rFonts w:ascii="Times New Roman" w:hAnsi="Times New Roman" w:cs="Times New Roman"/>
          <w:lang w:val="en-US"/>
        </w:rPr>
        <w:t xml:space="preserve"> </w:t>
      </w:r>
      <w:r w:rsidRPr="004272B3">
        <w:rPr>
          <w:rFonts w:ascii="Times New Roman" w:hAnsi="Times New Roman" w:cs="Times New Roman"/>
          <w:lang w:val="en-US"/>
        </w:rPr>
        <w:t>and alongside behaviour modification and classroom adaptations should be considered in children with ASD+ to target specific areas of impairment (Harrison et al, 2019; Moore et al., 2018).</w:t>
      </w:r>
    </w:p>
    <w:p w14:paraId="5566D588" w14:textId="02395A87" w:rsidR="00846BBC" w:rsidRPr="004272B3" w:rsidRDefault="00846BBC" w:rsidP="00357140">
      <w:pPr>
        <w:widowControl w:val="0"/>
        <w:autoSpaceDE w:val="0"/>
        <w:autoSpaceDN w:val="0"/>
        <w:adjustRightInd w:val="0"/>
        <w:spacing w:line="480" w:lineRule="auto"/>
        <w:ind w:firstLine="708"/>
        <w:jc w:val="both"/>
        <w:rPr>
          <w:rFonts w:ascii="Times New Roman" w:eastAsia="Times New Roman" w:hAnsi="Times New Roman" w:cs="Times New Roman"/>
          <w:lang w:val="en-US"/>
        </w:rPr>
      </w:pPr>
      <w:r w:rsidRPr="004272B3">
        <w:rPr>
          <w:rFonts w:ascii="Times New Roman" w:eastAsia="Calibri" w:hAnsi="Times New Roman" w:cs="Times New Roman"/>
          <w:lang w:val="en-US"/>
        </w:rPr>
        <w:t xml:space="preserve">The study results should be considered in the light of its limitations. The </w:t>
      </w:r>
      <w:r w:rsidRPr="004272B3">
        <w:rPr>
          <w:rFonts w:ascii="Times New Roman" w:eastAsia="Times New Roman" w:hAnsi="Times New Roman" w:cs="Times New Roman"/>
          <w:shd w:val="clear" w:color="auto" w:fill="FFFFFF"/>
          <w:lang w:val="en-US"/>
        </w:rPr>
        <w:t xml:space="preserve">evaluation was based on parents´ and teachers´ questionnaires </w:t>
      </w:r>
      <w:r w:rsidRPr="004272B3">
        <w:rPr>
          <w:rFonts w:ascii="Times New Roman" w:hAnsi="Times New Roman" w:cs="Times New Roman"/>
          <w:lang w:val="en-US"/>
        </w:rPr>
        <w:t xml:space="preserve">and the interpretation is limited by measurement issues. </w:t>
      </w:r>
      <w:bookmarkStart w:id="6" w:name="_Hlk90662490"/>
      <w:r w:rsidRPr="004272B3">
        <w:rPr>
          <w:rFonts w:ascii="Times New Roman" w:hAnsi="Times New Roman" w:cs="Times New Roman"/>
          <w:lang w:val="en-US"/>
        </w:rPr>
        <w:t>The assessment using direct vs. indirect measures provides a different set of information. Therefore, as highlighted by a recent meta-analysis, several different sources of information could be beneficial for the assessment of participants with ASD (</w:t>
      </w:r>
      <w:proofErr w:type="spellStart"/>
      <w:r w:rsidRPr="004272B3">
        <w:rPr>
          <w:rFonts w:ascii="Times New Roman" w:hAnsi="Times New Roman" w:cs="Times New Roman"/>
          <w:lang w:val="en-US"/>
        </w:rPr>
        <w:t>Tonizzi</w:t>
      </w:r>
      <w:proofErr w:type="spellEnd"/>
      <w:r w:rsidRPr="004272B3">
        <w:rPr>
          <w:rFonts w:ascii="Times New Roman" w:hAnsi="Times New Roman" w:cs="Times New Roman"/>
          <w:lang w:val="en-US"/>
        </w:rPr>
        <w:t xml:space="preserve"> et al., 2021). </w:t>
      </w:r>
      <w:bookmarkEnd w:id="6"/>
      <w:r w:rsidRPr="004272B3">
        <w:rPr>
          <w:rFonts w:ascii="Times New Roman" w:eastAsia="Times New Roman" w:hAnsi="Times New Roman" w:cs="Times New Roman"/>
          <w:shd w:val="clear" w:color="auto" w:fill="FFFFFF"/>
          <w:lang w:val="en-US"/>
        </w:rPr>
        <w:t>Moreover, the limited sample size</w:t>
      </w:r>
      <w:r w:rsidRPr="004272B3">
        <w:rPr>
          <w:rFonts w:ascii="Georgia" w:eastAsia="Times New Roman" w:hAnsi="Georgia" w:cs="Times New Roman"/>
          <w:sz w:val="27"/>
          <w:szCs w:val="27"/>
          <w:shd w:val="clear" w:color="auto" w:fill="FFFFFF"/>
          <w:lang w:val="en-US"/>
        </w:rPr>
        <w:t xml:space="preserve"> </w:t>
      </w:r>
      <w:r w:rsidRPr="004272B3">
        <w:rPr>
          <w:rFonts w:ascii="Times New Roman" w:eastAsia="Times New Roman" w:hAnsi="Times New Roman" w:cs="Times New Roman"/>
          <w:shd w:val="clear" w:color="auto" w:fill="FFFFFF"/>
          <w:lang w:val="en-US"/>
        </w:rPr>
        <w:t>may not have sufficient statistical power to detect meaningful effects. The predominance of males is another factor that may limit the generalization of the results to female population with ASD+</w:t>
      </w:r>
      <w:r w:rsidRPr="004272B3">
        <w:rPr>
          <w:rFonts w:ascii="Times New Roman" w:eastAsia="Times New Roman" w:hAnsi="Times New Roman" w:cs="Times New Roman"/>
          <w:lang w:val="en-US"/>
        </w:rPr>
        <w:t>ADHD</w:t>
      </w:r>
      <w:r w:rsidRPr="004272B3">
        <w:rPr>
          <w:rFonts w:ascii="Times New Roman" w:eastAsia="Times New Roman" w:hAnsi="Times New Roman" w:cs="Times New Roman"/>
          <w:shd w:val="clear" w:color="auto" w:fill="FFFFFF"/>
          <w:lang w:val="en-US"/>
        </w:rPr>
        <w:t xml:space="preserve">, even though it reflects the sex ratio commonly seen in CAMHS and it is similar to the ratio of the majority of studies including clinical samples of both neurodevelopmental disorders. The role of different interventions on the outcomes of this study could not be considered as information to this regard was not collected systematically enough to facilitate the analysis. </w:t>
      </w:r>
    </w:p>
    <w:p w14:paraId="4842360F" w14:textId="149D9EC0" w:rsidR="00846BBC" w:rsidRPr="004272B3" w:rsidRDefault="00846BBC" w:rsidP="00846BBC">
      <w:pPr>
        <w:widowControl w:val="0"/>
        <w:autoSpaceDE w:val="0"/>
        <w:autoSpaceDN w:val="0"/>
        <w:adjustRightInd w:val="0"/>
        <w:spacing w:line="480" w:lineRule="auto"/>
        <w:ind w:firstLine="708"/>
        <w:jc w:val="both"/>
        <w:rPr>
          <w:rFonts w:ascii="Times New Roman" w:eastAsia="Times New Roman" w:hAnsi="Times New Roman" w:cs="Times New Roman"/>
          <w:lang w:val="en-US"/>
        </w:rPr>
      </w:pPr>
      <w:bookmarkStart w:id="7" w:name="_Hlk90663165"/>
      <w:r w:rsidRPr="004272B3">
        <w:rPr>
          <w:rFonts w:ascii="Times New Roman" w:eastAsia="Times New Roman" w:hAnsi="Times New Roman" w:cs="Times New Roman"/>
          <w:shd w:val="clear" w:color="auto" w:fill="FFFFFF"/>
          <w:lang w:val="en-US"/>
        </w:rPr>
        <w:lastRenderedPageBreak/>
        <w:t xml:space="preserve">In conclusion, the present findings point to a more severe presentation in adolescents with co-occurring ASD+ADHD, compared to ASD, in terms of metacognition, theory of mind, learning behaviours and emotional/behavioural problems. </w:t>
      </w:r>
      <w:r w:rsidRPr="004272B3">
        <w:rPr>
          <w:rFonts w:ascii="Times New Roman" w:hAnsi="Times New Roman" w:cs="Times New Roman"/>
          <w:lang w:val="en-US"/>
        </w:rPr>
        <w:t xml:space="preserve">Future research could </w:t>
      </w:r>
      <w:r w:rsidRPr="004272B3">
        <w:rPr>
          <w:rFonts w:ascii="Times New Roman" w:eastAsia="Times New Roman" w:hAnsi="Times New Roman" w:cs="Times New Roman"/>
          <w:lang w:val="en-US"/>
        </w:rPr>
        <w:t xml:space="preserve">use multiple types of measures (e.g., observation, standardized interviews, or neuropsychological tasks) and larger samples to increase the strength of evidence on the cognitive, socio-emotional and learning profile of the co-occurrence of ASD and ADHD, and it should also control for medication of the different groups. </w:t>
      </w:r>
    </w:p>
    <w:bookmarkEnd w:id="7"/>
    <w:p w14:paraId="2F20BFAE" w14:textId="77777777" w:rsidR="00846BBC" w:rsidRPr="004272B3" w:rsidRDefault="00846BBC" w:rsidP="00846BBC">
      <w:pPr>
        <w:widowControl w:val="0"/>
        <w:autoSpaceDE w:val="0"/>
        <w:autoSpaceDN w:val="0"/>
        <w:adjustRightInd w:val="0"/>
        <w:spacing w:line="480" w:lineRule="auto"/>
        <w:ind w:firstLine="708"/>
        <w:jc w:val="both"/>
        <w:rPr>
          <w:rFonts w:ascii="Times New Roman" w:eastAsia="Times New Roman" w:hAnsi="Times New Roman" w:cs="Times New Roman"/>
          <w:lang w:val="en-US"/>
        </w:rPr>
      </w:pPr>
    </w:p>
    <w:p w14:paraId="16665513" w14:textId="77777777" w:rsidR="00846BBC" w:rsidRPr="004272B3" w:rsidRDefault="00846BBC" w:rsidP="00846BBC">
      <w:pPr>
        <w:widowControl w:val="0"/>
        <w:autoSpaceDE w:val="0"/>
        <w:autoSpaceDN w:val="0"/>
        <w:adjustRightInd w:val="0"/>
        <w:spacing w:line="480" w:lineRule="auto"/>
        <w:ind w:firstLine="708"/>
        <w:jc w:val="both"/>
        <w:rPr>
          <w:rFonts w:ascii="Times New Roman" w:eastAsia="Times New Roman" w:hAnsi="Times New Roman" w:cs="Times New Roman"/>
          <w:lang w:val="en-US"/>
        </w:rPr>
      </w:pPr>
    </w:p>
    <w:p w14:paraId="6EDA6BBA" w14:textId="77777777" w:rsidR="00846BBC" w:rsidRPr="004272B3" w:rsidRDefault="00846BBC" w:rsidP="00846BBC">
      <w:pPr>
        <w:widowControl w:val="0"/>
        <w:autoSpaceDE w:val="0"/>
        <w:autoSpaceDN w:val="0"/>
        <w:adjustRightInd w:val="0"/>
        <w:rPr>
          <w:rFonts w:ascii="Times New Roman" w:hAnsi="Times New Roman" w:cs="Times New Roman"/>
          <w:lang w:val="en-US"/>
        </w:rPr>
      </w:pPr>
    </w:p>
    <w:p w14:paraId="4C63B6C1" w14:textId="77777777" w:rsidR="00846BBC" w:rsidRPr="004272B3" w:rsidRDefault="00846BBC" w:rsidP="00846BBC">
      <w:pPr>
        <w:widowControl w:val="0"/>
        <w:autoSpaceDE w:val="0"/>
        <w:autoSpaceDN w:val="0"/>
        <w:adjustRightInd w:val="0"/>
        <w:rPr>
          <w:rFonts w:ascii="Times New Roman" w:hAnsi="Times New Roman" w:cs="Times New Roman"/>
          <w:lang w:val="en-US"/>
        </w:rPr>
      </w:pPr>
      <w:r w:rsidRPr="004272B3">
        <w:rPr>
          <w:rFonts w:ascii="Times New Roman" w:hAnsi="Times New Roman" w:cs="Times New Roman"/>
          <w:lang w:val="en-US"/>
        </w:rPr>
        <w:t>ACKNOWLEDGEMENTS</w:t>
      </w:r>
    </w:p>
    <w:p w14:paraId="2866F171" w14:textId="77777777" w:rsidR="00846BBC" w:rsidRPr="004272B3" w:rsidRDefault="00846BBC" w:rsidP="00846BBC">
      <w:pPr>
        <w:widowControl w:val="0"/>
        <w:autoSpaceDE w:val="0"/>
        <w:autoSpaceDN w:val="0"/>
        <w:adjustRightInd w:val="0"/>
        <w:rPr>
          <w:rFonts w:ascii="Times New Roman" w:hAnsi="Times New Roman" w:cs="Times New Roman"/>
          <w:lang w:val="en-US"/>
        </w:rPr>
      </w:pPr>
    </w:p>
    <w:p w14:paraId="10494209" w14:textId="77777777" w:rsidR="00846BBC" w:rsidRPr="004272B3" w:rsidRDefault="00846BBC" w:rsidP="00846BBC">
      <w:pPr>
        <w:spacing w:line="480" w:lineRule="auto"/>
        <w:rPr>
          <w:rFonts w:ascii="Times" w:eastAsia="Times New Roman" w:hAnsi="Times" w:cs="Times New Roman"/>
          <w:lang w:val="en-US"/>
        </w:rPr>
      </w:pPr>
      <w:r w:rsidRPr="004272B3">
        <w:rPr>
          <w:rFonts w:ascii="Times" w:eastAsia="Times New Roman" w:hAnsi="Times" w:cs="Times New Roman"/>
          <w:lang w:val="en-US"/>
        </w:rPr>
        <w:t>This study was supported by grants from the Spanish Ministry of Science and Innovation</w:t>
      </w:r>
      <w:r w:rsidRPr="004272B3">
        <w:rPr>
          <w:rFonts w:ascii="Times New Roman" w:hAnsi="Times New Roman" w:cs="Times New Roman"/>
          <w:sz w:val="16"/>
          <w:szCs w:val="16"/>
          <w:lang w:val="en-US"/>
        </w:rPr>
        <w:t xml:space="preserve"> </w:t>
      </w:r>
      <w:r w:rsidRPr="004272B3">
        <w:rPr>
          <w:rFonts w:ascii="Times" w:eastAsia="Times New Roman" w:hAnsi="Times" w:cs="Times New Roman"/>
          <w:lang w:val="en-US"/>
        </w:rPr>
        <w:t xml:space="preserve">project and by </w:t>
      </w:r>
      <w:proofErr w:type="spellStart"/>
      <w:r w:rsidRPr="004272B3">
        <w:rPr>
          <w:rFonts w:ascii="Times" w:eastAsia="Times New Roman" w:hAnsi="Times" w:cs="Times New Roman"/>
          <w:lang w:val="en-US"/>
        </w:rPr>
        <w:t>Generalitat</w:t>
      </w:r>
      <w:proofErr w:type="spellEnd"/>
      <w:r w:rsidRPr="004272B3">
        <w:rPr>
          <w:rFonts w:ascii="Times" w:eastAsia="Times New Roman" w:hAnsi="Times" w:cs="Times New Roman"/>
          <w:lang w:val="en-US"/>
        </w:rPr>
        <w:t xml:space="preserve"> </w:t>
      </w:r>
      <w:proofErr w:type="spellStart"/>
      <w:r w:rsidRPr="004272B3">
        <w:rPr>
          <w:rFonts w:ascii="Times" w:eastAsia="Times New Roman" w:hAnsi="Times" w:cs="Times New Roman"/>
          <w:lang w:val="en-US"/>
        </w:rPr>
        <w:t>Valenciana</w:t>
      </w:r>
      <w:proofErr w:type="spellEnd"/>
      <w:r w:rsidRPr="004272B3">
        <w:rPr>
          <w:rFonts w:ascii="Times" w:eastAsia="Times New Roman" w:hAnsi="Times" w:cs="Times New Roman"/>
          <w:lang w:val="en-US"/>
        </w:rPr>
        <w:t>. RR is recipient of an Alicia Koplowitz Foundation Fellowship.</w:t>
      </w:r>
    </w:p>
    <w:p w14:paraId="65771FC5" w14:textId="77777777" w:rsidR="00846BBC" w:rsidRPr="004272B3" w:rsidRDefault="00846BBC" w:rsidP="00846BBC">
      <w:pPr>
        <w:widowControl w:val="0"/>
        <w:autoSpaceDE w:val="0"/>
        <w:autoSpaceDN w:val="0"/>
        <w:adjustRightInd w:val="0"/>
        <w:rPr>
          <w:rFonts w:ascii="Times New Roman" w:hAnsi="Times New Roman" w:cs="Times New Roman"/>
          <w:lang w:val="en-US"/>
        </w:rPr>
      </w:pPr>
    </w:p>
    <w:p w14:paraId="260AB3DE" w14:textId="77777777" w:rsidR="00846BBC" w:rsidRPr="004272B3" w:rsidRDefault="00846BBC" w:rsidP="00846BBC">
      <w:pPr>
        <w:widowControl w:val="0"/>
        <w:autoSpaceDE w:val="0"/>
        <w:autoSpaceDN w:val="0"/>
        <w:adjustRightInd w:val="0"/>
        <w:rPr>
          <w:rFonts w:ascii="Times New Roman" w:hAnsi="Times New Roman" w:cs="Times New Roman"/>
          <w:lang w:val="en-US"/>
        </w:rPr>
      </w:pPr>
    </w:p>
    <w:p w14:paraId="03A30353" w14:textId="77777777" w:rsidR="00846BBC" w:rsidRPr="004272B3" w:rsidRDefault="00846BBC" w:rsidP="00846BBC">
      <w:pPr>
        <w:widowControl w:val="0"/>
        <w:autoSpaceDE w:val="0"/>
        <w:autoSpaceDN w:val="0"/>
        <w:adjustRightInd w:val="0"/>
        <w:rPr>
          <w:rFonts w:ascii="Times New Roman" w:hAnsi="Times New Roman" w:cs="Times New Roman"/>
          <w:lang w:val="en-US"/>
        </w:rPr>
      </w:pPr>
    </w:p>
    <w:p w14:paraId="1FC3390F" w14:textId="77777777" w:rsidR="00846BBC" w:rsidRPr="004272B3" w:rsidRDefault="00846BBC" w:rsidP="00846BBC">
      <w:pPr>
        <w:spacing w:line="276" w:lineRule="auto"/>
        <w:rPr>
          <w:rFonts w:ascii="Times New Roman" w:hAnsi="Times New Roman" w:cs="Times New Roman"/>
          <w:b/>
          <w:bCs/>
          <w:lang w:val="en-US"/>
        </w:rPr>
      </w:pPr>
      <w:r w:rsidRPr="004272B3">
        <w:rPr>
          <w:rFonts w:ascii="Times New Roman" w:hAnsi="Times New Roman" w:cs="Times New Roman"/>
          <w:lang w:val="en-US"/>
        </w:rPr>
        <w:tab/>
      </w:r>
      <w:r w:rsidRPr="004272B3">
        <w:rPr>
          <w:rFonts w:ascii="Times New Roman" w:hAnsi="Times New Roman" w:cs="Times New Roman"/>
          <w:lang w:val="en-US"/>
        </w:rPr>
        <w:tab/>
      </w:r>
      <w:r w:rsidRPr="004272B3">
        <w:rPr>
          <w:rFonts w:ascii="Times New Roman" w:hAnsi="Times New Roman" w:cs="Times New Roman"/>
          <w:lang w:val="en-US"/>
        </w:rPr>
        <w:tab/>
      </w:r>
      <w:r w:rsidRPr="004272B3">
        <w:rPr>
          <w:rFonts w:ascii="Times New Roman" w:hAnsi="Times New Roman" w:cs="Times New Roman"/>
          <w:lang w:val="en-US"/>
        </w:rPr>
        <w:tab/>
      </w:r>
      <w:r w:rsidRPr="004272B3">
        <w:rPr>
          <w:rFonts w:ascii="Times New Roman" w:hAnsi="Times New Roman" w:cs="Times New Roman"/>
          <w:lang w:val="en-US"/>
        </w:rPr>
        <w:tab/>
      </w:r>
      <w:r w:rsidRPr="004272B3">
        <w:rPr>
          <w:rFonts w:ascii="Times New Roman" w:hAnsi="Times New Roman" w:cs="Times New Roman"/>
          <w:b/>
          <w:bCs/>
          <w:lang w:val="en-US"/>
        </w:rPr>
        <w:t>References</w:t>
      </w:r>
    </w:p>
    <w:p w14:paraId="1F70A6E1" w14:textId="77777777" w:rsidR="00846BBC" w:rsidRPr="004272B3" w:rsidRDefault="00846BBC" w:rsidP="00846BBC">
      <w:pPr>
        <w:spacing w:line="276" w:lineRule="auto"/>
        <w:rPr>
          <w:rFonts w:ascii="Times New Roman" w:hAnsi="Times New Roman" w:cs="Times New Roman"/>
          <w:sz w:val="28"/>
          <w:szCs w:val="28"/>
          <w:lang w:val="en-US"/>
        </w:rPr>
      </w:pPr>
      <w:r w:rsidRPr="004272B3">
        <w:rPr>
          <w:rFonts w:ascii="Times New Roman" w:hAnsi="Times New Roman" w:cs="Times New Roman"/>
          <w:i/>
          <w:lang w:val="en-US"/>
        </w:rPr>
        <w:tab/>
      </w:r>
      <w:r w:rsidRPr="004272B3">
        <w:rPr>
          <w:rFonts w:ascii="Times New Roman" w:hAnsi="Times New Roman" w:cs="Times New Roman"/>
          <w:i/>
          <w:lang w:val="en-US"/>
        </w:rPr>
        <w:tab/>
      </w:r>
      <w:r w:rsidRPr="004272B3">
        <w:rPr>
          <w:rFonts w:ascii="Times New Roman" w:hAnsi="Times New Roman" w:cs="Times New Roman"/>
          <w:i/>
          <w:lang w:val="en-US"/>
        </w:rPr>
        <w:tab/>
      </w:r>
      <w:r w:rsidRPr="004272B3">
        <w:rPr>
          <w:rFonts w:ascii="Times New Roman" w:hAnsi="Times New Roman" w:cs="Times New Roman"/>
          <w:i/>
          <w:lang w:val="en-US"/>
        </w:rPr>
        <w:tab/>
      </w:r>
      <w:r w:rsidRPr="004272B3">
        <w:rPr>
          <w:rFonts w:ascii="Times New Roman" w:hAnsi="Times New Roman" w:cs="Times New Roman"/>
          <w:i/>
          <w:lang w:val="en-US"/>
        </w:rPr>
        <w:tab/>
      </w:r>
    </w:p>
    <w:p w14:paraId="3FBEC295" w14:textId="77777777" w:rsidR="00846BBC" w:rsidRPr="004272B3" w:rsidRDefault="00846BBC" w:rsidP="00846BBC">
      <w:pPr>
        <w:spacing w:line="480" w:lineRule="auto"/>
        <w:ind w:left="567" w:hanging="567"/>
        <w:rPr>
          <w:rFonts w:ascii="Times New Roman" w:hAnsi="Times New Roman" w:cs="Times New Roman"/>
          <w:lang w:val="en-US"/>
        </w:rPr>
      </w:pPr>
      <w:r w:rsidRPr="004272B3">
        <w:rPr>
          <w:rFonts w:ascii="Times New Roman" w:hAnsi="Times New Roman" w:cs="Times New Roman"/>
          <w:lang w:val="en-US"/>
        </w:rPr>
        <w:t xml:space="preserve">American Psychiatric Association. (2013) </w:t>
      </w:r>
      <w:r w:rsidRPr="004272B3">
        <w:rPr>
          <w:rFonts w:ascii="Times New Roman" w:hAnsi="Times New Roman" w:cs="Times New Roman"/>
          <w:i/>
          <w:lang w:val="en-US"/>
        </w:rPr>
        <w:t>Diagnostic and Statistical Manual of Mental Disorders. (DSM-5.</w:t>
      </w:r>
      <w:r w:rsidRPr="004272B3">
        <w:rPr>
          <w:rFonts w:ascii="Times New Roman" w:hAnsi="Times New Roman" w:cs="Times New Roman"/>
          <w:lang w:val="en-US"/>
        </w:rPr>
        <w:t xml:space="preserve"> American Psychiatric Association: Arlington, TX, USA</w:t>
      </w:r>
    </w:p>
    <w:p w14:paraId="143B947D" w14:textId="77777777" w:rsidR="00846BBC" w:rsidRPr="004272B3" w:rsidRDefault="00846BBC" w:rsidP="00846BBC">
      <w:pPr>
        <w:spacing w:line="480" w:lineRule="auto"/>
        <w:ind w:left="567" w:hanging="567"/>
        <w:rPr>
          <w:rFonts w:ascii="Times New Roman" w:hAnsi="Times New Roman" w:cs="Times New Roman"/>
          <w:lang w:val="en-US"/>
        </w:rPr>
      </w:pPr>
      <w:proofErr w:type="spellStart"/>
      <w:r w:rsidRPr="004272B3">
        <w:rPr>
          <w:rFonts w:ascii="Times New Roman" w:hAnsi="Times New Roman" w:cs="Times New Roman"/>
          <w:lang w:val="en-US"/>
        </w:rPr>
        <w:t>Antshel</w:t>
      </w:r>
      <w:proofErr w:type="spellEnd"/>
      <w:r w:rsidRPr="004272B3">
        <w:rPr>
          <w:rFonts w:ascii="Times New Roman" w:hAnsi="Times New Roman" w:cs="Times New Roman"/>
          <w:lang w:val="en-US"/>
        </w:rPr>
        <w:t xml:space="preserve">, K.M., Zhang-James, Y., &amp; Faraone, S.V. (2013). The comorbidity of ADHD and autism spectrum disorder. </w:t>
      </w:r>
      <w:r w:rsidRPr="004272B3">
        <w:rPr>
          <w:rFonts w:ascii="Times New Roman" w:hAnsi="Times New Roman" w:cs="Times New Roman"/>
          <w:i/>
          <w:lang w:val="en-US"/>
        </w:rPr>
        <w:t>Expert Review of Neurotherapeutics,</w:t>
      </w:r>
      <w:r w:rsidRPr="004272B3">
        <w:rPr>
          <w:rFonts w:ascii="Times New Roman" w:hAnsi="Times New Roman" w:cs="Times New Roman"/>
          <w:lang w:val="en-US"/>
        </w:rPr>
        <w:t xml:space="preserve"> 13(10), 1117-1128. </w:t>
      </w:r>
      <w:proofErr w:type="spellStart"/>
      <w:r w:rsidRPr="004272B3">
        <w:rPr>
          <w:rFonts w:ascii="Times New Roman" w:hAnsi="Times New Roman" w:cs="Times New Roman"/>
          <w:lang w:val="en-US"/>
        </w:rPr>
        <w:t>doi</w:t>
      </w:r>
      <w:proofErr w:type="spellEnd"/>
      <w:r w:rsidRPr="004272B3">
        <w:rPr>
          <w:rFonts w:ascii="Times New Roman" w:hAnsi="Times New Roman" w:cs="Times New Roman"/>
          <w:lang w:val="en-US"/>
        </w:rPr>
        <w:t xml:space="preserve">: </w:t>
      </w:r>
      <w:hyperlink r:id="rId5">
        <w:r w:rsidRPr="004272B3">
          <w:rPr>
            <w:rStyle w:val="Hyperlink"/>
            <w:rFonts w:ascii="Times New Roman" w:hAnsi="Times New Roman" w:cs="Times New Roman"/>
            <w:color w:val="auto"/>
            <w:u w:val="none"/>
            <w:lang w:val="en-US"/>
          </w:rPr>
          <w:t>http://dx.doi.org/</w:t>
        </w:r>
      </w:hyperlink>
      <w:r w:rsidRPr="004272B3">
        <w:rPr>
          <w:rFonts w:ascii="Times New Roman" w:hAnsi="Times New Roman" w:cs="Times New Roman"/>
          <w:lang w:val="en-US"/>
        </w:rPr>
        <w:t xml:space="preserve"> 10.1586/ 14737175.2013.840417.</w:t>
      </w:r>
    </w:p>
    <w:p w14:paraId="4CBC4864" w14:textId="3B2B217A" w:rsidR="00846BBC" w:rsidRPr="004272B3" w:rsidRDefault="00846BBC" w:rsidP="00846BBC">
      <w:pPr>
        <w:pBdr>
          <w:top w:val="nil"/>
          <w:left w:val="nil"/>
          <w:bottom w:val="nil"/>
          <w:right w:val="nil"/>
          <w:between w:val="nil"/>
        </w:pBdr>
        <w:spacing w:line="360" w:lineRule="auto"/>
        <w:ind w:left="425" w:hanging="425"/>
        <w:jc w:val="both"/>
        <w:rPr>
          <w:rFonts w:ascii="Times New Roman" w:eastAsia="Palatino Linotype" w:hAnsi="Times New Roman" w:cs="Times New Roman"/>
          <w:highlight w:val="white"/>
          <w:lang w:val="en-GB"/>
        </w:rPr>
      </w:pPr>
      <w:r w:rsidRPr="004272B3">
        <w:rPr>
          <w:rFonts w:ascii="Times New Roman" w:eastAsia="Palatino Linotype" w:hAnsi="Times New Roman" w:cs="Times New Roman"/>
          <w:highlight w:val="white"/>
          <w:lang w:val="en-US"/>
        </w:rPr>
        <w:t>Avni, E., Ben-</w:t>
      </w:r>
      <w:proofErr w:type="spellStart"/>
      <w:r w:rsidRPr="004272B3">
        <w:rPr>
          <w:rFonts w:ascii="Times New Roman" w:eastAsia="Palatino Linotype" w:hAnsi="Times New Roman" w:cs="Times New Roman"/>
          <w:highlight w:val="white"/>
          <w:lang w:val="en-US"/>
        </w:rPr>
        <w:t>Itzchak</w:t>
      </w:r>
      <w:proofErr w:type="spellEnd"/>
      <w:r w:rsidRPr="004272B3">
        <w:rPr>
          <w:rFonts w:ascii="Times New Roman" w:eastAsia="Palatino Linotype" w:hAnsi="Times New Roman" w:cs="Times New Roman"/>
          <w:highlight w:val="white"/>
          <w:lang w:val="en-US"/>
        </w:rPr>
        <w:t xml:space="preserve">, E., &amp; Zachor, D.A. (2018). The Presence of Comorbid ADHD and Anxiety Symptoms in Autism Spectrum Disorder: Clinical Presentation and Predictors. </w:t>
      </w:r>
      <w:r w:rsidRPr="004272B3">
        <w:rPr>
          <w:rFonts w:ascii="Times New Roman" w:eastAsia="Palatino Linotype" w:hAnsi="Times New Roman" w:cs="Times New Roman"/>
          <w:i/>
          <w:highlight w:val="white"/>
          <w:lang w:val="en-GB"/>
        </w:rPr>
        <w:t>Frontiers in Psychiatry,</w:t>
      </w:r>
      <w:r w:rsidRPr="004272B3">
        <w:rPr>
          <w:rFonts w:ascii="Times New Roman" w:eastAsia="Palatino Linotype" w:hAnsi="Times New Roman" w:cs="Times New Roman"/>
          <w:b/>
          <w:highlight w:val="white"/>
          <w:lang w:val="en-GB"/>
        </w:rPr>
        <w:t xml:space="preserve"> </w:t>
      </w:r>
      <w:r w:rsidRPr="004272B3">
        <w:rPr>
          <w:rFonts w:ascii="Times New Roman" w:eastAsia="Palatino Linotype" w:hAnsi="Times New Roman" w:cs="Times New Roman"/>
          <w:highlight w:val="white"/>
          <w:lang w:val="en-GB"/>
        </w:rPr>
        <w:t xml:space="preserve">9: 717. doi:10.3389/fpsyt.2018.00717 </w:t>
      </w:r>
    </w:p>
    <w:p w14:paraId="00B0290E" w14:textId="0B5156CB" w:rsidR="00485AF1" w:rsidRPr="004272B3" w:rsidRDefault="00485AF1" w:rsidP="00846BBC">
      <w:pPr>
        <w:pBdr>
          <w:top w:val="nil"/>
          <w:left w:val="nil"/>
          <w:bottom w:val="nil"/>
          <w:right w:val="nil"/>
          <w:between w:val="nil"/>
        </w:pBdr>
        <w:spacing w:line="360" w:lineRule="auto"/>
        <w:ind w:left="425" w:hanging="425"/>
        <w:jc w:val="both"/>
        <w:rPr>
          <w:rFonts w:ascii="Times New Roman" w:eastAsia="Palatino Linotype" w:hAnsi="Times New Roman" w:cs="Times New Roman"/>
          <w:highlight w:val="white"/>
          <w:lang w:val="en-GB"/>
        </w:rPr>
      </w:pPr>
      <w:r w:rsidRPr="004272B3">
        <w:rPr>
          <w:rFonts w:ascii="Times New Roman" w:eastAsia="Palatino Linotype" w:hAnsi="Times New Roman" w:cs="Times New Roman"/>
          <w:highlight w:val="white"/>
          <w:lang w:val="en-GB"/>
        </w:rPr>
        <w:lastRenderedPageBreak/>
        <w:t xml:space="preserve">Benallie, K., Brunson McClain, M., Bakner, K., Roanhorse, T., </w:t>
      </w:r>
      <w:r w:rsidR="0057727B" w:rsidRPr="004272B3">
        <w:rPr>
          <w:rFonts w:ascii="Times New Roman" w:eastAsia="Palatino Linotype" w:hAnsi="Times New Roman" w:cs="Times New Roman"/>
          <w:highlight w:val="white"/>
          <w:lang w:val="en-GB"/>
        </w:rPr>
        <w:t xml:space="preserve">Ha, J. (2021). Executive functioning in children with ASD+ADHD and ASD+ID: a systematic review. </w:t>
      </w:r>
      <w:r w:rsidR="0057727B" w:rsidRPr="004272B3">
        <w:rPr>
          <w:rFonts w:ascii="Times New Roman" w:eastAsia="Palatino Linotype" w:hAnsi="Times New Roman" w:cs="Times New Roman"/>
          <w:i/>
          <w:iCs/>
          <w:highlight w:val="white"/>
          <w:lang w:val="en-GB"/>
        </w:rPr>
        <w:t>Research in Autism Spectrum Disorders</w:t>
      </w:r>
      <w:r w:rsidR="0057727B" w:rsidRPr="004272B3">
        <w:rPr>
          <w:rFonts w:ascii="Times New Roman" w:eastAsia="Palatino Linotype" w:hAnsi="Times New Roman" w:cs="Times New Roman"/>
          <w:highlight w:val="white"/>
          <w:lang w:val="en-GB"/>
        </w:rPr>
        <w:t>, 86</w:t>
      </w:r>
      <w:r w:rsidR="00695846" w:rsidRPr="004272B3">
        <w:rPr>
          <w:rFonts w:ascii="Times New Roman" w:eastAsia="Palatino Linotype" w:hAnsi="Times New Roman" w:cs="Times New Roman"/>
          <w:lang w:val="en-GB"/>
        </w:rPr>
        <w:t xml:space="preserve">. </w:t>
      </w:r>
      <w:r w:rsidR="00695846" w:rsidRPr="004272B3">
        <w:rPr>
          <w:rFonts w:ascii="Times New Roman" w:hAnsi="Times New Roman" w:cs="Times New Roman"/>
        </w:rPr>
        <w:fldChar w:fldCharType="begin"/>
      </w:r>
      <w:r w:rsidR="00695846" w:rsidRPr="004272B3">
        <w:rPr>
          <w:rFonts w:ascii="Times New Roman" w:hAnsi="Times New Roman" w:cs="Times New Roman"/>
          <w:lang w:val="en-US"/>
        </w:rPr>
        <w:instrText xml:space="preserve"> HYPERLINK "https://doi.org/10.1016/j.rasd.2021.101807" \o "Persistent link using digital object identifier" \t "_blank" </w:instrText>
      </w:r>
      <w:r w:rsidR="00695846" w:rsidRPr="004272B3">
        <w:rPr>
          <w:rFonts w:ascii="Times New Roman" w:hAnsi="Times New Roman" w:cs="Times New Roman"/>
        </w:rPr>
        <w:fldChar w:fldCharType="separate"/>
      </w:r>
      <w:r w:rsidR="00695846" w:rsidRPr="004272B3">
        <w:rPr>
          <w:rStyle w:val="Hyperlink"/>
          <w:rFonts w:ascii="Times New Roman" w:hAnsi="Times New Roman" w:cs="Times New Roman"/>
          <w:color w:val="auto"/>
          <w:sz w:val="21"/>
          <w:szCs w:val="21"/>
          <w:u w:val="none"/>
          <w:lang w:val="en-US"/>
        </w:rPr>
        <w:t>https://doi.org/10.1016/j.rasd.2021.101807</w:t>
      </w:r>
      <w:r w:rsidR="00695846" w:rsidRPr="004272B3">
        <w:rPr>
          <w:rFonts w:ascii="Times New Roman" w:hAnsi="Times New Roman" w:cs="Times New Roman"/>
        </w:rPr>
        <w:fldChar w:fldCharType="end"/>
      </w:r>
    </w:p>
    <w:p w14:paraId="6E31FB05" w14:textId="77777777" w:rsidR="00846BBC" w:rsidRPr="004272B3" w:rsidRDefault="00846BBC" w:rsidP="00846BBC">
      <w:pPr>
        <w:spacing w:line="480" w:lineRule="auto"/>
        <w:ind w:left="567" w:hanging="567"/>
        <w:rPr>
          <w:rFonts w:ascii="Times New Roman" w:hAnsi="Times New Roman" w:cs="Times New Roman"/>
          <w:lang w:val="en-US"/>
        </w:rPr>
      </w:pPr>
      <w:r w:rsidRPr="004272B3">
        <w:rPr>
          <w:rFonts w:ascii="Times New Roman" w:hAnsi="Times New Roman" w:cs="Times New Roman"/>
        </w:rPr>
        <w:t xml:space="preserve">Berenguer, C., Rosello, B., Colomer, C., Baixauli, I., &amp; Miranda, A. (2018). </w:t>
      </w:r>
      <w:r w:rsidRPr="004272B3">
        <w:rPr>
          <w:rFonts w:ascii="Times New Roman" w:hAnsi="Times New Roman" w:cs="Times New Roman"/>
          <w:lang w:val="en-US"/>
        </w:rPr>
        <w:t xml:space="preserve">Children with autism and attention deficit hyperactivity disorder. Relationships between symptoms and executive function, theory of mind, and behavioral problems. </w:t>
      </w:r>
      <w:r w:rsidRPr="004272B3">
        <w:rPr>
          <w:rFonts w:ascii="Times New Roman" w:hAnsi="Times New Roman" w:cs="Times New Roman"/>
          <w:i/>
          <w:iCs/>
          <w:lang w:val="en-US"/>
        </w:rPr>
        <w:t>Research in Developmental Disabilities,</w:t>
      </w:r>
      <w:r w:rsidRPr="004272B3">
        <w:rPr>
          <w:rFonts w:ascii="Times New Roman" w:hAnsi="Times New Roman" w:cs="Times New Roman"/>
          <w:lang w:val="en-US"/>
        </w:rPr>
        <w:t xml:space="preserve"> 83: 260-269. https://doi.org/10.1016/ j.ridd.2018.10.001</w:t>
      </w:r>
    </w:p>
    <w:p w14:paraId="0E77CEBA" w14:textId="77777777" w:rsidR="00846BBC" w:rsidRPr="004272B3" w:rsidRDefault="00846BBC" w:rsidP="00846BBC">
      <w:pPr>
        <w:spacing w:line="480" w:lineRule="auto"/>
        <w:ind w:left="567" w:hanging="567"/>
        <w:rPr>
          <w:rFonts w:ascii="Times New Roman" w:hAnsi="Times New Roman" w:cs="Times New Roman"/>
          <w:lang w:val="en-US"/>
        </w:rPr>
      </w:pPr>
      <w:r w:rsidRPr="004272B3">
        <w:rPr>
          <w:rFonts w:ascii="Times New Roman" w:hAnsi="Times New Roman" w:cs="Times New Roman"/>
          <w:lang w:val="en-US"/>
        </w:rPr>
        <w:t>Brookman-Frazee, L., Stadnick, N., Chlebowski, C., Baker-</w:t>
      </w:r>
      <w:proofErr w:type="spellStart"/>
      <w:r w:rsidRPr="004272B3">
        <w:rPr>
          <w:rFonts w:ascii="Times New Roman" w:hAnsi="Times New Roman" w:cs="Times New Roman"/>
          <w:lang w:val="en-US"/>
        </w:rPr>
        <w:t>Ericzen</w:t>
      </w:r>
      <w:proofErr w:type="spellEnd"/>
      <w:r w:rsidRPr="004272B3">
        <w:rPr>
          <w:rFonts w:ascii="Times New Roman" w:hAnsi="Times New Roman" w:cs="Times New Roman"/>
          <w:lang w:val="en-US"/>
        </w:rPr>
        <w:t xml:space="preserve">, M., &amp; Ganger, W. (2018). Characterizing psychiatric comorbidity in children with autism spectrum disorder receiving publicly funded mental health services. </w:t>
      </w:r>
      <w:r w:rsidRPr="004272B3">
        <w:rPr>
          <w:rFonts w:ascii="Times New Roman" w:hAnsi="Times New Roman" w:cs="Times New Roman"/>
          <w:i/>
          <w:iCs/>
          <w:lang w:val="en-US"/>
        </w:rPr>
        <w:t>Autism</w:t>
      </w:r>
      <w:r w:rsidRPr="004272B3">
        <w:rPr>
          <w:rFonts w:ascii="Times New Roman" w:hAnsi="Times New Roman" w:cs="Times New Roman"/>
          <w:lang w:val="en-US"/>
        </w:rPr>
        <w:t>, 22, 938–952. https://doi 10.1177/1362361317712650.</w:t>
      </w:r>
    </w:p>
    <w:p w14:paraId="02A4A1EE" w14:textId="77777777" w:rsidR="00846BBC" w:rsidRPr="004272B3" w:rsidRDefault="00846BBC" w:rsidP="00846BBC">
      <w:pPr>
        <w:spacing w:line="480" w:lineRule="auto"/>
        <w:ind w:left="567" w:hanging="567"/>
        <w:rPr>
          <w:rFonts w:ascii="Times New Roman" w:eastAsia="Times New Roman" w:hAnsi="Times New Roman" w:cs="Times New Roman"/>
          <w:highlight w:val="white"/>
          <w:lang w:val="en-US"/>
        </w:rPr>
      </w:pPr>
      <w:r w:rsidRPr="004272B3">
        <w:rPr>
          <w:rFonts w:ascii="Times New Roman" w:hAnsi="Times New Roman" w:cs="Times New Roman"/>
          <w:shd w:val="clear" w:color="auto" w:fill="FFFFFF"/>
          <w:lang w:val="en-US"/>
        </w:rPr>
        <w:t xml:space="preserve">Cortese, S., </w:t>
      </w:r>
      <w:proofErr w:type="spellStart"/>
      <w:r w:rsidRPr="004272B3">
        <w:rPr>
          <w:rFonts w:ascii="Times New Roman" w:hAnsi="Times New Roman" w:cs="Times New Roman"/>
          <w:shd w:val="clear" w:color="auto" w:fill="FFFFFF"/>
          <w:lang w:val="en-US"/>
        </w:rPr>
        <w:t>Castelnau</w:t>
      </w:r>
      <w:proofErr w:type="spellEnd"/>
      <w:r w:rsidRPr="004272B3">
        <w:rPr>
          <w:rFonts w:ascii="Times New Roman" w:hAnsi="Times New Roman" w:cs="Times New Roman"/>
          <w:shd w:val="clear" w:color="auto" w:fill="FFFFFF"/>
          <w:lang w:val="en-US"/>
        </w:rPr>
        <w:t>, P., Morcillo, C., Roux, S, Bonnet-</w:t>
      </w:r>
      <w:proofErr w:type="spellStart"/>
      <w:r w:rsidRPr="004272B3">
        <w:rPr>
          <w:rFonts w:ascii="Times New Roman" w:hAnsi="Times New Roman" w:cs="Times New Roman"/>
          <w:shd w:val="clear" w:color="auto" w:fill="FFFFFF"/>
          <w:lang w:val="en-US"/>
        </w:rPr>
        <w:t>Brilhault</w:t>
      </w:r>
      <w:proofErr w:type="spellEnd"/>
      <w:r w:rsidRPr="004272B3">
        <w:rPr>
          <w:rFonts w:ascii="Times New Roman" w:hAnsi="Times New Roman" w:cs="Times New Roman"/>
          <w:shd w:val="clear" w:color="auto" w:fill="FFFFFF"/>
          <w:lang w:val="en-US"/>
        </w:rPr>
        <w:t xml:space="preserve">, F. (2012). Psychostimulants for ADHD-like symptoms in individuals with autism spectrum disorders. </w:t>
      </w:r>
      <w:r w:rsidRPr="004272B3">
        <w:rPr>
          <w:rFonts w:ascii="Times New Roman" w:hAnsi="Times New Roman" w:cs="Times New Roman"/>
          <w:i/>
          <w:iCs/>
          <w:shd w:val="clear" w:color="auto" w:fill="FFFFFF"/>
          <w:lang w:val="en-US"/>
        </w:rPr>
        <w:t>Expert Review of Neurotherapeutics</w:t>
      </w:r>
      <w:r w:rsidRPr="004272B3">
        <w:rPr>
          <w:rFonts w:ascii="Times New Roman" w:hAnsi="Times New Roman" w:cs="Times New Roman"/>
          <w:shd w:val="clear" w:color="auto" w:fill="FFFFFF"/>
          <w:lang w:val="en-US"/>
        </w:rPr>
        <w:t xml:space="preserve">, 12(4):461-73. </w:t>
      </w:r>
      <w:proofErr w:type="spellStart"/>
      <w:r w:rsidRPr="004272B3">
        <w:rPr>
          <w:rFonts w:ascii="Times New Roman" w:hAnsi="Times New Roman" w:cs="Times New Roman"/>
          <w:shd w:val="clear" w:color="auto" w:fill="FFFFFF"/>
          <w:lang w:val="en-US"/>
        </w:rPr>
        <w:t>doi</w:t>
      </w:r>
      <w:proofErr w:type="spellEnd"/>
      <w:r w:rsidRPr="004272B3">
        <w:rPr>
          <w:rFonts w:ascii="Times New Roman" w:hAnsi="Times New Roman" w:cs="Times New Roman"/>
          <w:shd w:val="clear" w:color="auto" w:fill="FFFFFF"/>
          <w:lang w:val="en-US"/>
        </w:rPr>
        <w:t>: 10.1586/ern.12.23. PMID: 22449217.</w:t>
      </w:r>
    </w:p>
    <w:p w14:paraId="00E4C74F" w14:textId="77777777" w:rsidR="00846BBC" w:rsidRPr="004272B3" w:rsidRDefault="00846BBC" w:rsidP="00846BBC">
      <w:pPr>
        <w:spacing w:line="480" w:lineRule="auto"/>
        <w:ind w:left="567" w:hanging="567"/>
        <w:rPr>
          <w:rFonts w:ascii="Times New Roman" w:eastAsia="Palatino Linotype" w:hAnsi="Times New Roman" w:cs="Times New Roman"/>
          <w:highlight w:val="white"/>
          <w:lang w:val="en-US"/>
        </w:rPr>
      </w:pPr>
      <w:r w:rsidRPr="004272B3">
        <w:rPr>
          <w:rFonts w:ascii="Times New Roman" w:eastAsia="Palatino Linotype" w:hAnsi="Times New Roman" w:cs="Times New Roman"/>
          <w:highlight w:val="white"/>
          <w:lang w:val="en-GB"/>
        </w:rPr>
        <w:t xml:space="preserve">Colombi, C., &amp; Ghaziuddin, M.M. (2017). </w:t>
      </w:r>
      <w:r w:rsidRPr="004272B3">
        <w:rPr>
          <w:rFonts w:ascii="Times New Roman" w:eastAsia="Palatino Linotype" w:hAnsi="Times New Roman" w:cs="Times New Roman"/>
          <w:highlight w:val="white"/>
          <w:lang w:val="en-US"/>
        </w:rPr>
        <w:t xml:space="preserve">Neuropsychological characteristics of children with mixed autism and ADHD. </w:t>
      </w:r>
      <w:r w:rsidRPr="004272B3">
        <w:rPr>
          <w:rFonts w:ascii="Times New Roman" w:eastAsia="Palatino Linotype" w:hAnsi="Times New Roman" w:cs="Times New Roman"/>
          <w:i/>
          <w:highlight w:val="white"/>
          <w:lang w:val="en-US"/>
        </w:rPr>
        <w:t>Autism Research and Treatment</w:t>
      </w:r>
      <w:r w:rsidRPr="004272B3">
        <w:rPr>
          <w:rFonts w:ascii="Times New Roman" w:eastAsia="Palatino Linotype" w:hAnsi="Times New Roman" w:cs="Times New Roman"/>
          <w:highlight w:val="white"/>
          <w:lang w:val="en-US"/>
        </w:rPr>
        <w:t>, 17</w:t>
      </w:r>
      <w:r w:rsidRPr="004272B3">
        <w:rPr>
          <w:rFonts w:ascii="Times New Roman" w:eastAsia="Palatino Linotype" w:hAnsi="Times New Roman" w:cs="Times New Roman"/>
          <w:b/>
          <w:highlight w:val="white"/>
          <w:lang w:val="en-US"/>
        </w:rPr>
        <w:t xml:space="preserve">. </w:t>
      </w:r>
      <w:r w:rsidRPr="004272B3">
        <w:rPr>
          <w:rFonts w:ascii="Times New Roman" w:eastAsia="Palatino Linotype" w:hAnsi="Times New Roman" w:cs="Times New Roman"/>
          <w:highlight w:val="white"/>
          <w:lang w:val="en-US"/>
        </w:rPr>
        <w:t>ID 5781781, 5 p doi.org/10.1155/ 2017/5781781</w:t>
      </w:r>
    </w:p>
    <w:p w14:paraId="63BEDCBE" w14:textId="77777777" w:rsidR="00846BBC" w:rsidRPr="004272B3" w:rsidRDefault="00846BBC" w:rsidP="00846BBC">
      <w:pPr>
        <w:spacing w:line="480" w:lineRule="auto"/>
        <w:ind w:left="567" w:hanging="567"/>
        <w:rPr>
          <w:rFonts w:ascii="Times New Roman" w:eastAsia="Palatino Linotype" w:hAnsi="Times New Roman" w:cs="Times New Roman"/>
          <w:highlight w:val="white"/>
          <w:lang w:val="en-GB"/>
        </w:rPr>
      </w:pPr>
      <w:r w:rsidRPr="004272B3">
        <w:rPr>
          <w:rFonts w:ascii="Times New Roman" w:eastAsia="Palatino Linotype" w:hAnsi="Times New Roman" w:cs="Times New Roman"/>
          <w:highlight w:val="white"/>
          <w:lang w:val="en-US"/>
        </w:rPr>
        <w:t xml:space="preserve">Chen, M., Wei, H.T., Chen, L.C., </w:t>
      </w:r>
      <w:proofErr w:type="spellStart"/>
      <w:r w:rsidRPr="004272B3">
        <w:rPr>
          <w:rFonts w:ascii="Times New Roman" w:eastAsia="Palatino Linotype" w:hAnsi="Times New Roman" w:cs="Times New Roman"/>
          <w:highlight w:val="white"/>
          <w:lang w:val="en-US"/>
        </w:rPr>
        <w:t>Su</w:t>
      </w:r>
      <w:proofErr w:type="spellEnd"/>
      <w:r w:rsidRPr="004272B3">
        <w:rPr>
          <w:rFonts w:ascii="Times New Roman" w:eastAsia="Palatino Linotype" w:hAnsi="Times New Roman" w:cs="Times New Roman"/>
          <w:highlight w:val="white"/>
          <w:lang w:val="en-US"/>
        </w:rPr>
        <w:t xml:space="preserve">, T.P., Bai, Y.M, Hsu, J.W. &amp; Chen, Y.S .(2015). </w:t>
      </w:r>
      <w:r w:rsidRPr="004272B3">
        <w:rPr>
          <w:rFonts w:ascii="Times New Roman" w:eastAsia="Palatino Linotype" w:hAnsi="Times New Roman" w:cs="Times New Roman"/>
          <w:highlight w:val="white"/>
          <w:lang w:val="en-GB"/>
        </w:rPr>
        <w:t xml:space="preserve">Autistic spectrum disorder, attention deficit hyperactivity disorder, and psychiatric comorbidities: A nationwide study. </w:t>
      </w:r>
      <w:r w:rsidRPr="004272B3">
        <w:rPr>
          <w:rFonts w:ascii="Times New Roman" w:eastAsia="Palatino Linotype" w:hAnsi="Times New Roman" w:cs="Times New Roman"/>
          <w:i/>
          <w:iCs/>
          <w:highlight w:val="white"/>
          <w:lang w:val="en-GB"/>
        </w:rPr>
        <w:t>Research in Autism Spectrum Disorders</w:t>
      </w:r>
      <w:r w:rsidRPr="004272B3">
        <w:rPr>
          <w:rFonts w:ascii="Times New Roman" w:eastAsia="Palatino Linotype" w:hAnsi="Times New Roman" w:cs="Times New Roman"/>
          <w:highlight w:val="white"/>
          <w:lang w:val="en-GB"/>
        </w:rPr>
        <w:t xml:space="preserve">, 10: 1–6. doi:10.1016/j. rasd.2014.10.014 </w:t>
      </w:r>
    </w:p>
    <w:p w14:paraId="2C275AF5" w14:textId="77777777" w:rsidR="00846BBC" w:rsidRPr="004272B3" w:rsidRDefault="00846BBC" w:rsidP="00846BBC">
      <w:pPr>
        <w:spacing w:line="480" w:lineRule="auto"/>
        <w:ind w:left="567" w:hanging="567"/>
        <w:rPr>
          <w:rFonts w:ascii="Times New Roman" w:eastAsia="Palatino Linotype" w:hAnsi="Times New Roman" w:cs="Times New Roman"/>
          <w:highlight w:val="white"/>
          <w:lang w:val="en-US"/>
        </w:rPr>
      </w:pPr>
      <w:r w:rsidRPr="004272B3">
        <w:rPr>
          <w:rFonts w:ascii="Times New Roman" w:eastAsia="Palatino Linotype" w:hAnsi="Times New Roman" w:cs="Times New Roman"/>
          <w:highlight w:val="white"/>
          <w:lang w:val="en-US"/>
        </w:rPr>
        <w:t>Chiang, H.L., Kao, W.C., Chou, M., Chou, W.J., Chiu, Y. N., Wu, Y.Y. &amp; Gau, S.S.F. (2018). School dysfunction in youth with autistic spectrum disorder in Taiwan: The effect of subtype and ADHD</w:t>
      </w:r>
      <w:r w:rsidRPr="004272B3">
        <w:rPr>
          <w:rFonts w:ascii="Times New Roman" w:eastAsia="Palatino Linotype" w:hAnsi="Times New Roman" w:cs="Times New Roman"/>
          <w:i/>
          <w:highlight w:val="white"/>
          <w:lang w:val="en-US"/>
        </w:rPr>
        <w:t>. Autism Research,</w:t>
      </w:r>
      <w:r w:rsidRPr="004272B3">
        <w:rPr>
          <w:rFonts w:ascii="Times New Roman" w:eastAsia="Palatino Linotype" w:hAnsi="Times New Roman" w:cs="Times New Roman"/>
          <w:highlight w:val="white"/>
          <w:lang w:val="en-US"/>
        </w:rPr>
        <w:t xml:space="preserve"> </w:t>
      </w:r>
      <w:r w:rsidRPr="004272B3">
        <w:rPr>
          <w:rFonts w:ascii="Times New Roman" w:eastAsia="Palatino Linotype" w:hAnsi="Times New Roman" w:cs="Times New Roman"/>
          <w:i/>
          <w:highlight w:val="white"/>
          <w:lang w:val="en-US"/>
        </w:rPr>
        <w:t>11</w:t>
      </w:r>
      <w:r w:rsidRPr="004272B3">
        <w:rPr>
          <w:rFonts w:ascii="Times New Roman" w:eastAsia="Palatino Linotype" w:hAnsi="Times New Roman" w:cs="Times New Roman"/>
          <w:highlight w:val="white"/>
          <w:lang w:val="en-US"/>
        </w:rPr>
        <w:t>, 857-869. https://doi.org/10.1002/ aur.1923</w:t>
      </w:r>
    </w:p>
    <w:p w14:paraId="7CD92BFD" w14:textId="77777777" w:rsidR="00846BBC" w:rsidRPr="004272B3" w:rsidRDefault="00846BBC" w:rsidP="00846BBC">
      <w:pPr>
        <w:spacing w:line="480" w:lineRule="auto"/>
        <w:ind w:left="567" w:hanging="567"/>
        <w:rPr>
          <w:rFonts w:ascii="Times New Roman" w:eastAsia="Times New Roman" w:hAnsi="Times New Roman" w:cs="Times New Roman"/>
          <w:highlight w:val="white"/>
          <w:lang w:val="en-GB"/>
        </w:rPr>
      </w:pPr>
      <w:proofErr w:type="spellStart"/>
      <w:r w:rsidRPr="004272B3">
        <w:rPr>
          <w:rFonts w:ascii="Times New Roman" w:eastAsia="Times New Roman" w:hAnsi="Times New Roman" w:cs="Times New Roman"/>
          <w:highlight w:val="white"/>
          <w:lang w:val="en-US"/>
        </w:rPr>
        <w:lastRenderedPageBreak/>
        <w:t>Dajani</w:t>
      </w:r>
      <w:proofErr w:type="spellEnd"/>
      <w:r w:rsidRPr="004272B3">
        <w:rPr>
          <w:rFonts w:ascii="Times New Roman" w:eastAsia="Times New Roman" w:hAnsi="Times New Roman" w:cs="Times New Roman"/>
          <w:highlight w:val="white"/>
          <w:lang w:val="en-US"/>
        </w:rPr>
        <w:t xml:space="preserve">, D.R., </w:t>
      </w:r>
      <w:proofErr w:type="spellStart"/>
      <w:r w:rsidRPr="004272B3">
        <w:rPr>
          <w:rFonts w:ascii="Times New Roman" w:eastAsia="Times New Roman" w:hAnsi="Times New Roman" w:cs="Times New Roman"/>
          <w:highlight w:val="white"/>
          <w:lang w:val="en-US"/>
        </w:rPr>
        <w:t>Llabre</w:t>
      </w:r>
      <w:proofErr w:type="spellEnd"/>
      <w:r w:rsidRPr="004272B3">
        <w:rPr>
          <w:rFonts w:ascii="Times New Roman" w:eastAsia="Times New Roman" w:hAnsi="Times New Roman" w:cs="Times New Roman"/>
          <w:highlight w:val="white"/>
          <w:lang w:val="en-US"/>
        </w:rPr>
        <w:t xml:space="preserve">, M.M., </w:t>
      </w:r>
      <w:proofErr w:type="spellStart"/>
      <w:r w:rsidRPr="004272B3">
        <w:rPr>
          <w:rFonts w:ascii="Times New Roman" w:eastAsia="Times New Roman" w:hAnsi="Times New Roman" w:cs="Times New Roman"/>
          <w:highlight w:val="white"/>
          <w:lang w:val="en-US"/>
        </w:rPr>
        <w:t>Nebel</w:t>
      </w:r>
      <w:proofErr w:type="spellEnd"/>
      <w:r w:rsidRPr="004272B3">
        <w:rPr>
          <w:rFonts w:ascii="Times New Roman" w:eastAsia="Times New Roman" w:hAnsi="Times New Roman" w:cs="Times New Roman"/>
          <w:highlight w:val="white"/>
          <w:lang w:val="en-US"/>
        </w:rPr>
        <w:t xml:space="preserve">, M.B,., </w:t>
      </w:r>
      <w:proofErr w:type="spellStart"/>
      <w:r w:rsidRPr="004272B3">
        <w:rPr>
          <w:rFonts w:ascii="Times New Roman" w:eastAsia="Times New Roman" w:hAnsi="Times New Roman" w:cs="Times New Roman"/>
          <w:highlight w:val="white"/>
          <w:lang w:val="en-US"/>
        </w:rPr>
        <w:t>Mostofsky</w:t>
      </w:r>
      <w:proofErr w:type="spellEnd"/>
      <w:r w:rsidRPr="004272B3">
        <w:rPr>
          <w:rFonts w:ascii="Times New Roman" w:eastAsia="Times New Roman" w:hAnsi="Times New Roman" w:cs="Times New Roman"/>
          <w:highlight w:val="white"/>
          <w:lang w:val="en-US"/>
        </w:rPr>
        <w:t>, S.H., &amp; Uddin, L.Q. (2016).</w:t>
      </w:r>
      <w:r w:rsidRPr="004272B3">
        <w:rPr>
          <w:rFonts w:ascii="Times New Roman" w:eastAsia="Times New Roman" w:hAnsi="Times New Roman" w:cs="Times New Roman"/>
          <w:i/>
          <w:highlight w:val="white"/>
          <w:lang w:val="en-US"/>
        </w:rPr>
        <w:t xml:space="preserve"> </w:t>
      </w:r>
      <w:r w:rsidRPr="004272B3">
        <w:rPr>
          <w:rFonts w:ascii="Times New Roman" w:eastAsia="Times New Roman" w:hAnsi="Times New Roman" w:cs="Times New Roman"/>
          <w:highlight w:val="white"/>
          <w:lang w:val="en-US"/>
        </w:rPr>
        <w:t xml:space="preserve">Heterogeneity of executive functions among comorbid neurodevelopmental disorders. </w:t>
      </w:r>
      <w:r w:rsidRPr="004272B3">
        <w:rPr>
          <w:rFonts w:ascii="Times New Roman" w:eastAsia="Times New Roman" w:hAnsi="Times New Roman" w:cs="Times New Roman"/>
          <w:i/>
          <w:highlight w:val="white"/>
          <w:lang w:val="en-GB"/>
        </w:rPr>
        <w:t>Scientific Reports</w:t>
      </w:r>
      <w:r w:rsidRPr="004272B3">
        <w:rPr>
          <w:rFonts w:ascii="Times New Roman" w:eastAsia="Times New Roman" w:hAnsi="Times New Roman" w:cs="Times New Roman"/>
          <w:highlight w:val="white"/>
          <w:lang w:val="en-GB"/>
        </w:rPr>
        <w:t xml:space="preserve"> 6</w:t>
      </w:r>
      <w:r w:rsidRPr="004272B3">
        <w:rPr>
          <w:rFonts w:ascii="Times New Roman" w:eastAsia="Times New Roman" w:hAnsi="Times New Roman" w:cs="Times New Roman"/>
          <w:i/>
          <w:highlight w:val="white"/>
          <w:lang w:val="en-GB"/>
        </w:rPr>
        <w:t>,</w:t>
      </w:r>
      <w:r w:rsidRPr="004272B3">
        <w:rPr>
          <w:rFonts w:ascii="Times New Roman" w:eastAsia="Times New Roman" w:hAnsi="Times New Roman" w:cs="Times New Roman"/>
          <w:highlight w:val="white"/>
          <w:lang w:val="en-GB"/>
        </w:rPr>
        <w:t xml:space="preserve"> 1-10</w:t>
      </w:r>
      <w:r w:rsidRPr="004272B3">
        <w:rPr>
          <w:rFonts w:ascii="Times New Roman" w:eastAsia="Times New Roman" w:hAnsi="Times New Roman" w:cs="Times New Roman"/>
          <w:lang w:val="en-GB"/>
        </w:rPr>
        <w:t>-</w:t>
      </w:r>
      <w:r w:rsidRPr="004272B3">
        <w:rPr>
          <w:rFonts w:ascii="Times" w:eastAsia="Times New Roman" w:hAnsi="Times" w:cs="Times New Roman"/>
          <w:sz w:val="20"/>
          <w:szCs w:val="20"/>
          <w:lang w:val="en-GB"/>
        </w:rPr>
        <w:t xml:space="preserve"> </w:t>
      </w:r>
      <w:hyperlink r:id="rId6" w:history="1">
        <w:r w:rsidRPr="004272B3">
          <w:rPr>
            <w:rStyle w:val="Hyperlink"/>
            <w:rFonts w:ascii="Times New Roman" w:eastAsia="Times New Roman" w:hAnsi="Times New Roman" w:cs="Times New Roman"/>
            <w:color w:val="auto"/>
            <w:highlight w:val="white"/>
            <w:lang w:val="en-GB"/>
          </w:rPr>
          <w:t>https://doi.org/10.1038/srep36566</w:t>
        </w:r>
      </w:hyperlink>
    </w:p>
    <w:p w14:paraId="32797196" w14:textId="77777777" w:rsidR="00846BBC" w:rsidRPr="004272B3" w:rsidRDefault="00846BBC" w:rsidP="00846BBC">
      <w:pPr>
        <w:spacing w:line="480" w:lineRule="auto"/>
        <w:ind w:left="567" w:hanging="567"/>
        <w:rPr>
          <w:rFonts w:ascii="Times New Roman" w:hAnsi="Times New Roman" w:cs="Times New Roman"/>
          <w:lang w:val="en-US"/>
        </w:rPr>
      </w:pPr>
      <w:proofErr w:type="spellStart"/>
      <w:r w:rsidRPr="004272B3">
        <w:rPr>
          <w:rFonts w:ascii="Times New Roman" w:hAnsi="Times New Roman" w:cs="Times New Roman"/>
        </w:rPr>
        <w:t>Estes</w:t>
      </w:r>
      <w:proofErr w:type="spellEnd"/>
      <w:r w:rsidRPr="004272B3">
        <w:rPr>
          <w:rFonts w:ascii="Times New Roman" w:hAnsi="Times New Roman" w:cs="Times New Roman"/>
        </w:rPr>
        <w:t xml:space="preserve">, A., Rivera, V., Bryan, M., Cali, P., &amp; Dawson, G. (2011). </w:t>
      </w:r>
      <w:r w:rsidRPr="004272B3">
        <w:rPr>
          <w:rFonts w:ascii="Times New Roman" w:hAnsi="Times New Roman" w:cs="Times New Roman"/>
          <w:lang w:val="en-US"/>
        </w:rPr>
        <w:t xml:space="preserve">Discrepancies between academic achievement and intellectual ability in the higher-functioning school-aged children with autism spectrum disorder. </w:t>
      </w:r>
      <w:r w:rsidRPr="004272B3">
        <w:rPr>
          <w:rFonts w:ascii="Times New Roman" w:hAnsi="Times New Roman" w:cs="Times New Roman"/>
          <w:i/>
          <w:lang w:val="en-US"/>
        </w:rPr>
        <w:t>Journal of Autism and Developmental Disorders, 41</w:t>
      </w:r>
      <w:r w:rsidRPr="004272B3">
        <w:rPr>
          <w:rFonts w:ascii="Times New Roman" w:hAnsi="Times New Roman" w:cs="Times New Roman"/>
          <w:lang w:val="en-US"/>
        </w:rPr>
        <w:t>, 1044–1052. doi:10.1007/ s10803-010-1127-3</w:t>
      </w:r>
    </w:p>
    <w:p w14:paraId="780757E3" w14:textId="77777777" w:rsidR="00846BBC" w:rsidRPr="004272B3" w:rsidRDefault="00846BBC" w:rsidP="00846BBC">
      <w:pPr>
        <w:spacing w:line="480" w:lineRule="auto"/>
        <w:ind w:left="567" w:hanging="567"/>
        <w:rPr>
          <w:rFonts w:ascii="Times New Roman" w:hAnsi="Times New Roman" w:cs="Times New Roman"/>
          <w:lang w:val="nl-NL"/>
        </w:rPr>
      </w:pPr>
      <w:proofErr w:type="spellStart"/>
      <w:r w:rsidRPr="004272B3">
        <w:rPr>
          <w:rFonts w:ascii="Times New Roman" w:hAnsi="Times New Roman" w:cs="Times New Roman"/>
          <w:shd w:val="clear" w:color="auto" w:fill="FFFFFF"/>
          <w:lang w:val="en-US"/>
        </w:rPr>
        <w:t>Eussen</w:t>
      </w:r>
      <w:proofErr w:type="spellEnd"/>
      <w:r w:rsidRPr="004272B3">
        <w:rPr>
          <w:rFonts w:ascii="Times New Roman" w:hAnsi="Times New Roman" w:cs="Times New Roman"/>
          <w:shd w:val="clear" w:color="auto" w:fill="FFFFFF"/>
          <w:lang w:val="en-US"/>
        </w:rPr>
        <w:t xml:space="preserve">, M.L., Gool, A.R., </w:t>
      </w:r>
      <w:proofErr w:type="spellStart"/>
      <w:r w:rsidRPr="004272B3">
        <w:rPr>
          <w:rFonts w:ascii="Times New Roman" w:hAnsi="Times New Roman" w:cs="Times New Roman"/>
          <w:shd w:val="clear" w:color="auto" w:fill="FFFFFF"/>
          <w:lang w:val="en-US"/>
        </w:rPr>
        <w:t>Louwerse</w:t>
      </w:r>
      <w:proofErr w:type="spellEnd"/>
      <w:r w:rsidRPr="004272B3">
        <w:rPr>
          <w:rFonts w:ascii="Times New Roman" w:hAnsi="Times New Roman" w:cs="Times New Roman"/>
          <w:shd w:val="clear" w:color="auto" w:fill="FFFFFF"/>
          <w:lang w:val="en-US"/>
        </w:rPr>
        <w:t xml:space="preserve">, A., Verhulst, F.C., &amp; Greaves-Lord, K. (2016). Superior </w:t>
      </w:r>
      <w:proofErr w:type="spellStart"/>
      <w:r w:rsidRPr="004272B3">
        <w:rPr>
          <w:rFonts w:ascii="Times New Roman" w:hAnsi="Times New Roman" w:cs="Times New Roman"/>
          <w:shd w:val="clear" w:color="auto" w:fill="FFFFFF"/>
          <w:lang w:val="en-US"/>
        </w:rPr>
        <w:t>Disembedding</w:t>
      </w:r>
      <w:proofErr w:type="spellEnd"/>
      <w:r w:rsidRPr="004272B3">
        <w:rPr>
          <w:rFonts w:ascii="Times New Roman" w:hAnsi="Times New Roman" w:cs="Times New Roman"/>
          <w:shd w:val="clear" w:color="auto" w:fill="FFFFFF"/>
          <w:lang w:val="en-US"/>
        </w:rPr>
        <w:t xml:space="preserve"> Performance in Childhood Predicts Adolescent Severity of Repetitive Behaviors: A Seven Year Follow-Up of Individuals With Autism Spectrum Disorder. </w:t>
      </w:r>
      <w:r w:rsidRPr="004272B3">
        <w:rPr>
          <w:rFonts w:ascii="Times New Roman" w:hAnsi="Times New Roman" w:cs="Times New Roman"/>
          <w:i/>
          <w:iCs/>
          <w:shd w:val="clear" w:color="auto" w:fill="FFFFFF"/>
          <w:lang w:val="nl-NL"/>
        </w:rPr>
        <w:t>Autism Research</w:t>
      </w:r>
      <w:r w:rsidRPr="004272B3">
        <w:rPr>
          <w:rFonts w:ascii="Times New Roman" w:hAnsi="Times New Roman" w:cs="Times New Roman"/>
          <w:shd w:val="clear" w:color="auto" w:fill="FFFFFF"/>
          <w:lang w:val="nl-NL"/>
        </w:rPr>
        <w:t>, 9(2), 282–291</w:t>
      </w:r>
    </w:p>
    <w:p w14:paraId="4CC39BD8" w14:textId="77777777" w:rsidR="00846BBC" w:rsidRPr="004272B3" w:rsidRDefault="00846BBC" w:rsidP="00846BBC">
      <w:pPr>
        <w:spacing w:line="480" w:lineRule="auto"/>
        <w:ind w:left="567" w:hanging="567"/>
        <w:rPr>
          <w:rFonts w:ascii="Times New Roman" w:eastAsia="Palatino Linotype" w:hAnsi="Times New Roman" w:cs="Times New Roman"/>
          <w:u w:val="single"/>
          <w:lang w:val="en-US"/>
        </w:rPr>
      </w:pPr>
      <w:r w:rsidRPr="004272B3">
        <w:rPr>
          <w:rFonts w:ascii="Times New Roman" w:hAnsi="Times New Roman" w:cs="Times New Roman"/>
          <w:shd w:val="clear" w:color="auto" w:fill="FFFFFF"/>
          <w:lang w:val="nl-NL"/>
        </w:rPr>
        <w:t xml:space="preserve">Eussen, M. L., Louwerse, A., Herba, C. M., Van Gool, A. R., Verheij, F., Verhulst, F. C., et al. </w:t>
      </w:r>
      <w:r w:rsidRPr="004272B3">
        <w:rPr>
          <w:rFonts w:ascii="Times New Roman" w:hAnsi="Times New Roman" w:cs="Times New Roman"/>
          <w:shd w:val="clear" w:color="auto" w:fill="FFFFFF"/>
          <w:lang w:val="en-US"/>
        </w:rPr>
        <w:t xml:space="preserve">(2015). Childhood facial recognition predicts adolescent symptom severity in autism spectrum disorder. </w:t>
      </w:r>
      <w:r w:rsidRPr="004272B3">
        <w:rPr>
          <w:rFonts w:ascii="Times New Roman" w:hAnsi="Times New Roman" w:cs="Times New Roman"/>
          <w:i/>
          <w:iCs/>
          <w:shd w:val="clear" w:color="auto" w:fill="FFFFFF"/>
          <w:lang w:val="en-US"/>
        </w:rPr>
        <w:t>Autism Research</w:t>
      </w:r>
      <w:r w:rsidRPr="004272B3">
        <w:rPr>
          <w:rFonts w:ascii="Times New Roman" w:hAnsi="Times New Roman" w:cs="Times New Roman"/>
          <w:shd w:val="clear" w:color="auto" w:fill="FFFFFF"/>
          <w:lang w:val="en-US"/>
        </w:rPr>
        <w:t xml:space="preserve">, 8, 261-271. </w:t>
      </w:r>
      <w:proofErr w:type="spellStart"/>
      <w:r w:rsidRPr="004272B3">
        <w:rPr>
          <w:rFonts w:ascii="Times New Roman" w:hAnsi="Times New Roman" w:cs="Times New Roman"/>
          <w:shd w:val="clear" w:color="auto" w:fill="FFFFFF"/>
          <w:lang w:val="en-US"/>
        </w:rPr>
        <w:t>doi</w:t>
      </w:r>
      <w:proofErr w:type="spellEnd"/>
      <w:r w:rsidRPr="004272B3">
        <w:rPr>
          <w:rFonts w:ascii="Times New Roman" w:hAnsi="Times New Roman" w:cs="Times New Roman"/>
          <w:shd w:val="clear" w:color="auto" w:fill="FFFFFF"/>
          <w:lang w:val="en-US"/>
        </w:rPr>
        <w:t>: 10.1002/aur.1443</w:t>
      </w:r>
    </w:p>
    <w:p w14:paraId="073E9B64" w14:textId="77777777" w:rsidR="00846BBC" w:rsidRPr="004272B3" w:rsidRDefault="00846BBC" w:rsidP="00846BBC">
      <w:pPr>
        <w:spacing w:line="480" w:lineRule="auto"/>
        <w:ind w:left="567" w:hanging="567"/>
        <w:rPr>
          <w:rFonts w:ascii="Times New Roman" w:eastAsia="Palatino Linotype" w:hAnsi="Times New Roman" w:cs="Times New Roman"/>
          <w:lang w:val="en-US"/>
        </w:rPr>
      </w:pPr>
      <w:r w:rsidRPr="004272B3">
        <w:rPr>
          <w:rFonts w:ascii="Times New Roman" w:eastAsia="Palatino Linotype" w:hAnsi="Times New Roman" w:cs="Times New Roman"/>
          <w:lang w:val="en-US"/>
        </w:rPr>
        <w:t xml:space="preserve">Gioia, G. A., </w:t>
      </w:r>
      <w:proofErr w:type="spellStart"/>
      <w:r w:rsidRPr="004272B3">
        <w:rPr>
          <w:rFonts w:ascii="Times New Roman" w:eastAsia="Palatino Linotype" w:hAnsi="Times New Roman" w:cs="Times New Roman"/>
          <w:lang w:val="en-US"/>
        </w:rPr>
        <w:t>Isquith</w:t>
      </w:r>
      <w:proofErr w:type="spellEnd"/>
      <w:r w:rsidRPr="004272B3">
        <w:rPr>
          <w:rFonts w:ascii="Times New Roman" w:eastAsia="Palatino Linotype" w:hAnsi="Times New Roman" w:cs="Times New Roman"/>
          <w:lang w:val="en-US"/>
        </w:rPr>
        <w:t xml:space="preserve">, P. K., Guy, S. C., &amp; Kenworthy, L. (2000). Test review behavior rating inventory of executive function. </w:t>
      </w:r>
      <w:r w:rsidRPr="004272B3">
        <w:rPr>
          <w:rFonts w:ascii="Times New Roman" w:eastAsia="Palatino Linotype" w:hAnsi="Times New Roman" w:cs="Times New Roman"/>
          <w:i/>
          <w:lang w:val="en-US"/>
        </w:rPr>
        <w:t>Child Neuropsychology, 6,</w:t>
      </w:r>
      <w:r w:rsidRPr="004272B3">
        <w:rPr>
          <w:rFonts w:ascii="Times New Roman" w:eastAsia="Palatino Linotype" w:hAnsi="Times New Roman" w:cs="Times New Roman"/>
          <w:lang w:val="en-US"/>
        </w:rPr>
        <w:t xml:space="preserve"> 235–238.</w:t>
      </w:r>
      <w:r w:rsidRPr="004272B3">
        <w:rPr>
          <w:rFonts w:ascii="Helvetica" w:eastAsia="Times New Roman" w:hAnsi="Helvetica" w:cs="Times New Roman"/>
          <w:sz w:val="17"/>
          <w:szCs w:val="17"/>
          <w:lang w:val="en-US"/>
        </w:rPr>
        <w:t xml:space="preserve"> </w:t>
      </w:r>
      <w:hyperlink r:id="rId7" w:history="1">
        <w:r w:rsidRPr="004272B3">
          <w:rPr>
            <w:rStyle w:val="Hyperlink"/>
            <w:rFonts w:ascii="Times New Roman" w:eastAsia="Palatino Linotype" w:hAnsi="Times New Roman" w:cs="Times New Roman"/>
            <w:color w:val="auto"/>
            <w:lang w:val="en-US"/>
          </w:rPr>
          <w:t>https://doi.org/10.1076/chin.6.3.235.3152</w:t>
        </w:r>
      </w:hyperlink>
    </w:p>
    <w:p w14:paraId="07DC10B7" w14:textId="77777777" w:rsidR="00846BBC" w:rsidRPr="004272B3" w:rsidRDefault="00846BBC" w:rsidP="00846BBC">
      <w:pPr>
        <w:widowControl w:val="0"/>
        <w:autoSpaceDE w:val="0"/>
        <w:autoSpaceDN w:val="0"/>
        <w:adjustRightInd w:val="0"/>
        <w:spacing w:line="480" w:lineRule="auto"/>
        <w:ind w:left="567" w:hanging="567"/>
        <w:rPr>
          <w:rStyle w:val="Hyperlink"/>
          <w:rFonts w:ascii="Times New Roman" w:eastAsia="Times New Roman" w:hAnsi="Times New Roman" w:cs="Times New Roman"/>
          <w:color w:val="auto"/>
          <w:lang w:val="en-GB"/>
        </w:rPr>
      </w:pPr>
      <w:r w:rsidRPr="004272B3">
        <w:rPr>
          <w:rFonts w:ascii="Times New Roman" w:hAnsi="Times New Roman" w:cs="Times New Roman"/>
          <w:lang w:val="en-US"/>
        </w:rPr>
        <w:t xml:space="preserve">Goodman, R. (2001). Psychometric properties of the Strengths and Difficulties Questionnaire (SDQ). </w:t>
      </w:r>
      <w:r w:rsidRPr="004272B3">
        <w:rPr>
          <w:rFonts w:ascii="Times New Roman" w:hAnsi="Times New Roman" w:cs="Times New Roman"/>
          <w:i/>
          <w:lang w:val="en-US"/>
        </w:rPr>
        <w:t>Journal of the American Academy of Child and Adolescent Psychiatry, 40</w:t>
      </w:r>
      <w:r w:rsidRPr="004272B3">
        <w:rPr>
          <w:rFonts w:ascii="Times New Roman" w:hAnsi="Times New Roman" w:cs="Times New Roman"/>
          <w:lang w:val="en-US"/>
        </w:rPr>
        <w:t>, 1337-1345.</w:t>
      </w:r>
      <w:r w:rsidRPr="004272B3">
        <w:rPr>
          <w:rFonts w:ascii="Times New Roman" w:eastAsia="Times New Roman" w:hAnsi="Times New Roman" w:cs="Times New Roman"/>
          <w:lang w:val="en-US"/>
        </w:rPr>
        <w:t xml:space="preserve"> </w:t>
      </w:r>
      <w:hyperlink r:id="rId8" w:history="1">
        <w:r w:rsidRPr="004272B3">
          <w:rPr>
            <w:rFonts w:ascii="Times New Roman" w:eastAsia="Times New Roman" w:hAnsi="Times New Roman" w:cs="Times New Roman"/>
            <w:lang w:val="en-US"/>
          </w:rPr>
          <w:t xml:space="preserve"> </w:t>
        </w:r>
        <w:r w:rsidRPr="004272B3">
          <w:rPr>
            <w:rStyle w:val="Hyperlink"/>
            <w:rFonts w:ascii="Times New Roman" w:eastAsia="Times New Roman" w:hAnsi="Times New Roman" w:cs="Times New Roman"/>
            <w:color w:val="auto"/>
            <w:lang w:val="en-GB"/>
          </w:rPr>
          <w:t>https://doi.org/10.1097/00004583-200111000-00015</w:t>
        </w:r>
      </w:hyperlink>
    </w:p>
    <w:p w14:paraId="2079F79A" w14:textId="77777777" w:rsidR="00846BBC" w:rsidRPr="004272B3" w:rsidRDefault="00846BBC" w:rsidP="00846BBC">
      <w:pPr>
        <w:widowControl w:val="0"/>
        <w:autoSpaceDE w:val="0"/>
        <w:autoSpaceDN w:val="0"/>
        <w:adjustRightInd w:val="0"/>
        <w:spacing w:line="480" w:lineRule="auto"/>
        <w:ind w:left="567" w:hanging="567"/>
        <w:rPr>
          <w:rFonts w:ascii="Times New Roman" w:hAnsi="Times New Roman" w:cs="Times New Roman"/>
          <w:shd w:val="clear" w:color="auto" w:fill="FFFFFF"/>
          <w:lang w:val="en-US"/>
        </w:rPr>
      </w:pPr>
      <w:r w:rsidRPr="004272B3">
        <w:rPr>
          <w:rFonts w:ascii="Times New Roman" w:hAnsi="Times New Roman" w:cs="Times New Roman"/>
          <w:shd w:val="clear" w:color="auto" w:fill="FFFFFF"/>
          <w:lang w:val="en-GB"/>
        </w:rPr>
        <w:t xml:space="preserve">Goldin, R. L., Matson, J. L., </w:t>
      </w:r>
      <w:proofErr w:type="spellStart"/>
      <w:r w:rsidRPr="004272B3">
        <w:rPr>
          <w:rFonts w:ascii="Times New Roman" w:hAnsi="Times New Roman" w:cs="Times New Roman"/>
          <w:shd w:val="clear" w:color="auto" w:fill="FFFFFF"/>
          <w:lang w:val="en-GB"/>
        </w:rPr>
        <w:t>Tureck</w:t>
      </w:r>
      <w:proofErr w:type="spellEnd"/>
      <w:r w:rsidRPr="004272B3">
        <w:rPr>
          <w:rFonts w:ascii="Times New Roman" w:hAnsi="Times New Roman" w:cs="Times New Roman"/>
          <w:shd w:val="clear" w:color="auto" w:fill="FFFFFF"/>
          <w:lang w:val="en-GB"/>
        </w:rPr>
        <w:t xml:space="preserve">, K., Cervantes, P. E., &amp; Jang, J. (2013). </w:t>
      </w:r>
      <w:r w:rsidRPr="004272B3">
        <w:rPr>
          <w:rFonts w:ascii="Times New Roman" w:hAnsi="Times New Roman" w:cs="Times New Roman"/>
          <w:shd w:val="clear" w:color="auto" w:fill="FFFFFF"/>
          <w:lang w:val="en-US"/>
        </w:rPr>
        <w:t xml:space="preserve">A comparison of tantrum behavior profiles in children with ASD, ADHD and comorbid ASD and ADHD. </w:t>
      </w:r>
      <w:r w:rsidRPr="004272B3">
        <w:rPr>
          <w:rFonts w:ascii="Times New Roman" w:hAnsi="Times New Roman" w:cs="Times New Roman"/>
          <w:i/>
          <w:iCs/>
          <w:shd w:val="clear" w:color="auto" w:fill="FFFFFF"/>
          <w:lang w:val="en-US"/>
        </w:rPr>
        <w:t>Research in Developmental Disabilities</w:t>
      </w:r>
      <w:r w:rsidRPr="004272B3">
        <w:rPr>
          <w:rFonts w:ascii="Times New Roman" w:hAnsi="Times New Roman" w:cs="Times New Roman"/>
          <w:shd w:val="clear" w:color="auto" w:fill="FFFFFF"/>
          <w:lang w:val="en-US"/>
        </w:rPr>
        <w:t xml:space="preserve">, 34(9), 2669-2675. </w:t>
      </w:r>
      <w:proofErr w:type="spellStart"/>
      <w:r w:rsidRPr="004272B3">
        <w:rPr>
          <w:rFonts w:ascii="Times New Roman" w:hAnsi="Times New Roman" w:cs="Times New Roman"/>
          <w:shd w:val="clear" w:color="auto" w:fill="FFFFFF"/>
          <w:lang w:val="en-US"/>
        </w:rPr>
        <w:t>doi</w:t>
      </w:r>
      <w:proofErr w:type="spellEnd"/>
      <w:r w:rsidRPr="004272B3">
        <w:rPr>
          <w:rFonts w:ascii="Times New Roman" w:hAnsi="Times New Roman" w:cs="Times New Roman"/>
          <w:shd w:val="clear" w:color="auto" w:fill="FFFFFF"/>
          <w:lang w:val="en-US"/>
        </w:rPr>
        <w:t>: 10.1016/j.ridd.2013.04.022. </w:t>
      </w:r>
    </w:p>
    <w:p w14:paraId="021C8E7D" w14:textId="77777777" w:rsidR="00846BBC" w:rsidRPr="004272B3" w:rsidRDefault="00846BBC" w:rsidP="00846BBC">
      <w:pPr>
        <w:widowControl w:val="0"/>
        <w:autoSpaceDE w:val="0"/>
        <w:autoSpaceDN w:val="0"/>
        <w:adjustRightInd w:val="0"/>
        <w:spacing w:line="480" w:lineRule="auto"/>
        <w:ind w:left="567" w:hanging="567"/>
        <w:rPr>
          <w:rFonts w:ascii="Times New Roman" w:eastAsia="Times New Roman" w:hAnsi="Times New Roman" w:cs="Times New Roman"/>
          <w:lang w:val="en-US"/>
        </w:rPr>
      </w:pPr>
      <w:r w:rsidRPr="004272B3">
        <w:rPr>
          <w:rFonts w:ascii="Times New Roman" w:hAnsi="Times New Roman" w:cs="Times New Roman"/>
          <w:shd w:val="clear" w:color="auto" w:fill="FFFFFF"/>
          <w:lang w:val="en-US"/>
        </w:rPr>
        <w:t xml:space="preserve">Harrison, J.R., Soares, D.A., Rudzinski, S. &amp; Johnson, R. (2019). Attention Deficit </w:t>
      </w:r>
      <w:r w:rsidRPr="004272B3">
        <w:rPr>
          <w:rFonts w:ascii="Times New Roman" w:hAnsi="Times New Roman" w:cs="Times New Roman"/>
          <w:shd w:val="clear" w:color="auto" w:fill="FFFFFF"/>
          <w:lang w:val="en-US"/>
        </w:rPr>
        <w:lastRenderedPageBreak/>
        <w:t>Hyperactivity Disorders and Classroom-Based Interventions: Evidence-Based Status, Effectiveness, and Moderators of Effects in Single-Case Design Research. </w:t>
      </w:r>
      <w:proofErr w:type="spellStart"/>
      <w:r w:rsidRPr="004272B3">
        <w:rPr>
          <w:rFonts w:ascii="Times New Roman" w:hAnsi="Times New Roman" w:cs="Times New Roman"/>
          <w:i/>
          <w:iCs/>
          <w:shd w:val="clear" w:color="auto" w:fill="FFFFFF"/>
        </w:rPr>
        <w:t>Review</w:t>
      </w:r>
      <w:proofErr w:type="spellEnd"/>
      <w:r w:rsidRPr="004272B3">
        <w:rPr>
          <w:rFonts w:ascii="Times New Roman" w:hAnsi="Times New Roman" w:cs="Times New Roman"/>
          <w:i/>
          <w:iCs/>
          <w:shd w:val="clear" w:color="auto" w:fill="FFFFFF"/>
        </w:rPr>
        <w:t xml:space="preserve"> </w:t>
      </w:r>
      <w:proofErr w:type="spellStart"/>
      <w:r w:rsidRPr="004272B3">
        <w:rPr>
          <w:rFonts w:ascii="Times New Roman" w:hAnsi="Times New Roman" w:cs="Times New Roman"/>
          <w:i/>
          <w:iCs/>
          <w:shd w:val="clear" w:color="auto" w:fill="FFFFFF"/>
        </w:rPr>
        <w:t>of</w:t>
      </w:r>
      <w:proofErr w:type="spellEnd"/>
      <w:r w:rsidRPr="004272B3">
        <w:rPr>
          <w:rFonts w:ascii="Times New Roman" w:hAnsi="Times New Roman" w:cs="Times New Roman"/>
          <w:i/>
          <w:iCs/>
          <w:shd w:val="clear" w:color="auto" w:fill="FFFFFF"/>
        </w:rPr>
        <w:t xml:space="preserve"> </w:t>
      </w:r>
      <w:proofErr w:type="spellStart"/>
      <w:r w:rsidRPr="004272B3">
        <w:rPr>
          <w:rFonts w:ascii="Times New Roman" w:hAnsi="Times New Roman" w:cs="Times New Roman"/>
          <w:i/>
          <w:iCs/>
          <w:shd w:val="clear" w:color="auto" w:fill="FFFFFF"/>
        </w:rPr>
        <w:t>Educational</w:t>
      </w:r>
      <w:proofErr w:type="spellEnd"/>
      <w:r w:rsidRPr="004272B3">
        <w:rPr>
          <w:rFonts w:ascii="Times New Roman" w:hAnsi="Times New Roman" w:cs="Times New Roman"/>
          <w:i/>
          <w:iCs/>
          <w:shd w:val="clear" w:color="auto" w:fill="FFFFFF"/>
        </w:rPr>
        <w:t xml:space="preserve"> </w:t>
      </w:r>
      <w:proofErr w:type="spellStart"/>
      <w:r w:rsidRPr="004272B3">
        <w:rPr>
          <w:rFonts w:ascii="Times New Roman" w:hAnsi="Times New Roman" w:cs="Times New Roman"/>
          <w:i/>
          <w:iCs/>
          <w:shd w:val="clear" w:color="auto" w:fill="FFFFFF"/>
        </w:rPr>
        <w:t>Research</w:t>
      </w:r>
      <w:proofErr w:type="spellEnd"/>
      <w:r w:rsidRPr="004272B3">
        <w:rPr>
          <w:rFonts w:ascii="Times New Roman" w:hAnsi="Times New Roman" w:cs="Times New Roman"/>
          <w:shd w:val="clear" w:color="auto" w:fill="FFFFFF"/>
        </w:rPr>
        <w:t>, 89(4):569-611. doi:</w:t>
      </w:r>
      <w:hyperlink r:id="rId9" w:history="1">
        <w:r w:rsidRPr="004272B3">
          <w:rPr>
            <w:rStyle w:val="Hyperlink"/>
            <w:rFonts w:ascii="Times New Roman" w:hAnsi="Times New Roman" w:cs="Times New Roman"/>
            <w:color w:val="auto"/>
            <w:shd w:val="clear" w:color="auto" w:fill="FFFFFF"/>
          </w:rPr>
          <w:t>10.3102/0034654319857038</w:t>
        </w:r>
      </w:hyperlink>
    </w:p>
    <w:p w14:paraId="1C930616" w14:textId="77777777" w:rsidR="00846BBC" w:rsidRPr="004272B3" w:rsidRDefault="00846BBC" w:rsidP="00846BBC">
      <w:pPr>
        <w:widowControl w:val="0"/>
        <w:autoSpaceDE w:val="0"/>
        <w:autoSpaceDN w:val="0"/>
        <w:adjustRightInd w:val="0"/>
        <w:spacing w:line="480" w:lineRule="auto"/>
        <w:ind w:left="567" w:hanging="567"/>
        <w:rPr>
          <w:rStyle w:val="Hyperlink"/>
          <w:rFonts w:ascii="Times New Roman" w:hAnsi="Times New Roman" w:cs="Times New Roman"/>
          <w:color w:val="auto"/>
          <w:lang w:val="en-US"/>
        </w:rPr>
      </w:pPr>
      <w:r w:rsidRPr="004272B3">
        <w:rPr>
          <w:rFonts w:ascii="Times New Roman" w:hAnsi="Times New Roman" w:cs="Times New Roman"/>
          <w:lang w:val="en-US"/>
        </w:rPr>
        <w:t xml:space="preserve">Hutchins, T. L., </w:t>
      </w:r>
      <w:proofErr w:type="spellStart"/>
      <w:r w:rsidRPr="004272B3">
        <w:rPr>
          <w:rFonts w:ascii="Times New Roman" w:hAnsi="Times New Roman" w:cs="Times New Roman"/>
          <w:lang w:val="en-US"/>
        </w:rPr>
        <w:t>Prelock</w:t>
      </w:r>
      <w:proofErr w:type="spellEnd"/>
      <w:r w:rsidRPr="004272B3">
        <w:rPr>
          <w:rFonts w:ascii="Times New Roman" w:hAnsi="Times New Roman" w:cs="Times New Roman"/>
          <w:lang w:val="en-US"/>
        </w:rPr>
        <w:t xml:space="preserve">, P. A., </w:t>
      </w:r>
      <w:r w:rsidRPr="004272B3">
        <w:rPr>
          <w:rFonts w:ascii="Times New Roman" w:hAnsi="Times New Roman" w:cs="Times New Roman"/>
          <w:shd w:val="clear" w:color="auto" w:fill="FFFFFF"/>
          <w:lang w:val="en-GB"/>
        </w:rPr>
        <w:t xml:space="preserve">&amp; </w:t>
      </w:r>
      <w:proofErr w:type="spellStart"/>
      <w:r w:rsidRPr="004272B3">
        <w:rPr>
          <w:rFonts w:ascii="Times New Roman" w:hAnsi="Times New Roman" w:cs="Times New Roman"/>
          <w:lang w:val="en-US"/>
        </w:rPr>
        <w:t>Bonazinga-Bouyea</w:t>
      </w:r>
      <w:proofErr w:type="spellEnd"/>
      <w:r w:rsidRPr="004272B3">
        <w:rPr>
          <w:rFonts w:ascii="Times New Roman" w:hAnsi="Times New Roman" w:cs="Times New Roman"/>
          <w:lang w:val="en-US"/>
        </w:rPr>
        <w:t xml:space="preserve">, L. (2014). </w:t>
      </w:r>
      <w:r w:rsidRPr="004272B3">
        <w:rPr>
          <w:rFonts w:ascii="Times New Roman" w:hAnsi="Times New Roman" w:cs="Times New Roman"/>
          <w:i/>
          <w:lang w:val="en-US"/>
        </w:rPr>
        <w:t>Technical Manual For the Theory of Mind Inventory and Theory of Mind Task Battery.</w:t>
      </w:r>
      <w:r w:rsidRPr="004272B3">
        <w:rPr>
          <w:rFonts w:ascii="Times New Roman" w:hAnsi="Times New Roman" w:cs="Times New Roman"/>
          <w:lang w:val="en-US"/>
        </w:rPr>
        <w:t>  Available online at: </w:t>
      </w:r>
      <w:hyperlink r:id="rId10" w:tgtFrame="_blank" w:history="1">
        <w:r w:rsidRPr="004272B3">
          <w:rPr>
            <w:rStyle w:val="Hyperlink"/>
            <w:rFonts w:ascii="Times New Roman" w:hAnsi="Times New Roman" w:cs="Times New Roman"/>
            <w:color w:val="auto"/>
            <w:lang w:val="en-US"/>
          </w:rPr>
          <w:t>theoryofmindinventory.com</w:t>
        </w:r>
      </w:hyperlink>
    </w:p>
    <w:p w14:paraId="4F5D4812" w14:textId="77777777" w:rsidR="00846BBC" w:rsidRPr="004272B3" w:rsidRDefault="00846BBC" w:rsidP="00846BBC">
      <w:pPr>
        <w:spacing w:line="480" w:lineRule="auto"/>
        <w:ind w:left="567" w:hanging="567"/>
        <w:rPr>
          <w:rStyle w:val="Hyperlink"/>
          <w:rFonts w:ascii="Times New Roman" w:hAnsi="Times New Roman" w:cs="Times New Roman"/>
          <w:color w:val="auto"/>
          <w:u w:val="none"/>
          <w:lang w:val="en-US"/>
        </w:rPr>
      </w:pPr>
      <w:r w:rsidRPr="004272B3">
        <w:rPr>
          <w:rFonts w:ascii="Times New Roman" w:hAnsi="Times New Roman" w:cs="Times New Roman"/>
          <w:lang w:val="en-US"/>
        </w:rPr>
        <w:t xml:space="preserve">Jones, C.R.G., Simonoff, E., Baird, G., Pickles, A., Marsden, A.J.S., Tregay, J., </w:t>
      </w:r>
      <w:proofErr w:type="spellStart"/>
      <w:r w:rsidRPr="004272B3">
        <w:rPr>
          <w:rFonts w:ascii="Times New Roman" w:hAnsi="Times New Roman" w:cs="Times New Roman"/>
          <w:lang w:val="en-US"/>
        </w:rPr>
        <w:t>Happé</w:t>
      </w:r>
      <w:proofErr w:type="spellEnd"/>
      <w:r w:rsidRPr="004272B3">
        <w:rPr>
          <w:rFonts w:ascii="Times New Roman" w:hAnsi="Times New Roman" w:cs="Times New Roman"/>
          <w:lang w:val="en-US"/>
        </w:rPr>
        <w:t xml:space="preserve">, F., </w:t>
      </w:r>
      <w:r w:rsidRPr="004272B3">
        <w:rPr>
          <w:rFonts w:ascii="Times New Roman" w:hAnsi="Times New Roman" w:cs="Times New Roman"/>
          <w:shd w:val="clear" w:color="auto" w:fill="FFFFFF"/>
          <w:lang w:val="en-US"/>
        </w:rPr>
        <w:t xml:space="preserve">&amp; </w:t>
      </w:r>
      <w:r w:rsidRPr="004272B3">
        <w:rPr>
          <w:rFonts w:ascii="Times New Roman" w:hAnsi="Times New Roman" w:cs="Times New Roman"/>
          <w:lang w:val="en-US"/>
        </w:rPr>
        <w:t xml:space="preserve">Charman, T. (2018). The association between theory of mind, executive, function and the symptoms of autism spectrum disorder. </w:t>
      </w:r>
      <w:r w:rsidRPr="004272B3">
        <w:rPr>
          <w:rFonts w:ascii="Times New Roman" w:hAnsi="Times New Roman" w:cs="Times New Roman"/>
          <w:i/>
          <w:lang w:val="en-US"/>
        </w:rPr>
        <w:t>Autism Research, 11</w:t>
      </w:r>
      <w:r w:rsidRPr="004272B3">
        <w:rPr>
          <w:rFonts w:ascii="Times New Roman" w:hAnsi="Times New Roman" w:cs="Times New Roman"/>
          <w:lang w:val="en-US"/>
        </w:rPr>
        <w:t>, 95-109.  </w:t>
      </w:r>
      <w:hyperlink r:id="rId11" w:history="1">
        <w:r w:rsidRPr="004272B3">
          <w:rPr>
            <w:rStyle w:val="Hyperlink"/>
            <w:rFonts w:ascii="Times New Roman" w:hAnsi="Times New Roman" w:cs="Times New Roman"/>
            <w:bCs/>
            <w:color w:val="auto"/>
            <w:u w:val="none"/>
            <w:lang w:val="en-US"/>
          </w:rPr>
          <w:t>https://doi.org/10.1002/aur.1873</w:t>
        </w:r>
      </w:hyperlink>
    </w:p>
    <w:p w14:paraId="48A2AF5C" w14:textId="77777777" w:rsidR="00846BBC" w:rsidRPr="004272B3" w:rsidRDefault="00846BBC" w:rsidP="00846BBC">
      <w:pPr>
        <w:widowControl w:val="0"/>
        <w:autoSpaceDE w:val="0"/>
        <w:autoSpaceDN w:val="0"/>
        <w:adjustRightInd w:val="0"/>
        <w:spacing w:line="480" w:lineRule="auto"/>
        <w:ind w:left="567" w:hanging="567"/>
        <w:rPr>
          <w:rFonts w:ascii="Times New Roman" w:hAnsi="Times New Roman" w:cs="Times New Roman"/>
          <w:u w:val="single"/>
          <w:lang w:val="en-US"/>
        </w:rPr>
      </w:pPr>
      <w:r w:rsidRPr="004272B3">
        <w:rPr>
          <w:rFonts w:ascii="Times New Roman" w:eastAsia="Times New Roman" w:hAnsi="Times New Roman" w:cs="Times New Roman"/>
          <w:shd w:val="clear" w:color="auto" w:fill="FFFFFF"/>
          <w:lang w:val="en-US"/>
        </w:rPr>
        <w:t xml:space="preserve">Joseph, R., &amp; </w:t>
      </w:r>
      <w:proofErr w:type="spellStart"/>
      <w:r w:rsidRPr="004272B3">
        <w:rPr>
          <w:rFonts w:ascii="Times New Roman" w:eastAsia="Times New Roman" w:hAnsi="Times New Roman" w:cs="Times New Roman"/>
          <w:shd w:val="clear" w:color="auto" w:fill="FFFFFF"/>
          <w:lang w:val="en-US"/>
        </w:rPr>
        <w:t>Tager-Flusberg</w:t>
      </w:r>
      <w:proofErr w:type="spellEnd"/>
      <w:r w:rsidRPr="004272B3">
        <w:rPr>
          <w:rFonts w:ascii="Times New Roman" w:eastAsia="Times New Roman" w:hAnsi="Times New Roman" w:cs="Times New Roman"/>
          <w:shd w:val="clear" w:color="auto" w:fill="FFFFFF"/>
          <w:lang w:val="en-US"/>
        </w:rPr>
        <w:t xml:space="preserve">, H. (2004). The relationship of theory of mind and executive functions to symptom type and severity in children with autism. </w:t>
      </w:r>
      <w:r w:rsidRPr="004272B3">
        <w:rPr>
          <w:rFonts w:ascii="Times New Roman" w:eastAsia="Times New Roman" w:hAnsi="Times New Roman" w:cs="Times New Roman"/>
          <w:i/>
          <w:shd w:val="clear" w:color="auto" w:fill="FFFFFF"/>
          <w:lang w:val="en-US"/>
        </w:rPr>
        <w:t>Development and Psychopathology, 16</w:t>
      </w:r>
      <w:r w:rsidRPr="004272B3">
        <w:rPr>
          <w:rFonts w:ascii="Times New Roman" w:eastAsia="Times New Roman" w:hAnsi="Times New Roman" w:cs="Times New Roman"/>
          <w:shd w:val="clear" w:color="auto" w:fill="FFFFFF"/>
          <w:lang w:val="en-US"/>
        </w:rPr>
        <w:t>, 137–155. doi:10.1017/S095457940404444X</w:t>
      </w:r>
    </w:p>
    <w:p w14:paraId="242E2794" w14:textId="77777777" w:rsidR="00846BBC" w:rsidRPr="004272B3" w:rsidRDefault="00846BBC" w:rsidP="00846BBC">
      <w:pPr>
        <w:widowControl w:val="0"/>
        <w:autoSpaceDE w:val="0"/>
        <w:autoSpaceDN w:val="0"/>
        <w:adjustRightInd w:val="0"/>
        <w:spacing w:line="480" w:lineRule="auto"/>
        <w:ind w:left="567" w:hanging="567"/>
        <w:rPr>
          <w:rFonts w:ascii="Times New Roman" w:eastAsia="Times New Roman" w:hAnsi="Times New Roman" w:cs="Times New Roman"/>
          <w:highlight w:val="white"/>
          <w:lang w:val="en-US"/>
        </w:rPr>
      </w:pPr>
      <w:r w:rsidRPr="004272B3">
        <w:rPr>
          <w:rFonts w:ascii="Times New Roman" w:eastAsia="Times New Roman" w:hAnsi="Times New Roman" w:cs="Times New Roman"/>
          <w:highlight w:val="white"/>
          <w:lang w:val="en-US"/>
        </w:rPr>
        <w:t xml:space="preserve">Kado, Y., Sanada, S., Oonom, S., Ogino, T., &amp; </w:t>
      </w:r>
      <w:proofErr w:type="spellStart"/>
      <w:r w:rsidRPr="004272B3">
        <w:rPr>
          <w:rFonts w:ascii="Times New Roman" w:eastAsia="Times New Roman" w:hAnsi="Times New Roman" w:cs="Times New Roman"/>
          <w:highlight w:val="white"/>
          <w:lang w:val="en-US"/>
        </w:rPr>
        <w:t>Nouno</w:t>
      </w:r>
      <w:proofErr w:type="spellEnd"/>
      <w:r w:rsidRPr="004272B3">
        <w:rPr>
          <w:rFonts w:ascii="Times New Roman" w:eastAsia="Times New Roman" w:hAnsi="Times New Roman" w:cs="Times New Roman"/>
          <w:highlight w:val="white"/>
          <w:lang w:val="en-US"/>
        </w:rPr>
        <w:t xml:space="preserve">, S. (2020). Children with autism spectrum disorder comorbid with attention-deficit/hyperactivity disorder examined by the Wisconsin card sorting test: Analysis by age-related differences. </w:t>
      </w:r>
      <w:r w:rsidRPr="004272B3">
        <w:rPr>
          <w:rFonts w:ascii="Times New Roman" w:eastAsia="Times New Roman" w:hAnsi="Times New Roman" w:cs="Times New Roman"/>
          <w:i/>
          <w:highlight w:val="white"/>
          <w:lang w:val="en-US"/>
        </w:rPr>
        <w:t>Brain Development</w:t>
      </w:r>
      <w:r w:rsidRPr="004272B3">
        <w:rPr>
          <w:rFonts w:ascii="Times New Roman" w:eastAsia="Times New Roman" w:hAnsi="Times New Roman" w:cs="Times New Roman"/>
          <w:highlight w:val="white"/>
          <w:lang w:val="en-US"/>
        </w:rPr>
        <w:t>, 42</w:t>
      </w:r>
      <w:r w:rsidRPr="004272B3">
        <w:rPr>
          <w:rFonts w:ascii="Times New Roman" w:eastAsia="Times New Roman" w:hAnsi="Times New Roman" w:cs="Times New Roman"/>
          <w:i/>
          <w:highlight w:val="white"/>
          <w:lang w:val="en-US"/>
        </w:rPr>
        <w:t>:</w:t>
      </w:r>
      <w:r w:rsidRPr="004272B3">
        <w:rPr>
          <w:rFonts w:ascii="Times New Roman" w:eastAsia="Times New Roman" w:hAnsi="Times New Roman" w:cs="Times New Roman"/>
          <w:highlight w:val="white"/>
          <w:lang w:val="en-US"/>
        </w:rPr>
        <w:t xml:space="preserve"> 113–120.</w:t>
      </w:r>
      <w:r w:rsidRPr="004272B3">
        <w:rPr>
          <w:rFonts w:ascii="Times" w:eastAsia="Times New Roman" w:hAnsi="Times" w:cs="Times New Roman"/>
          <w:sz w:val="20"/>
          <w:szCs w:val="20"/>
          <w:lang w:val="en-US"/>
        </w:rPr>
        <w:t xml:space="preserve"> </w:t>
      </w:r>
      <w:hyperlink r:id="rId12" w:tgtFrame="_blank" w:tooltip="Persistent link using digital object identifier" w:history="1">
        <w:r w:rsidRPr="004272B3">
          <w:rPr>
            <w:rStyle w:val="Hyperlink"/>
            <w:rFonts w:ascii="Times New Roman" w:eastAsia="Times New Roman" w:hAnsi="Times New Roman" w:cs="Times New Roman"/>
            <w:color w:val="auto"/>
            <w:highlight w:val="white"/>
            <w:lang w:val="en-US"/>
          </w:rPr>
          <w:t>https://doi.org/10.1016/j.braindev.2019.07.011</w:t>
        </w:r>
      </w:hyperlink>
    </w:p>
    <w:p w14:paraId="19B1135D" w14:textId="77777777" w:rsidR="00846BBC" w:rsidRPr="004272B3" w:rsidRDefault="00846BBC" w:rsidP="00846BBC">
      <w:pPr>
        <w:widowControl w:val="0"/>
        <w:autoSpaceDE w:val="0"/>
        <w:autoSpaceDN w:val="0"/>
        <w:adjustRightInd w:val="0"/>
        <w:spacing w:line="480" w:lineRule="auto"/>
        <w:ind w:left="567" w:hanging="567"/>
        <w:rPr>
          <w:rFonts w:ascii="Times New Roman" w:eastAsia="Times New Roman" w:hAnsi="Times New Roman" w:cs="Times New Roman"/>
          <w:highlight w:val="white"/>
          <w:lang w:val="en-GB"/>
        </w:rPr>
      </w:pPr>
      <w:r w:rsidRPr="004272B3">
        <w:rPr>
          <w:rFonts w:ascii="Times New Roman" w:eastAsia="Times New Roman" w:hAnsi="Times New Roman" w:cs="Times New Roman"/>
          <w:highlight w:val="white"/>
          <w:lang w:val="en-US"/>
        </w:rPr>
        <w:t xml:space="preserve">Kaufman, A.S., &amp; Kaufman, N.I. (2000). </w:t>
      </w:r>
      <w:r w:rsidRPr="004272B3">
        <w:rPr>
          <w:rFonts w:ascii="Times New Roman" w:eastAsia="Times New Roman" w:hAnsi="Times New Roman" w:cs="Times New Roman"/>
          <w:i/>
          <w:highlight w:val="white"/>
          <w:lang w:val="nl-NL"/>
        </w:rPr>
        <w:t>K-BIT, test breve de inteligencia de Kauffman [Kaufman Brief Intelligence Test].</w:t>
      </w:r>
      <w:r w:rsidRPr="004272B3">
        <w:rPr>
          <w:rFonts w:ascii="Times New Roman" w:eastAsia="Times New Roman" w:hAnsi="Times New Roman" w:cs="Times New Roman"/>
          <w:highlight w:val="white"/>
          <w:lang w:val="nl-NL"/>
        </w:rPr>
        <w:t xml:space="preserve"> </w:t>
      </w:r>
      <w:r w:rsidRPr="004272B3">
        <w:rPr>
          <w:rFonts w:ascii="Times New Roman" w:eastAsia="Times New Roman" w:hAnsi="Times New Roman" w:cs="Times New Roman"/>
          <w:highlight w:val="white"/>
          <w:lang w:val="en-GB"/>
        </w:rPr>
        <w:t>Pearson.</w:t>
      </w:r>
    </w:p>
    <w:p w14:paraId="39408BE9" w14:textId="77777777" w:rsidR="00846BBC" w:rsidRPr="004272B3" w:rsidRDefault="00846BBC" w:rsidP="00846BBC">
      <w:pPr>
        <w:spacing w:line="480" w:lineRule="auto"/>
        <w:ind w:left="567" w:hanging="567"/>
        <w:rPr>
          <w:rFonts w:ascii="Times New Roman" w:hAnsi="Times New Roman" w:cs="Times New Roman"/>
          <w:lang w:val="en-US"/>
        </w:rPr>
      </w:pPr>
      <w:r w:rsidRPr="004272B3">
        <w:rPr>
          <w:rFonts w:ascii="Times New Roman" w:hAnsi="Times New Roman" w:cs="Times New Roman"/>
          <w:lang w:val="en-US"/>
        </w:rPr>
        <w:t>Leitner, Y. (2014). The co-occurrence of autism and attention deficit hyperactivity disorder in children – what do we know? </w:t>
      </w:r>
      <w:r w:rsidRPr="004272B3">
        <w:rPr>
          <w:rFonts w:ascii="Times New Roman" w:hAnsi="Times New Roman" w:cs="Times New Roman"/>
          <w:i/>
          <w:lang w:val="en-US"/>
        </w:rPr>
        <w:t>Frontiers in Human Neuroscience</w:t>
      </w:r>
      <w:r w:rsidRPr="004272B3">
        <w:rPr>
          <w:rFonts w:ascii="Times New Roman" w:hAnsi="Times New Roman" w:cs="Times New Roman"/>
          <w:lang w:val="en-US"/>
        </w:rPr>
        <w:t>, 8: 268</w:t>
      </w:r>
    </w:p>
    <w:p w14:paraId="7C443B2A" w14:textId="77777777" w:rsidR="00846BBC" w:rsidRPr="004272B3" w:rsidRDefault="00846BBC" w:rsidP="00846BBC">
      <w:pPr>
        <w:spacing w:line="480" w:lineRule="auto"/>
        <w:ind w:left="567" w:hanging="567"/>
        <w:rPr>
          <w:rFonts w:ascii="Times New Roman" w:hAnsi="Times New Roman" w:cs="Times New Roman"/>
          <w:lang w:val="en-US"/>
        </w:rPr>
      </w:pPr>
      <w:r w:rsidRPr="004272B3">
        <w:rPr>
          <w:rFonts w:ascii="Times New Roman" w:hAnsi="Times New Roman" w:cs="Times New Roman"/>
          <w:lang w:val="en-US"/>
        </w:rPr>
        <w:t xml:space="preserve">Mandy, W., Murin, M., </w:t>
      </w:r>
      <w:proofErr w:type="spellStart"/>
      <w:r w:rsidRPr="004272B3">
        <w:rPr>
          <w:rFonts w:ascii="Times New Roman" w:hAnsi="Times New Roman" w:cs="Times New Roman"/>
          <w:lang w:val="en-US"/>
        </w:rPr>
        <w:t>Baykaner</w:t>
      </w:r>
      <w:proofErr w:type="spellEnd"/>
      <w:r w:rsidRPr="004272B3">
        <w:rPr>
          <w:rFonts w:ascii="Times New Roman" w:hAnsi="Times New Roman" w:cs="Times New Roman"/>
          <w:lang w:val="en-US"/>
        </w:rPr>
        <w:t>, O., Staunton, S., Cobb, R., Hellriegel, J.,</w:t>
      </w:r>
      <w:r w:rsidRPr="004272B3">
        <w:rPr>
          <w:rFonts w:ascii="Times New Roman" w:hAnsi="Times New Roman" w:cs="Times New Roman"/>
          <w:shd w:val="clear" w:color="auto" w:fill="FFFFFF"/>
          <w:lang w:val="en-GB"/>
        </w:rPr>
        <w:t xml:space="preserve"> &amp;</w:t>
      </w:r>
      <w:r w:rsidRPr="004272B3">
        <w:rPr>
          <w:rFonts w:ascii="Times New Roman" w:hAnsi="Times New Roman" w:cs="Times New Roman"/>
          <w:lang w:val="en-US"/>
        </w:rPr>
        <w:t xml:space="preserve"> Skuse, D., (2016). Easing the transition to secondary education for children with autism spectrum disorder: an evaluation of the Systemic Transition in Education Programme for Autism </w:t>
      </w:r>
      <w:r w:rsidRPr="004272B3">
        <w:rPr>
          <w:rFonts w:ascii="Times New Roman" w:hAnsi="Times New Roman" w:cs="Times New Roman"/>
          <w:lang w:val="en-US"/>
        </w:rPr>
        <w:lastRenderedPageBreak/>
        <w:t>Spectrum disorder (STEP-ASD).</w:t>
      </w:r>
      <w:r w:rsidRPr="004272B3">
        <w:rPr>
          <w:rFonts w:ascii="Times New Roman" w:hAnsi="Times New Roman" w:cs="Times New Roman"/>
          <w:i/>
          <w:iCs/>
          <w:lang w:val="en-US"/>
        </w:rPr>
        <w:t xml:space="preserve"> Autism</w:t>
      </w:r>
      <w:r w:rsidRPr="004272B3">
        <w:rPr>
          <w:rFonts w:ascii="Times New Roman" w:hAnsi="Times New Roman" w:cs="Times New Roman"/>
          <w:lang w:val="en-US"/>
        </w:rPr>
        <w:t>, 20 (5), 580–590. https://doi.org/10.1177/1362361314562616.</w:t>
      </w:r>
    </w:p>
    <w:p w14:paraId="609EAC12" w14:textId="77777777" w:rsidR="00846BBC" w:rsidRPr="004272B3" w:rsidRDefault="00846BBC" w:rsidP="00846BBC">
      <w:pPr>
        <w:spacing w:line="480" w:lineRule="auto"/>
        <w:ind w:left="567" w:hanging="567"/>
        <w:rPr>
          <w:rFonts w:ascii="Times New Roman" w:hAnsi="Times New Roman" w:cs="Times New Roman"/>
        </w:rPr>
      </w:pPr>
      <w:r w:rsidRPr="004272B3">
        <w:rPr>
          <w:rFonts w:ascii="Times New Roman" w:hAnsi="Times New Roman" w:cs="Times New Roman"/>
          <w:lang w:val="en-US"/>
        </w:rPr>
        <w:t xml:space="preserve">Mansour, R., Dovi, A.T., Lane, D.M., Loveland, K.A., &amp; Pearson, D.A. (2017). ADHD severity as it relates to comorbid psychiatric symptomatology in children with autism spectrum disorders (ASD). </w:t>
      </w:r>
      <w:proofErr w:type="spellStart"/>
      <w:r w:rsidRPr="004272B3">
        <w:rPr>
          <w:rFonts w:ascii="Times New Roman" w:hAnsi="Times New Roman" w:cs="Times New Roman"/>
          <w:i/>
          <w:iCs/>
        </w:rPr>
        <w:t>Research</w:t>
      </w:r>
      <w:proofErr w:type="spellEnd"/>
      <w:r w:rsidRPr="004272B3">
        <w:rPr>
          <w:rFonts w:ascii="Times New Roman" w:hAnsi="Times New Roman" w:cs="Times New Roman"/>
          <w:i/>
          <w:iCs/>
        </w:rPr>
        <w:t xml:space="preserve"> in </w:t>
      </w:r>
      <w:proofErr w:type="spellStart"/>
      <w:r w:rsidRPr="004272B3">
        <w:rPr>
          <w:rFonts w:ascii="Times New Roman" w:hAnsi="Times New Roman" w:cs="Times New Roman"/>
          <w:i/>
          <w:iCs/>
        </w:rPr>
        <w:t>Developmental</w:t>
      </w:r>
      <w:proofErr w:type="spellEnd"/>
      <w:r w:rsidRPr="004272B3">
        <w:rPr>
          <w:rFonts w:ascii="Times New Roman" w:hAnsi="Times New Roman" w:cs="Times New Roman"/>
          <w:i/>
          <w:iCs/>
        </w:rPr>
        <w:t xml:space="preserve"> </w:t>
      </w:r>
      <w:proofErr w:type="spellStart"/>
      <w:r w:rsidRPr="004272B3">
        <w:rPr>
          <w:rFonts w:ascii="Times New Roman" w:hAnsi="Times New Roman" w:cs="Times New Roman"/>
          <w:i/>
          <w:iCs/>
        </w:rPr>
        <w:t>Disabilities</w:t>
      </w:r>
      <w:proofErr w:type="spellEnd"/>
      <w:r w:rsidRPr="004272B3">
        <w:rPr>
          <w:rFonts w:ascii="Times New Roman" w:hAnsi="Times New Roman" w:cs="Times New Roman"/>
          <w:i/>
          <w:iCs/>
        </w:rPr>
        <w:t>,</w:t>
      </w:r>
      <w:r w:rsidRPr="004272B3">
        <w:rPr>
          <w:rFonts w:ascii="Times New Roman" w:hAnsi="Times New Roman" w:cs="Times New Roman"/>
          <w:b/>
        </w:rPr>
        <w:t xml:space="preserve"> </w:t>
      </w:r>
      <w:r w:rsidRPr="004272B3">
        <w:rPr>
          <w:rFonts w:ascii="Times New Roman" w:hAnsi="Times New Roman" w:cs="Times New Roman"/>
        </w:rPr>
        <w:t>60: 52–64 doi:10.1016/j.ridd.2016.11.009.</w:t>
      </w:r>
    </w:p>
    <w:p w14:paraId="423C2B72" w14:textId="77777777" w:rsidR="00846BBC" w:rsidRPr="004272B3" w:rsidRDefault="00846BBC" w:rsidP="00846BBC">
      <w:pPr>
        <w:spacing w:line="480" w:lineRule="auto"/>
        <w:ind w:left="567" w:hanging="567"/>
        <w:rPr>
          <w:rFonts w:ascii="Times New Roman" w:hAnsi="Times New Roman" w:cs="Times New Roman"/>
        </w:rPr>
      </w:pPr>
      <w:r w:rsidRPr="004272B3">
        <w:rPr>
          <w:rFonts w:ascii="Times New Roman" w:hAnsi="Times New Roman" w:cs="Times New Roman"/>
        </w:rPr>
        <w:t xml:space="preserve">Martín García, M.J., Gómez </w:t>
      </w:r>
      <w:proofErr w:type="spellStart"/>
      <w:r w:rsidRPr="004272B3">
        <w:rPr>
          <w:rFonts w:ascii="Times New Roman" w:hAnsi="Times New Roman" w:cs="Times New Roman"/>
        </w:rPr>
        <w:t>Bcerra</w:t>
      </w:r>
      <w:proofErr w:type="spellEnd"/>
      <w:r w:rsidRPr="004272B3">
        <w:rPr>
          <w:rFonts w:ascii="Times New Roman" w:hAnsi="Times New Roman" w:cs="Times New Roman"/>
        </w:rPr>
        <w:t xml:space="preserve">, I., &amp; Garro Espín, M.J. (2012). Teoría de la mente en un caso de autism: ¿cómo entrenarla? </w:t>
      </w:r>
      <w:r w:rsidRPr="004272B3">
        <w:rPr>
          <w:rFonts w:ascii="Times New Roman" w:hAnsi="Times New Roman" w:cs="Times New Roman"/>
          <w:i/>
        </w:rPr>
        <w:t>Psicothema, 24</w:t>
      </w:r>
      <w:r w:rsidRPr="004272B3">
        <w:rPr>
          <w:rFonts w:ascii="Times New Roman" w:hAnsi="Times New Roman" w:cs="Times New Roman"/>
        </w:rPr>
        <w:t>, 542-547</w:t>
      </w:r>
    </w:p>
    <w:p w14:paraId="195B8663" w14:textId="77777777" w:rsidR="00846BBC" w:rsidRPr="004272B3" w:rsidRDefault="00846BBC" w:rsidP="00846BBC">
      <w:pPr>
        <w:spacing w:line="480" w:lineRule="auto"/>
        <w:ind w:left="567" w:hanging="567"/>
        <w:rPr>
          <w:rFonts w:ascii="Times New Roman" w:hAnsi="Times New Roman" w:cs="Times New Roman"/>
          <w:lang w:val="en-US"/>
        </w:rPr>
      </w:pPr>
      <w:r w:rsidRPr="004272B3">
        <w:rPr>
          <w:rFonts w:ascii="Times New Roman" w:hAnsi="Times New Roman" w:cs="Times New Roman"/>
        </w:rPr>
        <w:t xml:space="preserve">McDermott, P.A., Green, L.F., &amp; Francis, J.M. (2001). </w:t>
      </w:r>
      <w:r w:rsidRPr="004272B3">
        <w:rPr>
          <w:rFonts w:ascii="Times New Roman" w:hAnsi="Times New Roman" w:cs="Times New Roman"/>
          <w:i/>
          <w:lang w:val="en-US"/>
        </w:rPr>
        <w:t>Learning behaviour scale,</w:t>
      </w:r>
      <w:r w:rsidRPr="004272B3">
        <w:rPr>
          <w:rFonts w:ascii="Times New Roman" w:hAnsi="Times New Roman" w:cs="Times New Roman"/>
          <w:lang w:val="en-US"/>
        </w:rPr>
        <w:t xml:space="preserve"> Philadelphia, PA: </w:t>
      </w:r>
      <w:proofErr w:type="spellStart"/>
      <w:r w:rsidRPr="004272B3">
        <w:rPr>
          <w:rFonts w:ascii="Times New Roman" w:hAnsi="Times New Roman" w:cs="Times New Roman"/>
          <w:lang w:val="en-US"/>
        </w:rPr>
        <w:t>Edumetric</w:t>
      </w:r>
      <w:proofErr w:type="spellEnd"/>
      <w:r w:rsidRPr="004272B3">
        <w:rPr>
          <w:rFonts w:ascii="Times New Roman" w:hAnsi="Times New Roman" w:cs="Times New Roman"/>
          <w:lang w:val="en-US"/>
        </w:rPr>
        <w:t xml:space="preserve"> and Clinical Service.</w:t>
      </w:r>
    </w:p>
    <w:p w14:paraId="673F52DD" w14:textId="77777777" w:rsidR="00846BBC" w:rsidRPr="004272B3" w:rsidRDefault="00846BBC" w:rsidP="00846BBC">
      <w:pPr>
        <w:spacing w:line="480" w:lineRule="auto"/>
        <w:ind w:left="567" w:hanging="567"/>
        <w:rPr>
          <w:rFonts w:ascii="Times New Roman" w:eastAsia="Times New Roman" w:hAnsi="Times New Roman" w:cs="Times New Roman"/>
          <w:lang w:val="en-GB"/>
        </w:rPr>
      </w:pPr>
      <w:r w:rsidRPr="004272B3">
        <w:rPr>
          <w:rFonts w:ascii="Times New Roman" w:eastAsia="Times New Roman" w:hAnsi="Times New Roman" w:cs="Times New Roman"/>
          <w:lang w:val="en-US"/>
        </w:rPr>
        <w:t xml:space="preserve">Moore, D.A., Russell, A.E., Matthews, J., Ford, T.J., Rogers, M., </w:t>
      </w:r>
      <w:proofErr w:type="spellStart"/>
      <w:r w:rsidRPr="004272B3">
        <w:rPr>
          <w:rFonts w:ascii="Times New Roman" w:eastAsia="Times New Roman" w:hAnsi="Times New Roman" w:cs="Times New Roman"/>
          <w:lang w:val="en-US"/>
        </w:rPr>
        <w:t>Ukoumunne</w:t>
      </w:r>
      <w:proofErr w:type="spellEnd"/>
      <w:r w:rsidRPr="004272B3">
        <w:rPr>
          <w:rFonts w:ascii="Times New Roman" w:eastAsia="Times New Roman" w:hAnsi="Times New Roman" w:cs="Times New Roman"/>
          <w:lang w:val="en-US"/>
        </w:rPr>
        <w:t xml:space="preserve">, O.C., </w:t>
      </w:r>
      <w:proofErr w:type="spellStart"/>
      <w:r w:rsidRPr="004272B3">
        <w:rPr>
          <w:rFonts w:ascii="Times New Roman" w:eastAsia="Times New Roman" w:hAnsi="Times New Roman" w:cs="Times New Roman"/>
          <w:lang w:val="en-US"/>
        </w:rPr>
        <w:t>Kneale</w:t>
      </w:r>
      <w:proofErr w:type="spellEnd"/>
      <w:r w:rsidRPr="004272B3">
        <w:rPr>
          <w:rFonts w:ascii="Times New Roman" w:eastAsia="Times New Roman" w:hAnsi="Times New Roman" w:cs="Times New Roman"/>
          <w:lang w:val="en-US"/>
        </w:rPr>
        <w:t xml:space="preserve">, D., Thompson-Coon, J., Nunns, M., Shaw, L., </w:t>
      </w:r>
      <w:r w:rsidRPr="004272B3">
        <w:rPr>
          <w:rFonts w:ascii="Times New Roman" w:hAnsi="Times New Roman" w:cs="Times New Roman"/>
          <w:shd w:val="clear" w:color="auto" w:fill="FFFFFF"/>
          <w:lang w:val="en-US"/>
        </w:rPr>
        <w:t xml:space="preserve">&amp; </w:t>
      </w:r>
      <w:proofErr w:type="spellStart"/>
      <w:r w:rsidRPr="004272B3">
        <w:rPr>
          <w:rFonts w:ascii="Times New Roman" w:eastAsia="Times New Roman" w:hAnsi="Times New Roman" w:cs="Times New Roman"/>
          <w:lang w:val="en-US"/>
        </w:rPr>
        <w:t>Gwernan</w:t>
      </w:r>
      <w:proofErr w:type="spellEnd"/>
      <w:r w:rsidRPr="004272B3">
        <w:rPr>
          <w:rFonts w:ascii="Times New Roman" w:eastAsia="Times New Roman" w:hAnsi="Times New Roman" w:cs="Times New Roman"/>
          <w:lang w:val="en-US"/>
        </w:rPr>
        <w:t>-Jones, R. (2018). School-based interventions for attention-deficit/</w:t>
      </w:r>
      <w:proofErr w:type="spellStart"/>
      <w:r w:rsidRPr="004272B3">
        <w:rPr>
          <w:rFonts w:ascii="Times New Roman" w:eastAsia="Times New Roman" w:hAnsi="Times New Roman" w:cs="Times New Roman"/>
          <w:lang w:val="en-US"/>
        </w:rPr>
        <w:t>hyperativity</w:t>
      </w:r>
      <w:proofErr w:type="spellEnd"/>
      <w:r w:rsidRPr="004272B3">
        <w:rPr>
          <w:rFonts w:ascii="Times New Roman" w:eastAsia="Times New Roman" w:hAnsi="Times New Roman" w:cs="Times New Roman"/>
          <w:lang w:val="en-US"/>
        </w:rPr>
        <w:t xml:space="preserve"> disorder. A systematic review with multiple synthesis methods. </w:t>
      </w:r>
      <w:r w:rsidRPr="004272B3">
        <w:rPr>
          <w:rFonts w:ascii="Times New Roman" w:eastAsia="Times New Roman" w:hAnsi="Times New Roman" w:cs="Times New Roman"/>
          <w:i/>
          <w:lang w:val="en-GB"/>
        </w:rPr>
        <w:t>Review of Educations, 6</w:t>
      </w:r>
      <w:r w:rsidRPr="004272B3">
        <w:rPr>
          <w:rFonts w:ascii="Times New Roman" w:eastAsia="Times New Roman" w:hAnsi="Times New Roman" w:cs="Times New Roman"/>
          <w:lang w:val="en-GB"/>
        </w:rPr>
        <w:t>, 209-263.</w:t>
      </w:r>
    </w:p>
    <w:p w14:paraId="035ACC65" w14:textId="77777777" w:rsidR="00846BBC" w:rsidRPr="004272B3" w:rsidRDefault="00846BBC" w:rsidP="00846BBC">
      <w:pPr>
        <w:spacing w:line="480" w:lineRule="auto"/>
        <w:ind w:left="567" w:hanging="567"/>
        <w:rPr>
          <w:rFonts w:ascii="Times New Roman" w:hAnsi="Times New Roman" w:cs="Times New Roman"/>
          <w:shd w:val="clear" w:color="auto" w:fill="FCFCFC"/>
          <w:lang w:val="nl-NL"/>
        </w:rPr>
      </w:pPr>
      <w:r w:rsidRPr="004272B3">
        <w:rPr>
          <w:rFonts w:ascii="Times New Roman" w:hAnsi="Times New Roman" w:cs="Times New Roman"/>
          <w:shd w:val="clear" w:color="auto" w:fill="FCFCFC"/>
          <w:lang w:val="en-US"/>
        </w:rPr>
        <w:t>Murray, M.J. (2010). Attention-deficit/Hyperactivity Disorder in the Context of Autism Spectrum Disorders. </w:t>
      </w:r>
      <w:r w:rsidRPr="004272B3">
        <w:rPr>
          <w:rFonts w:ascii="Times New Roman" w:hAnsi="Times New Roman" w:cs="Times New Roman"/>
          <w:i/>
          <w:iCs/>
          <w:shd w:val="clear" w:color="auto" w:fill="FCFCFC"/>
          <w:lang w:val="nl-NL"/>
        </w:rPr>
        <w:t>Current Psychiatry Reports</w:t>
      </w:r>
      <w:r w:rsidRPr="004272B3">
        <w:rPr>
          <w:rFonts w:ascii="Times New Roman" w:hAnsi="Times New Roman" w:cs="Times New Roman"/>
          <w:shd w:val="clear" w:color="auto" w:fill="FCFCFC"/>
          <w:lang w:val="nl-NL"/>
        </w:rPr>
        <w:t> </w:t>
      </w:r>
      <w:r w:rsidRPr="004272B3">
        <w:rPr>
          <w:rFonts w:ascii="Times New Roman" w:hAnsi="Times New Roman" w:cs="Times New Roman"/>
          <w:b/>
          <w:bCs/>
          <w:shd w:val="clear" w:color="auto" w:fill="FCFCFC"/>
          <w:lang w:val="nl-NL"/>
        </w:rPr>
        <w:t>12, </w:t>
      </w:r>
      <w:r w:rsidRPr="004272B3">
        <w:rPr>
          <w:rFonts w:ascii="Times New Roman" w:hAnsi="Times New Roman" w:cs="Times New Roman"/>
          <w:shd w:val="clear" w:color="auto" w:fill="FCFCFC"/>
          <w:lang w:val="nl-NL"/>
        </w:rPr>
        <w:t xml:space="preserve">382–388. </w:t>
      </w:r>
      <w:hyperlink r:id="rId13" w:history="1">
        <w:r w:rsidRPr="004272B3">
          <w:rPr>
            <w:rStyle w:val="Hyperlink"/>
            <w:rFonts w:ascii="Times New Roman" w:hAnsi="Times New Roman" w:cs="Times New Roman"/>
            <w:color w:val="auto"/>
            <w:shd w:val="clear" w:color="auto" w:fill="FCFCFC"/>
            <w:lang w:val="nl-NL"/>
          </w:rPr>
          <w:t>https://doi.org/10.1007/s11920-010-0145-3</w:t>
        </w:r>
      </w:hyperlink>
    </w:p>
    <w:p w14:paraId="4D5FE594" w14:textId="77777777" w:rsidR="00846BBC" w:rsidRPr="004272B3" w:rsidRDefault="00846BBC" w:rsidP="00846BBC">
      <w:pPr>
        <w:spacing w:line="480" w:lineRule="auto"/>
        <w:ind w:left="567" w:hanging="567"/>
        <w:rPr>
          <w:rFonts w:ascii="Times New Roman" w:hAnsi="Times New Roman" w:cs="Times New Roman"/>
          <w:lang w:val="en-US"/>
        </w:rPr>
      </w:pPr>
      <w:r w:rsidRPr="004272B3">
        <w:rPr>
          <w:rFonts w:ascii="Times New Roman" w:hAnsi="Times New Roman" w:cs="Times New Roman"/>
          <w:lang w:val="nl-NL"/>
        </w:rPr>
        <w:t xml:space="preserve">Oerlemans, A.M., Van der Meer,  J.M., Van Steijn, D.J., De Ruiter, S.W., De Bruijn, Y.G., De Sonneville, L.M, Buiteelar, J., &amp; Rommelse, N.N.J. (2014). </w:t>
      </w:r>
      <w:r w:rsidRPr="004272B3">
        <w:rPr>
          <w:rFonts w:ascii="Times New Roman" w:hAnsi="Times New Roman" w:cs="Times New Roman"/>
          <w:lang w:val="en-US"/>
        </w:rPr>
        <w:t xml:space="preserve">Recognition of facial emotion and affective prosody in children with ASD (+ADHD) and their unaffected siblings. </w:t>
      </w:r>
      <w:r w:rsidRPr="004272B3">
        <w:rPr>
          <w:rFonts w:ascii="Times New Roman" w:hAnsi="Times New Roman" w:cs="Times New Roman"/>
          <w:i/>
          <w:lang w:val="en-US"/>
        </w:rPr>
        <w:t>European Child and Adolescent Psychiatry,</w:t>
      </w:r>
      <w:r w:rsidRPr="004272B3">
        <w:rPr>
          <w:rFonts w:ascii="Times New Roman" w:hAnsi="Times New Roman" w:cs="Times New Roman"/>
          <w:b/>
          <w:i/>
          <w:lang w:val="en-US"/>
        </w:rPr>
        <w:t xml:space="preserve"> </w:t>
      </w:r>
      <w:r w:rsidRPr="004272B3">
        <w:rPr>
          <w:rFonts w:ascii="Times New Roman" w:hAnsi="Times New Roman" w:cs="Times New Roman"/>
          <w:lang w:val="en-US"/>
        </w:rPr>
        <w:t>23</w:t>
      </w:r>
      <w:r w:rsidRPr="004272B3">
        <w:rPr>
          <w:rFonts w:ascii="Times New Roman" w:hAnsi="Times New Roman" w:cs="Times New Roman"/>
          <w:i/>
          <w:lang w:val="en-US"/>
        </w:rPr>
        <w:t>:</w:t>
      </w:r>
      <w:r w:rsidRPr="004272B3">
        <w:rPr>
          <w:rFonts w:ascii="Times New Roman" w:hAnsi="Times New Roman" w:cs="Times New Roman"/>
          <w:lang w:val="en-US"/>
        </w:rPr>
        <w:t xml:space="preserve"> 257-271.</w:t>
      </w:r>
    </w:p>
    <w:p w14:paraId="72F74304" w14:textId="77777777" w:rsidR="00846BBC" w:rsidRPr="004272B3" w:rsidRDefault="00846BBC" w:rsidP="00846BBC">
      <w:pPr>
        <w:spacing w:line="480" w:lineRule="auto"/>
        <w:ind w:left="567" w:hanging="567"/>
        <w:rPr>
          <w:rFonts w:ascii="Times New Roman" w:hAnsi="Times New Roman" w:cs="Times New Roman"/>
          <w:lang w:val="en-US"/>
        </w:rPr>
      </w:pPr>
      <w:r w:rsidRPr="004272B3">
        <w:rPr>
          <w:rFonts w:ascii="Times New Roman" w:hAnsi="Times New Roman" w:cs="Times New Roman"/>
          <w:shd w:val="clear" w:color="auto" w:fill="FFFFFF"/>
          <w:lang w:val="en-US"/>
        </w:rPr>
        <w:t xml:space="preserve">Pellicano E (2013) Testing the predictive power of cognitive </w:t>
      </w:r>
      <w:proofErr w:type="spellStart"/>
      <w:r w:rsidRPr="004272B3">
        <w:rPr>
          <w:rFonts w:ascii="Times New Roman" w:hAnsi="Times New Roman" w:cs="Times New Roman"/>
          <w:shd w:val="clear" w:color="auto" w:fill="FFFFFF"/>
          <w:lang w:val="en-US"/>
        </w:rPr>
        <w:t>atypicalities</w:t>
      </w:r>
      <w:proofErr w:type="spellEnd"/>
      <w:r w:rsidRPr="004272B3">
        <w:rPr>
          <w:rFonts w:ascii="Times New Roman" w:hAnsi="Times New Roman" w:cs="Times New Roman"/>
          <w:shd w:val="clear" w:color="auto" w:fill="FFFFFF"/>
          <w:lang w:val="en-US"/>
        </w:rPr>
        <w:t xml:space="preserve"> in autistic children: evidence from a 3-year follow-up study. Autism Research.6; 258-267. DOI: 10.1002/aur.1286</w:t>
      </w:r>
    </w:p>
    <w:p w14:paraId="12D2F202" w14:textId="77777777" w:rsidR="00846BBC" w:rsidRPr="004272B3" w:rsidRDefault="00846BBC" w:rsidP="00846BBC">
      <w:pPr>
        <w:spacing w:line="480" w:lineRule="auto"/>
        <w:ind w:left="567" w:hanging="567"/>
        <w:rPr>
          <w:rFonts w:ascii="Times New Roman" w:hAnsi="Times New Roman" w:cs="Times New Roman"/>
        </w:rPr>
      </w:pPr>
      <w:r w:rsidRPr="004272B3">
        <w:rPr>
          <w:rFonts w:ascii="Times New Roman" w:hAnsi="Times New Roman" w:cs="Times New Roman"/>
          <w:lang w:val="en-US"/>
        </w:rPr>
        <w:lastRenderedPageBreak/>
        <w:t xml:space="preserve">Pugliese, C.E. Wallace, G.S., Gutermuth, L., &amp; Kenworthy, L. (2020). Understanding executive function challenges in autism In S.W. White, B.M. Maddox and C.A. </w:t>
      </w:r>
      <w:proofErr w:type="spellStart"/>
      <w:r w:rsidRPr="004272B3">
        <w:rPr>
          <w:rFonts w:ascii="Times New Roman" w:hAnsi="Times New Roman" w:cs="Times New Roman"/>
          <w:lang w:val="en-US"/>
        </w:rPr>
        <w:t>Mazefsky</w:t>
      </w:r>
      <w:proofErr w:type="spellEnd"/>
      <w:r w:rsidRPr="004272B3">
        <w:rPr>
          <w:rFonts w:ascii="Times New Roman" w:hAnsi="Times New Roman" w:cs="Times New Roman"/>
          <w:lang w:val="en-US"/>
        </w:rPr>
        <w:t xml:space="preserve"> (Eds) </w:t>
      </w:r>
      <w:r w:rsidRPr="004272B3">
        <w:rPr>
          <w:rFonts w:ascii="Times New Roman" w:hAnsi="Times New Roman" w:cs="Times New Roman"/>
          <w:i/>
          <w:lang w:val="en-US"/>
        </w:rPr>
        <w:t xml:space="preserve">The Oxford Handbook of Autism and Co-occurring Psychiatric Conditions   </w:t>
      </w:r>
      <w:r w:rsidRPr="004272B3">
        <w:rPr>
          <w:rFonts w:ascii="Times New Roman" w:hAnsi="Times New Roman" w:cs="Times New Roman"/>
          <w:lang w:val="en-US"/>
        </w:rPr>
        <w:t xml:space="preserve">(pp.305-326). </w:t>
      </w:r>
      <w:r w:rsidRPr="004272B3">
        <w:rPr>
          <w:rFonts w:ascii="Times New Roman" w:hAnsi="Times New Roman" w:cs="Times New Roman"/>
        </w:rPr>
        <w:t xml:space="preserve">Oxford Library </w:t>
      </w:r>
      <w:proofErr w:type="spellStart"/>
      <w:r w:rsidRPr="004272B3">
        <w:rPr>
          <w:rFonts w:ascii="Times New Roman" w:hAnsi="Times New Roman" w:cs="Times New Roman"/>
        </w:rPr>
        <w:t>of</w:t>
      </w:r>
      <w:proofErr w:type="spellEnd"/>
      <w:r w:rsidRPr="004272B3">
        <w:rPr>
          <w:rFonts w:ascii="Times New Roman" w:hAnsi="Times New Roman" w:cs="Times New Roman"/>
        </w:rPr>
        <w:t xml:space="preserve"> </w:t>
      </w:r>
      <w:proofErr w:type="spellStart"/>
      <w:r w:rsidRPr="004272B3">
        <w:rPr>
          <w:rFonts w:ascii="Times New Roman" w:hAnsi="Times New Roman" w:cs="Times New Roman"/>
        </w:rPr>
        <w:t>Psychology</w:t>
      </w:r>
      <w:proofErr w:type="spellEnd"/>
      <w:r w:rsidRPr="004272B3">
        <w:rPr>
          <w:rFonts w:ascii="Times New Roman" w:hAnsi="Times New Roman" w:cs="Times New Roman"/>
        </w:rPr>
        <w:t xml:space="preserve"> Series. </w:t>
      </w:r>
      <w:proofErr w:type="spellStart"/>
      <w:r w:rsidRPr="004272B3">
        <w:rPr>
          <w:rFonts w:ascii="Times New Roman" w:hAnsi="Times New Roman" w:cs="Times New Roman"/>
        </w:rPr>
        <w:t>doi</w:t>
      </w:r>
      <w:proofErr w:type="spellEnd"/>
      <w:r w:rsidRPr="004272B3">
        <w:rPr>
          <w:rFonts w:ascii="Times New Roman" w:hAnsi="Times New Roman" w:cs="Times New Roman"/>
        </w:rPr>
        <w:t>: https://:10.1093/oxfordhb/ 9780190910761.001.000</w:t>
      </w:r>
    </w:p>
    <w:p w14:paraId="419AEC73" w14:textId="77777777" w:rsidR="00846BBC" w:rsidRPr="004272B3" w:rsidRDefault="00846BBC" w:rsidP="00846BBC">
      <w:pPr>
        <w:spacing w:line="480" w:lineRule="auto"/>
        <w:ind w:left="567" w:hanging="567"/>
        <w:rPr>
          <w:rFonts w:ascii="Times New Roman" w:hAnsi="Times New Roman" w:cs="Times New Roman"/>
          <w:lang w:val="en-US"/>
        </w:rPr>
      </w:pPr>
      <w:r w:rsidRPr="004272B3">
        <w:rPr>
          <w:rFonts w:ascii="Times New Roman" w:hAnsi="Times New Roman" w:cs="Times New Roman"/>
        </w:rPr>
        <w:t xml:space="preserve">Pujals, E., Batlle, S., Camprodon, E., Pujals, S., Estrada, X., Aceña, M., </w:t>
      </w:r>
      <w:proofErr w:type="spellStart"/>
      <w:r w:rsidRPr="004272B3">
        <w:rPr>
          <w:rFonts w:ascii="Times New Roman" w:hAnsi="Times New Roman" w:cs="Times New Roman"/>
        </w:rPr>
        <w:t>Petrizan</w:t>
      </w:r>
      <w:proofErr w:type="spellEnd"/>
      <w:r w:rsidRPr="004272B3">
        <w:rPr>
          <w:rFonts w:ascii="Times New Roman" w:hAnsi="Times New Roman" w:cs="Times New Roman"/>
        </w:rPr>
        <w:t xml:space="preserve">, A., </w:t>
      </w:r>
      <w:proofErr w:type="spellStart"/>
      <w:r w:rsidRPr="004272B3">
        <w:rPr>
          <w:rFonts w:ascii="Times New Roman" w:hAnsi="Times New Roman" w:cs="Times New Roman"/>
        </w:rPr>
        <w:t>Duñó</w:t>
      </w:r>
      <w:proofErr w:type="spellEnd"/>
      <w:r w:rsidRPr="004272B3">
        <w:rPr>
          <w:rFonts w:ascii="Times New Roman" w:hAnsi="Times New Roman" w:cs="Times New Roman"/>
        </w:rPr>
        <w:t xml:space="preserve">, L., Martí, J., Martín, L.M., &amp; Pérez-Solá, V. (2016).  </w:t>
      </w:r>
      <w:r w:rsidRPr="004272B3">
        <w:rPr>
          <w:rFonts w:ascii="Times New Roman" w:hAnsi="Times New Roman" w:cs="Times New Roman"/>
          <w:lang w:val="en-US"/>
        </w:rPr>
        <w:t>Brief report: translation and adaptation of the Theory of Mind Inventory to Spanish. </w:t>
      </w:r>
      <w:r w:rsidRPr="004272B3">
        <w:rPr>
          <w:rFonts w:ascii="Times New Roman" w:hAnsi="Times New Roman" w:cs="Times New Roman"/>
          <w:i/>
          <w:lang w:val="en-US"/>
        </w:rPr>
        <w:t>Journal of Autism and Developmental Disorders, 46</w:t>
      </w:r>
      <w:r w:rsidRPr="004272B3">
        <w:rPr>
          <w:rFonts w:ascii="Times New Roman" w:hAnsi="Times New Roman" w:cs="Times New Roman"/>
          <w:lang w:val="en-US"/>
        </w:rPr>
        <w:t xml:space="preserve">, 685–690. </w:t>
      </w:r>
      <w:hyperlink r:id="rId14" w:history="1">
        <w:r w:rsidRPr="004272B3">
          <w:rPr>
            <w:rStyle w:val="Hyperlink"/>
            <w:rFonts w:ascii="Times New Roman" w:hAnsi="Times New Roman" w:cs="Times New Roman"/>
            <w:color w:val="auto"/>
            <w:lang w:val="en-US"/>
          </w:rPr>
          <w:t>https://doi10.1007/s10803-015-2576-5</w:t>
        </w:r>
      </w:hyperlink>
    </w:p>
    <w:p w14:paraId="6F6DDAAE" w14:textId="77777777" w:rsidR="00846BBC" w:rsidRPr="004272B3" w:rsidRDefault="00846BBC" w:rsidP="00846BBC">
      <w:pPr>
        <w:spacing w:line="480" w:lineRule="auto"/>
        <w:ind w:left="567" w:hanging="567"/>
        <w:rPr>
          <w:rFonts w:ascii="Times New Roman" w:hAnsi="Times New Roman" w:cs="Times New Roman"/>
          <w:lang w:val="en-US"/>
        </w:rPr>
      </w:pPr>
      <w:r w:rsidRPr="004272B3">
        <w:rPr>
          <w:rFonts w:ascii="Times New Roman" w:hAnsi="Times New Roman" w:cs="Times New Roman"/>
          <w:lang w:val="en-US"/>
        </w:rPr>
        <w:t>Rodrigues, R., Meng-Chuan, L., Beswick, A., Gorman, D.A., Anagnostou, E., Szatmari, P., Anderson, K.K., &amp; Amis, S.H. (2020). Practitioner review: Pharmacological treatment of attention-deficit/</w:t>
      </w:r>
      <w:proofErr w:type="spellStart"/>
      <w:r w:rsidRPr="004272B3">
        <w:rPr>
          <w:rFonts w:ascii="Times New Roman" w:hAnsi="Times New Roman" w:cs="Times New Roman"/>
          <w:lang w:val="en-US"/>
        </w:rPr>
        <w:t>Hypractivity</w:t>
      </w:r>
      <w:proofErr w:type="spellEnd"/>
      <w:r w:rsidRPr="004272B3">
        <w:rPr>
          <w:rFonts w:ascii="Times New Roman" w:hAnsi="Times New Roman" w:cs="Times New Roman"/>
          <w:lang w:val="en-US"/>
        </w:rPr>
        <w:t xml:space="preserve"> disorder symptoms in children and youth with autism spectrum disorder: a systematic review and meta-analysis. </w:t>
      </w:r>
      <w:r w:rsidRPr="004272B3">
        <w:rPr>
          <w:rFonts w:ascii="Times New Roman" w:hAnsi="Times New Roman" w:cs="Times New Roman"/>
          <w:i/>
          <w:lang w:val="en-US"/>
        </w:rPr>
        <w:t>The Journal of Child Psychology and Psychiatry, 62</w:t>
      </w:r>
      <w:r w:rsidRPr="004272B3">
        <w:rPr>
          <w:rFonts w:ascii="Times New Roman" w:hAnsi="Times New Roman" w:cs="Times New Roman"/>
          <w:lang w:val="en-US"/>
        </w:rPr>
        <w:t>, 680-700</w:t>
      </w:r>
      <w:r w:rsidRPr="004272B3">
        <w:rPr>
          <w:rFonts w:ascii="Helvetica" w:eastAsia="Times New Roman" w:hAnsi="Helvetica" w:cs="Times New Roman"/>
          <w:sz w:val="21"/>
          <w:szCs w:val="21"/>
          <w:shd w:val="clear" w:color="auto" w:fill="FFFFFF"/>
          <w:lang w:val="en-US"/>
        </w:rPr>
        <w:t xml:space="preserve"> </w:t>
      </w:r>
      <w:hyperlink r:id="rId15" w:history="1">
        <w:r w:rsidRPr="004272B3">
          <w:rPr>
            <w:rStyle w:val="Hyperlink"/>
            <w:rFonts w:ascii="Times New Roman" w:hAnsi="Times New Roman" w:cs="Times New Roman"/>
            <w:color w:val="auto"/>
            <w:lang w:val="en-US"/>
          </w:rPr>
          <w:t>https://doi.org/10.1111/jcpp.13305</w:t>
        </w:r>
      </w:hyperlink>
    </w:p>
    <w:p w14:paraId="646B3C6C" w14:textId="77777777" w:rsidR="00846BBC" w:rsidRPr="004272B3" w:rsidRDefault="00846BBC" w:rsidP="00846BBC">
      <w:pPr>
        <w:spacing w:line="480" w:lineRule="auto"/>
        <w:ind w:left="567" w:hanging="567"/>
        <w:rPr>
          <w:rFonts w:ascii="Times New Roman" w:eastAsia="Times New Roman" w:hAnsi="Times New Roman" w:cs="Times New Roman"/>
          <w:lang w:val="en-US"/>
        </w:rPr>
      </w:pPr>
      <w:proofErr w:type="spellStart"/>
      <w:r w:rsidRPr="004272B3">
        <w:rPr>
          <w:rFonts w:ascii="Times New Roman" w:eastAsia="Times New Roman" w:hAnsi="Times New Roman" w:cs="Times New Roman"/>
        </w:rPr>
        <w:t>Rodriguez</w:t>
      </w:r>
      <w:proofErr w:type="spellEnd"/>
      <w:r w:rsidRPr="004272B3">
        <w:rPr>
          <w:rFonts w:ascii="Times New Roman" w:eastAsia="Times New Roman" w:hAnsi="Times New Roman" w:cs="Times New Roman"/>
        </w:rPr>
        <w:t xml:space="preserve">-Hernández, P. J., Betancort, M., Ramírez-Santana, G. M., García, R., Sanz-Álvarez, E. J., &amp; De las Cuevas-Castresana, C. (2012). </w:t>
      </w:r>
      <w:r w:rsidRPr="004272B3">
        <w:rPr>
          <w:rFonts w:ascii="Times New Roman" w:eastAsia="Times New Roman" w:hAnsi="Times New Roman" w:cs="Times New Roman"/>
          <w:lang w:val="en-US"/>
        </w:rPr>
        <w:t>Psychometric properties of</w:t>
      </w:r>
    </w:p>
    <w:p w14:paraId="00F9D4C7" w14:textId="77777777" w:rsidR="00846BBC" w:rsidRPr="004272B3" w:rsidRDefault="00846BBC" w:rsidP="00846BBC">
      <w:pPr>
        <w:spacing w:line="480" w:lineRule="auto"/>
        <w:ind w:left="567"/>
        <w:rPr>
          <w:rFonts w:ascii="Times New Roman" w:eastAsia="Times New Roman" w:hAnsi="Times New Roman" w:cs="Times New Roman"/>
          <w:lang w:val="en-US"/>
        </w:rPr>
      </w:pPr>
      <w:r w:rsidRPr="004272B3">
        <w:rPr>
          <w:rFonts w:ascii="Times New Roman" w:eastAsia="Times New Roman" w:hAnsi="Times New Roman" w:cs="Times New Roman"/>
          <w:lang w:val="en-US"/>
        </w:rPr>
        <w:t xml:space="preserve">the parent and teacher versions of the strength and difficulties questionnaire (SDQ) in a Spanish sample. International. </w:t>
      </w:r>
      <w:r w:rsidRPr="004272B3">
        <w:rPr>
          <w:rFonts w:ascii="Times New Roman" w:eastAsia="Times New Roman" w:hAnsi="Times New Roman" w:cs="Times New Roman"/>
          <w:i/>
          <w:lang w:val="en-US"/>
        </w:rPr>
        <w:t>Journal of Clinical Health and Psychology, 12</w:t>
      </w:r>
      <w:r w:rsidRPr="004272B3">
        <w:rPr>
          <w:rFonts w:ascii="Times New Roman" w:eastAsia="Times New Roman" w:hAnsi="Times New Roman" w:cs="Times New Roman"/>
          <w:lang w:val="en-US"/>
        </w:rPr>
        <w:t>, 265–279.</w:t>
      </w:r>
    </w:p>
    <w:p w14:paraId="0B648C18" w14:textId="77777777" w:rsidR="00846BBC" w:rsidRPr="004272B3" w:rsidRDefault="00846BBC" w:rsidP="00846BBC">
      <w:pPr>
        <w:spacing w:line="480" w:lineRule="auto"/>
        <w:ind w:left="567" w:hanging="567"/>
        <w:rPr>
          <w:rFonts w:ascii="Times New Roman" w:eastAsia="Times New Roman" w:hAnsi="Times New Roman" w:cs="Times New Roman"/>
          <w:lang w:val="en-US"/>
        </w:rPr>
      </w:pPr>
      <w:r w:rsidRPr="004272B3">
        <w:rPr>
          <w:rFonts w:ascii="Times New Roman" w:eastAsia="Times New Roman" w:hAnsi="Times New Roman" w:cs="Times New Roman"/>
          <w:lang w:val="en-US"/>
        </w:rPr>
        <w:t xml:space="preserve">Rong, Y., Yang, C-J., </w:t>
      </w:r>
      <w:proofErr w:type="spellStart"/>
      <w:r w:rsidRPr="004272B3">
        <w:rPr>
          <w:rFonts w:ascii="Times New Roman" w:eastAsia="Times New Roman" w:hAnsi="Times New Roman" w:cs="Times New Roman"/>
          <w:lang w:val="en-US"/>
        </w:rPr>
        <w:t>Jin</w:t>
      </w:r>
      <w:proofErr w:type="spellEnd"/>
      <w:r w:rsidRPr="004272B3">
        <w:rPr>
          <w:rFonts w:ascii="Times New Roman" w:eastAsia="Times New Roman" w:hAnsi="Times New Roman" w:cs="Times New Roman"/>
          <w:lang w:val="en-US"/>
        </w:rPr>
        <w:t xml:space="preserve">, Y., &amp; Wand Y. (2021). Prevalence of attention-deficit/hyperactivity disorder in individuals with autism spectrum disorder: A meta-analysis. </w:t>
      </w:r>
      <w:r w:rsidRPr="004272B3">
        <w:rPr>
          <w:rFonts w:ascii="Times New Roman" w:eastAsia="Times New Roman" w:hAnsi="Times New Roman" w:cs="Times New Roman"/>
          <w:i/>
          <w:lang w:val="en-US"/>
        </w:rPr>
        <w:t>Research in Autism Spectrum Disorders, 83</w:t>
      </w:r>
      <w:r w:rsidRPr="004272B3">
        <w:rPr>
          <w:rFonts w:ascii="Times New Roman" w:eastAsia="Times New Roman" w:hAnsi="Times New Roman" w:cs="Times New Roman"/>
          <w:lang w:val="en-US"/>
        </w:rPr>
        <w:t xml:space="preserve">, May 21.  </w:t>
      </w:r>
      <w:hyperlink r:id="rId16" w:tgtFrame="_blank" w:tooltip="Persistent link using digital object identifier" w:history="1">
        <w:r w:rsidRPr="004272B3">
          <w:rPr>
            <w:rFonts w:ascii="Times New Roman" w:eastAsia="Times New Roman" w:hAnsi="Times New Roman" w:cs="Times New Roman"/>
            <w:lang w:val="en-US"/>
          </w:rPr>
          <w:t>https://doi.org/10.1016/j.rasd.2021.101759</w:t>
        </w:r>
      </w:hyperlink>
    </w:p>
    <w:p w14:paraId="2B5F383B" w14:textId="77777777" w:rsidR="00846BBC" w:rsidRPr="004272B3" w:rsidRDefault="00846BBC" w:rsidP="00846BBC">
      <w:pPr>
        <w:spacing w:line="480" w:lineRule="auto"/>
        <w:ind w:left="567" w:hanging="567"/>
        <w:rPr>
          <w:rStyle w:val="Hyperlink"/>
          <w:rFonts w:ascii="Times New Roman" w:hAnsi="Times New Roman" w:cs="Times New Roman"/>
          <w:color w:val="auto"/>
          <w:u w:val="none"/>
          <w:lang w:val="en-US"/>
        </w:rPr>
      </w:pPr>
      <w:r w:rsidRPr="004272B3">
        <w:rPr>
          <w:rFonts w:ascii="Times New Roman" w:hAnsi="Times New Roman" w:cs="Times New Roman"/>
        </w:rPr>
        <w:t xml:space="preserve">Rosello, B., Berenguer, C., Baixauli, I., Colomer, C., </w:t>
      </w:r>
      <w:r w:rsidRPr="004272B3">
        <w:rPr>
          <w:rFonts w:ascii="Times New Roman" w:hAnsi="Times New Roman" w:cs="Times New Roman"/>
          <w:shd w:val="clear" w:color="auto" w:fill="FFFFFF"/>
          <w:lang w:val="it-IT"/>
        </w:rPr>
        <w:t xml:space="preserve">&amp; </w:t>
      </w:r>
      <w:r w:rsidRPr="004272B3">
        <w:rPr>
          <w:rFonts w:ascii="Times New Roman" w:hAnsi="Times New Roman" w:cs="Times New Roman"/>
        </w:rPr>
        <w:t xml:space="preserve">Miranda, A. (2018). </w:t>
      </w:r>
      <w:r w:rsidRPr="004272B3">
        <w:rPr>
          <w:rFonts w:ascii="Times New Roman" w:hAnsi="Times New Roman" w:cs="Times New Roman"/>
          <w:lang w:val="en-US"/>
        </w:rPr>
        <w:t xml:space="preserve">ADHD symptoms and learning behaviors in children with ASD without intellectual disability. A mediation analysis of executive functions. </w:t>
      </w:r>
      <w:proofErr w:type="spellStart"/>
      <w:r w:rsidRPr="004272B3">
        <w:rPr>
          <w:rFonts w:ascii="Times New Roman" w:hAnsi="Times New Roman" w:cs="Times New Roman"/>
          <w:i/>
          <w:iCs/>
          <w:lang w:val="en-US"/>
        </w:rPr>
        <w:t>PLoS</w:t>
      </w:r>
      <w:proofErr w:type="spellEnd"/>
      <w:r w:rsidRPr="004272B3">
        <w:rPr>
          <w:rFonts w:ascii="Times New Roman" w:hAnsi="Times New Roman" w:cs="Times New Roman"/>
          <w:i/>
          <w:iCs/>
          <w:lang w:val="en-US"/>
        </w:rPr>
        <w:t xml:space="preserve"> ONE</w:t>
      </w:r>
      <w:r w:rsidRPr="004272B3">
        <w:rPr>
          <w:rFonts w:ascii="Times New Roman" w:hAnsi="Times New Roman" w:cs="Times New Roman"/>
          <w:lang w:val="en-US"/>
        </w:rPr>
        <w:t xml:space="preserve">, 13(11): e0207286. </w:t>
      </w:r>
      <w:hyperlink r:id="rId17" w:history="1">
        <w:r w:rsidRPr="004272B3">
          <w:rPr>
            <w:rStyle w:val="Hyperlink"/>
            <w:rFonts w:ascii="Times New Roman" w:hAnsi="Times New Roman" w:cs="Times New Roman"/>
            <w:color w:val="auto"/>
            <w:u w:val="none"/>
            <w:lang w:val="en-US"/>
          </w:rPr>
          <w:t>https://doi.org/10.1371/journal. pone.0207286</w:t>
        </w:r>
      </w:hyperlink>
    </w:p>
    <w:p w14:paraId="7EFD07A8" w14:textId="77777777" w:rsidR="00846BBC" w:rsidRPr="004272B3" w:rsidRDefault="00846BBC" w:rsidP="00846BBC">
      <w:pPr>
        <w:spacing w:line="480" w:lineRule="auto"/>
        <w:ind w:left="567" w:hanging="567"/>
        <w:rPr>
          <w:rFonts w:ascii="Times New Roman" w:hAnsi="Times New Roman" w:cs="Times New Roman"/>
          <w:lang w:val="en-US"/>
        </w:rPr>
      </w:pPr>
      <w:r w:rsidRPr="004272B3">
        <w:rPr>
          <w:rStyle w:val="Hyperlink"/>
          <w:rFonts w:ascii="Times New Roman" w:hAnsi="Times New Roman" w:cs="Times New Roman"/>
          <w:color w:val="auto"/>
          <w:u w:val="none"/>
          <w:lang w:val="en-US"/>
        </w:rPr>
        <w:lastRenderedPageBreak/>
        <w:t xml:space="preserve">Rosenberg, R.E., Kaufmann, W.E, Law, J.K., &amp; Law, P.A. (2011). Parent report of community psychiatric comorbid diagnoses in autism spectrum disorders. </w:t>
      </w:r>
      <w:r w:rsidRPr="004272B3">
        <w:rPr>
          <w:rStyle w:val="Hyperlink"/>
          <w:rFonts w:ascii="Times New Roman" w:hAnsi="Times New Roman" w:cs="Times New Roman"/>
          <w:i/>
          <w:iCs/>
          <w:color w:val="auto"/>
          <w:u w:val="none"/>
          <w:lang w:val="en-US"/>
        </w:rPr>
        <w:t>Autism Research and Treatment</w:t>
      </w:r>
      <w:r w:rsidRPr="004272B3">
        <w:rPr>
          <w:rStyle w:val="Hyperlink"/>
          <w:rFonts w:ascii="Times New Roman" w:hAnsi="Times New Roman" w:cs="Times New Roman"/>
          <w:color w:val="auto"/>
          <w:u w:val="none"/>
          <w:lang w:val="en-US"/>
        </w:rPr>
        <w:t>, 2011:405849.</w:t>
      </w:r>
    </w:p>
    <w:p w14:paraId="4C1BC6E2" w14:textId="77777777" w:rsidR="00846BBC" w:rsidRPr="004272B3" w:rsidRDefault="00846BBC" w:rsidP="00846BBC">
      <w:pPr>
        <w:spacing w:line="480" w:lineRule="auto"/>
        <w:ind w:left="567" w:hanging="567"/>
        <w:rPr>
          <w:rFonts w:ascii="Times New Roman" w:eastAsia="Times New Roman" w:hAnsi="Times New Roman" w:cs="Times New Roman"/>
          <w:lang w:val="fr-FR"/>
        </w:rPr>
      </w:pPr>
      <w:r w:rsidRPr="004272B3">
        <w:rPr>
          <w:rFonts w:ascii="Times New Roman" w:eastAsia="Times New Roman" w:hAnsi="Times New Roman" w:cs="Times New Roman"/>
          <w:lang w:val="en-US"/>
        </w:rPr>
        <w:t xml:space="preserve">Rutter, M., Bailey, A., &amp; Lord, C. (2003). </w:t>
      </w:r>
      <w:r w:rsidRPr="004272B3">
        <w:rPr>
          <w:rFonts w:ascii="Times New Roman" w:eastAsia="Times New Roman" w:hAnsi="Times New Roman" w:cs="Times New Roman"/>
          <w:i/>
          <w:lang w:val="fr-FR"/>
        </w:rPr>
        <w:t>Social communication questionnaire.</w:t>
      </w:r>
      <w:r w:rsidRPr="004272B3">
        <w:rPr>
          <w:rFonts w:ascii="Times New Roman" w:eastAsia="Times New Roman" w:hAnsi="Times New Roman" w:cs="Times New Roman"/>
          <w:lang w:val="fr-FR"/>
        </w:rPr>
        <w:t xml:space="preserve">  Western </w:t>
      </w:r>
      <w:proofErr w:type="spellStart"/>
      <w:r w:rsidRPr="004272B3">
        <w:rPr>
          <w:rFonts w:ascii="Times New Roman" w:eastAsia="Times New Roman" w:hAnsi="Times New Roman" w:cs="Times New Roman"/>
          <w:lang w:val="fr-FR"/>
        </w:rPr>
        <w:t>Psychological</w:t>
      </w:r>
      <w:proofErr w:type="spellEnd"/>
      <w:r w:rsidRPr="004272B3">
        <w:rPr>
          <w:rFonts w:ascii="Times New Roman" w:eastAsia="Times New Roman" w:hAnsi="Times New Roman" w:cs="Times New Roman"/>
          <w:lang w:val="fr-FR"/>
        </w:rPr>
        <w:t xml:space="preserve"> Services.</w:t>
      </w:r>
    </w:p>
    <w:p w14:paraId="60A99E4C" w14:textId="77777777" w:rsidR="00846BBC" w:rsidRPr="004272B3" w:rsidRDefault="00846BBC" w:rsidP="00846BBC">
      <w:pPr>
        <w:spacing w:line="480" w:lineRule="auto"/>
        <w:ind w:left="567" w:hanging="567"/>
        <w:rPr>
          <w:rFonts w:ascii="Times New Roman" w:eastAsia="Times New Roman" w:hAnsi="Times New Roman" w:cs="Times New Roman"/>
          <w:lang w:val="en-US"/>
        </w:rPr>
      </w:pPr>
      <w:proofErr w:type="spellStart"/>
      <w:r w:rsidRPr="004272B3">
        <w:rPr>
          <w:rFonts w:ascii="Times New Roman" w:eastAsia="Times New Roman" w:hAnsi="Times New Roman" w:cs="Times New Roman"/>
          <w:lang w:val="fr-FR"/>
        </w:rPr>
        <w:t>Rutter</w:t>
      </w:r>
      <w:proofErr w:type="spellEnd"/>
      <w:r w:rsidRPr="004272B3">
        <w:rPr>
          <w:rFonts w:ascii="Times New Roman" w:eastAsia="Times New Roman" w:hAnsi="Times New Roman" w:cs="Times New Roman"/>
          <w:lang w:val="fr-FR"/>
        </w:rPr>
        <w:t xml:space="preserve">, M., Le </w:t>
      </w:r>
      <w:proofErr w:type="spellStart"/>
      <w:r w:rsidRPr="004272B3">
        <w:rPr>
          <w:rFonts w:ascii="Times New Roman" w:eastAsia="Times New Roman" w:hAnsi="Times New Roman" w:cs="Times New Roman"/>
          <w:lang w:val="fr-FR"/>
        </w:rPr>
        <w:t>Couteur</w:t>
      </w:r>
      <w:proofErr w:type="spellEnd"/>
      <w:r w:rsidRPr="004272B3">
        <w:rPr>
          <w:rFonts w:ascii="Times New Roman" w:eastAsia="Times New Roman" w:hAnsi="Times New Roman" w:cs="Times New Roman"/>
          <w:lang w:val="fr-FR"/>
        </w:rPr>
        <w:t xml:space="preserve">, A., &amp; Lord, C. (2003). </w:t>
      </w:r>
      <w:r w:rsidRPr="004272B3">
        <w:rPr>
          <w:rFonts w:ascii="Times New Roman" w:eastAsia="Times New Roman" w:hAnsi="Times New Roman" w:cs="Times New Roman"/>
          <w:i/>
          <w:lang w:val="en-US"/>
        </w:rPr>
        <w:t>ADI-R. Autism diagnostic interview revised. Manual.</w:t>
      </w:r>
      <w:r w:rsidRPr="004272B3">
        <w:rPr>
          <w:rFonts w:ascii="Times New Roman" w:eastAsia="Times New Roman" w:hAnsi="Times New Roman" w:cs="Times New Roman"/>
          <w:lang w:val="en-US"/>
        </w:rPr>
        <w:t xml:space="preserve">  Western Psychological Services.</w:t>
      </w:r>
    </w:p>
    <w:p w14:paraId="662AAD69" w14:textId="77777777" w:rsidR="00846BBC" w:rsidRPr="004272B3" w:rsidRDefault="00846BBC" w:rsidP="00846BBC">
      <w:pPr>
        <w:spacing w:line="480" w:lineRule="auto"/>
        <w:ind w:left="567" w:hanging="567"/>
        <w:rPr>
          <w:rFonts w:ascii="Times New Roman" w:hAnsi="Times New Roman" w:cs="Times New Roman"/>
          <w:lang w:val="en-US"/>
        </w:rPr>
      </w:pPr>
      <w:r w:rsidRPr="004272B3">
        <w:rPr>
          <w:rFonts w:ascii="Times New Roman" w:hAnsi="Times New Roman" w:cs="Times New Roman"/>
          <w:lang w:val="en-US"/>
        </w:rPr>
        <w:t xml:space="preserve">Salazar, F., Baird, G., Chandler, S., Tseng, E., O’Sullivan, T., Howlin, P., Pickles, A., &amp; Simonoff, E. (2015) Co-occurring psychiatric disorders in preschool and elementary school-aged children with autism spectrum disorder. </w:t>
      </w:r>
      <w:r w:rsidRPr="004272B3">
        <w:rPr>
          <w:rFonts w:ascii="Times New Roman" w:hAnsi="Times New Roman" w:cs="Times New Roman"/>
          <w:i/>
          <w:lang w:val="en-US"/>
        </w:rPr>
        <w:t>Journal of</w:t>
      </w:r>
      <w:r w:rsidRPr="004272B3">
        <w:rPr>
          <w:rFonts w:ascii="Times New Roman" w:hAnsi="Times New Roman" w:cs="Times New Roman"/>
          <w:lang w:val="en-US"/>
        </w:rPr>
        <w:t xml:space="preserve"> </w:t>
      </w:r>
      <w:r w:rsidRPr="004272B3">
        <w:rPr>
          <w:rFonts w:ascii="Times New Roman" w:hAnsi="Times New Roman" w:cs="Times New Roman"/>
          <w:i/>
          <w:lang w:val="en-US"/>
        </w:rPr>
        <w:t>Autism and Developmental Disorders,</w:t>
      </w:r>
      <w:r w:rsidRPr="004272B3">
        <w:rPr>
          <w:rFonts w:ascii="Times New Roman" w:hAnsi="Times New Roman" w:cs="Times New Roman"/>
          <w:lang w:val="en-US"/>
        </w:rPr>
        <w:t xml:space="preserve"> 45(8): 2283–94. https://doi.org/10.1007/ s10803-015-2361-5. </w:t>
      </w:r>
    </w:p>
    <w:p w14:paraId="0E4B9341" w14:textId="77777777" w:rsidR="00846BBC" w:rsidRPr="004272B3" w:rsidRDefault="00846BBC" w:rsidP="00846BBC">
      <w:pPr>
        <w:widowControl w:val="0"/>
        <w:autoSpaceDE w:val="0"/>
        <w:autoSpaceDN w:val="0"/>
        <w:adjustRightInd w:val="0"/>
        <w:spacing w:line="480" w:lineRule="auto"/>
        <w:ind w:left="567" w:hanging="567"/>
        <w:rPr>
          <w:rFonts w:ascii="Times New Roman" w:hAnsi="Times New Roman" w:cs="Times New Roman"/>
          <w:lang w:val="en-US"/>
        </w:rPr>
      </w:pPr>
      <w:r w:rsidRPr="004272B3">
        <w:rPr>
          <w:rFonts w:ascii="Times New Roman" w:hAnsi="Times New Roman" w:cs="Times New Roman"/>
          <w:lang w:val="en-US"/>
        </w:rPr>
        <w:t xml:space="preserve">Salunkhe, G., Weissbrodt, K., Feige, B.N., Saville, C.W., Berger, A., Dundon, N.M., Bender, N., </w:t>
      </w:r>
      <w:proofErr w:type="spellStart"/>
      <w:r w:rsidRPr="004272B3">
        <w:rPr>
          <w:rFonts w:ascii="Times New Roman" w:hAnsi="Times New Roman" w:cs="Times New Roman"/>
          <w:lang w:val="en-US"/>
        </w:rPr>
        <w:t>Smymis</w:t>
      </w:r>
      <w:proofErr w:type="spellEnd"/>
      <w:r w:rsidRPr="004272B3">
        <w:rPr>
          <w:rFonts w:ascii="Times New Roman" w:hAnsi="Times New Roman" w:cs="Times New Roman"/>
          <w:lang w:val="en-US"/>
        </w:rPr>
        <w:t xml:space="preserve">, A., </w:t>
      </w:r>
      <w:proofErr w:type="spellStart"/>
      <w:r w:rsidRPr="004272B3">
        <w:rPr>
          <w:rFonts w:ascii="Times New Roman" w:hAnsi="Times New Roman" w:cs="Times New Roman"/>
          <w:lang w:val="en-US"/>
        </w:rPr>
        <w:t>Beaducel</w:t>
      </w:r>
      <w:proofErr w:type="spellEnd"/>
      <w:r w:rsidRPr="004272B3">
        <w:rPr>
          <w:rFonts w:ascii="Times New Roman" w:hAnsi="Times New Roman" w:cs="Times New Roman"/>
          <w:lang w:val="en-US"/>
        </w:rPr>
        <w:t xml:space="preserve">, M., </w:t>
      </w:r>
      <w:proofErr w:type="spellStart"/>
      <w:r w:rsidRPr="004272B3">
        <w:rPr>
          <w:rFonts w:ascii="Times New Roman" w:hAnsi="Times New Roman" w:cs="Times New Roman"/>
          <w:lang w:val="en-US"/>
        </w:rPr>
        <w:t>Biscaldi</w:t>
      </w:r>
      <w:proofErr w:type="spellEnd"/>
      <w:r w:rsidRPr="004272B3">
        <w:rPr>
          <w:rFonts w:ascii="Times New Roman" w:hAnsi="Times New Roman" w:cs="Times New Roman"/>
          <w:lang w:val="en-US"/>
        </w:rPr>
        <w:t>, C., &amp; Klein, C. (2021). Examining the Overlap Between ADHD and Autism Spectrum Disorder (ASD) Using Candidate Endophenotypes of ADHD. </w:t>
      </w:r>
      <w:r w:rsidRPr="004272B3">
        <w:rPr>
          <w:rFonts w:ascii="Times New Roman" w:hAnsi="Times New Roman" w:cs="Times New Roman"/>
          <w:i/>
          <w:lang w:val="en-US"/>
        </w:rPr>
        <w:t>Journal of Attention Disorders, 25</w:t>
      </w:r>
      <w:r w:rsidRPr="004272B3">
        <w:rPr>
          <w:rFonts w:ascii="Times New Roman" w:hAnsi="Times New Roman" w:cs="Times New Roman"/>
          <w:lang w:val="en-US"/>
        </w:rPr>
        <w:t xml:space="preserve"> (2),</w:t>
      </w:r>
      <w:r w:rsidRPr="004272B3">
        <w:rPr>
          <w:rFonts w:ascii="Times New Roman" w:hAnsi="Times New Roman" w:cs="Times New Roman"/>
          <w:i/>
          <w:lang w:val="en-US"/>
        </w:rPr>
        <w:t xml:space="preserve"> </w:t>
      </w:r>
      <w:r w:rsidRPr="004272B3">
        <w:rPr>
          <w:rFonts w:ascii="Times New Roman" w:hAnsi="Times New Roman" w:cs="Times New Roman"/>
          <w:lang w:val="en-US"/>
        </w:rPr>
        <w:t>217-232</w:t>
      </w:r>
      <w:r w:rsidRPr="004272B3">
        <w:rPr>
          <w:rFonts w:ascii="Times New Roman" w:hAnsi="Times New Roman" w:cs="Times New Roman"/>
          <w:i/>
          <w:lang w:val="en-US"/>
        </w:rPr>
        <w:t xml:space="preserve"> </w:t>
      </w:r>
      <w:r w:rsidRPr="004272B3">
        <w:rPr>
          <w:rFonts w:ascii="Times New Roman" w:hAnsi="Times New Roman" w:cs="Times New Roman"/>
          <w:lang w:val="en-US"/>
        </w:rPr>
        <w:t>Epub,2018</w:t>
      </w:r>
      <w:r w:rsidRPr="004272B3">
        <w:rPr>
          <w:rFonts w:ascii="Times New Roman" w:hAnsi="Times New Roman" w:cs="Times New Roman"/>
          <w:b/>
          <w:lang w:val="en-US"/>
        </w:rPr>
        <w:t xml:space="preserve"> </w:t>
      </w:r>
      <w:r w:rsidRPr="004272B3">
        <w:rPr>
          <w:rFonts w:ascii="Times New Roman" w:hAnsi="Times New Roman" w:cs="Times New Roman"/>
          <w:i/>
          <w:lang w:val="en-US"/>
        </w:rPr>
        <w:t xml:space="preserve">Jun 13 </w:t>
      </w:r>
      <w:r w:rsidRPr="004272B3">
        <w:rPr>
          <w:rFonts w:ascii="Times New Roman" w:hAnsi="Times New Roman" w:cs="Times New Roman"/>
          <w:lang w:val="en-US"/>
        </w:rPr>
        <w:t>10.1177/ 1087054718778114fpsyt.2019.00673</w:t>
      </w:r>
    </w:p>
    <w:p w14:paraId="045CCCA1" w14:textId="77777777" w:rsidR="00846BBC" w:rsidRPr="004272B3" w:rsidRDefault="00846BBC" w:rsidP="00846BBC">
      <w:pPr>
        <w:widowControl w:val="0"/>
        <w:autoSpaceDE w:val="0"/>
        <w:autoSpaceDN w:val="0"/>
        <w:adjustRightInd w:val="0"/>
        <w:spacing w:line="480" w:lineRule="auto"/>
        <w:ind w:left="567" w:hanging="567"/>
        <w:rPr>
          <w:rFonts w:ascii="Times New Roman" w:hAnsi="Times New Roman" w:cs="Times New Roman"/>
          <w:lang w:val="en-US"/>
        </w:rPr>
      </w:pPr>
      <w:r w:rsidRPr="004272B3">
        <w:rPr>
          <w:rFonts w:ascii="Times New Roman" w:hAnsi="Times New Roman" w:cs="Times New Roman"/>
          <w:lang w:val="en-US"/>
        </w:rPr>
        <w:t xml:space="preserve">Simonoff, E., Kent, R., Stringer, D., Lord, C., Briskman, J., </w:t>
      </w:r>
      <w:proofErr w:type="spellStart"/>
      <w:r w:rsidRPr="004272B3">
        <w:rPr>
          <w:rFonts w:ascii="Times New Roman" w:hAnsi="Times New Roman" w:cs="Times New Roman"/>
          <w:lang w:val="en-US"/>
        </w:rPr>
        <w:t>Lukito</w:t>
      </w:r>
      <w:proofErr w:type="spellEnd"/>
      <w:r w:rsidRPr="004272B3">
        <w:rPr>
          <w:rFonts w:ascii="Times New Roman" w:hAnsi="Times New Roman" w:cs="Times New Roman"/>
          <w:lang w:val="en-US"/>
        </w:rPr>
        <w:t xml:space="preserve">, S., Pickles, A., Charman, T., &amp; Baird, G. (2019). Trajectories in Symptoms of Autism and Cognitive Ability in Autism From Childhood to Adult Life: Findings From a Longitudinal Epidemiological Cohort. </w:t>
      </w:r>
      <w:r w:rsidRPr="004272B3">
        <w:rPr>
          <w:rFonts w:ascii="Times New Roman" w:hAnsi="Times New Roman" w:cs="Times New Roman"/>
          <w:i/>
          <w:lang w:val="en-US"/>
        </w:rPr>
        <w:t xml:space="preserve">Journal of the American Academy of Child and Adolescent Psychiatry, 59 </w:t>
      </w:r>
      <w:r w:rsidRPr="004272B3">
        <w:rPr>
          <w:rFonts w:ascii="Times New Roman" w:hAnsi="Times New Roman" w:cs="Times New Roman"/>
          <w:lang w:val="en-US"/>
        </w:rPr>
        <w:t>(12), 1342-1352. https://doi.org/10.1016/j.jaac.2019.11.020</w:t>
      </w:r>
    </w:p>
    <w:p w14:paraId="7722EFD0" w14:textId="77777777" w:rsidR="00846BBC" w:rsidRPr="004272B3" w:rsidRDefault="00846BBC" w:rsidP="00846BBC">
      <w:pPr>
        <w:widowControl w:val="0"/>
        <w:autoSpaceDE w:val="0"/>
        <w:autoSpaceDN w:val="0"/>
        <w:adjustRightInd w:val="0"/>
        <w:spacing w:line="480" w:lineRule="auto"/>
        <w:ind w:left="567" w:hanging="567"/>
        <w:rPr>
          <w:rFonts w:ascii="Times New Roman" w:hAnsi="Times New Roman" w:cs="Times New Roman"/>
          <w:lang w:val="en-US"/>
        </w:rPr>
      </w:pPr>
      <w:r w:rsidRPr="004272B3">
        <w:rPr>
          <w:rFonts w:ascii="Times New Roman" w:hAnsi="Times New Roman" w:cs="Times New Roman"/>
          <w:lang w:val="en-US"/>
        </w:rPr>
        <w:t>Simonoff, E., Pickles, A., Charman, T., Chandler, S., Loucas, T., &amp; Baird, G. (2008). Psychiatric disorders in children with autism spectrum disorders: prevalence,</w:t>
      </w:r>
    </w:p>
    <w:p w14:paraId="1256E8AA" w14:textId="77777777" w:rsidR="00846BBC" w:rsidRPr="004272B3" w:rsidRDefault="00846BBC" w:rsidP="00846BBC">
      <w:pPr>
        <w:widowControl w:val="0"/>
        <w:autoSpaceDE w:val="0"/>
        <w:autoSpaceDN w:val="0"/>
        <w:adjustRightInd w:val="0"/>
        <w:spacing w:line="480" w:lineRule="auto"/>
        <w:ind w:left="567"/>
        <w:rPr>
          <w:rFonts w:ascii="Times New Roman" w:hAnsi="Times New Roman" w:cs="Times New Roman"/>
          <w:lang w:val="en-US"/>
        </w:rPr>
      </w:pPr>
      <w:r w:rsidRPr="004272B3">
        <w:rPr>
          <w:rFonts w:ascii="Times New Roman" w:hAnsi="Times New Roman" w:cs="Times New Roman"/>
          <w:lang w:val="en-US"/>
        </w:rPr>
        <w:t xml:space="preserve">comorbidity, and associated factors in a population-derived sample. </w:t>
      </w:r>
      <w:r w:rsidRPr="004272B3">
        <w:rPr>
          <w:rFonts w:ascii="Times New Roman" w:hAnsi="Times New Roman" w:cs="Times New Roman"/>
          <w:i/>
          <w:lang w:val="en-US"/>
        </w:rPr>
        <w:t>Journal of the American Academy of Child and Adolescent Psychiatry</w:t>
      </w:r>
      <w:r w:rsidRPr="004272B3">
        <w:rPr>
          <w:rFonts w:ascii="Times New Roman" w:hAnsi="Times New Roman" w:cs="Times New Roman"/>
          <w:lang w:val="en-US"/>
        </w:rPr>
        <w:t>, 47(8), 921–929.</w:t>
      </w:r>
    </w:p>
    <w:p w14:paraId="2B287D07" w14:textId="77777777" w:rsidR="00846BBC" w:rsidRPr="004272B3" w:rsidRDefault="00846BBC" w:rsidP="00846BBC">
      <w:pPr>
        <w:widowControl w:val="0"/>
        <w:autoSpaceDE w:val="0"/>
        <w:autoSpaceDN w:val="0"/>
        <w:adjustRightInd w:val="0"/>
        <w:spacing w:line="480" w:lineRule="auto"/>
        <w:ind w:left="567" w:hanging="567"/>
        <w:rPr>
          <w:rFonts w:ascii="Times New Roman" w:hAnsi="Times New Roman" w:cs="Times New Roman"/>
          <w:lang w:val="it-IT"/>
        </w:rPr>
      </w:pPr>
      <w:r w:rsidRPr="004272B3">
        <w:rPr>
          <w:rFonts w:ascii="Times New Roman" w:hAnsi="Times New Roman" w:cs="Times New Roman"/>
          <w:lang w:val="en-US"/>
        </w:rPr>
        <w:lastRenderedPageBreak/>
        <w:t xml:space="preserve">Stark, I., Liao, P., Magnusson, C., Lundberg, M., Rai, D., Lager, A., &amp; Nordstrom, S.I. (2021). Qualification for upper secondary education in individuals with autism without intellectual disability: Total population study, Stockholm, Sweden. </w:t>
      </w:r>
      <w:r w:rsidRPr="004272B3">
        <w:rPr>
          <w:rFonts w:ascii="Times New Roman" w:hAnsi="Times New Roman" w:cs="Times New Roman"/>
          <w:i/>
          <w:lang w:val="it-IT"/>
        </w:rPr>
        <w:t>Autism, 25(4),</w:t>
      </w:r>
      <w:r w:rsidRPr="004272B3">
        <w:rPr>
          <w:rFonts w:ascii="Times New Roman" w:hAnsi="Times New Roman" w:cs="Times New Roman"/>
          <w:lang w:val="it-IT"/>
        </w:rPr>
        <w:t xml:space="preserve"> 1036-1046. https://doi: 10.1177/1362361320975929</w:t>
      </w:r>
    </w:p>
    <w:p w14:paraId="4B514305" w14:textId="77777777" w:rsidR="00846BBC" w:rsidRPr="004272B3" w:rsidRDefault="00846BBC" w:rsidP="00846BBC">
      <w:pPr>
        <w:widowControl w:val="0"/>
        <w:autoSpaceDE w:val="0"/>
        <w:autoSpaceDN w:val="0"/>
        <w:adjustRightInd w:val="0"/>
        <w:spacing w:line="480" w:lineRule="auto"/>
        <w:ind w:left="567" w:hanging="567"/>
        <w:rPr>
          <w:rFonts w:ascii="Times New Roman" w:eastAsia="Palatino Linotype" w:hAnsi="Times New Roman" w:cs="Times New Roman"/>
          <w:lang w:val="en-US"/>
        </w:rPr>
      </w:pPr>
      <w:proofErr w:type="spellStart"/>
      <w:r w:rsidRPr="004272B3">
        <w:rPr>
          <w:rFonts w:ascii="Times New Roman" w:eastAsia="Palatino Linotype" w:hAnsi="Times New Roman" w:cs="Times New Roman"/>
        </w:rPr>
        <w:t>Tonizzi</w:t>
      </w:r>
      <w:proofErr w:type="spellEnd"/>
      <w:r w:rsidRPr="004272B3">
        <w:rPr>
          <w:rFonts w:ascii="Times New Roman" w:eastAsia="Palatino Linotype" w:hAnsi="Times New Roman" w:cs="Times New Roman"/>
        </w:rPr>
        <w:t xml:space="preserve">, I., </w:t>
      </w:r>
      <w:proofErr w:type="spellStart"/>
      <w:r w:rsidRPr="004272B3">
        <w:rPr>
          <w:rFonts w:ascii="Times New Roman" w:eastAsia="Palatino Linotype" w:hAnsi="Times New Roman" w:cs="Times New Roman"/>
        </w:rPr>
        <w:t>Giofré</w:t>
      </w:r>
      <w:proofErr w:type="spellEnd"/>
      <w:r w:rsidRPr="004272B3">
        <w:rPr>
          <w:rFonts w:ascii="Times New Roman" w:eastAsia="Palatino Linotype" w:hAnsi="Times New Roman" w:cs="Times New Roman"/>
        </w:rPr>
        <w:t xml:space="preserve">, D., &amp; </w:t>
      </w:r>
      <w:proofErr w:type="spellStart"/>
      <w:r w:rsidRPr="004272B3">
        <w:rPr>
          <w:rFonts w:ascii="Times New Roman" w:eastAsia="Palatino Linotype" w:hAnsi="Times New Roman" w:cs="Times New Roman"/>
        </w:rPr>
        <w:t>Usai</w:t>
      </w:r>
      <w:proofErr w:type="spellEnd"/>
      <w:r w:rsidRPr="004272B3">
        <w:rPr>
          <w:rFonts w:ascii="Times New Roman" w:eastAsia="Palatino Linotype" w:hAnsi="Times New Roman" w:cs="Times New Roman"/>
        </w:rPr>
        <w:t xml:space="preserve">, M.C. (2021). </w:t>
      </w:r>
      <w:r w:rsidRPr="004272B3">
        <w:rPr>
          <w:rFonts w:ascii="Times New Roman" w:eastAsia="Palatino Linotype" w:hAnsi="Times New Roman" w:cs="Times New Roman"/>
          <w:lang w:val="en-US"/>
        </w:rPr>
        <w:t xml:space="preserve">Inhibitory control in autism spectrum </w:t>
      </w:r>
      <w:proofErr w:type="spellStart"/>
      <w:r w:rsidRPr="004272B3">
        <w:rPr>
          <w:rFonts w:ascii="Times New Roman" w:eastAsia="Palatino Linotype" w:hAnsi="Times New Roman" w:cs="Times New Roman"/>
          <w:lang w:val="en-US"/>
        </w:rPr>
        <w:t>disorders:Meta-analysis</w:t>
      </w:r>
      <w:proofErr w:type="spellEnd"/>
      <w:r w:rsidRPr="004272B3">
        <w:rPr>
          <w:rFonts w:ascii="Times New Roman" w:eastAsia="Palatino Linotype" w:hAnsi="Times New Roman" w:cs="Times New Roman"/>
          <w:lang w:val="en-US"/>
        </w:rPr>
        <w:t xml:space="preserve"> on direct and indirect measures. </w:t>
      </w:r>
      <w:r w:rsidRPr="004272B3">
        <w:rPr>
          <w:rFonts w:ascii="Times New Roman" w:eastAsia="Palatino Linotype" w:hAnsi="Times New Roman" w:cs="Times New Roman"/>
          <w:i/>
          <w:lang w:val="en-US"/>
        </w:rPr>
        <w:t>Journal of Autism and Developmental Disorders</w:t>
      </w:r>
      <w:r w:rsidRPr="004272B3">
        <w:rPr>
          <w:rFonts w:ascii="Times New Roman" w:eastAsia="Palatino Linotype" w:hAnsi="Times New Roman" w:cs="Times New Roman"/>
          <w:lang w:val="en-US"/>
        </w:rPr>
        <w:t xml:space="preserve"> (published on line). </w:t>
      </w:r>
      <w:hyperlink r:id="rId18" w:history="1">
        <w:r w:rsidRPr="004272B3">
          <w:rPr>
            <w:rStyle w:val="Hyperlink"/>
            <w:rFonts w:ascii="Times New Roman" w:eastAsia="Palatino Linotype" w:hAnsi="Times New Roman" w:cs="Times New Roman"/>
            <w:color w:val="auto"/>
            <w:u w:val="none"/>
            <w:lang w:val="en-US"/>
          </w:rPr>
          <w:t>https://doi.org/10.1007/s10803-021-05353-6</w:t>
        </w:r>
      </w:hyperlink>
    </w:p>
    <w:p w14:paraId="0784E99E" w14:textId="77777777" w:rsidR="00846BBC" w:rsidRPr="004272B3" w:rsidRDefault="00846BBC" w:rsidP="00846BBC">
      <w:pPr>
        <w:widowControl w:val="0"/>
        <w:autoSpaceDE w:val="0"/>
        <w:autoSpaceDN w:val="0"/>
        <w:adjustRightInd w:val="0"/>
        <w:spacing w:line="480" w:lineRule="auto"/>
        <w:ind w:left="567" w:hanging="567"/>
        <w:rPr>
          <w:rFonts w:ascii="Times New Roman" w:hAnsi="Times New Roman" w:cs="Times New Roman"/>
          <w:lang w:val="nl-NL"/>
        </w:rPr>
      </w:pPr>
      <w:r w:rsidRPr="004272B3">
        <w:rPr>
          <w:rFonts w:ascii="Times New Roman" w:hAnsi="Times New Roman" w:cs="Times New Roman"/>
          <w:lang w:val="en-US"/>
        </w:rPr>
        <w:t xml:space="preserve">Tye, C., Johnson, K.A., Kelly, S.P., Asherson, P., Kuntsi, J., Ashwood, K.L, Azadi, B., Bolton, P., &amp; </w:t>
      </w:r>
      <w:proofErr w:type="spellStart"/>
      <w:r w:rsidRPr="004272B3">
        <w:rPr>
          <w:rFonts w:ascii="Times New Roman" w:hAnsi="Times New Roman" w:cs="Times New Roman"/>
          <w:lang w:val="en-US"/>
        </w:rPr>
        <w:t>Louglin</w:t>
      </w:r>
      <w:proofErr w:type="spellEnd"/>
      <w:r w:rsidRPr="004272B3">
        <w:rPr>
          <w:rFonts w:ascii="Times New Roman" w:hAnsi="Times New Roman" w:cs="Times New Roman"/>
          <w:lang w:val="en-US"/>
        </w:rPr>
        <w:t xml:space="preserve">, G. (2016). Response time variability under slow and fast-incentive conditions in children with ASD, ADHD and ASD+ADHD. </w:t>
      </w:r>
      <w:r w:rsidRPr="004272B3">
        <w:rPr>
          <w:rFonts w:ascii="Times New Roman" w:hAnsi="Times New Roman" w:cs="Times New Roman"/>
          <w:i/>
          <w:lang w:val="nl-NL"/>
        </w:rPr>
        <w:t>Journal of Child Psychology and Psychiatry,</w:t>
      </w:r>
      <w:r w:rsidRPr="004272B3">
        <w:rPr>
          <w:rFonts w:ascii="Times New Roman" w:hAnsi="Times New Roman" w:cs="Times New Roman"/>
          <w:lang w:val="nl-NL"/>
        </w:rPr>
        <w:t xml:space="preserve"> 57: 1414-1423 doi.org/10.1111/ jcpp.12608 </w:t>
      </w:r>
    </w:p>
    <w:p w14:paraId="1102FADD" w14:textId="77777777" w:rsidR="00846BBC" w:rsidRPr="004272B3" w:rsidRDefault="00846BBC" w:rsidP="00846BBC">
      <w:pPr>
        <w:widowControl w:val="0"/>
        <w:autoSpaceDE w:val="0"/>
        <w:autoSpaceDN w:val="0"/>
        <w:adjustRightInd w:val="0"/>
        <w:spacing w:line="480" w:lineRule="auto"/>
        <w:ind w:left="567" w:hanging="567"/>
        <w:rPr>
          <w:rFonts w:ascii="Times New Roman" w:hAnsi="Times New Roman" w:cs="Times New Roman"/>
          <w:lang w:val="en-US"/>
        </w:rPr>
      </w:pPr>
      <w:r w:rsidRPr="004272B3">
        <w:rPr>
          <w:rFonts w:ascii="Times New Roman" w:hAnsi="Times New Roman" w:cs="Times New Roman"/>
          <w:lang w:val="nl-NL"/>
        </w:rPr>
        <w:t xml:space="preserve">Van der Meer, J. M., Oerlemans, A. M., van Steijn, D. J., Lappenschaar, M. G., de Sonneville, L. M., Buitelaar, J. K., ... </w:t>
      </w:r>
      <w:proofErr w:type="spellStart"/>
      <w:r w:rsidRPr="004272B3">
        <w:rPr>
          <w:rFonts w:ascii="Times New Roman" w:hAnsi="Times New Roman" w:cs="Times New Roman"/>
          <w:lang w:val="en-US"/>
        </w:rPr>
        <w:t>Rommelse</w:t>
      </w:r>
      <w:proofErr w:type="spellEnd"/>
      <w:r w:rsidRPr="004272B3">
        <w:rPr>
          <w:rFonts w:ascii="Times New Roman" w:hAnsi="Times New Roman" w:cs="Times New Roman"/>
          <w:lang w:val="en-US"/>
        </w:rPr>
        <w:t xml:space="preserve">, N. N. (2012). Are autism spectrum disorder and attention-deficit/hyperactivity disorder different manifestations of one overarching disorder? Cognitive and symptom evidence from a clinical and population-based sample. </w:t>
      </w:r>
      <w:r w:rsidRPr="004272B3">
        <w:rPr>
          <w:rFonts w:ascii="Times New Roman" w:hAnsi="Times New Roman" w:cs="Times New Roman"/>
          <w:i/>
          <w:iCs/>
          <w:lang w:val="en-US"/>
        </w:rPr>
        <w:t xml:space="preserve">Journal of the American Academy of Child &amp; Adolescent Psychiatry, </w:t>
      </w:r>
      <w:r w:rsidRPr="004272B3">
        <w:rPr>
          <w:rFonts w:ascii="Times New Roman" w:hAnsi="Times New Roman" w:cs="Times New Roman"/>
          <w:lang w:val="en-US"/>
        </w:rPr>
        <w:t>51, 1160–1172.</w:t>
      </w:r>
    </w:p>
    <w:p w14:paraId="3A5EA70F" w14:textId="77777777" w:rsidR="00846BBC" w:rsidRPr="004272B3" w:rsidRDefault="00846BBC" w:rsidP="00846BBC">
      <w:pPr>
        <w:widowControl w:val="0"/>
        <w:autoSpaceDE w:val="0"/>
        <w:autoSpaceDN w:val="0"/>
        <w:adjustRightInd w:val="0"/>
        <w:spacing w:line="480" w:lineRule="auto"/>
        <w:ind w:left="567" w:hanging="567"/>
        <w:rPr>
          <w:rFonts w:ascii="Times New Roman" w:hAnsi="Times New Roman" w:cs="Times New Roman"/>
          <w:lang w:val="en-US"/>
        </w:rPr>
      </w:pPr>
      <w:r w:rsidRPr="004272B3">
        <w:rPr>
          <w:rFonts w:ascii="Times New Roman" w:hAnsi="Times New Roman" w:cs="Times New Roman"/>
          <w:lang w:val="en-US"/>
        </w:rPr>
        <w:t xml:space="preserve">Wechsler, D. (2003). </w:t>
      </w:r>
      <w:r w:rsidRPr="004272B3">
        <w:rPr>
          <w:rFonts w:ascii="Times New Roman" w:hAnsi="Times New Roman" w:cs="Times New Roman"/>
          <w:i/>
          <w:lang w:val="en-US"/>
        </w:rPr>
        <w:t xml:space="preserve">Wechsler intelligence scale for children (fourth edition (WISC-IV). </w:t>
      </w:r>
      <w:r w:rsidRPr="004272B3">
        <w:rPr>
          <w:rFonts w:ascii="Times New Roman" w:hAnsi="Times New Roman" w:cs="Times New Roman"/>
          <w:lang w:val="en-US"/>
        </w:rPr>
        <w:t>The Psychological Corporation.</w:t>
      </w:r>
    </w:p>
    <w:p w14:paraId="5C3BBBD2" w14:textId="77777777" w:rsidR="00846BBC" w:rsidRPr="004272B3" w:rsidRDefault="00846BBC" w:rsidP="00846BBC">
      <w:pPr>
        <w:widowControl w:val="0"/>
        <w:autoSpaceDE w:val="0"/>
        <w:autoSpaceDN w:val="0"/>
        <w:adjustRightInd w:val="0"/>
        <w:spacing w:line="480" w:lineRule="auto"/>
        <w:ind w:left="567" w:hanging="567"/>
        <w:rPr>
          <w:rFonts w:ascii="Times New Roman" w:hAnsi="Times New Roman" w:cs="Times New Roman"/>
          <w:lang w:val="en-US"/>
        </w:rPr>
      </w:pPr>
      <w:r w:rsidRPr="004272B3">
        <w:rPr>
          <w:rFonts w:ascii="Times New Roman" w:hAnsi="Times New Roman" w:cs="Times New Roman"/>
          <w:lang w:val="en-US"/>
        </w:rPr>
        <w:t>WMA, World Medical Association. Declaration of Helsinki. (2013) J</w:t>
      </w:r>
      <w:r w:rsidRPr="004272B3">
        <w:rPr>
          <w:rFonts w:ascii="Times New Roman" w:hAnsi="Times New Roman" w:cs="Times New Roman"/>
          <w:i/>
          <w:lang w:val="en-US"/>
        </w:rPr>
        <w:t>AMA</w:t>
      </w:r>
      <w:r w:rsidRPr="004272B3">
        <w:rPr>
          <w:rFonts w:ascii="Times New Roman" w:hAnsi="Times New Roman" w:cs="Times New Roman"/>
          <w:b/>
          <w:lang w:val="en-US"/>
        </w:rPr>
        <w:t>.</w:t>
      </w:r>
      <w:r w:rsidRPr="004272B3">
        <w:rPr>
          <w:rFonts w:ascii="Times New Roman" w:hAnsi="Times New Roman" w:cs="Times New Roman"/>
          <w:lang w:val="en-US"/>
        </w:rPr>
        <w:t xml:space="preserve"> Nov. 27 </w:t>
      </w:r>
      <w:r w:rsidRPr="004272B3">
        <w:rPr>
          <w:rFonts w:ascii="Times New Roman" w:hAnsi="Times New Roman" w:cs="Times New Roman"/>
          <w:i/>
          <w:lang w:val="en-US"/>
        </w:rPr>
        <w:t>310 (20),</w:t>
      </w:r>
      <w:r w:rsidRPr="004272B3">
        <w:rPr>
          <w:rFonts w:ascii="Times New Roman" w:hAnsi="Times New Roman" w:cs="Times New Roman"/>
          <w:lang w:val="en-US"/>
        </w:rPr>
        <w:t xml:space="preserve"> 2191–2194.</w:t>
      </w:r>
    </w:p>
    <w:p w14:paraId="7AA14B2A" w14:textId="77777777" w:rsidR="00846BBC" w:rsidRPr="004272B3" w:rsidRDefault="00846BBC" w:rsidP="00846BBC">
      <w:pPr>
        <w:widowControl w:val="0"/>
        <w:autoSpaceDE w:val="0"/>
        <w:autoSpaceDN w:val="0"/>
        <w:adjustRightInd w:val="0"/>
        <w:spacing w:line="480" w:lineRule="auto"/>
        <w:ind w:left="567" w:hanging="567"/>
        <w:rPr>
          <w:rFonts w:ascii="Times New Roman" w:hAnsi="Times New Roman" w:cs="Times New Roman"/>
          <w:lang w:val="en-US"/>
        </w:rPr>
      </w:pPr>
      <w:proofErr w:type="spellStart"/>
      <w:r w:rsidRPr="004272B3">
        <w:rPr>
          <w:rFonts w:ascii="Times New Roman" w:hAnsi="Times New Roman" w:cs="Times New Roman"/>
          <w:lang w:val="en-US"/>
        </w:rPr>
        <w:t>Yamawaki</w:t>
      </w:r>
      <w:proofErr w:type="spellEnd"/>
      <w:r w:rsidRPr="004272B3">
        <w:rPr>
          <w:rFonts w:ascii="Times New Roman" w:hAnsi="Times New Roman" w:cs="Times New Roman"/>
          <w:lang w:val="en-US"/>
        </w:rPr>
        <w:t xml:space="preserve">, K., Ishitsuka, K., Suyama, S., Suzumura, S., Yamashita, H., &amp; </w:t>
      </w:r>
      <w:proofErr w:type="spellStart"/>
      <w:r w:rsidRPr="004272B3">
        <w:rPr>
          <w:rFonts w:ascii="Times New Roman" w:hAnsi="Times New Roman" w:cs="Times New Roman"/>
          <w:lang w:val="en-US"/>
        </w:rPr>
        <w:t>Kanba</w:t>
      </w:r>
      <w:proofErr w:type="spellEnd"/>
      <w:r w:rsidRPr="004272B3">
        <w:rPr>
          <w:rFonts w:ascii="Times New Roman" w:hAnsi="Times New Roman" w:cs="Times New Roman"/>
          <w:lang w:val="en-US"/>
        </w:rPr>
        <w:t>, S. (2020). Clinical characteristics of boys with comorbid autism spectrum disorder and attention deficit/hyperactivity disorder. </w:t>
      </w:r>
      <w:r w:rsidRPr="004272B3">
        <w:rPr>
          <w:rFonts w:ascii="Times New Roman" w:hAnsi="Times New Roman" w:cs="Times New Roman"/>
          <w:i/>
          <w:iCs/>
          <w:lang w:val="en-US"/>
        </w:rPr>
        <w:t>Pediatrics International,</w:t>
      </w:r>
      <w:r w:rsidRPr="004272B3">
        <w:rPr>
          <w:rFonts w:ascii="Times New Roman" w:hAnsi="Times New Roman" w:cs="Times New Roman"/>
          <w:lang w:val="en-US"/>
        </w:rPr>
        <w:t xml:space="preserve"> 62: 151–157. </w:t>
      </w:r>
      <w:proofErr w:type="spellStart"/>
      <w:r w:rsidRPr="004272B3">
        <w:rPr>
          <w:rFonts w:ascii="Times New Roman" w:hAnsi="Times New Roman" w:cs="Times New Roman"/>
          <w:lang w:val="en-US"/>
        </w:rPr>
        <w:t>doi</w:t>
      </w:r>
      <w:proofErr w:type="spellEnd"/>
      <w:r w:rsidRPr="004272B3">
        <w:rPr>
          <w:rFonts w:ascii="Times New Roman" w:hAnsi="Times New Roman" w:cs="Times New Roman"/>
          <w:lang w:val="en-US"/>
        </w:rPr>
        <w:t>: 10.1111/ped.14105</w:t>
      </w:r>
    </w:p>
    <w:p w14:paraId="18CD8F55" w14:textId="77777777" w:rsidR="00846BBC" w:rsidRPr="004272B3" w:rsidRDefault="00846BBC" w:rsidP="00846BBC">
      <w:pPr>
        <w:widowControl w:val="0"/>
        <w:autoSpaceDE w:val="0"/>
        <w:autoSpaceDN w:val="0"/>
        <w:adjustRightInd w:val="0"/>
        <w:spacing w:line="480" w:lineRule="auto"/>
        <w:ind w:left="567" w:hanging="567"/>
        <w:rPr>
          <w:rFonts w:ascii="Times New Roman" w:hAnsi="Times New Roman" w:cs="Times New Roman"/>
          <w:lang w:val="en-US"/>
        </w:rPr>
      </w:pPr>
      <w:proofErr w:type="spellStart"/>
      <w:r w:rsidRPr="004272B3">
        <w:rPr>
          <w:rFonts w:ascii="Times New Roman" w:hAnsi="Times New Roman" w:cs="Times New Roman"/>
          <w:lang w:val="en-US"/>
        </w:rPr>
        <w:lastRenderedPageBreak/>
        <w:t>Yerys</w:t>
      </w:r>
      <w:proofErr w:type="spellEnd"/>
      <w:r w:rsidRPr="004272B3">
        <w:rPr>
          <w:rFonts w:ascii="Times New Roman" w:hAnsi="Times New Roman" w:cs="Times New Roman"/>
          <w:lang w:val="en-US"/>
        </w:rPr>
        <w:t xml:space="preserve">, B.E. (2020). Attention deficit hyperactivity disorder in autism spectrum disorder: A high risk co-occurring condition. In S.W. White, B.M. Maddox and C.A. </w:t>
      </w:r>
      <w:proofErr w:type="spellStart"/>
      <w:r w:rsidRPr="004272B3">
        <w:rPr>
          <w:rFonts w:ascii="Times New Roman" w:hAnsi="Times New Roman" w:cs="Times New Roman"/>
          <w:lang w:val="en-US"/>
        </w:rPr>
        <w:t>Mazefsky</w:t>
      </w:r>
      <w:proofErr w:type="spellEnd"/>
      <w:r w:rsidRPr="004272B3">
        <w:rPr>
          <w:rFonts w:ascii="Times New Roman" w:hAnsi="Times New Roman" w:cs="Times New Roman"/>
          <w:lang w:val="en-US"/>
        </w:rPr>
        <w:t xml:space="preserve"> (Eds) </w:t>
      </w:r>
      <w:r w:rsidRPr="004272B3">
        <w:rPr>
          <w:rFonts w:ascii="Times New Roman" w:hAnsi="Times New Roman" w:cs="Times New Roman"/>
          <w:i/>
          <w:lang w:val="en-US"/>
        </w:rPr>
        <w:t>The Oxford handbook of autism and co-occurring psychiatric conditions</w:t>
      </w:r>
      <w:r w:rsidRPr="004272B3">
        <w:rPr>
          <w:rFonts w:ascii="Times New Roman" w:hAnsi="Times New Roman" w:cs="Times New Roman"/>
          <w:lang w:val="en-US"/>
        </w:rPr>
        <w:t xml:space="preserve">. Oxford Library of Psychology Series 2020 </w:t>
      </w:r>
      <w:proofErr w:type="spellStart"/>
      <w:r w:rsidRPr="004272B3">
        <w:rPr>
          <w:rFonts w:ascii="Times New Roman" w:hAnsi="Times New Roman" w:cs="Times New Roman"/>
          <w:lang w:val="en-US"/>
        </w:rPr>
        <w:t>doi</w:t>
      </w:r>
      <w:proofErr w:type="spellEnd"/>
      <w:r w:rsidRPr="004272B3">
        <w:rPr>
          <w:rFonts w:ascii="Times New Roman" w:hAnsi="Times New Roman" w:cs="Times New Roman"/>
          <w:lang w:val="en-US"/>
        </w:rPr>
        <w:t>: 10.1093/</w:t>
      </w:r>
      <w:proofErr w:type="spellStart"/>
      <w:r w:rsidRPr="004272B3">
        <w:rPr>
          <w:rFonts w:ascii="Times New Roman" w:hAnsi="Times New Roman" w:cs="Times New Roman"/>
          <w:lang w:val="en-US"/>
        </w:rPr>
        <w:t>oxfordhb</w:t>
      </w:r>
      <w:proofErr w:type="spellEnd"/>
      <w:r w:rsidRPr="004272B3">
        <w:rPr>
          <w:rFonts w:ascii="Times New Roman" w:hAnsi="Times New Roman" w:cs="Times New Roman"/>
          <w:lang w:val="en-US"/>
        </w:rPr>
        <w:t>/ 9780190910761.001.000</w:t>
      </w:r>
    </w:p>
    <w:p w14:paraId="21007A23" w14:textId="77777777" w:rsidR="00846BBC" w:rsidRPr="004272B3" w:rsidRDefault="00846BBC" w:rsidP="00846BBC">
      <w:pPr>
        <w:widowControl w:val="0"/>
        <w:autoSpaceDE w:val="0"/>
        <w:autoSpaceDN w:val="0"/>
        <w:adjustRightInd w:val="0"/>
        <w:spacing w:line="480" w:lineRule="auto"/>
        <w:ind w:left="567" w:hanging="567"/>
        <w:rPr>
          <w:rFonts w:ascii="Times New Roman" w:hAnsi="Times New Roman" w:cs="Times New Roman"/>
          <w:lang w:val="en-US"/>
        </w:rPr>
      </w:pPr>
    </w:p>
    <w:p w14:paraId="2A5A446B" w14:textId="77777777" w:rsidR="00846BBC" w:rsidRPr="004272B3" w:rsidRDefault="00846BBC" w:rsidP="00846BBC">
      <w:pPr>
        <w:spacing w:line="276" w:lineRule="auto"/>
        <w:rPr>
          <w:rFonts w:ascii="Times New Roman" w:hAnsi="Times New Roman" w:cs="Times New Roman"/>
          <w:lang w:val="en-US"/>
        </w:rPr>
      </w:pPr>
    </w:p>
    <w:p w14:paraId="63FF7D15" w14:textId="77777777" w:rsidR="00846BBC" w:rsidRPr="004272B3" w:rsidRDefault="00846BBC" w:rsidP="00846BBC">
      <w:pPr>
        <w:rPr>
          <w:lang w:val="en-US"/>
        </w:rPr>
      </w:pPr>
    </w:p>
    <w:p w14:paraId="5B6E8204" w14:textId="77777777" w:rsidR="00846BBC" w:rsidRPr="004272B3" w:rsidRDefault="00846BBC" w:rsidP="00846BBC">
      <w:pPr>
        <w:rPr>
          <w:lang w:val="en-US"/>
        </w:rPr>
      </w:pPr>
    </w:p>
    <w:p w14:paraId="397EC92B" w14:textId="77777777" w:rsidR="00846BBC" w:rsidRPr="004272B3" w:rsidRDefault="00846BBC" w:rsidP="00846BBC">
      <w:pPr>
        <w:rPr>
          <w:lang w:val="en-US"/>
        </w:rPr>
      </w:pPr>
    </w:p>
    <w:p w14:paraId="4FF837CF" w14:textId="77777777" w:rsidR="00846BBC" w:rsidRPr="004272B3" w:rsidRDefault="00846BBC" w:rsidP="00846BBC">
      <w:pPr>
        <w:rPr>
          <w:lang w:val="en-US"/>
        </w:rPr>
      </w:pPr>
    </w:p>
    <w:p w14:paraId="0081DB17" w14:textId="77777777" w:rsidR="00846BBC" w:rsidRPr="004272B3" w:rsidRDefault="00846BBC" w:rsidP="00846BBC">
      <w:pPr>
        <w:rPr>
          <w:lang w:val="en-US"/>
        </w:rPr>
      </w:pPr>
    </w:p>
    <w:p w14:paraId="10BEC17F" w14:textId="77777777" w:rsidR="00846BBC" w:rsidRPr="004272B3" w:rsidRDefault="00846BBC" w:rsidP="00846BBC">
      <w:pPr>
        <w:rPr>
          <w:lang w:val="en-US"/>
        </w:rPr>
      </w:pPr>
    </w:p>
    <w:p w14:paraId="0111EB33" w14:textId="77777777" w:rsidR="00846BBC" w:rsidRPr="004272B3" w:rsidRDefault="00846BBC" w:rsidP="00846BBC">
      <w:pPr>
        <w:rPr>
          <w:lang w:val="en-US"/>
        </w:rPr>
      </w:pPr>
    </w:p>
    <w:p w14:paraId="2778BC23" w14:textId="77777777" w:rsidR="00846BBC" w:rsidRPr="004272B3" w:rsidRDefault="00846BBC" w:rsidP="00846BBC">
      <w:pPr>
        <w:rPr>
          <w:lang w:val="en-US"/>
        </w:rPr>
      </w:pPr>
    </w:p>
    <w:p w14:paraId="5DD65A2D" w14:textId="77777777" w:rsidR="00846BBC" w:rsidRPr="004272B3" w:rsidRDefault="00846BBC" w:rsidP="00846BBC">
      <w:pPr>
        <w:rPr>
          <w:lang w:val="en-US"/>
        </w:rPr>
      </w:pPr>
    </w:p>
    <w:p w14:paraId="034E5AAD" w14:textId="77777777" w:rsidR="00846BBC" w:rsidRPr="004272B3" w:rsidRDefault="00846BBC" w:rsidP="00846BBC">
      <w:pPr>
        <w:rPr>
          <w:lang w:val="en-US"/>
        </w:rPr>
      </w:pPr>
    </w:p>
    <w:p w14:paraId="6FF948A8" w14:textId="77777777" w:rsidR="00846BBC" w:rsidRPr="004272B3" w:rsidRDefault="00846BBC" w:rsidP="00846BBC">
      <w:pPr>
        <w:rPr>
          <w:lang w:val="en-US"/>
        </w:rPr>
      </w:pPr>
    </w:p>
    <w:p w14:paraId="49653C82" w14:textId="77777777" w:rsidR="00846BBC" w:rsidRPr="004272B3" w:rsidRDefault="00846BBC" w:rsidP="00846BBC">
      <w:pPr>
        <w:rPr>
          <w:lang w:val="en-US"/>
        </w:rPr>
      </w:pPr>
    </w:p>
    <w:p w14:paraId="4BCF3226" w14:textId="1F1B5743" w:rsidR="00846BBC" w:rsidRPr="004272B3" w:rsidRDefault="00846BBC" w:rsidP="00846BBC">
      <w:pPr>
        <w:rPr>
          <w:lang w:val="en-US"/>
        </w:rPr>
      </w:pPr>
    </w:p>
    <w:p w14:paraId="76EF6FE4" w14:textId="5AA473C4" w:rsidR="00A6477A" w:rsidRPr="004272B3" w:rsidRDefault="00A6477A" w:rsidP="00846BBC">
      <w:pPr>
        <w:rPr>
          <w:lang w:val="en-US"/>
        </w:rPr>
      </w:pPr>
    </w:p>
    <w:p w14:paraId="71F9FC71" w14:textId="1E567DE1" w:rsidR="00A6477A" w:rsidRPr="004272B3" w:rsidRDefault="00A6477A" w:rsidP="00846BBC">
      <w:pPr>
        <w:rPr>
          <w:lang w:val="en-US"/>
        </w:rPr>
      </w:pPr>
    </w:p>
    <w:p w14:paraId="7727D9E8" w14:textId="4EDF89D3" w:rsidR="00A6477A" w:rsidRPr="004272B3" w:rsidRDefault="00A6477A" w:rsidP="00846BBC">
      <w:pPr>
        <w:rPr>
          <w:lang w:val="en-US"/>
        </w:rPr>
      </w:pPr>
    </w:p>
    <w:p w14:paraId="70B736E5" w14:textId="77777777" w:rsidR="00A6477A" w:rsidRPr="004272B3" w:rsidRDefault="00A6477A" w:rsidP="00846BBC">
      <w:pPr>
        <w:rPr>
          <w:lang w:val="en-US"/>
        </w:rPr>
      </w:pPr>
    </w:p>
    <w:p w14:paraId="66C3BD5C" w14:textId="77777777" w:rsidR="00846BBC" w:rsidRPr="004272B3" w:rsidRDefault="00846BBC" w:rsidP="00846BBC">
      <w:pPr>
        <w:rPr>
          <w:lang w:val="en-US"/>
        </w:rPr>
      </w:pPr>
    </w:p>
    <w:p w14:paraId="187479D0" w14:textId="77777777" w:rsidR="00DF581D" w:rsidRPr="004272B3" w:rsidRDefault="00DF581D" w:rsidP="00846BBC">
      <w:pPr>
        <w:rPr>
          <w:lang w:val="en-US"/>
        </w:rPr>
      </w:pPr>
    </w:p>
    <w:p w14:paraId="6F4BAEFE" w14:textId="45853E9C" w:rsidR="00AD4C48" w:rsidRPr="004272B3" w:rsidRDefault="00AD4C48" w:rsidP="00846BBC">
      <w:pPr>
        <w:rPr>
          <w:lang w:val="en-US"/>
        </w:rPr>
      </w:pPr>
    </w:p>
    <w:p w14:paraId="23BFB5B9" w14:textId="0CAB45E3" w:rsidR="00AD4C48" w:rsidRPr="004272B3" w:rsidRDefault="00AD4C48" w:rsidP="00846BBC">
      <w:pPr>
        <w:rPr>
          <w:lang w:val="en-US"/>
        </w:rPr>
      </w:pPr>
    </w:p>
    <w:p w14:paraId="21A4DA7A" w14:textId="4C5E38F6" w:rsidR="00AD4C48" w:rsidRPr="004272B3" w:rsidRDefault="00AD4C48" w:rsidP="00846BBC">
      <w:pPr>
        <w:rPr>
          <w:lang w:val="en-US"/>
        </w:rPr>
      </w:pPr>
    </w:p>
    <w:p w14:paraId="55BC0983" w14:textId="77777777" w:rsidR="00AD4C48" w:rsidRPr="004272B3" w:rsidRDefault="00AD4C48" w:rsidP="00846BBC">
      <w:pPr>
        <w:rPr>
          <w:lang w:val="en-US"/>
        </w:rPr>
      </w:pPr>
    </w:p>
    <w:p w14:paraId="18982558" w14:textId="77777777" w:rsidR="00846BBC" w:rsidRPr="004272B3" w:rsidRDefault="00846BBC" w:rsidP="00846BBC">
      <w:pPr>
        <w:rPr>
          <w:lang w:val="en-US"/>
        </w:rPr>
      </w:pPr>
    </w:p>
    <w:p w14:paraId="5D0F64FE" w14:textId="10B53D9A" w:rsidR="00846BBC" w:rsidRPr="004272B3" w:rsidRDefault="00846BBC" w:rsidP="00846BBC">
      <w:pPr>
        <w:rPr>
          <w:rFonts w:ascii="Times New Roman" w:hAnsi="Times New Roman" w:cs="Times New Roman"/>
          <w:lang w:val="en-US"/>
        </w:rPr>
      </w:pPr>
      <w:r w:rsidRPr="004272B3">
        <w:rPr>
          <w:rFonts w:ascii="Times New Roman" w:hAnsi="Times New Roman" w:cs="Times New Roman"/>
          <w:b/>
          <w:lang w:val="en-US"/>
        </w:rPr>
        <w:lastRenderedPageBreak/>
        <w:t>Table 1.</w:t>
      </w:r>
      <w:r w:rsidRPr="004272B3">
        <w:rPr>
          <w:rFonts w:ascii="Times New Roman" w:hAnsi="Times New Roman" w:cs="Times New Roman"/>
          <w:lang w:val="en-US"/>
        </w:rPr>
        <w:t xml:space="preserve"> Sociodemographic da</w:t>
      </w:r>
      <w:r w:rsidR="006D6C62" w:rsidRPr="004272B3">
        <w:rPr>
          <w:rFonts w:ascii="Times New Roman" w:hAnsi="Times New Roman" w:cs="Times New Roman"/>
          <w:lang w:val="en-US"/>
        </w:rPr>
        <w:t>ta</w:t>
      </w:r>
    </w:p>
    <w:tbl>
      <w:tblPr>
        <w:tblpPr w:leftFromText="141" w:rightFromText="141" w:vertAnchor="page" w:horzAnchor="margin" w:tblpY="2011"/>
        <w:tblW w:w="7796" w:type="dxa"/>
        <w:tblBorders>
          <w:top w:val="single" w:sz="4" w:space="0" w:color="000000"/>
          <w:bottom w:val="single" w:sz="4" w:space="0" w:color="000000"/>
          <w:insideH w:val="single" w:sz="4" w:space="0" w:color="000000"/>
        </w:tblBorders>
        <w:tblCellMar>
          <w:left w:w="113" w:type="dxa"/>
        </w:tblCellMar>
        <w:tblLook w:val="04A0" w:firstRow="1" w:lastRow="0" w:firstColumn="1" w:lastColumn="0" w:noHBand="0" w:noVBand="1"/>
      </w:tblPr>
      <w:tblGrid>
        <w:gridCol w:w="2027"/>
        <w:gridCol w:w="1433"/>
        <w:gridCol w:w="1501"/>
        <w:gridCol w:w="1418"/>
        <w:gridCol w:w="1417"/>
      </w:tblGrid>
      <w:tr w:rsidR="004272B3" w:rsidRPr="004272B3" w14:paraId="708861E1" w14:textId="77777777" w:rsidTr="00DF581D">
        <w:trPr>
          <w:trHeight w:val="538"/>
        </w:trPr>
        <w:tc>
          <w:tcPr>
            <w:tcW w:w="2027" w:type="dxa"/>
            <w:tcBorders>
              <w:top w:val="double" w:sz="4" w:space="0" w:color="000000"/>
              <w:bottom w:val="single" w:sz="4" w:space="0" w:color="auto"/>
            </w:tcBorders>
            <w:shd w:val="clear" w:color="auto" w:fill="auto"/>
            <w:vAlign w:val="center"/>
          </w:tcPr>
          <w:p w14:paraId="58BCE45A" w14:textId="77777777" w:rsidR="00AD4C48" w:rsidRPr="004272B3" w:rsidRDefault="00AD4C48" w:rsidP="00AD4C48">
            <w:pPr>
              <w:suppressAutoHyphens/>
              <w:spacing w:before="120" w:line="360" w:lineRule="auto"/>
              <w:textAlignment w:val="baseline"/>
              <w:rPr>
                <w:rFonts w:ascii="Times New Roman" w:eastAsia="SimSun" w:hAnsi="Times New Roman" w:cs="Times New Roman"/>
                <w:sz w:val="16"/>
                <w:szCs w:val="16"/>
                <w:lang w:val="en-US"/>
              </w:rPr>
            </w:pPr>
          </w:p>
        </w:tc>
        <w:tc>
          <w:tcPr>
            <w:tcW w:w="2934" w:type="dxa"/>
            <w:gridSpan w:val="2"/>
            <w:tcBorders>
              <w:top w:val="double" w:sz="4" w:space="0" w:color="000000"/>
              <w:bottom w:val="single" w:sz="4" w:space="0" w:color="000000"/>
            </w:tcBorders>
            <w:shd w:val="clear" w:color="auto" w:fill="auto"/>
            <w:vAlign w:val="center"/>
          </w:tcPr>
          <w:p w14:paraId="619133D3" w14:textId="77777777" w:rsidR="00AD4C48" w:rsidRPr="004272B3" w:rsidRDefault="00AD4C48" w:rsidP="00AD4C48">
            <w:pPr>
              <w:suppressAutoHyphens/>
              <w:spacing w:before="120" w:line="360" w:lineRule="auto"/>
              <w:jc w:val="center"/>
              <w:textAlignment w:val="baseline"/>
              <w:rPr>
                <w:rFonts w:ascii="Times New Roman" w:eastAsia="SimSun" w:hAnsi="Times New Roman" w:cs="Times New Roman"/>
                <w:sz w:val="20"/>
                <w:szCs w:val="20"/>
              </w:rPr>
            </w:pPr>
            <w:r w:rsidRPr="004272B3">
              <w:rPr>
                <w:rFonts w:ascii="Times New Roman" w:eastAsia="SimSun" w:hAnsi="Times New Roman" w:cs="Times New Roman"/>
                <w:sz w:val="20"/>
                <w:szCs w:val="20"/>
              </w:rPr>
              <w:t>T1</w:t>
            </w:r>
          </w:p>
        </w:tc>
        <w:tc>
          <w:tcPr>
            <w:tcW w:w="2835" w:type="dxa"/>
            <w:gridSpan w:val="2"/>
            <w:tcBorders>
              <w:top w:val="double" w:sz="4" w:space="0" w:color="000000"/>
              <w:bottom w:val="single" w:sz="4" w:space="0" w:color="000000"/>
            </w:tcBorders>
          </w:tcPr>
          <w:p w14:paraId="1A7E0B68" w14:textId="77777777" w:rsidR="00AD4C48" w:rsidRPr="004272B3" w:rsidRDefault="00AD4C48" w:rsidP="00AD4C48">
            <w:pPr>
              <w:suppressAutoHyphens/>
              <w:spacing w:before="120" w:line="360" w:lineRule="auto"/>
              <w:jc w:val="center"/>
              <w:textAlignment w:val="baseline"/>
              <w:rPr>
                <w:rFonts w:ascii="Times New Roman" w:eastAsia="SimSun" w:hAnsi="Times New Roman" w:cs="Times New Roman"/>
                <w:sz w:val="20"/>
                <w:szCs w:val="20"/>
              </w:rPr>
            </w:pPr>
            <w:r w:rsidRPr="004272B3">
              <w:rPr>
                <w:rFonts w:ascii="Times New Roman" w:eastAsia="SimSun" w:hAnsi="Times New Roman" w:cs="Times New Roman"/>
                <w:sz w:val="20"/>
                <w:szCs w:val="20"/>
              </w:rPr>
              <w:t>T2</w:t>
            </w:r>
          </w:p>
        </w:tc>
      </w:tr>
      <w:tr w:rsidR="004272B3" w:rsidRPr="004272B3" w14:paraId="73DA6B83" w14:textId="77777777" w:rsidTr="00AD4C48">
        <w:trPr>
          <w:trHeight w:val="510"/>
        </w:trPr>
        <w:tc>
          <w:tcPr>
            <w:tcW w:w="2027" w:type="dxa"/>
            <w:tcBorders>
              <w:top w:val="single" w:sz="4" w:space="0" w:color="000000"/>
              <w:bottom w:val="single" w:sz="4" w:space="0" w:color="auto"/>
            </w:tcBorders>
            <w:shd w:val="clear" w:color="auto" w:fill="auto"/>
            <w:vAlign w:val="center"/>
          </w:tcPr>
          <w:p w14:paraId="3B1FF16B" w14:textId="77777777" w:rsidR="00AD4C48" w:rsidRPr="004272B3" w:rsidRDefault="00AD4C48" w:rsidP="00AD4C48">
            <w:pPr>
              <w:suppressAutoHyphens/>
              <w:spacing w:before="120" w:line="360" w:lineRule="auto"/>
              <w:textAlignment w:val="baseline"/>
              <w:rPr>
                <w:rFonts w:ascii="Times New Roman" w:eastAsia="SimSun" w:hAnsi="Times New Roman" w:cs="Times New Roman"/>
                <w:sz w:val="20"/>
                <w:szCs w:val="20"/>
              </w:rPr>
            </w:pPr>
          </w:p>
        </w:tc>
        <w:tc>
          <w:tcPr>
            <w:tcW w:w="1433" w:type="dxa"/>
            <w:tcBorders>
              <w:top w:val="single" w:sz="4" w:space="0" w:color="000000"/>
              <w:bottom w:val="single" w:sz="4" w:space="0" w:color="000000"/>
            </w:tcBorders>
            <w:shd w:val="clear" w:color="auto" w:fill="auto"/>
            <w:vAlign w:val="center"/>
          </w:tcPr>
          <w:p w14:paraId="537D794D" w14:textId="77777777" w:rsidR="00AD4C48" w:rsidRPr="004272B3" w:rsidRDefault="00AD4C48" w:rsidP="00AD4C48">
            <w:pPr>
              <w:suppressAutoHyphens/>
              <w:spacing w:before="120" w:line="360" w:lineRule="auto"/>
              <w:jc w:val="center"/>
              <w:textAlignment w:val="baseline"/>
              <w:rPr>
                <w:rFonts w:ascii="Times New Roman" w:eastAsia="SimSun" w:hAnsi="Times New Roman" w:cs="Times New Roman"/>
                <w:sz w:val="20"/>
                <w:szCs w:val="20"/>
              </w:rPr>
            </w:pPr>
            <w:r w:rsidRPr="004272B3">
              <w:rPr>
                <w:rFonts w:ascii="Times New Roman" w:eastAsia="SimSun" w:hAnsi="Times New Roman" w:cs="Times New Roman"/>
                <w:sz w:val="20"/>
                <w:szCs w:val="20"/>
              </w:rPr>
              <w:t>ASD- (N=30)</w:t>
            </w:r>
          </w:p>
        </w:tc>
        <w:tc>
          <w:tcPr>
            <w:tcW w:w="1501" w:type="dxa"/>
            <w:tcBorders>
              <w:top w:val="single" w:sz="4" w:space="0" w:color="000000"/>
              <w:bottom w:val="single" w:sz="4" w:space="0" w:color="000000"/>
            </w:tcBorders>
            <w:shd w:val="clear" w:color="auto" w:fill="auto"/>
            <w:vAlign w:val="center"/>
          </w:tcPr>
          <w:p w14:paraId="0FA35A3D" w14:textId="77777777" w:rsidR="00AD4C48" w:rsidRPr="004272B3" w:rsidRDefault="00AD4C48" w:rsidP="00AD4C48">
            <w:pPr>
              <w:suppressAutoHyphens/>
              <w:spacing w:before="120" w:line="360" w:lineRule="auto"/>
              <w:jc w:val="center"/>
              <w:textAlignment w:val="baseline"/>
              <w:rPr>
                <w:rFonts w:ascii="Times New Roman" w:eastAsia="SimSun" w:hAnsi="Times New Roman" w:cs="Times New Roman"/>
                <w:sz w:val="20"/>
                <w:szCs w:val="20"/>
              </w:rPr>
            </w:pPr>
            <w:r w:rsidRPr="004272B3">
              <w:rPr>
                <w:rFonts w:ascii="Times New Roman" w:eastAsia="SimSun" w:hAnsi="Times New Roman" w:cs="Times New Roman"/>
                <w:sz w:val="20"/>
                <w:szCs w:val="20"/>
              </w:rPr>
              <w:t>ASD+ (N=22)</w:t>
            </w:r>
          </w:p>
        </w:tc>
        <w:tc>
          <w:tcPr>
            <w:tcW w:w="1418" w:type="dxa"/>
            <w:tcBorders>
              <w:top w:val="single" w:sz="4" w:space="0" w:color="000000"/>
              <w:bottom w:val="single" w:sz="4" w:space="0" w:color="000000"/>
            </w:tcBorders>
          </w:tcPr>
          <w:p w14:paraId="08C992C8" w14:textId="77777777" w:rsidR="00AD4C48" w:rsidRPr="004272B3" w:rsidRDefault="00AD4C48" w:rsidP="00AD4C48">
            <w:pPr>
              <w:suppressAutoHyphens/>
              <w:spacing w:before="120" w:line="360" w:lineRule="auto"/>
              <w:jc w:val="center"/>
              <w:textAlignment w:val="baseline"/>
              <w:rPr>
                <w:rFonts w:ascii="Times New Roman" w:eastAsia="SimSun" w:hAnsi="Times New Roman" w:cs="Times New Roman"/>
                <w:sz w:val="20"/>
                <w:szCs w:val="20"/>
              </w:rPr>
            </w:pPr>
            <w:r w:rsidRPr="004272B3">
              <w:rPr>
                <w:rFonts w:ascii="Times New Roman" w:eastAsia="SimSun" w:hAnsi="Times New Roman" w:cs="Times New Roman"/>
                <w:sz w:val="20"/>
                <w:szCs w:val="20"/>
              </w:rPr>
              <w:t>ASD- (N=26)</w:t>
            </w:r>
          </w:p>
        </w:tc>
        <w:tc>
          <w:tcPr>
            <w:tcW w:w="1417" w:type="dxa"/>
            <w:tcBorders>
              <w:top w:val="single" w:sz="4" w:space="0" w:color="000000"/>
              <w:bottom w:val="single" w:sz="4" w:space="0" w:color="000000"/>
            </w:tcBorders>
          </w:tcPr>
          <w:p w14:paraId="3810B41C" w14:textId="77777777" w:rsidR="00AD4C48" w:rsidRPr="004272B3" w:rsidRDefault="00AD4C48" w:rsidP="00AD4C48">
            <w:pPr>
              <w:suppressAutoHyphens/>
              <w:spacing w:before="120" w:line="360" w:lineRule="auto"/>
              <w:jc w:val="center"/>
              <w:textAlignment w:val="baseline"/>
              <w:rPr>
                <w:rFonts w:ascii="Times New Roman" w:eastAsia="SimSun" w:hAnsi="Times New Roman" w:cs="Times New Roman"/>
                <w:sz w:val="20"/>
                <w:szCs w:val="20"/>
              </w:rPr>
            </w:pPr>
            <w:r w:rsidRPr="004272B3">
              <w:rPr>
                <w:rFonts w:ascii="Times New Roman" w:eastAsia="SimSun" w:hAnsi="Times New Roman" w:cs="Times New Roman"/>
                <w:sz w:val="20"/>
                <w:szCs w:val="20"/>
              </w:rPr>
              <w:t>ASD+ (N=19)</w:t>
            </w:r>
          </w:p>
        </w:tc>
      </w:tr>
      <w:tr w:rsidR="004272B3" w:rsidRPr="004272B3" w14:paraId="4120EDE1" w14:textId="77777777" w:rsidTr="00AD4C48">
        <w:trPr>
          <w:trHeight w:val="326"/>
        </w:trPr>
        <w:tc>
          <w:tcPr>
            <w:tcW w:w="2027" w:type="dxa"/>
            <w:tcBorders>
              <w:top w:val="single" w:sz="4" w:space="0" w:color="auto"/>
              <w:bottom w:val="single" w:sz="4" w:space="0" w:color="000000"/>
            </w:tcBorders>
            <w:shd w:val="clear" w:color="auto" w:fill="auto"/>
            <w:vAlign w:val="center"/>
          </w:tcPr>
          <w:p w14:paraId="1D5B7C86" w14:textId="77777777" w:rsidR="00AD4C48" w:rsidRPr="004272B3" w:rsidRDefault="00AD4C48" w:rsidP="00AD4C48">
            <w:pPr>
              <w:suppressAutoHyphens/>
              <w:spacing w:before="120" w:line="360" w:lineRule="auto"/>
              <w:textAlignment w:val="baseline"/>
              <w:rPr>
                <w:rFonts w:ascii="Times New Roman" w:eastAsia="SimSun" w:hAnsi="Times New Roman" w:cs="Times New Roman"/>
                <w:sz w:val="20"/>
                <w:szCs w:val="20"/>
              </w:rPr>
            </w:pPr>
          </w:p>
        </w:tc>
        <w:tc>
          <w:tcPr>
            <w:tcW w:w="1433" w:type="dxa"/>
            <w:tcBorders>
              <w:top w:val="single" w:sz="4" w:space="0" w:color="000000"/>
              <w:bottom w:val="single" w:sz="4" w:space="0" w:color="000000"/>
            </w:tcBorders>
            <w:shd w:val="clear" w:color="auto" w:fill="auto"/>
            <w:vAlign w:val="center"/>
          </w:tcPr>
          <w:p w14:paraId="59C4E4F0" w14:textId="77777777" w:rsidR="00AD4C48" w:rsidRPr="004272B3" w:rsidRDefault="00AD4C48" w:rsidP="00AD4C48">
            <w:pPr>
              <w:suppressAutoHyphens/>
              <w:spacing w:before="120" w:line="360" w:lineRule="auto"/>
              <w:jc w:val="center"/>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M (SD)</w:t>
            </w:r>
          </w:p>
        </w:tc>
        <w:tc>
          <w:tcPr>
            <w:tcW w:w="1501" w:type="dxa"/>
            <w:tcBorders>
              <w:top w:val="single" w:sz="4" w:space="0" w:color="000000"/>
              <w:bottom w:val="single" w:sz="4" w:space="0" w:color="000000"/>
            </w:tcBorders>
            <w:shd w:val="clear" w:color="auto" w:fill="auto"/>
            <w:vAlign w:val="center"/>
          </w:tcPr>
          <w:p w14:paraId="718FB73B" w14:textId="77777777" w:rsidR="00AD4C48" w:rsidRPr="004272B3" w:rsidRDefault="00AD4C48" w:rsidP="00AD4C48">
            <w:pPr>
              <w:suppressAutoHyphens/>
              <w:spacing w:before="120" w:line="360" w:lineRule="auto"/>
              <w:jc w:val="center"/>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M (SD)</w:t>
            </w:r>
          </w:p>
        </w:tc>
        <w:tc>
          <w:tcPr>
            <w:tcW w:w="1418" w:type="dxa"/>
            <w:tcBorders>
              <w:top w:val="single" w:sz="4" w:space="0" w:color="000000"/>
              <w:bottom w:val="single" w:sz="4" w:space="0" w:color="000000"/>
            </w:tcBorders>
          </w:tcPr>
          <w:p w14:paraId="31754FCA" w14:textId="77777777" w:rsidR="00AD4C48" w:rsidRPr="004272B3" w:rsidRDefault="00AD4C48" w:rsidP="00AD4C48">
            <w:pPr>
              <w:suppressAutoHyphens/>
              <w:spacing w:before="120" w:line="360" w:lineRule="auto"/>
              <w:jc w:val="center"/>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M (SD)</w:t>
            </w:r>
          </w:p>
        </w:tc>
        <w:tc>
          <w:tcPr>
            <w:tcW w:w="1417" w:type="dxa"/>
            <w:tcBorders>
              <w:top w:val="single" w:sz="4" w:space="0" w:color="000000"/>
              <w:bottom w:val="single" w:sz="4" w:space="0" w:color="000000"/>
            </w:tcBorders>
          </w:tcPr>
          <w:p w14:paraId="7C82CDDF" w14:textId="77777777" w:rsidR="00AD4C48" w:rsidRPr="004272B3" w:rsidRDefault="00AD4C48" w:rsidP="00AD4C48">
            <w:pPr>
              <w:suppressAutoHyphens/>
              <w:spacing w:before="120" w:line="360" w:lineRule="auto"/>
              <w:jc w:val="center"/>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M (SD)</w:t>
            </w:r>
          </w:p>
        </w:tc>
      </w:tr>
      <w:tr w:rsidR="004272B3" w:rsidRPr="004272B3" w14:paraId="2B7DD58B" w14:textId="77777777" w:rsidTr="00AD4C48">
        <w:trPr>
          <w:trHeight w:val="227"/>
        </w:trPr>
        <w:tc>
          <w:tcPr>
            <w:tcW w:w="2027" w:type="dxa"/>
            <w:tcBorders>
              <w:top w:val="single" w:sz="4" w:space="0" w:color="000000"/>
              <w:bottom w:val="nil"/>
            </w:tcBorders>
            <w:shd w:val="clear" w:color="auto" w:fill="auto"/>
            <w:vAlign w:val="center"/>
          </w:tcPr>
          <w:p w14:paraId="2752B2F9" w14:textId="77777777" w:rsidR="00AD4C48" w:rsidRPr="004272B3" w:rsidRDefault="00AD4C48" w:rsidP="00AD4C48">
            <w:pPr>
              <w:suppressAutoHyphens/>
              <w:spacing w:before="120" w:after="120"/>
              <w:textAlignment w:val="baseline"/>
              <w:rPr>
                <w:rFonts w:ascii="Times New Roman" w:eastAsia="Times New Roman" w:hAnsi="Times New Roman" w:cs="Times New Roman"/>
                <w:b/>
                <w:i/>
                <w:sz w:val="20"/>
                <w:szCs w:val="20"/>
              </w:rPr>
            </w:pPr>
            <w:r w:rsidRPr="004272B3">
              <w:rPr>
                <w:rFonts w:ascii="Times New Roman" w:eastAsia="Times New Roman" w:hAnsi="Times New Roman" w:cs="Times New Roman"/>
                <w:sz w:val="20"/>
                <w:szCs w:val="20"/>
              </w:rPr>
              <w:t>Age</w:t>
            </w:r>
          </w:p>
        </w:tc>
        <w:tc>
          <w:tcPr>
            <w:tcW w:w="1433" w:type="dxa"/>
            <w:tcBorders>
              <w:top w:val="single" w:sz="4" w:space="0" w:color="000000"/>
              <w:bottom w:val="nil"/>
            </w:tcBorders>
            <w:shd w:val="clear" w:color="auto" w:fill="auto"/>
            <w:vAlign w:val="center"/>
          </w:tcPr>
          <w:p w14:paraId="2AA8B2F4" w14:textId="77777777" w:rsidR="00AD4C48" w:rsidRPr="004272B3" w:rsidRDefault="00AD4C48" w:rsidP="00AD4C48">
            <w:pPr>
              <w:suppressAutoHyphens/>
              <w:spacing w:before="120" w:after="120"/>
              <w:jc w:val="center"/>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8.86 (1.43)</w:t>
            </w:r>
          </w:p>
        </w:tc>
        <w:tc>
          <w:tcPr>
            <w:tcW w:w="1501" w:type="dxa"/>
            <w:tcBorders>
              <w:top w:val="single" w:sz="4" w:space="0" w:color="000000"/>
              <w:bottom w:val="nil"/>
            </w:tcBorders>
            <w:shd w:val="clear" w:color="auto" w:fill="auto"/>
            <w:vAlign w:val="center"/>
          </w:tcPr>
          <w:p w14:paraId="24E612D5" w14:textId="77777777" w:rsidR="00AD4C48" w:rsidRPr="004272B3" w:rsidRDefault="00AD4C48" w:rsidP="00AD4C48">
            <w:pPr>
              <w:suppressAutoHyphens/>
              <w:spacing w:before="120" w:after="120"/>
              <w:jc w:val="center"/>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8.19 (1.25)</w:t>
            </w:r>
          </w:p>
        </w:tc>
        <w:tc>
          <w:tcPr>
            <w:tcW w:w="1418" w:type="dxa"/>
            <w:tcBorders>
              <w:top w:val="single" w:sz="4" w:space="0" w:color="000000"/>
              <w:bottom w:val="nil"/>
            </w:tcBorders>
          </w:tcPr>
          <w:p w14:paraId="296D4734" w14:textId="77777777" w:rsidR="00AD4C48" w:rsidRPr="004272B3" w:rsidRDefault="00AD4C48" w:rsidP="00AD4C48">
            <w:pPr>
              <w:suppressAutoHyphens/>
              <w:spacing w:before="120" w:after="120"/>
              <w:jc w:val="center"/>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12.50 (.94)</w:t>
            </w:r>
          </w:p>
        </w:tc>
        <w:tc>
          <w:tcPr>
            <w:tcW w:w="1417" w:type="dxa"/>
            <w:tcBorders>
              <w:top w:val="single" w:sz="4" w:space="0" w:color="000000"/>
              <w:bottom w:val="nil"/>
            </w:tcBorders>
          </w:tcPr>
          <w:p w14:paraId="605156DA" w14:textId="77777777" w:rsidR="00AD4C48" w:rsidRPr="004272B3" w:rsidRDefault="00AD4C48" w:rsidP="00AD4C48">
            <w:pPr>
              <w:suppressAutoHyphens/>
              <w:spacing w:before="120" w:after="120"/>
              <w:jc w:val="center"/>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12.68 (1.05)</w:t>
            </w:r>
          </w:p>
        </w:tc>
      </w:tr>
      <w:tr w:rsidR="004272B3" w:rsidRPr="004272B3" w14:paraId="488B342A" w14:textId="77777777" w:rsidTr="00AD4C48">
        <w:trPr>
          <w:trHeight w:val="227"/>
        </w:trPr>
        <w:tc>
          <w:tcPr>
            <w:tcW w:w="2027" w:type="dxa"/>
            <w:tcBorders>
              <w:top w:val="nil"/>
              <w:bottom w:val="nil"/>
            </w:tcBorders>
            <w:shd w:val="clear" w:color="auto" w:fill="auto"/>
            <w:vAlign w:val="center"/>
          </w:tcPr>
          <w:p w14:paraId="15760200" w14:textId="77777777" w:rsidR="00AD4C48" w:rsidRPr="004272B3" w:rsidRDefault="00AD4C48" w:rsidP="00AD4C48">
            <w:pPr>
              <w:suppressAutoHyphens/>
              <w:spacing w:before="120" w:after="120"/>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Males (%)</w:t>
            </w:r>
          </w:p>
        </w:tc>
        <w:tc>
          <w:tcPr>
            <w:tcW w:w="1433" w:type="dxa"/>
            <w:tcBorders>
              <w:top w:val="nil"/>
              <w:bottom w:val="nil"/>
            </w:tcBorders>
            <w:shd w:val="clear" w:color="auto" w:fill="auto"/>
            <w:vAlign w:val="center"/>
          </w:tcPr>
          <w:p w14:paraId="6B377EEF" w14:textId="77777777" w:rsidR="00AD4C48" w:rsidRPr="004272B3" w:rsidRDefault="00AD4C48" w:rsidP="00AD4C48">
            <w:pPr>
              <w:suppressAutoHyphens/>
              <w:spacing w:before="120" w:after="120"/>
              <w:jc w:val="center"/>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93.3%</w:t>
            </w:r>
          </w:p>
        </w:tc>
        <w:tc>
          <w:tcPr>
            <w:tcW w:w="1501" w:type="dxa"/>
            <w:tcBorders>
              <w:top w:val="nil"/>
              <w:bottom w:val="nil"/>
            </w:tcBorders>
            <w:shd w:val="clear" w:color="auto" w:fill="auto"/>
            <w:vAlign w:val="center"/>
          </w:tcPr>
          <w:p w14:paraId="4B0D74DC" w14:textId="77777777" w:rsidR="00AD4C48" w:rsidRPr="004272B3" w:rsidRDefault="00AD4C48" w:rsidP="00AD4C48">
            <w:pPr>
              <w:suppressAutoHyphens/>
              <w:spacing w:before="120" w:after="120"/>
              <w:jc w:val="center"/>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86.7%</w:t>
            </w:r>
          </w:p>
        </w:tc>
        <w:tc>
          <w:tcPr>
            <w:tcW w:w="1418" w:type="dxa"/>
            <w:tcBorders>
              <w:top w:val="nil"/>
              <w:bottom w:val="nil"/>
            </w:tcBorders>
          </w:tcPr>
          <w:p w14:paraId="5E48F443" w14:textId="77777777" w:rsidR="00AD4C48" w:rsidRPr="004272B3" w:rsidRDefault="00AD4C48" w:rsidP="00AD4C48">
            <w:pPr>
              <w:suppressAutoHyphens/>
              <w:spacing w:before="120" w:after="120"/>
              <w:jc w:val="center"/>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88.5%</w:t>
            </w:r>
          </w:p>
        </w:tc>
        <w:tc>
          <w:tcPr>
            <w:tcW w:w="1417" w:type="dxa"/>
            <w:tcBorders>
              <w:top w:val="nil"/>
              <w:bottom w:val="nil"/>
            </w:tcBorders>
          </w:tcPr>
          <w:p w14:paraId="2FCF8E19" w14:textId="77777777" w:rsidR="00AD4C48" w:rsidRPr="004272B3" w:rsidRDefault="00AD4C48" w:rsidP="00AD4C48">
            <w:pPr>
              <w:suppressAutoHyphens/>
              <w:spacing w:before="120" w:after="120"/>
              <w:jc w:val="center"/>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94.7%</w:t>
            </w:r>
          </w:p>
        </w:tc>
      </w:tr>
      <w:tr w:rsidR="004272B3" w:rsidRPr="004272B3" w14:paraId="6FD2E81A" w14:textId="77777777" w:rsidTr="00AD4C48">
        <w:trPr>
          <w:trHeight w:val="227"/>
        </w:trPr>
        <w:tc>
          <w:tcPr>
            <w:tcW w:w="2027" w:type="dxa"/>
            <w:tcBorders>
              <w:top w:val="nil"/>
              <w:bottom w:val="nil"/>
            </w:tcBorders>
            <w:shd w:val="clear" w:color="auto" w:fill="auto"/>
            <w:vAlign w:val="center"/>
          </w:tcPr>
          <w:p w14:paraId="1F5D1C5B" w14:textId="77777777" w:rsidR="00AD4C48" w:rsidRPr="004272B3" w:rsidRDefault="00AD4C48" w:rsidP="00AD4C48">
            <w:pPr>
              <w:suppressAutoHyphens/>
              <w:spacing w:before="120" w:after="120"/>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IQ</w:t>
            </w:r>
          </w:p>
        </w:tc>
        <w:tc>
          <w:tcPr>
            <w:tcW w:w="1433" w:type="dxa"/>
            <w:tcBorders>
              <w:top w:val="nil"/>
              <w:bottom w:val="nil"/>
            </w:tcBorders>
            <w:shd w:val="clear" w:color="auto" w:fill="auto"/>
            <w:vAlign w:val="center"/>
          </w:tcPr>
          <w:p w14:paraId="52159484" w14:textId="77777777" w:rsidR="00AD4C48" w:rsidRPr="004272B3" w:rsidRDefault="00AD4C48" w:rsidP="00AD4C48">
            <w:pPr>
              <w:suppressAutoHyphens/>
              <w:spacing w:before="120" w:after="120"/>
              <w:jc w:val="center"/>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100.37 (12.4)</w:t>
            </w:r>
          </w:p>
        </w:tc>
        <w:tc>
          <w:tcPr>
            <w:tcW w:w="1501" w:type="dxa"/>
            <w:tcBorders>
              <w:top w:val="nil"/>
              <w:bottom w:val="nil"/>
            </w:tcBorders>
            <w:shd w:val="clear" w:color="auto" w:fill="auto"/>
            <w:vAlign w:val="center"/>
          </w:tcPr>
          <w:p w14:paraId="20EF7468" w14:textId="77777777" w:rsidR="00AD4C48" w:rsidRPr="004272B3" w:rsidRDefault="00AD4C48" w:rsidP="00AD4C48">
            <w:pPr>
              <w:suppressAutoHyphens/>
              <w:spacing w:before="120" w:after="120"/>
              <w:jc w:val="center"/>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102.27 (13.62)</w:t>
            </w:r>
          </w:p>
        </w:tc>
        <w:tc>
          <w:tcPr>
            <w:tcW w:w="1418" w:type="dxa"/>
            <w:tcBorders>
              <w:top w:val="nil"/>
              <w:bottom w:val="nil"/>
            </w:tcBorders>
          </w:tcPr>
          <w:p w14:paraId="1D517534" w14:textId="77777777" w:rsidR="00AD4C48" w:rsidRPr="004272B3" w:rsidRDefault="00AD4C48" w:rsidP="00AD4C48">
            <w:pPr>
              <w:suppressAutoHyphens/>
              <w:spacing w:before="120" w:after="120"/>
              <w:jc w:val="center"/>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101.54 (13.28)</w:t>
            </w:r>
          </w:p>
        </w:tc>
        <w:tc>
          <w:tcPr>
            <w:tcW w:w="1417" w:type="dxa"/>
            <w:tcBorders>
              <w:top w:val="nil"/>
              <w:bottom w:val="nil"/>
            </w:tcBorders>
          </w:tcPr>
          <w:p w14:paraId="590A00F0" w14:textId="77777777" w:rsidR="00AD4C48" w:rsidRPr="004272B3" w:rsidRDefault="00AD4C48" w:rsidP="00AD4C48">
            <w:pPr>
              <w:suppressAutoHyphens/>
              <w:spacing w:before="120" w:after="120"/>
              <w:jc w:val="center"/>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101.47 (12.72)</w:t>
            </w:r>
          </w:p>
        </w:tc>
      </w:tr>
      <w:tr w:rsidR="004272B3" w:rsidRPr="004272B3" w14:paraId="301B003E" w14:textId="77777777" w:rsidTr="00AD4C48">
        <w:trPr>
          <w:trHeight w:val="227"/>
        </w:trPr>
        <w:tc>
          <w:tcPr>
            <w:tcW w:w="2027" w:type="dxa"/>
            <w:tcBorders>
              <w:top w:val="nil"/>
              <w:bottom w:val="nil"/>
            </w:tcBorders>
            <w:shd w:val="clear" w:color="auto" w:fill="auto"/>
            <w:vAlign w:val="center"/>
          </w:tcPr>
          <w:p w14:paraId="091F2363" w14:textId="77777777" w:rsidR="00AD4C48" w:rsidRPr="004272B3" w:rsidRDefault="00AD4C48" w:rsidP="00AD4C48">
            <w:pPr>
              <w:suppressAutoHyphens/>
              <w:spacing w:before="120" w:after="120"/>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Total SCQ score</w:t>
            </w:r>
          </w:p>
        </w:tc>
        <w:tc>
          <w:tcPr>
            <w:tcW w:w="1433" w:type="dxa"/>
            <w:tcBorders>
              <w:top w:val="nil"/>
              <w:bottom w:val="nil"/>
            </w:tcBorders>
            <w:shd w:val="clear" w:color="auto" w:fill="auto"/>
            <w:vAlign w:val="center"/>
          </w:tcPr>
          <w:p w14:paraId="0A9D3CD9" w14:textId="77777777" w:rsidR="00AD4C48" w:rsidRPr="004272B3" w:rsidRDefault="00AD4C48" w:rsidP="00AD4C48">
            <w:pPr>
              <w:suppressAutoHyphens/>
              <w:spacing w:before="120" w:after="120"/>
              <w:jc w:val="center"/>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24.30 (5.96)</w:t>
            </w:r>
          </w:p>
        </w:tc>
        <w:tc>
          <w:tcPr>
            <w:tcW w:w="1501" w:type="dxa"/>
            <w:tcBorders>
              <w:top w:val="nil"/>
              <w:bottom w:val="nil"/>
            </w:tcBorders>
            <w:shd w:val="clear" w:color="auto" w:fill="auto"/>
            <w:vAlign w:val="center"/>
          </w:tcPr>
          <w:p w14:paraId="4D3406EE" w14:textId="77777777" w:rsidR="00AD4C48" w:rsidRPr="004272B3" w:rsidRDefault="00AD4C48" w:rsidP="00AD4C48">
            <w:pPr>
              <w:suppressAutoHyphens/>
              <w:spacing w:before="120" w:after="120"/>
              <w:jc w:val="center"/>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19.80 (6.25)</w:t>
            </w:r>
          </w:p>
        </w:tc>
        <w:tc>
          <w:tcPr>
            <w:tcW w:w="1418" w:type="dxa"/>
            <w:tcBorders>
              <w:top w:val="nil"/>
              <w:bottom w:val="nil"/>
            </w:tcBorders>
          </w:tcPr>
          <w:p w14:paraId="5FFAB7D8" w14:textId="77777777" w:rsidR="00AD4C48" w:rsidRPr="004272B3" w:rsidRDefault="00AD4C48" w:rsidP="00AD4C48">
            <w:pPr>
              <w:suppressAutoHyphens/>
              <w:spacing w:before="120" w:after="120"/>
              <w:jc w:val="center"/>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13.38 (3.85)</w:t>
            </w:r>
          </w:p>
        </w:tc>
        <w:tc>
          <w:tcPr>
            <w:tcW w:w="1417" w:type="dxa"/>
            <w:tcBorders>
              <w:top w:val="nil"/>
              <w:bottom w:val="nil"/>
            </w:tcBorders>
          </w:tcPr>
          <w:p w14:paraId="306BBC13" w14:textId="77777777" w:rsidR="00AD4C48" w:rsidRPr="004272B3" w:rsidRDefault="00AD4C48" w:rsidP="00AD4C48">
            <w:pPr>
              <w:suppressAutoHyphens/>
              <w:spacing w:before="120" w:after="120"/>
              <w:jc w:val="center"/>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15.32 (6.65)</w:t>
            </w:r>
          </w:p>
        </w:tc>
      </w:tr>
      <w:tr w:rsidR="004272B3" w:rsidRPr="004272B3" w14:paraId="2BC82BC3" w14:textId="77777777" w:rsidTr="00AD4C48">
        <w:trPr>
          <w:trHeight w:val="227"/>
        </w:trPr>
        <w:tc>
          <w:tcPr>
            <w:tcW w:w="2027" w:type="dxa"/>
            <w:tcBorders>
              <w:top w:val="nil"/>
              <w:bottom w:val="nil"/>
            </w:tcBorders>
            <w:shd w:val="clear" w:color="auto" w:fill="auto"/>
            <w:vAlign w:val="center"/>
          </w:tcPr>
          <w:p w14:paraId="16E50E1D" w14:textId="77777777" w:rsidR="00AD4C48" w:rsidRPr="004272B3" w:rsidRDefault="00AD4C48" w:rsidP="00AD4C48">
            <w:pPr>
              <w:suppressAutoHyphens/>
              <w:spacing w:before="120" w:after="120"/>
              <w:textAlignment w:val="baseline"/>
              <w:rPr>
                <w:rFonts w:ascii="Times New Roman" w:eastAsia="Times New Roman" w:hAnsi="Times New Roman" w:cs="Times New Roman"/>
                <w:sz w:val="20"/>
                <w:szCs w:val="20"/>
              </w:rPr>
            </w:pPr>
            <w:proofErr w:type="spellStart"/>
            <w:r w:rsidRPr="004272B3">
              <w:rPr>
                <w:rFonts w:ascii="Times New Roman" w:eastAsia="Times New Roman" w:hAnsi="Times New Roman" w:cs="Times New Roman"/>
                <w:sz w:val="20"/>
                <w:szCs w:val="20"/>
              </w:rPr>
              <w:t>Hyper</w:t>
            </w:r>
            <w:proofErr w:type="spellEnd"/>
            <w:r w:rsidRPr="004272B3">
              <w:rPr>
                <w:rFonts w:ascii="Times New Roman" w:eastAsia="Times New Roman" w:hAnsi="Times New Roman" w:cs="Times New Roman"/>
                <w:sz w:val="20"/>
                <w:szCs w:val="20"/>
              </w:rPr>
              <w:t>/</w:t>
            </w:r>
            <w:proofErr w:type="spellStart"/>
            <w:r w:rsidRPr="004272B3">
              <w:rPr>
                <w:rFonts w:ascii="Times New Roman" w:eastAsia="Times New Roman" w:hAnsi="Times New Roman" w:cs="Times New Roman"/>
                <w:sz w:val="20"/>
                <w:szCs w:val="20"/>
              </w:rPr>
              <w:t>Inatt</w:t>
            </w:r>
            <w:proofErr w:type="spellEnd"/>
            <w:r w:rsidRPr="004272B3">
              <w:rPr>
                <w:rFonts w:ascii="Times New Roman" w:eastAsia="Times New Roman" w:hAnsi="Times New Roman" w:cs="Times New Roman"/>
                <w:sz w:val="20"/>
                <w:szCs w:val="20"/>
              </w:rPr>
              <w:t>. SDQ</w:t>
            </w:r>
          </w:p>
        </w:tc>
        <w:tc>
          <w:tcPr>
            <w:tcW w:w="1433" w:type="dxa"/>
            <w:tcBorders>
              <w:top w:val="nil"/>
              <w:bottom w:val="nil"/>
            </w:tcBorders>
            <w:shd w:val="clear" w:color="auto" w:fill="auto"/>
            <w:vAlign w:val="center"/>
          </w:tcPr>
          <w:p w14:paraId="6C5B1BDD" w14:textId="77777777" w:rsidR="00AD4C48" w:rsidRPr="004272B3" w:rsidRDefault="00AD4C48" w:rsidP="00AD4C48">
            <w:pPr>
              <w:suppressAutoHyphens/>
              <w:spacing w:before="120" w:after="120"/>
              <w:jc w:val="center"/>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5.13 (2.66)</w:t>
            </w:r>
          </w:p>
        </w:tc>
        <w:tc>
          <w:tcPr>
            <w:tcW w:w="1501" w:type="dxa"/>
            <w:tcBorders>
              <w:top w:val="nil"/>
              <w:bottom w:val="nil"/>
            </w:tcBorders>
            <w:shd w:val="clear" w:color="auto" w:fill="auto"/>
            <w:vAlign w:val="center"/>
          </w:tcPr>
          <w:p w14:paraId="7E48E95D" w14:textId="77777777" w:rsidR="00AD4C48" w:rsidRPr="004272B3" w:rsidRDefault="00AD4C48" w:rsidP="00AD4C48">
            <w:pPr>
              <w:suppressAutoHyphens/>
              <w:spacing w:before="120" w:after="120"/>
              <w:jc w:val="center"/>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7.86 (1.88)</w:t>
            </w:r>
          </w:p>
        </w:tc>
        <w:tc>
          <w:tcPr>
            <w:tcW w:w="1418" w:type="dxa"/>
            <w:tcBorders>
              <w:top w:val="nil"/>
              <w:bottom w:val="nil"/>
            </w:tcBorders>
          </w:tcPr>
          <w:p w14:paraId="4E2D8D32" w14:textId="77777777" w:rsidR="00AD4C48" w:rsidRPr="004272B3" w:rsidRDefault="00AD4C48" w:rsidP="00AD4C48">
            <w:pPr>
              <w:suppressAutoHyphens/>
              <w:spacing w:before="120" w:after="120"/>
              <w:jc w:val="center"/>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4.46 (2.55)</w:t>
            </w:r>
          </w:p>
        </w:tc>
        <w:tc>
          <w:tcPr>
            <w:tcW w:w="1417" w:type="dxa"/>
            <w:tcBorders>
              <w:top w:val="nil"/>
              <w:bottom w:val="nil"/>
            </w:tcBorders>
          </w:tcPr>
          <w:p w14:paraId="448E8D1B" w14:textId="77777777" w:rsidR="00AD4C48" w:rsidRPr="004272B3" w:rsidRDefault="00AD4C48" w:rsidP="00AD4C48">
            <w:pPr>
              <w:suppressAutoHyphens/>
              <w:spacing w:before="120" w:after="120"/>
              <w:jc w:val="center"/>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6.53 (2.38)</w:t>
            </w:r>
          </w:p>
        </w:tc>
      </w:tr>
      <w:tr w:rsidR="004272B3" w:rsidRPr="004272B3" w14:paraId="50F8AB60" w14:textId="77777777" w:rsidTr="00AD4C48">
        <w:trPr>
          <w:trHeight w:val="397"/>
        </w:trPr>
        <w:tc>
          <w:tcPr>
            <w:tcW w:w="2027" w:type="dxa"/>
            <w:tcBorders>
              <w:top w:val="nil"/>
              <w:bottom w:val="nil"/>
            </w:tcBorders>
            <w:shd w:val="clear" w:color="auto" w:fill="auto"/>
            <w:vAlign w:val="center"/>
          </w:tcPr>
          <w:p w14:paraId="3943A158" w14:textId="77777777" w:rsidR="00AD4C48" w:rsidRPr="004272B3" w:rsidRDefault="00AD4C48" w:rsidP="00AD4C48">
            <w:pPr>
              <w:suppressAutoHyphens/>
              <w:spacing w:before="120" w:after="120"/>
              <w:textAlignment w:val="baseline"/>
              <w:rPr>
                <w:rFonts w:ascii="Times New Roman" w:eastAsia="Times New Roman" w:hAnsi="Times New Roman" w:cs="Times New Roman"/>
                <w:sz w:val="20"/>
                <w:szCs w:val="20"/>
              </w:rPr>
            </w:pPr>
            <w:proofErr w:type="spellStart"/>
            <w:r w:rsidRPr="004272B3">
              <w:rPr>
                <w:rFonts w:ascii="Times New Roman" w:eastAsia="Times New Roman" w:hAnsi="Times New Roman" w:cs="Times New Roman"/>
                <w:sz w:val="20"/>
                <w:szCs w:val="20"/>
              </w:rPr>
              <w:t>With</w:t>
            </w:r>
            <w:proofErr w:type="spellEnd"/>
            <w:r w:rsidRPr="004272B3">
              <w:rPr>
                <w:rFonts w:ascii="Times New Roman" w:eastAsia="Times New Roman" w:hAnsi="Times New Roman" w:cs="Times New Roman"/>
                <w:sz w:val="20"/>
                <w:szCs w:val="20"/>
              </w:rPr>
              <w:t xml:space="preserve"> </w:t>
            </w:r>
            <w:proofErr w:type="spellStart"/>
            <w:r w:rsidRPr="004272B3">
              <w:rPr>
                <w:rFonts w:ascii="Times New Roman" w:eastAsia="Times New Roman" w:hAnsi="Times New Roman" w:cs="Times New Roman"/>
                <w:sz w:val="20"/>
                <w:szCs w:val="20"/>
              </w:rPr>
              <w:t>medication</w:t>
            </w:r>
            <w:proofErr w:type="spellEnd"/>
            <w:r w:rsidRPr="004272B3">
              <w:rPr>
                <w:rFonts w:ascii="Times New Roman" w:eastAsia="Times New Roman" w:hAnsi="Times New Roman" w:cs="Times New Roman"/>
                <w:sz w:val="20"/>
                <w:szCs w:val="20"/>
              </w:rPr>
              <w:t xml:space="preserve"> (%)</w:t>
            </w:r>
          </w:p>
        </w:tc>
        <w:tc>
          <w:tcPr>
            <w:tcW w:w="1433" w:type="dxa"/>
            <w:tcBorders>
              <w:top w:val="nil"/>
              <w:bottom w:val="nil"/>
            </w:tcBorders>
            <w:shd w:val="clear" w:color="auto" w:fill="auto"/>
            <w:vAlign w:val="center"/>
          </w:tcPr>
          <w:p w14:paraId="72918E13" w14:textId="77777777" w:rsidR="00AD4C48" w:rsidRPr="004272B3" w:rsidRDefault="00AD4C48" w:rsidP="00AD4C48">
            <w:pPr>
              <w:suppressAutoHyphens/>
              <w:spacing w:before="120" w:after="120"/>
              <w:jc w:val="center"/>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 xml:space="preserve"> 26.7%</w:t>
            </w:r>
          </w:p>
        </w:tc>
        <w:tc>
          <w:tcPr>
            <w:tcW w:w="1501" w:type="dxa"/>
            <w:tcBorders>
              <w:top w:val="nil"/>
              <w:bottom w:val="nil"/>
            </w:tcBorders>
            <w:shd w:val="clear" w:color="auto" w:fill="auto"/>
            <w:vAlign w:val="center"/>
          </w:tcPr>
          <w:p w14:paraId="55045853" w14:textId="77777777" w:rsidR="00AD4C48" w:rsidRPr="004272B3" w:rsidRDefault="00AD4C48" w:rsidP="00AD4C48">
            <w:pPr>
              <w:suppressAutoHyphens/>
              <w:spacing w:before="120" w:after="120"/>
              <w:jc w:val="center"/>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 xml:space="preserve"> 41.7%</w:t>
            </w:r>
          </w:p>
        </w:tc>
        <w:tc>
          <w:tcPr>
            <w:tcW w:w="1418" w:type="dxa"/>
            <w:tcBorders>
              <w:top w:val="nil"/>
              <w:bottom w:val="nil"/>
            </w:tcBorders>
          </w:tcPr>
          <w:p w14:paraId="22BD57DF" w14:textId="77777777" w:rsidR="00AD4C48" w:rsidRPr="004272B3" w:rsidRDefault="00AD4C48" w:rsidP="00AD4C48">
            <w:pPr>
              <w:suppressAutoHyphens/>
              <w:spacing w:before="120" w:after="120"/>
              <w:jc w:val="center"/>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30.8%</w:t>
            </w:r>
          </w:p>
        </w:tc>
        <w:tc>
          <w:tcPr>
            <w:tcW w:w="1417" w:type="dxa"/>
            <w:tcBorders>
              <w:top w:val="nil"/>
              <w:bottom w:val="nil"/>
            </w:tcBorders>
          </w:tcPr>
          <w:p w14:paraId="54E0D92E" w14:textId="77777777" w:rsidR="00AD4C48" w:rsidRPr="004272B3" w:rsidRDefault="00AD4C48" w:rsidP="00AD4C48">
            <w:pPr>
              <w:suppressAutoHyphens/>
              <w:spacing w:before="120" w:after="120"/>
              <w:jc w:val="center"/>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52.6%</w:t>
            </w:r>
          </w:p>
        </w:tc>
      </w:tr>
      <w:tr w:rsidR="004272B3" w:rsidRPr="004272B3" w14:paraId="7755C213" w14:textId="77777777" w:rsidTr="00AD4C48">
        <w:trPr>
          <w:trHeight w:val="397"/>
        </w:trPr>
        <w:tc>
          <w:tcPr>
            <w:tcW w:w="2027" w:type="dxa"/>
            <w:tcBorders>
              <w:top w:val="nil"/>
              <w:bottom w:val="double" w:sz="4" w:space="0" w:color="000000"/>
            </w:tcBorders>
            <w:shd w:val="clear" w:color="auto" w:fill="auto"/>
            <w:vAlign w:val="center"/>
          </w:tcPr>
          <w:p w14:paraId="6ED370C4" w14:textId="77777777" w:rsidR="00AD4C48" w:rsidRPr="004272B3" w:rsidRDefault="00AD4C48" w:rsidP="00AD4C48">
            <w:pPr>
              <w:suppressAutoHyphens/>
              <w:spacing w:before="120" w:after="120"/>
              <w:textAlignment w:val="baseline"/>
              <w:rPr>
                <w:rFonts w:ascii="Times New Roman" w:eastAsia="Times New Roman" w:hAnsi="Times New Roman" w:cs="Times New Roman"/>
                <w:sz w:val="20"/>
                <w:szCs w:val="20"/>
              </w:rPr>
            </w:pPr>
            <w:proofErr w:type="spellStart"/>
            <w:r w:rsidRPr="004272B3">
              <w:rPr>
                <w:rFonts w:ascii="Times New Roman" w:eastAsia="Times New Roman" w:hAnsi="Times New Roman" w:cs="Times New Roman"/>
                <w:sz w:val="20"/>
                <w:szCs w:val="20"/>
              </w:rPr>
              <w:t>With</w:t>
            </w:r>
            <w:proofErr w:type="spellEnd"/>
            <w:r w:rsidRPr="004272B3">
              <w:rPr>
                <w:rFonts w:ascii="Times New Roman" w:eastAsia="Times New Roman" w:hAnsi="Times New Roman" w:cs="Times New Roman"/>
                <w:sz w:val="20"/>
                <w:szCs w:val="20"/>
              </w:rPr>
              <w:t xml:space="preserve"> </w:t>
            </w:r>
            <w:proofErr w:type="spellStart"/>
            <w:r w:rsidRPr="004272B3">
              <w:rPr>
                <w:rFonts w:ascii="Times New Roman" w:eastAsia="Times New Roman" w:hAnsi="Times New Roman" w:cs="Times New Roman"/>
                <w:sz w:val="20"/>
                <w:szCs w:val="20"/>
              </w:rPr>
              <w:t>educational</w:t>
            </w:r>
            <w:proofErr w:type="spellEnd"/>
            <w:r w:rsidRPr="004272B3">
              <w:rPr>
                <w:rFonts w:ascii="Times New Roman" w:eastAsia="Times New Roman" w:hAnsi="Times New Roman" w:cs="Times New Roman"/>
                <w:sz w:val="20"/>
                <w:szCs w:val="20"/>
              </w:rPr>
              <w:t xml:space="preserve"> </w:t>
            </w:r>
            <w:proofErr w:type="spellStart"/>
            <w:r w:rsidRPr="004272B3">
              <w:rPr>
                <w:rFonts w:ascii="Times New Roman" w:eastAsia="Times New Roman" w:hAnsi="Times New Roman" w:cs="Times New Roman"/>
                <w:sz w:val="20"/>
                <w:szCs w:val="20"/>
              </w:rPr>
              <w:t>support</w:t>
            </w:r>
            <w:proofErr w:type="spellEnd"/>
            <w:r w:rsidRPr="004272B3">
              <w:rPr>
                <w:rFonts w:ascii="Times New Roman" w:eastAsia="Times New Roman" w:hAnsi="Times New Roman" w:cs="Times New Roman"/>
                <w:sz w:val="20"/>
                <w:szCs w:val="20"/>
              </w:rPr>
              <w:t xml:space="preserve"> (%)</w:t>
            </w:r>
          </w:p>
        </w:tc>
        <w:tc>
          <w:tcPr>
            <w:tcW w:w="1433" w:type="dxa"/>
            <w:tcBorders>
              <w:top w:val="nil"/>
              <w:bottom w:val="double" w:sz="4" w:space="0" w:color="000000"/>
            </w:tcBorders>
            <w:shd w:val="clear" w:color="auto" w:fill="auto"/>
            <w:vAlign w:val="center"/>
          </w:tcPr>
          <w:p w14:paraId="409A08D0" w14:textId="77777777" w:rsidR="00AD4C48" w:rsidRPr="004272B3" w:rsidRDefault="00AD4C48" w:rsidP="00AD4C48">
            <w:pPr>
              <w:suppressAutoHyphens/>
              <w:spacing w:before="120" w:after="120"/>
              <w:jc w:val="center"/>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93.3%</w:t>
            </w:r>
          </w:p>
        </w:tc>
        <w:tc>
          <w:tcPr>
            <w:tcW w:w="1501" w:type="dxa"/>
            <w:tcBorders>
              <w:top w:val="nil"/>
              <w:bottom w:val="double" w:sz="4" w:space="0" w:color="000000"/>
            </w:tcBorders>
            <w:shd w:val="clear" w:color="auto" w:fill="auto"/>
            <w:vAlign w:val="center"/>
          </w:tcPr>
          <w:p w14:paraId="7050E5E8" w14:textId="77777777" w:rsidR="00AD4C48" w:rsidRPr="004272B3" w:rsidRDefault="00AD4C48" w:rsidP="00AD4C48">
            <w:pPr>
              <w:suppressAutoHyphens/>
              <w:spacing w:before="120" w:after="120"/>
              <w:jc w:val="center"/>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96.7%</w:t>
            </w:r>
          </w:p>
        </w:tc>
        <w:tc>
          <w:tcPr>
            <w:tcW w:w="1418" w:type="dxa"/>
            <w:tcBorders>
              <w:top w:val="nil"/>
              <w:bottom w:val="double" w:sz="4" w:space="0" w:color="000000"/>
            </w:tcBorders>
            <w:vAlign w:val="center"/>
          </w:tcPr>
          <w:p w14:paraId="6A90E705" w14:textId="77777777" w:rsidR="00AD4C48" w:rsidRPr="004272B3" w:rsidRDefault="00AD4C48" w:rsidP="00AD4C48">
            <w:pPr>
              <w:suppressAutoHyphens/>
              <w:spacing w:before="120" w:after="120"/>
              <w:jc w:val="center"/>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73.1%</w:t>
            </w:r>
          </w:p>
        </w:tc>
        <w:tc>
          <w:tcPr>
            <w:tcW w:w="1417" w:type="dxa"/>
            <w:tcBorders>
              <w:top w:val="nil"/>
              <w:bottom w:val="double" w:sz="4" w:space="0" w:color="000000"/>
            </w:tcBorders>
            <w:vAlign w:val="center"/>
          </w:tcPr>
          <w:p w14:paraId="53FBA0D4" w14:textId="77777777" w:rsidR="00AD4C48" w:rsidRPr="004272B3" w:rsidRDefault="00AD4C48" w:rsidP="00AD4C48">
            <w:pPr>
              <w:suppressAutoHyphens/>
              <w:spacing w:before="120" w:after="120"/>
              <w:jc w:val="center"/>
              <w:textAlignment w:val="baseline"/>
              <w:rPr>
                <w:rFonts w:ascii="Times New Roman" w:eastAsia="Times New Roman" w:hAnsi="Times New Roman" w:cs="Times New Roman"/>
                <w:sz w:val="20"/>
                <w:szCs w:val="20"/>
              </w:rPr>
            </w:pPr>
            <w:r w:rsidRPr="004272B3">
              <w:rPr>
                <w:rFonts w:ascii="Times New Roman" w:eastAsia="Times New Roman" w:hAnsi="Times New Roman" w:cs="Times New Roman"/>
                <w:sz w:val="20"/>
                <w:szCs w:val="20"/>
              </w:rPr>
              <w:t>84.2%</w:t>
            </w:r>
          </w:p>
        </w:tc>
      </w:tr>
    </w:tbl>
    <w:p w14:paraId="215B0861" w14:textId="77777777" w:rsidR="00846BBC" w:rsidRPr="004272B3" w:rsidRDefault="00846BBC" w:rsidP="00846BBC">
      <w:pPr>
        <w:rPr>
          <w:lang w:val="en-US"/>
        </w:rPr>
      </w:pPr>
    </w:p>
    <w:p w14:paraId="3C5D41F0" w14:textId="77777777" w:rsidR="00846BBC" w:rsidRPr="004272B3" w:rsidRDefault="00846BBC" w:rsidP="00846BBC">
      <w:pPr>
        <w:rPr>
          <w:lang w:val="en-US"/>
        </w:rPr>
      </w:pPr>
    </w:p>
    <w:p w14:paraId="60B75FB7" w14:textId="77777777" w:rsidR="00846BBC" w:rsidRPr="004272B3" w:rsidRDefault="00846BBC" w:rsidP="00846BBC">
      <w:pPr>
        <w:rPr>
          <w:lang w:val="en-US"/>
        </w:rPr>
      </w:pPr>
    </w:p>
    <w:p w14:paraId="75DFCCEA" w14:textId="77777777" w:rsidR="00846BBC" w:rsidRPr="004272B3" w:rsidRDefault="00846BBC" w:rsidP="00846BBC">
      <w:pPr>
        <w:rPr>
          <w:lang w:val="en-US"/>
        </w:rPr>
      </w:pPr>
    </w:p>
    <w:p w14:paraId="25C51A41" w14:textId="77777777" w:rsidR="00846BBC" w:rsidRPr="004272B3" w:rsidRDefault="00846BBC" w:rsidP="00846BBC">
      <w:pPr>
        <w:rPr>
          <w:lang w:val="en-US"/>
        </w:rPr>
      </w:pPr>
    </w:p>
    <w:p w14:paraId="158D0329" w14:textId="77777777" w:rsidR="00846BBC" w:rsidRPr="004272B3" w:rsidRDefault="00846BBC" w:rsidP="00846BBC">
      <w:pPr>
        <w:rPr>
          <w:lang w:val="en-US"/>
        </w:rPr>
      </w:pPr>
    </w:p>
    <w:p w14:paraId="5DBF03AD" w14:textId="77777777" w:rsidR="00846BBC" w:rsidRPr="004272B3" w:rsidRDefault="00846BBC" w:rsidP="00846BBC">
      <w:pPr>
        <w:rPr>
          <w:lang w:val="en-US"/>
        </w:rPr>
      </w:pPr>
    </w:p>
    <w:p w14:paraId="03FCDE24" w14:textId="77777777" w:rsidR="00846BBC" w:rsidRPr="004272B3" w:rsidRDefault="00846BBC" w:rsidP="00846BBC">
      <w:pPr>
        <w:rPr>
          <w:lang w:val="en-US"/>
        </w:rPr>
      </w:pPr>
    </w:p>
    <w:p w14:paraId="16E2B9D6" w14:textId="77777777" w:rsidR="00846BBC" w:rsidRPr="004272B3" w:rsidRDefault="00846BBC" w:rsidP="00846BBC">
      <w:pPr>
        <w:rPr>
          <w:lang w:val="en-US"/>
        </w:rPr>
      </w:pPr>
    </w:p>
    <w:p w14:paraId="13000769" w14:textId="77777777" w:rsidR="00846BBC" w:rsidRPr="004272B3" w:rsidRDefault="00846BBC" w:rsidP="00846BBC">
      <w:pPr>
        <w:rPr>
          <w:lang w:val="en-US"/>
        </w:rPr>
      </w:pPr>
    </w:p>
    <w:p w14:paraId="0328F142" w14:textId="77777777" w:rsidR="00846BBC" w:rsidRPr="004272B3" w:rsidRDefault="00846BBC" w:rsidP="00846BBC">
      <w:pPr>
        <w:rPr>
          <w:lang w:val="en-US"/>
        </w:rPr>
      </w:pPr>
    </w:p>
    <w:p w14:paraId="54BC2799" w14:textId="77777777" w:rsidR="00846BBC" w:rsidRPr="004272B3" w:rsidRDefault="00846BBC" w:rsidP="00846BBC">
      <w:pPr>
        <w:rPr>
          <w:lang w:val="en-US"/>
        </w:rPr>
      </w:pPr>
    </w:p>
    <w:p w14:paraId="0CE77494" w14:textId="77777777" w:rsidR="00A6477A" w:rsidRPr="004272B3" w:rsidRDefault="00A6477A" w:rsidP="00846BBC">
      <w:pPr>
        <w:rPr>
          <w:rFonts w:ascii="Times New Roman" w:hAnsi="Times New Roman" w:cs="Times New Roman"/>
          <w:sz w:val="20"/>
          <w:szCs w:val="20"/>
          <w:lang w:val="fr-FR"/>
        </w:rPr>
      </w:pPr>
    </w:p>
    <w:p w14:paraId="4DD671D7" w14:textId="635D0BF4" w:rsidR="00846BBC" w:rsidRPr="004272B3" w:rsidRDefault="00846BBC" w:rsidP="00846BBC">
      <w:pPr>
        <w:rPr>
          <w:lang w:val="fr-FR"/>
        </w:rPr>
      </w:pPr>
      <w:r w:rsidRPr="004272B3">
        <w:rPr>
          <w:rFonts w:ascii="Times New Roman" w:hAnsi="Times New Roman" w:cs="Times New Roman"/>
          <w:sz w:val="20"/>
          <w:szCs w:val="20"/>
          <w:lang w:val="en-GB"/>
        </w:rPr>
        <w:t xml:space="preserve">Note: </w:t>
      </w:r>
      <w:r w:rsidR="005536E7" w:rsidRPr="004272B3">
        <w:rPr>
          <w:rFonts w:ascii="Times New Roman" w:hAnsi="Times New Roman" w:cs="Times New Roman"/>
          <w:sz w:val="20"/>
          <w:szCs w:val="20"/>
          <w:lang w:val="en-GB"/>
        </w:rPr>
        <w:t>ASD-: ASD-only diagnosis; ASD+: co-occur</w:t>
      </w:r>
      <w:r w:rsidR="005B3E5F" w:rsidRPr="004272B3">
        <w:rPr>
          <w:rFonts w:ascii="Times New Roman" w:hAnsi="Times New Roman" w:cs="Times New Roman"/>
          <w:sz w:val="20"/>
          <w:szCs w:val="20"/>
          <w:lang w:val="en-GB"/>
        </w:rPr>
        <w:t>rence of</w:t>
      </w:r>
      <w:r w:rsidR="005536E7" w:rsidRPr="004272B3">
        <w:rPr>
          <w:rFonts w:ascii="Times New Roman" w:hAnsi="Times New Roman" w:cs="Times New Roman"/>
          <w:sz w:val="20"/>
          <w:szCs w:val="20"/>
          <w:lang w:val="en-GB"/>
        </w:rPr>
        <w:t xml:space="preserve"> ASD+ADHD; </w:t>
      </w:r>
      <w:r w:rsidR="001973F7" w:rsidRPr="004272B3">
        <w:rPr>
          <w:rFonts w:ascii="Times New Roman" w:eastAsia="Times New Roman" w:hAnsi="Times New Roman" w:cs="Times New Roman"/>
          <w:sz w:val="20"/>
          <w:szCs w:val="20"/>
          <w:lang w:val="en-US"/>
        </w:rPr>
        <w:t>Hyper/</w:t>
      </w:r>
      <w:proofErr w:type="spellStart"/>
      <w:r w:rsidR="001973F7" w:rsidRPr="004272B3">
        <w:rPr>
          <w:rFonts w:ascii="Times New Roman" w:eastAsia="Times New Roman" w:hAnsi="Times New Roman" w:cs="Times New Roman"/>
          <w:sz w:val="20"/>
          <w:szCs w:val="20"/>
          <w:lang w:val="en-US"/>
        </w:rPr>
        <w:t>Inatt</w:t>
      </w:r>
      <w:proofErr w:type="spellEnd"/>
      <w:r w:rsidR="001973F7" w:rsidRPr="004272B3">
        <w:rPr>
          <w:rFonts w:ascii="Times New Roman" w:eastAsia="Times New Roman" w:hAnsi="Times New Roman" w:cs="Times New Roman"/>
          <w:sz w:val="20"/>
          <w:szCs w:val="20"/>
          <w:lang w:val="en-US"/>
        </w:rPr>
        <w:t xml:space="preserve">. </w:t>
      </w:r>
      <w:r w:rsidR="001973F7" w:rsidRPr="004272B3">
        <w:rPr>
          <w:rFonts w:ascii="Times New Roman" w:eastAsia="Times New Roman" w:hAnsi="Times New Roman" w:cs="Times New Roman"/>
          <w:sz w:val="20"/>
          <w:szCs w:val="20"/>
          <w:lang w:val="fr-FR"/>
        </w:rPr>
        <w:t xml:space="preserve">SDQ: hyperactivity/inattention </w:t>
      </w:r>
      <w:r w:rsidR="00395D27" w:rsidRPr="004272B3">
        <w:rPr>
          <w:rFonts w:ascii="Times New Roman" w:eastAsia="Times New Roman" w:hAnsi="Times New Roman" w:cs="Times New Roman"/>
          <w:sz w:val="20"/>
          <w:szCs w:val="20"/>
          <w:lang w:val="fr-FR"/>
        </w:rPr>
        <w:t xml:space="preserve">subscale of the </w:t>
      </w:r>
      <w:r w:rsidR="001973F7" w:rsidRPr="004272B3">
        <w:rPr>
          <w:rFonts w:ascii="Times New Roman" w:eastAsia="Times New Roman" w:hAnsi="Times New Roman" w:cs="Times New Roman"/>
          <w:sz w:val="20"/>
          <w:szCs w:val="20"/>
          <w:lang w:val="fr-FR"/>
        </w:rPr>
        <w:t xml:space="preserve">strengths and difficulties questionnaire; </w:t>
      </w:r>
      <w:r w:rsidRPr="004272B3">
        <w:rPr>
          <w:rFonts w:ascii="Times New Roman" w:hAnsi="Times New Roman" w:cs="Times New Roman"/>
          <w:sz w:val="20"/>
          <w:szCs w:val="20"/>
          <w:lang w:val="fr-FR"/>
        </w:rPr>
        <w:t>IQ: intelligence quotient; SCQ: social communication questionnaire</w:t>
      </w:r>
    </w:p>
    <w:p w14:paraId="36DA1E32" w14:textId="77777777" w:rsidR="00846BBC" w:rsidRPr="004272B3" w:rsidRDefault="00846BBC" w:rsidP="00846BBC">
      <w:pPr>
        <w:rPr>
          <w:lang w:val="fr-FR"/>
        </w:rPr>
      </w:pPr>
    </w:p>
    <w:p w14:paraId="68C53CE1" w14:textId="77777777" w:rsidR="00846BBC" w:rsidRPr="004272B3" w:rsidRDefault="00846BBC" w:rsidP="00846BBC">
      <w:pPr>
        <w:rPr>
          <w:lang w:val="fr-FR"/>
        </w:rPr>
      </w:pPr>
    </w:p>
    <w:p w14:paraId="71BD5FF9" w14:textId="77777777" w:rsidR="00846BBC" w:rsidRPr="004272B3" w:rsidRDefault="00846BBC" w:rsidP="00846BBC">
      <w:pPr>
        <w:rPr>
          <w:lang w:val="fr-FR"/>
        </w:rPr>
      </w:pPr>
    </w:p>
    <w:p w14:paraId="0917C44D" w14:textId="77777777" w:rsidR="00846BBC" w:rsidRPr="004272B3" w:rsidRDefault="00846BBC" w:rsidP="00846BBC">
      <w:pPr>
        <w:rPr>
          <w:lang w:val="fr-FR"/>
        </w:rPr>
      </w:pPr>
    </w:p>
    <w:p w14:paraId="6FD286BA" w14:textId="77777777" w:rsidR="00846BBC" w:rsidRPr="004272B3" w:rsidRDefault="00846BBC" w:rsidP="00846BBC">
      <w:pPr>
        <w:rPr>
          <w:lang w:val="fr-FR"/>
        </w:rPr>
      </w:pPr>
    </w:p>
    <w:p w14:paraId="7A8775B8" w14:textId="77777777" w:rsidR="00846BBC" w:rsidRPr="004272B3" w:rsidRDefault="00846BBC" w:rsidP="00846BBC">
      <w:pPr>
        <w:rPr>
          <w:lang w:val="fr-FR"/>
        </w:rPr>
      </w:pPr>
    </w:p>
    <w:p w14:paraId="39BC0044" w14:textId="77777777" w:rsidR="00846BBC" w:rsidRPr="004272B3" w:rsidRDefault="00846BBC" w:rsidP="00846BBC">
      <w:pPr>
        <w:rPr>
          <w:lang w:val="fr-FR"/>
        </w:rPr>
      </w:pPr>
    </w:p>
    <w:p w14:paraId="7C63043F" w14:textId="77777777" w:rsidR="00846BBC" w:rsidRPr="004272B3" w:rsidRDefault="00846BBC" w:rsidP="00846BBC">
      <w:pPr>
        <w:rPr>
          <w:lang w:val="fr-FR"/>
        </w:rPr>
      </w:pPr>
    </w:p>
    <w:p w14:paraId="7DA6D307" w14:textId="77777777" w:rsidR="00846BBC" w:rsidRPr="004272B3" w:rsidRDefault="00846BBC" w:rsidP="00846BBC">
      <w:pPr>
        <w:rPr>
          <w:lang w:val="fr-FR"/>
        </w:rPr>
      </w:pPr>
    </w:p>
    <w:p w14:paraId="03FAB459" w14:textId="77777777" w:rsidR="00846BBC" w:rsidRPr="004272B3" w:rsidRDefault="00846BBC" w:rsidP="00846BBC">
      <w:pPr>
        <w:rPr>
          <w:lang w:val="fr-FR"/>
        </w:rPr>
      </w:pPr>
    </w:p>
    <w:p w14:paraId="43E57719" w14:textId="77777777" w:rsidR="00846BBC" w:rsidRPr="004272B3" w:rsidRDefault="00846BBC" w:rsidP="00846BBC">
      <w:pPr>
        <w:rPr>
          <w:lang w:val="fr-FR"/>
        </w:rPr>
      </w:pPr>
    </w:p>
    <w:p w14:paraId="5516DFD5" w14:textId="77777777" w:rsidR="00846BBC" w:rsidRPr="004272B3" w:rsidRDefault="00846BBC" w:rsidP="00846BBC">
      <w:pPr>
        <w:rPr>
          <w:lang w:val="fr-FR"/>
        </w:rPr>
      </w:pPr>
    </w:p>
    <w:p w14:paraId="6995E1D7" w14:textId="77777777" w:rsidR="00846BBC" w:rsidRPr="004272B3" w:rsidRDefault="00846BBC" w:rsidP="00846BBC">
      <w:pPr>
        <w:rPr>
          <w:lang w:val="fr-FR"/>
        </w:rPr>
      </w:pPr>
    </w:p>
    <w:p w14:paraId="3605F1C9" w14:textId="77777777" w:rsidR="00846BBC" w:rsidRPr="004272B3" w:rsidRDefault="00846BBC" w:rsidP="00846BBC">
      <w:pPr>
        <w:rPr>
          <w:lang w:val="fr-FR"/>
        </w:rPr>
      </w:pPr>
    </w:p>
    <w:p w14:paraId="790549DE" w14:textId="77777777" w:rsidR="000541DD" w:rsidRPr="004272B3" w:rsidRDefault="000541DD" w:rsidP="00846BBC">
      <w:pPr>
        <w:rPr>
          <w:lang w:val="fr-FR"/>
        </w:rPr>
      </w:pPr>
    </w:p>
    <w:p w14:paraId="1083757B" w14:textId="1408EE8D" w:rsidR="00846BBC" w:rsidRPr="004272B3" w:rsidRDefault="00846BBC" w:rsidP="00846BBC">
      <w:pPr>
        <w:rPr>
          <w:rFonts w:ascii="Times New Roman" w:hAnsi="Times New Roman" w:cs="Times New Roman"/>
          <w:lang w:val="en-US"/>
        </w:rPr>
      </w:pPr>
      <w:r w:rsidRPr="004272B3">
        <w:rPr>
          <w:rFonts w:ascii="Times New Roman" w:hAnsi="Times New Roman" w:cs="Times New Roman"/>
          <w:b/>
          <w:lang w:val="en-US"/>
        </w:rPr>
        <w:lastRenderedPageBreak/>
        <w:t>Table 2.</w:t>
      </w:r>
      <w:r w:rsidRPr="004272B3">
        <w:rPr>
          <w:rFonts w:ascii="Times New Roman" w:hAnsi="Times New Roman" w:cs="Times New Roman"/>
          <w:lang w:val="en-US"/>
        </w:rPr>
        <w:t xml:space="preserve"> Executive functions (BRI, MI), </w:t>
      </w:r>
      <w:proofErr w:type="spellStart"/>
      <w:r w:rsidRPr="004272B3">
        <w:rPr>
          <w:rFonts w:ascii="Times New Roman" w:hAnsi="Times New Roman" w:cs="Times New Roman"/>
          <w:lang w:val="en-US"/>
        </w:rPr>
        <w:t>ToMI</w:t>
      </w:r>
      <w:proofErr w:type="spellEnd"/>
      <w:r w:rsidRPr="004272B3">
        <w:rPr>
          <w:rFonts w:ascii="Times New Roman" w:hAnsi="Times New Roman" w:cs="Times New Roman"/>
          <w:lang w:val="en-US"/>
        </w:rPr>
        <w:t>, SDQ and LBS for ASD- and ASD+ groups</w:t>
      </w:r>
    </w:p>
    <w:tbl>
      <w:tblPr>
        <w:tblStyle w:val="TableGrid"/>
        <w:tblpPr w:leftFromText="141" w:rightFromText="141" w:vertAnchor="page" w:horzAnchor="margin" w:tblpY="2134"/>
        <w:tblW w:w="8505"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795"/>
        <w:gridCol w:w="532"/>
        <w:gridCol w:w="610"/>
        <w:gridCol w:w="750"/>
        <w:gridCol w:w="780"/>
        <w:gridCol w:w="631"/>
        <w:gridCol w:w="860"/>
        <w:gridCol w:w="1133"/>
        <w:gridCol w:w="1139"/>
        <w:gridCol w:w="1275"/>
      </w:tblGrid>
      <w:tr w:rsidR="004272B3" w:rsidRPr="004272B3" w14:paraId="7CB209C8" w14:textId="77777777" w:rsidTr="009C485F">
        <w:tc>
          <w:tcPr>
            <w:tcW w:w="795" w:type="dxa"/>
            <w:tcBorders>
              <w:top w:val="double" w:sz="4" w:space="0" w:color="auto"/>
              <w:bottom w:val="single" w:sz="4" w:space="0" w:color="auto"/>
            </w:tcBorders>
          </w:tcPr>
          <w:p w14:paraId="36C2DD3C" w14:textId="77777777" w:rsidR="009C485F" w:rsidRPr="004272B3" w:rsidRDefault="009C485F" w:rsidP="009C485F">
            <w:pPr>
              <w:rPr>
                <w:lang w:val="en-US"/>
              </w:rPr>
            </w:pPr>
          </w:p>
        </w:tc>
        <w:tc>
          <w:tcPr>
            <w:tcW w:w="532" w:type="dxa"/>
            <w:tcBorders>
              <w:top w:val="double" w:sz="4" w:space="0" w:color="auto"/>
              <w:bottom w:val="single" w:sz="4" w:space="0" w:color="auto"/>
            </w:tcBorders>
          </w:tcPr>
          <w:p w14:paraId="6CAE1A0A" w14:textId="77777777" w:rsidR="009C485F" w:rsidRPr="004272B3" w:rsidRDefault="009C485F" w:rsidP="009C485F">
            <w:pPr>
              <w:jc w:val="center"/>
              <w:rPr>
                <w:lang w:val="en-US"/>
              </w:rPr>
            </w:pPr>
            <w:proofErr w:type="spellStart"/>
            <w:r w:rsidRPr="004272B3">
              <w:rPr>
                <w:lang w:val="en-US"/>
              </w:rPr>
              <w:t>dfn</w:t>
            </w:r>
            <w:proofErr w:type="spellEnd"/>
          </w:p>
        </w:tc>
        <w:tc>
          <w:tcPr>
            <w:tcW w:w="610" w:type="dxa"/>
            <w:tcBorders>
              <w:top w:val="double" w:sz="4" w:space="0" w:color="auto"/>
              <w:bottom w:val="single" w:sz="4" w:space="0" w:color="auto"/>
            </w:tcBorders>
          </w:tcPr>
          <w:p w14:paraId="6E29EA44" w14:textId="77777777" w:rsidR="009C485F" w:rsidRPr="004272B3" w:rsidRDefault="009C485F" w:rsidP="009C485F">
            <w:pPr>
              <w:jc w:val="center"/>
              <w:rPr>
                <w:lang w:val="en-US"/>
              </w:rPr>
            </w:pPr>
            <w:proofErr w:type="spellStart"/>
            <w:r w:rsidRPr="004272B3">
              <w:rPr>
                <w:lang w:val="en-US"/>
              </w:rPr>
              <w:t>dfd</w:t>
            </w:r>
            <w:proofErr w:type="spellEnd"/>
          </w:p>
        </w:tc>
        <w:tc>
          <w:tcPr>
            <w:tcW w:w="750" w:type="dxa"/>
            <w:tcBorders>
              <w:top w:val="double" w:sz="4" w:space="0" w:color="auto"/>
              <w:bottom w:val="single" w:sz="4" w:space="0" w:color="auto"/>
            </w:tcBorders>
          </w:tcPr>
          <w:p w14:paraId="590D1DA0" w14:textId="77777777" w:rsidR="009C485F" w:rsidRPr="004272B3" w:rsidRDefault="009C485F" w:rsidP="009C485F">
            <w:pPr>
              <w:jc w:val="center"/>
              <w:rPr>
                <w:lang w:val="en-US"/>
              </w:rPr>
            </w:pPr>
            <w:r w:rsidRPr="004272B3">
              <w:rPr>
                <w:lang w:val="en-US"/>
              </w:rPr>
              <w:t>F</w:t>
            </w:r>
          </w:p>
        </w:tc>
        <w:tc>
          <w:tcPr>
            <w:tcW w:w="780" w:type="dxa"/>
            <w:tcBorders>
              <w:top w:val="double" w:sz="4" w:space="0" w:color="auto"/>
              <w:bottom w:val="single" w:sz="4" w:space="0" w:color="auto"/>
            </w:tcBorders>
          </w:tcPr>
          <w:p w14:paraId="673664C1" w14:textId="77777777" w:rsidR="009C485F" w:rsidRPr="004272B3" w:rsidRDefault="009C485F" w:rsidP="009C485F">
            <w:pPr>
              <w:jc w:val="center"/>
              <w:rPr>
                <w:i/>
                <w:lang w:val="en-US"/>
              </w:rPr>
            </w:pPr>
            <w:r w:rsidRPr="004272B3">
              <w:rPr>
                <w:i/>
                <w:lang w:val="en-US"/>
              </w:rPr>
              <w:t>p</w:t>
            </w:r>
          </w:p>
        </w:tc>
        <w:tc>
          <w:tcPr>
            <w:tcW w:w="631" w:type="dxa"/>
            <w:tcBorders>
              <w:top w:val="double" w:sz="4" w:space="0" w:color="auto"/>
              <w:bottom w:val="single" w:sz="4" w:space="0" w:color="auto"/>
            </w:tcBorders>
          </w:tcPr>
          <w:p w14:paraId="2CC433F4" w14:textId="77777777" w:rsidR="009C485F" w:rsidRPr="004272B3" w:rsidRDefault="009C485F" w:rsidP="009C485F">
            <w:pPr>
              <w:jc w:val="center"/>
              <w:rPr>
                <w:lang w:val="en-US"/>
              </w:rPr>
            </w:pPr>
            <w:r w:rsidRPr="004272B3">
              <w:rPr>
                <w:rFonts w:ascii="Symbol" w:hAnsi="Symbol"/>
                <w:lang w:val="en-US"/>
              </w:rPr>
              <w:t></w:t>
            </w:r>
            <w:r w:rsidRPr="004272B3">
              <w:rPr>
                <w:vertAlign w:val="superscript"/>
                <w:lang w:val="en-US"/>
              </w:rPr>
              <w:t>2</w:t>
            </w:r>
          </w:p>
        </w:tc>
        <w:tc>
          <w:tcPr>
            <w:tcW w:w="860" w:type="dxa"/>
            <w:tcBorders>
              <w:top w:val="double" w:sz="4" w:space="0" w:color="auto"/>
              <w:bottom w:val="single" w:sz="4" w:space="0" w:color="auto"/>
            </w:tcBorders>
          </w:tcPr>
          <w:p w14:paraId="7E09EA6F" w14:textId="77777777" w:rsidR="009C485F" w:rsidRPr="004272B3" w:rsidRDefault="009C485F" w:rsidP="009C485F">
            <w:pPr>
              <w:jc w:val="center"/>
              <w:rPr>
                <w:iCs/>
                <w:lang w:val="en-US"/>
              </w:rPr>
            </w:pPr>
            <m:oMathPara>
              <m:oMath>
                <m:r>
                  <m:rPr>
                    <m:sty m:val="p"/>
                  </m:rPr>
                  <w:rPr>
                    <w:rFonts w:ascii="Cambria Math" w:hAnsi="Cambria Math"/>
                    <w:lang w:val="en-US"/>
                  </w:rPr>
                  <m:t>ASD</m:t>
                </m:r>
                <m:sSub>
                  <m:sSubPr>
                    <m:ctrlPr>
                      <w:rPr>
                        <w:rFonts w:ascii="Cambria Math" w:hAnsi="Cambria Math"/>
                        <w:iCs/>
                        <w:lang w:val="en-US"/>
                      </w:rPr>
                    </m:ctrlPr>
                  </m:sSubPr>
                  <m:e>
                    <m:acc>
                      <m:accPr>
                        <m:chr m:val="̅"/>
                        <m:ctrlPr>
                          <w:rPr>
                            <w:rFonts w:ascii="Cambria Math" w:hAnsi="Cambria Math"/>
                            <w:iCs/>
                            <w:lang w:val="en-US"/>
                          </w:rPr>
                        </m:ctrlPr>
                      </m:accPr>
                      <m:e>
                        <m:r>
                          <m:rPr>
                            <m:sty m:val="p"/>
                          </m:rPr>
                          <w:rPr>
                            <w:rFonts w:ascii="Cambria Math" w:hAnsi="Cambria Math"/>
                            <w:lang w:val="en-US"/>
                          </w:rPr>
                          <m:t>X</m:t>
                        </m:r>
                      </m:e>
                    </m:acc>
                  </m:e>
                  <m:sub>
                    <m:r>
                      <m:rPr>
                        <m:sty m:val="p"/>
                      </m:rPr>
                      <w:rPr>
                        <w:rFonts w:ascii="Cambria Math" w:hAnsi="Cambria Math"/>
                        <w:lang w:val="en-US"/>
                      </w:rPr>
                      <m:t>1</m:t>
                    </m:r>
                  </m:sub>
                </m:sSub>
              </m:oMath>
            </m:oMathPara>
          </w:p>
          <w:p w14:paraId="5D739983" w14:textId="77777777" w:rsidR="009C485F" w:rsidRPr="004272B3" w:rsidRDefault="009C485F" w:rsidP="009C485F">
            <w:pPr>
              <w:jc w:val="center"/>
              <w:rPr>
                <w:iCs/>
                <w:lang w:val="en-US"/>
              </w:rPr>
            </w:pPr>
            <w:r w:rsidRPr="004272B3">
              <w:rPr>
                <w:iCs/>
                <w:lang w:val="en-US"/>
              </w:rPr>
              <w:t>(SD)</w:t>
            </w:r>
          </w:p>
        </w:tc>
        <w:tc>
          <w:tcPr>
            <w:tcW w:w="1133" w:type="dxa"/>
            <w:tcBorders>
              <w:top w:val="double" w:sz="4" w:space="0" w:color="auto"/>
              <w:bottom w:val="single" w:sz="4" w:space="0" w:color="auto"/>
            </w:tcBorders>
          </w:tcPr>
          <w:p w14:paraId="36D513BA" w14:textId="77777777" w:rsidR="009C485F" w:rsidRPr="004272B3" w:rsidRDefault="009C485F" w:rsidP="009C485F">
            <w:pPr>
              <w:jc w:val="center"/>
              <w:rPr>
                <w:iCs/>
                <w:lang w:val="en-US"/>
              </w:rPr>
            </w:pPr>
            <m:oMathPara>
              <m:oMath>
                <m:r>
                  <m:rPr>
                    <m:sty m:val="p"/>
                  </m:rPr>
                  <w:rPr>
                    <w:rFonts w:ascii="Cambria Math" w:hAnsi="Cambria Math"/>
                    <w:lang w:val="en-US"/>
                  </w:rPr>
                  <m:t>ASD+</m:t>
                </m:r>
                <m:sSub>
                  <m:sSubPr>
                    <m:ctrlPr>
                      <w:rPr>
                        <w:rFonts w:ascii="Cambria Math" w:hAnsi="Cambria Math"/>
                        <w:iCs/>
                        <w:lang w:val="en-US"/>
                      </w:rPr>
                    </m:ctrlPr>
                  </m:sSubPr>
                  <m:e>
                    <m:acc>
                      <m:accPr>
                        <m:chr m:val="̅"/>
                        <m:ctrlPr>
                          <w:rPr>
                            <w:rFonts w:ascii="Cambria Math" w:hAnsi="Cambria Math"/>
                            <w:iCs/>
                            <w:lang w:val="en-US"/>
                          </w:rPr>
                        </m:ctrlPr>
                      </m:accPr>
                      <m:e>
                        <m:r>
                          <m:rPr>
                            <m:sty m:val="p"/>
                          </m:rPr>
                          <w:rPr>
                            <w:rFonts w:ascii="Cambria Math" w:hAnsi="Cambria Math"/>
                            <w:lang w:val="en-US"/>
                          </w:rPr>
                          <m:t>X</m:t>
                        </m:r>
                      </m:e>
                    </m:acc>
                  </m:e>
                  <m:sub>
                    <m:r>
                      <m:rPr>
                        <m:sty m:val="p"/>
                      </m:rPr>
                      <w:rPr>
                        <w:rFonts w:ascii="Cambria Math" w:hAnsi="Cambria Math"/>
                        <w:lang w:val="en-US"/>
                      </w:rPr>
                      <m:t>1</m:t>
                    </m:r>
                  </m:sub>
                </m:sSub>
              </m:oMath>
            </m:oMathPara>
          </w:p>
          <w:p w14:paraId="276297F2" w14:textId="77777777" w:rsidR="009C485F" w:rsidRPr="004272B3" w:rsidRDefault="009C485F" w:rsidP="009C485F">
            <w:pPr>
              <w:jc w:val="center"/>
              <w:rPr>
                <w:iCs/>
                <w:lang w:val="en-US"/>
              </w:rPr>
            </w:pPr>
            <w:r w:rsidRPr="004272B3">
              <w:rPr>
                <w:iCs/>
                <w:lang w:val="en-US"/>
              </w:rPr>
              <w:t>(SD)</w:t>
            </w:r>
          </w:p>
        </w:tc>
        <w:tc>
          <w:tcPr>
            <w:tcW w:w="1139" w:type="dxa"/>
            <w:tcBorders>
              <w:top w:val="double" w:sz="4" w:space="0" w:color="auto"/>
              <w:bottom w:val="single" w:sz="4" w:space="0" w:color="auto"/>
            </w:tcBorders>
          </w:tcPr>
          <w:p w14:paraId="0C6BDC6F" w14:textId="77777777" w:rsidR="009C485F" w:rsidRPr="004272B3" w:rsidRDefault="004272B3" w:rsidP="009C485F">
            <w:pPr>
              <w:jc w:val="center"/>
              <w:rPr>
                <w:iCs/>
                <w:lang w:val="en-US"/>
              </w:rPr>
            </w:pPr>
            <m:oMathPara>
              <m:oMath>
                <m:sSub>
                  <m:sSubPr>
                    <m:ctrlPr>
                      <w:rPr>
                        <w:rFonts w:ascii="Cambria Math" w:hAnsi="Cambria Math"/>
                        <w:iCs/>
                        <w:lang w:val="en-US"/>
                      </w:rPr>
                    </m:ctrlPr>
                  </m:sSubPr>
                  <m:e>
                    <m:acc>
                      <m:accPr>
                        <m:chr m:val="̅"/>
                        <m:ctrlPr>
                          <w:rPr>
                            <w:rFonts w:ascii="Cambria Math" w:hAnsi="Cambria Math"/>
                            <w:iCs/>
                            <w:lang w:val="en-US"/>
                          </w:rPr>
                        </m:ctrlPr>
                      </m:accPr>
                      <m:e>
                        <m:r>
                          <m:rPr>
                            <m:sty m:val="p"/>
                          </m:rPr>
                          <w:rPr>
                            <w:rFonts w:ascii="Cambria Math" w:hAnsi="Cambria Math"/>
                            <w:lang w:val="en-US"/>
                          </w:rPr>
                          <m:t>ASDX</m:t>
                        </m:r>
                      </m:e>
                    </m:acc>
                  </m:e>
                  <m:sub>
                    <m:r>
                      <m:rPr>
                        <m:sty m:val="p"/>
                      </m:rPr>
                      <w:rPr>
                        <w:rFonts w:ascii="Cambria Math" w:hAnsi="Cambria Math"/>
                        <w:lang w:val="en-US"/>
                      </w:rPr>
                      <m:t>2</m:t>
                    </m:r>
                  </m:sub>
                </m:sSub>
              </m:oMath>
            </m:oMathPara>
          </w:p>
          <w:p w14:paraId="20F446AC" w14:textId="77777777" w:rsidR="009C485F" w:rsidRPr="004272B3" w:rsidRDefault="009C485F" w:rsidP="009C485F">
            <w:pPr>
              <w:jc w:val="center"/>
              <w:rPr>
                <w:iCs/>
                <w:lang w:val="en-US"/>
              </w:rPr>
            </w:pPr>
            <w:r w:rsidRPr="004272B3">
              <w:rPr>
                <w:iCs/>
                <w:lang w:val="en-US"/>
              </w:rPr>
              <w:t>(SD)</w:t>
            </w:r>
          </w:p>
        </w:tc>
        <w:tc>
          <w:tcPr>
            <w:tcW w:w="1275" w:type="dxa"/>
            <w:tcBorders>
              <w:top w:val="double" w:sz="4" w:space="0" w:color="auto"/>
              <w:bottom w:val="single" w:sz="4" w:space="0" w:color="auto"/>
            </w:tcBorders>
          </w:tcPr>
          <w:p w14:paraId="5647FEBD" w14:textId="77777777" w:rsidR="009C485F" w:rsidRPr="004272B3" w:rsidRDefault="009C485F" w:rsidP="009C485F">
            <w:pPr>
              <w:jc w:val="center"/>
              <w:rPr>
                <w:iCs/>
                <w:lang w:val="en-US"/>
              </w:rPr>
            </w:pPr>
            <m:oMathPara>
              <m:oMath>
                <m:r>
                  <m:rPr>
                    <m:sty m:val="p"/>
                  </m:rPr>
                  <w:rPr>
                    <w:rFonts w:ascii="Cambria Math" w:hAnsi="Cambria Math"/>
                    <w:lang w:val="en-US"/>
                  </w:rPr>
                  <m:t>ASD+</m:t>
                </m:r>
                <m:sSub>
                  <m:sSubPr>
                    <m:ctrlPr>
                      <w:rPr>
                        <w:rFonts w:ascii="Cambria Math" w:hAnsi="Cambria Math"/>
                        <w:iCs/>
                        <w:lang w:val="en-US"/>
                      </w:rPr>
                    </m:ctrlPr>
                  </m:sSubPr>
                  <m:e>
                    <m:acc>
                      <m:accPr>
                        <m:chr m:val="̅"/>
                        <m:ctrlPr>
                          <w:rPr>
                            <w:rFonts w:ascii="Cambria Math" w:hAnsi="Cambria Math"/>
                            <w:iCs/>
                            <w:lang w:val="en-US"/>
                          </w:rPr>
                        </m:ctrlPr>
                      </m:accPr>
                      <m:e>
                        <m:r>
                          <m:rPr>
                            <m:sty m:val="p"/>
                          </m:rPr>
                          <w:rPr>
                            <w:rFonts w:ascii="Cambria Math" w:hAnsi="Cambria Math"/>
                            <w:lang w:val="en-US"/>
                          </w:rPr>
                          <m:t>X</m:t>
                        </m:r>
                      </m:e>
                    </m:acc>
                  </m:e>
                  <m:sub>
                    <m:r>
                      <m:rPr>
                        <m:sty m:val="p"/>
                      </m:rPr>
                      <w:rPr>
                        <w:rFonts w:ascii="Cambria Math" w:hAnsi="Cambria Math"/>
                        <w:lang w:val="en-US"/>
                      </w:rPr>
                      <m:t>2</m:t>
                    </m:r>
                  </m:sub>
                </m:sSub>
              </m:oMath>
            </m:oMathPara>
          </w:p>
          <w:p w14:paraId="230472BA" w14:textId="77777777" w:rsidR="009C485F" w:rsidRPr="004272B3" w:rsidRDefault="009C485F" w:rsidP="009C485F">
            <w:pPr>
              <w:jc w:val="center"/>
              <w:rPr>
                <w:iCs/>
                <w:lang w:val="en-US"/>
              </w:rPr>
            </w:pPr>
            <w:r w:rsidRPr="004272B3">
              <w:rPr>
                <w:iCs/>
                <w:lang w:val="en-US"/>
              </w:rPr>
              <w:t>(SD)</w:t>
            </w:r>
          </w:p>
        </w:tc>
      </w:tr>
      <w:tr w:rsidR="004272B3" w:rsidRPr="004272B3" w14:paraId="7CDB46E4" w14:textId="77777777" w:rsidTr="009C485F">
        <w:tc>
          <w:tcPr>
            <w:tcW w:w="795" w:type="dxa"/>
          </w:tcPr>
          <w:p w14:paraId="552E310B" w14:textId="77777777" w:rsidR="009C485F" w:rsidRPr="004272B3" w:rsidRDefault="009C485F" w:rsidP="009C485F">
            <w:pPr>
              <w:rPr>
                <w:lang w:val="en-US"/>
              </w:rPr>
            </w:pPr>
            <w:r w:rsidRPr="004272B3">
              <w:rPr>
                <w:lang w:val="en-US"/>
              </w:rPr>
              <w:t>BRI</w:t>
            </w:r>
          </w:p>
        </w:tc>
        <w:tc>
          <w:tcPr>
            <w:tcW w:w="532" w:type="dxa"/>
          </w:tcPr>
          <w:p w14:paraId="681C68B5" w14:textId="77777777" w:rsidR="009C485F" w:rsidRPr="004272B3" w:rsidRDefault="009C485F" w:rsidP="009C485F">
            <w:pPr>
              <w:jc w:val="center"/>
              <w:rPr>
                <w:lang w:val="en-US"/>
              </w:rPr>
            </w:pPr>
            <w:r w:rsidRPr="004272B3">
              <w:rPr>
                <w:lang w:val="en-US"/>
              </w:rPr>
              <w:t>1</w:t>
            </w:r>
          </w:p>
        </w:tc>
        <w:tc>
          <w:tcPr>
            <w:tcW w:w="610" w:type="dxa"/>
          </w:tcPr>
          <w:p w14:paraId="24E9CF4F" w14:textId="77777777" w:rsidR="009C485F" w:rsidRPr="004272B3" w:rsidRDefault="009C485F" w:rsidP="009C485F">
            <w:pPr>
              <w:jc w:val="center"/>
              <w:rPr>
                <w:lang w:val="en-US"/>
              </w:rPr>
            </w:pPr>
            <w:r w:rsidRPr="004272B3">
              <w:rPr>
                <w:lang w:val="en-US"/>
              </w:rPr>
              <w:t>43</w:t>
            </w:r>
          </w:p>
        </w:tc>
        <w:tc>
          <w:tcPr>
            <w:tcW w:w="750" w:type="dxa"/>
          </w:tcPr>
          <w:p w14:paraId="38C2BE3A" w14:textId="77777777" w:rsidR="009C485F" w:rsidRPr="004272B3" w:rsidRDefault="009C485F" w:rsidP="009C485F">
            <w:pPr>
              <w:jc w:val="center"/>
              <w:rPr>
                <w:lang w:val="en-US"/>
              </w:rPr>
            </w:pPr>
            <w:r w:rsidRPr="004272B3">
              <w:rPr>
                <w:lang w:val="en-US"/>
              </w:rPr>
              <w:t>7.38</w:t>
            </w:r>
          </w:p>
        </w:tc>
        <w:tc>
          <w:tcPr>
            <w:tcW w:w="780" w:type="dxa"/>
          </w:tcPr>
          <w:p w14:paraId="22087736" w14:textId="77777777" w:rsidR="009C485F" w:rsidRPr="004272B3" w:rsidRDefault="009C485F" w:rsidP="009C485F">
            <w:pPr>
              <w:jc w:val="center"/>
              <w:rPr>
                <w:lang w:val="en-US"/>
              </w:rPr>
            </w:pPr>
            <w:r w:rsidRPr="004272B3">
              <w:rPr>
                <w:lang w:val="en-US"/>
              </w:rPr>
              <w:t>.009</w:t>
            </w:r>
          </w:p>
        </w:tc>
        <w:tc>
          <w:tcPr>
            <w:tcW w:w="631" w:type="dxa"/>
          </w:tcPr>
          <w:p w14:paraId="39D218AD" w14:textId="77777777" w:rsidR="009C485F" w:rsidRPr="004272B3" w:rsidRDefault="009C485F" w:rsidP="009C485F">
            <w:pPr>
              <w:jc w:val="center"/>
              <w:rPr>
                <w:lang w:val="en-US"/>
              </w:rPr>
            </w:pPr>
            <w:r w:rsidRPr="004272B3">
              <w:rPr>
                <w:lang w:val="en-US"/>
              </w:rPr>
              <w:t>.147</w:t>
            </w:r>
          </w:p>
        </w:tc>
        <w:tc>
          <w:tcPr>
            <w:tcW w:w="860" w:type="dxa"/>
          </w:tcPr>
          <w:p w14:paraId="4C097851" w14:textId="77777777" w:rsidR="009C485F" w:rsidRPr="004272B3" w:rsidRDefault="009C485F" w:rsidP="009C485F">
            <w:pPr>
              <w:jc w:val="center"/>
              <w:rPr>
                <w:lang w:val="en-US"/>
              </w:rPr>
            </w:pPr>
            <w:r w:rsidRPr="004272B3">
              <w:rPr>
                <w:lang w:val="en-US"/>
              </w:rPr>
              <w:t>51.46</w:t>
            </w:r>
          </w:p>
          <w:p w14:paraId="2259A29B" w14:textId="77777777" w:rsidR="009C485F" w:rsidRPr="004272B3" w:rsidRDefault="009C485F" w:rsidP="009C485F">
            <w:pPr>
              <w:jc w:val="center"/>
              <w:rPr>
                <w:lang w:val="en-US"/>
              </w:rPr>
            </w:pPr>
            <w:r w:rsidRPr="004272B3">
              <w:rPr>
                <w:lang w:val="en-US"/>
              </w:rPr>
              <w:t>(13.02)</w:t>
            </w:r>
          </w:p>
        </w:tc>
        <w:tc>
          <w:tcPr>
            <w:tcW w:w="1133" w:type="dxa"/>
          </w:tcPr>
          <w:p w14:paraId="63BFCC5A" w14:textId="77777777" w:rsidR="009C485F" w:rsidRPr="004272B3" w:rsidRDefault="009C485F" w:rsidP="009C485F">
            <w:pPr>
              <w:jc w:val="center"/>
              <w:rPr>
                <w:lang w:val="en-US"/>
              </w:rPr>
            </w:pPr>
            <w:r w:rsidRPr="004272B3">
              <w:rPr>
                <w:lang w:val="en-US"/>
              </w:rPr>
              <w:t>62.84 (12.11)</w:t>
            </w:r>
          </w:p>
        </w:tc>
        <w:tc>
          <w:tcPr>
            <w:tcW w:w="1139" w:type="dxa"/>
          </w:tcPr>
          <w:p w14:paraId="500F93CD" w14:textId="77777777" w:rsidR="009C485F" w:rsidRPr="004272B3" w:rsidRDefault="009C485F" w:rsidP="009C485F">
            <w:pPr>
              <w:jc w:val="center"/>
              <w:rPr>
                <w:lang w:val="en-US"/>
              </w:rPr>
            </w:pPr>
            <w:r w:rsidRPr="004272B3">
              <w:rPr>
                <w:lang w:val="en-US"/>
              </w:rPr>
              <w:t>48.62 (12.89)</w:t>
            </w:r>
          </w:p>
        </w:tc>
        <w:tc>
          <w:tcPr>
            <w:tcW w:w="1275" w:type="dxa"/>
          </w:tcPr>
          <w:p w14:paraId="00A60A06" w14:textId="77777777" w:rsidR="009C485F" w:rsidRPr="004272B3" w:rsidRDefault="009C485F" w:rsidP="009C485F">
            <w:pPr>
              <w:jc w:val="center"/>
              <w:rPr>
                <w:lang w:val="en-US"/>
              </w:rPr>
            </w:pPr>
            <w:r w:rsidRPr="004272B3">
              <w:rPr>
                <w:lang w:val="en-US"/>
              </w:rPr>
              <w:t>53.74 (14.39)</w:t>
            </w:r>
          </w:p>
        </w:tc>
      </w:tr>
      <w:tr w:rsidR="004272B3" w:rsidRPr="004272B3" w14:paraId="6412C49C" w14:textId="77777777" w:rsidTr="009C485F">
        <w:tc>
          <w:tcPr>
            <w:tcW w:w="795" w:type="dxa"/>
          </w:tcPr>
          <w:p w14:paraId="033B9A4F" w14:textId="77777777" w:rsidR="009C485F" w:rsidRPr="004272B3" w:rsidRDefault="009C485F" w:rsidP="009C485F">
            <w:pPr>
              <w:rPr>
                <w:lang w:val="en-US"/>
              </w:rPr>
            </w:pPr>
            <w:r w:rsidRPr="004272B3">
              <w:rPr>
                <w:lang w:val="en-US"/>
              </w:rPr>
              <w:t>MI</w:t>
            </w:r>
          </w:p>
        </w:tc>
        <w:tc>
          <w:tcPr>
            <w:tcW w:w="532" w:type="dxa"/>
          </w:tcPr>
          <w:p w14:paraId="209B82EC" w14:textId="77777777" w:rsidR="009C485F" w:rsidRPr="004272B3" w:rsidRDefault="009C485F" w:rsidP="009C485F">
            <w:pPr>
              <w:jc w:val="center"/>
              <w:rPr>
                <w:lang w:val="en-US"/>
              </w:rPr>
            </w:pPr>
            <w:r w:rsidRPr="004272B3">
              <w:rPr>
                <w:lang w:val="en-US"/>
              </w:rPr>
              <w:t>1</w:t>
            </w:r>
          </w:p>
        </w:tc>
        <w:tc>
          <w:tcPr>
            <w:tcW w:w="610" w:type="dxa"/>
          </w:tcPr>
          <w:p w14:paraId="08FA5063" w14:textId="77777777" w:rsidR="009C485F" w:rsidRPr="004272B3" w:rsidRDefault="009C485F" w:rsidP="009C485F">
            <w:pPr>
              <w:jc w:val="center"/>
              <w:rPr>
                <w:lang w:val="en-US"/>
              </w:rPr>
            </w:pPr>
            <w:r w:rsidRPr="004272B3">
              <w:rPr>
                <w:lang w:val="en-US"/>
              </w:rPr>
              <w:t>43</w:t>
            </w:r>
          </w:p>
        </w:tc>
        <w:tc>
          <w:tcPr>
            <w:tcW w:w="750" w:type="dxa"/>
          </w:tcPr>
          <w:p w14:paraId="05EA965F" w14:textId="77777777" w:rsidR="009C485F" w:rsidRPr="004272B3" w:rsidRDefault="009C485F" w:rsidP="009C485F">
            <w:pPr>
              <w:jc w:val="center"/>
              <w:rPr>
                <w:lang w:val="en-US"/>
              </w:rPr>
            </w:pPr>
            <w:r w:rsidRPr="004272B3">
              <w:rPr>
                <w:lang w:val="en-US"/>
              </w:rPr>
              <w:t>17.72</w:t>
            </w:r>
          </w:p>
        </w:tc>
        <w:tc>
          <w:tcPr>
            <w:tcW w:w="780" w:type="dxa"/>
          </w:tcPr>
          <w:p w14:paraId="13977B07" w14:textId="77777777" w:rsidR="009C485F" w:rsidRPr="004272B3" w:rsidRDefault="009C485F" w:rsidP="009C485F">
            <w:pPr>
              <w:jc w:val="center"/>
              <w:rPr>
                <w:lang w:val="en-US"/>
              </w:rPr>
            </w:pPr>
            <w:r w:rsidRPr="004272B3">
              <w:rPr>
                <w:lang w:val="en-US"/>
              </w:rPr>
              <w:t>&lt;.001</w:t>
            </w:r>
          </w:p>
        </w:tc>
        <w:tc>
          <w:tcPr>
            <w:tcW w:w="631" w:type="dxa"/>
          </w:tcPr>
          <w:p w14:paraId="35577E15" w14:textId="77777777" w:rsidR="009C485F" w:rsidRPr="004272B3" w:rsidRDefault="009C485F" w:rsidP="009C485F">
            <w:pPr>
              <w:jc w:val="center"/>
              <w:rPr>
                <w:lang w:val="en-US"/>
              </w:rPr>
            </w:pPr>
            <w:r w:rsidRPr="004272B3">
              <w:rPr>
                <w:lang w:val="en-US"/>
              </w:rPr>
              <w:t>.292</w:t>
            </w:r>
          </w:p>
        </w:tc>
        <w:tc>
          <w:tcPr>
            <w:tcW w:w="860" w:type="dxa"/>
          </w:tcPr>
          <w:p w14:paraId="788CAA7E" w14:textId="77777777" w:rsidR="009C485F" w:rsidRPr="004272B3" w:rsidRDefault="009C485F" w:rsidP="009C485F">
            <w:pPr>
              <w:jc w:val="center"/>
              <w:rPr>
                <w:lang w:val="en-US"/>
              </w:rPr>
            </w:pPr>
            <w:r w:rsidRPr="004272B3">
              <w:rPr>
                <w:lang w:val="en-US"/>
              </w:rPr>
              <w:t>80.73 (13.52)</w:t>
            </w:r>
          </w:p>
        </w:tc>
        <w:tc>
          <w:tcPr>
            <w:tcW w:w="1133" w:type="dxa"/>
          </w:tcPr>
          <w:p w14:paraId="47758CD3" w14:textId="77777777" w:rsidR="009C485F" w:rsidRPr="004272B3" w:rsidRDefault="009C485F" w:rsidP="009C485F">
            <w:pPr>
              <w:jc w:val="center"/>
              <w:rPr>
                <w:lang w:val="en-US"/>
              </w:rPr>
            </w:pPr>
            <w:r w:rsidRPr="004272B3">
              <w:rPr>
                <w:lang w:val="en-US"/>
              </w:rPr>
              <w:t>100.36 (12.58)</w:t>
            </w:r>
          </w:p>
        </w:tc>
        <w:tc>
          <w:tcPr>
            <w:tcW w:w="1139" w:type="dxa"/>
          </w:tcPr>
          <w:p w14:paraId="03A8479C" w14:textId="77777777" w:rsidR="009C485F" w:rsidRPr="004272B3" w:rsidRDefault="009C485F" w:rsidP="009C485F">
            <w:pPr>
              <w:jc w:val="center"/>
              <w:rPr>
                <w:lang w:val="en-US"/>
              </w:rPr>
            </w:pPr>
            <w:r w:rsidRPr="004272B3">
              <w:rPr>
                <w:lang w:val="en-US"/>
              </w:rPr>
              <w:t>75.77 (16.94)</w:t>
            </w:r>
          </w:p>
        </w:tc>
        <w:tc>
          <w:tcPr>
            <w:tcW w:w="1275" w:type="dxa"/>
          </w:tcPr>
          <w:p w14:paraId="69CFCDB0" w14:textId="77777777" w:rsidR="009C485F" w:rsidRPr="004272B3" w:rsidRDefault="009C485F" w:rsidP="009C485F">
            <w:pPr>
              <w:jc w:val="center"/>
              <w:rPr>
                <w:lang w:val="en-US"/>
              </w:rPr>
            </w:pPr>
            <w:r w:rsidRPr="004272B3">
              <w:rPr>
                <w:lang w:val="en-US"/>
              </w:rPr>
              <w:t>83.05 (19.07)</w:t>
            </w:r>
          </w:p>
        </w:tc>
      </w:tr>
      <w:tr w:rsidR="004272B3" w:rsidRPr="004272B3" w14:paraId="30083635" w14:textId="77777777" w:rsidTr="009C485F">
        <w:tc>
          <w:tcPr>
            <w:tcW w:w="795" w:type="dxa"/>
          </w:tcPr>
          <w:p w14:paraId="3F0D6F30" w14:textId="77777777" w:rsidR="009C485F" w:rsidRPr="004272B3" w:rsidRDefault="009C485F" w:rsidP="009C485F">
            <w:pPr>
              <w:rPr>
                <w:lang w:val="en-US"/>
              </w:rPr>
            </w:pPr>
            <w:proofErr w:type="spellStart"/>
            <w:r w:rsidRPr="004272B3">
              <w:rPr>
                <w:lang w:val="en-US"/>
              </w:rPr>
              <w:t>ToMI</w:t>
            </w:r>
            <w:proofErr w:type="spellEnd"/>
          </w:p>
        </w:tc>
        <w:tc>
          <w:tcPr>
            <w:tcW w:w="532" w:type="dxa"/>
          </w:tcPr>
          <w:p w14:paraId="016F481A" w14:textId="77777777" w:rsidR="009C485F" w:rsidRPr="004272B3" w:rsidRDefault="009C485F" w:rsidP="009C485F">
            <w:pPr>
              <w:jc w:val="center"/>
              <w:rPr>
                <w:lang w:val="en-US"/>
              </w:rPr>
            </w:pPr>
            <w:r w:rsidRPr="004272B3">
              <w:rPr>
                <w:lang w:val="en-US"/>
              </w:rPr>
              <w:t>1</w:t>
            </w:r>
          </w:p>
        </w:tc>
        <w:tc>
          <w:tcPr>
            <w:tcW w:w="610" w:type="dxa"/>
          </w:tcPr>
          <w:p w14:paraId="252DC1BF" w14:textId="77777777" w:rsidR="009C485F" w:rsidRPr="004272B3" w:rsidRDefault="009C485F" w:rsidP="009C485F">
            <w:pPr>
              <w:jc w:val="center"/>
              <w:rPr>
                <w:lang w:val="en-US"/>
              </w:rPr>
            </w:pPr>
            <w:r w:rsidRPr="004272B3">
              <w:rPr>
                <w:lang w:val="en-US"/>
              </w:rPr>
              <w:t>43</w:t>
            </w:r>
          </w:p>
        </w:tc>
        <w:tc>
          <w:tcPr>
            <w:tcW w:w="750" w:type="dxa"/>
          </w:tcPr>
          <w:p w14:paraId="676E8DFC" w14:textId="77777777" w:rsidR="009C485F" w:rsidRPr="004272B3" w:rsidRDefault="009C485F" w:rsidP="009C485F">
            <w:pPr>
              <w:jc w:val="center"/>
              <w:rPr>
                <w:lang w:val="en-US"/>
              </w:rPr>
            </w:pPr>
            <w:r w:rsidRPr="004272B3">
              <w:rPr>
                <w:lang w:val="en-US"/>
              </w:rPr>
              <w:t>10.36</w:t>
            </w:r>
          </w:p>
        </w:tc>
        <w:tc>
          <w:tcPr>
            <w:tcW w:w="780" w:type="dxa"/>
          </w:tcPr>
          <w:p w14:paraId="1749DA79" w14:textId="77777777" w:rsidR="009C485F" w:rsidRPr="004272B3" w:rsidRDefault="009C485F" w:rsidP="009C485F">
            <w:pPr>
              <w:jc w:val="center"/>
              <w:rPr>
                <w:lang w:val="en-US"/>
              </w:rPr>
            </w:pPr>
            <w:r w:rsidRPr="004272B3">
              <w:rPr>
                <w:lang w:val="en-US"/>
              </w:rPr>
              <w:t>&lt;.005</w:t>
            </w:r>
          </w:p>
        </w:tc>
        <w:tc>
          <w:tcPr>
            <w:tcW w:w="631" w:type="dxa"/>
          </w:tcPr>
          <w:p w14:paraId="074F0E8E" w14:textId="77777777" w:rsidR="009C485F" w:rsidRPr="004272B3" w:rsidRDefault="009C485F" w:rsidP="009C485F">
            <w:pPr>
              <w:jc w:val="center"/>
              <w:rPr>
                <w:lang w:val="en-US"/>
              </w:rPr>
            </w:pPr>
            <w:r w:rsidRPr="004272B3">
              <w:rPr>
                <w:lang w:val="en-US"/>
              </w:rPr>
              <w:t>.194</w:t>
            </w:r>
          </w:p>
        </w:tc>
        <w:tc>
          <w:tcPr>
            <w:tcW w:w="860" w:type="dxa"/>
          </w:tcPr>
          <w:p w14:paraId="7EEE12B5" w14:textId="77777777" w:rsidR="009C485F" w:rsidRPr="004272B3" w:rsidRDefault="009C485F" w:rsidP="009C485F">
            <w:pPr>
              <w:jc w:val="center"/>
              <w:rPr>
                <w:lang w:val="en-US"/>
              </w:rPr>
            </w:pPr>
            <w:r w:rsidRPr="004272B3">
              <w:rPr>
                <w:lang w:val="en-US"/>
              </w:rPr>
              <w:t>8.88 (3.23)</w:t>
            </w:r>
          </w:p>
        </w:tc>
        <w:tc>
          <w:tcPr>
            <w:tcW w:w="1133" w:type="dxa"/>
          </w:tcPr>
          <w:p w14:paraId="0E50A1A4" w14:textId="77777777" w:rsidR="009C485F" w:rsidRPr="004272B3" w:rsidRDefault="009C485F" w:rsidP="009C485F">
            <w:pPr>
              <w:jc w:val="center"/>
              <w:rPr>
                <w:lang w:val="en-US"/>
              </w:rPr>
            </w:pPr>
            <w:r w:rsidRPr="004272B3">
              <w:rPr>
                <w:lang w:val="en-US"/>
              </w:rPr>
              <w:t xml:space="preserve">7.03 </w:t>
            </w:r>
          </w:p>
          <w:p w14:paraId="4655DC08" w14:textId="77777777" w:rsidR="009C485F" w:rsidRPr="004272B3" w:rsidRDefault="009C485F" w:rsidP="009C485F">
            <w:pPr>
              <w:jc w:val="center"/>
              <w:rPr>
                <w:lang w:val="en-US"/>
              </w:rPr>
            </w:pPr>
            <w:r w:rsidRPr="004272B3">
              <w:rPr>
                <w:lang w:val="en-US"/>
              </w:rPr>
              <w:t>(2.52)</w:t>
            </w:r>
          </w:p>
        </w:tc>
        <w:tc>
          <w:tcPr>
            <w:tcW w:w="1139" w:type="dxa"/>
          </w:tcPr>
          <w:p w14:paraId="66E6F55F" w14:textId="77777777" w:rsidR="009C485F" w:rsidRPr="004272B3" w:rsidRDefault="009C485F" w:rsidP="009C485F">
            <w:pPr>
              <w:jc w:val="center"/>
              <w:rPr>
                <w:lang w:val="en-US"/>
              </w:rPr>
            </w:pPr>
            <w:r w:rsidRPr="004272B3">
              <w:rPr>
                <w:lang w:val="en-US"/>
              </w:rPr>
              <w:t>10.55 (2.46)</w:t>
            </w:r>
          </w:p>
        </w:tc>
        <w:tc>
          <w:tcPr>
            <w:tcW w:w="1275" w:type="dxa"/>
          </w:tcPr>
          <w:p w14:paraId="45602EE1" w14:textId="77777777" w:rsidR="009C485F" w:rsidRPr="004272B3" w:rsidRDefault="009C485F" w:rsidP="009C485F">
            <w:pPr>
              <w:jc w:val="center"/>
              <w:rPr>
                <w:lang w:val="en-US"/>
              </w:rPr>
            </w:pPr>
            <w:r w:rsidRPr="004272B3">
              <w:rPr>
                <w:lang w:val="en-US"/>
              </w:rPr>
              <w:t>8.28</w:t>
            </w:r>
          </w:p>
          <w:p w14:paraId="15F340C3" w14:textId="77777777" w:rsidR="009C485F" w:rsidRPr="004272B3" w:rsidRDefault="009C485F" w:rsidP="009C485F">
            <w:pPr>
              <w:jc w:val="center"/>
              <w:rPr>
                <w:lang w:val="en-US"/>
              </w:rPr>
            </w:pPr>
            <w:r w:rsidRPr="004272B3">
              <w:rPr>
                <w:lang w:val="en-US"/>
              </w:rPr>
              <w:t>(3.06)</w:t>
            </w:r>
          </w:p>
        </w:tc>
      </w:tr>
      <w:tr w:rsidR="004272B3" w:rsidRPr="004272B3" w14:paraId="1B9F9C6F" w14:textId="77777777" w:rsidTr="009C485F">
        <w:tc>
          <w:tcPr>
            <w:tcW w:w="795" w:type="dxa"/>
          </w:tcPr>
          <w:p w14:paraId="46146007" w14:textId="77777777" w:rsidR="009C485F" w:rsidRPr="004272B3" w:rsidRDefault="009C485F" w:rsidP="009C485F">
            <w:pPr>
              <w:rPr>
                <w:lang w:val="en-US"/>
              </w:rPr>
            </w:pPr>
            <w:r w:rsidRPr="004272B3">
              <w:rPr>
                <w:lang w:val="en-US"/>
              </w:rPr>
              <w:t>SDQ</w:t>
            </w:r>
          </w:p>
        </w:tc>
        <w:tc>
          <w:tcPr>
            <w:tcW w:w="532" w:type="dxa"/>
          </w:tcPr>
          <w:p w14:paraId="16B4BF0B" w14:textId="77777777" w:rsidR="009C485F" w:rsidRPr="004272B3" w:rsidRDefault="009C485F" w:rsidP="009C485F">
            <w:pPr>
              <w:jc w:val="center"/>
              <w:rPr>
                <w:lang w:val="en-US"/>
              </w:rPr>
            </w:pPr>
            <w:r w:rsidRPr="004272B3">
              <w:rPr>
                <w:lang w:val="en-US"/>
              </w:rPr>
              <w:t>1</w:t>
            </w:r>
          </w:p>
        </w:tc>
        <w:tc>
          <w:tcPr>
            <w:tcW w:w="610" w:type="dxa"/>
          </w:tcPr>
          <w:p w14:paraId="2F11BBF3" w14:textId="77777777" w:rsidR="009C485F" w:rsidRPr="004272B3" w:rsidRDefault="009C485F" w:rsidP="009C485F">
            <w:pPr>
              <w:jc w:val="center"/>
              <w:rPr>
                <w:lang w:val="en-US"/>
              </w:rPr>
            </w:pPr>
            <w:r w:rsidRPr="004272B3">
              <w:rPr>
                <w:lang w:val="en-US"/>
              </w:rPr>
              <w:t>43</w:t>
            </w:r>
          </w:p>
        </w:tc>
        <w:tc>
          <w:tcPr>
            <w:tcW w:w="750" w:type="dxa"/>
          </w:tcPr>
          <w:p w14:paraId="56642088" w14:textId="77777777" w:rsidR="009C485F" w:rsidRPr="004272B3" w:rsidRDefault="009C485F" w:rsidP="009C485F">
            <w:pPr>
              <w:jc w:val="center"/>
              <w:rPr>
                <w:lang w:val="en-US"/>
              </w:rPr>
            </w:pPr>
            <w:r w:rsidRPr="004272B3">
              <w:rPr>
                <w:lang w:val="en-US"/>
              </w:rPr>
              <w:t>9.96</w:t>
            </w:r>
          </w:p>
        </w:tc>
        <w:tc>
          <w:tcPr>
            <w:tcW w:w="780" w:type="dxa"/>
          </w:tcPr>
          <w:p w14:paraId="5A40F7A4" w14:textId="77777777" w:rsidR="009C485F" w:rsidRPr="004272B3" w:rsidRDefault="009C485F" w:rsidP="009C485F">
            <w:pPr>
              <w:jc w:val="center"/>
              <w:rPr>
                <w:lang w:val="en-US"/>
              </w:rPr>
            </w:pPr>
            <w:r w:rsidRPr="004272B3">
              <w:rPr>
                <w:lang w:val="en-US"/>
              </w:rPr>
              <w:t>&lt;.005</w:t>
            </w:r>
          </w:p>
        </w:tc>
        <w:tc>
          <w:tcPr>
            <w:tcW w:w="631" w:type="dxa"/>
          </w:tcPr>
          <w:p w14:paraId="0969408C" w14:textId="77777777" w:rsidR="009C485F" w:rsidRPr="004272B3" w:rsidRDefault="009C485F" w:rsidP="009C485F">
            <w:pPr>
              <w:jc w:val="center"/>
              <w:rPr>
                <w:lang w:val="en-US"/>
              </w:rPr>
            </w:pPr>
            <w:r w:rsidRPr="004272B3">
              <w:rPr>
                <w:lang w:val="en-US"/>
              </w:rPr>
              <w:t>.188</w:t>
            </w:r>
          </w:p>
        </w:tc>
        <w:tc>
          <w:tcPr>
            <w:tcW w:w="860" w:type="dxa"/>
          </w:tcPr>
          <w:p w14:paraId="25DDF8E7" w14:textId="77777777" w:rsidR="009C485F" w:rsidRPr="004272B3" w:rsidRDefault="009C485F" w:rsidP="009C485F">
            <w:pPr>
              <w:jc w:val="center"/>
              <w:rPr>
                <w:lang w:val="en-US"/>
              </w:rPr>
            </w:pPr>
            <w:r w:rsidRPr="004272B3">
              <w:rPr>
                <w:lang w:val="en-US"/>
              </w:rPr>
              <w:t>17.04 (5.98)</w:t>
            </w:r>
          </w:p>
        </w:tc>
        <w:tc>
          <w:tcPr>
            <w:tcW w:w="1133" w:type="dxa"/>
          </w:tcPr>
          <w:p w14:paraId="4FA278AE" w14:textId="77777777" w:rsidR="009C485F" w:rsidRPr="004272B3" w:rsidRDefault="009C485F" w:rsidP="009C485F">
            <w:pPr>
              <w:jc w:val="center"/>
              <w:rPr>
                <w:lang w:val="en-US"/>
              </w:rPr>
            </w:pPr>
            <w:r w:rsidRPr="004272B3">
              <w:rPr>
                <w:lang w:val="en-US"/>
              </w:rPr>
              <w:t>23.37 (5.05)</w:t>
            </w:r>
          </w:p>
        </w:tc>
        <w:tc>
          <w:tcPr>
            <w:tcW w:w="1139" w:type="dxa"/>
          </w:tcPr>
          <w:p w14:paraId="26FC7EFC" w14:textId="77777777" w:rsidR="009C485F" w:rsidRPr="004272B3" w:rsidRDefault="009C485F" w:rsidP="009C485F">
            <w:pPr>
              <w:jc w:val="center"/>
              <w:rPr>
                <w:lang w:val="en-US"/>
              </w:rPr>
            </w:pPr>
            <w:r w:rsidRPr="004272B3">
              <w:rPr>
                <w:lang w:val="en-US"/>
              </w:rPr>
              <w:t>17.46 (5.03)</w:t>
            </w:r>
          </w:p>
        </w:tc>
        <w:tc>
          <w:tcPr>
            <w:tcW w:w="1275" w:type="dxa"/>
          </w:tcPr>
          <w:p w14:paraId="3FA03FDF" w14:textId="77777777" w:rsidR="009C485F" w:rsidRPr="004272B3" w:rsidRDefault="009C485F" w:rsidP="009C485F">
            <w:pPr>
              <w:jc w:val="center"/>
              <w:rPr>
                <w:lang w:val="en-US"/>
              </w:rPr>
            </w:pPr>
            <w:r w:rsidRPr="004272B3">
              <w:rPr>
                <w:lang w:val="en-US"/>
              </w:rPr>
              <w:t xml:space="preserve">19.68 </w:t>
            </w:r>
          </w:p>
          <w:p w14:paraId="01BF1BF1" w14:textId="77777777" w:rsidR="009C485F" w:rsidRPr="004272B3" w:rsidRDefault="009C485F" w:rsidP="009C485F">
            <w:pPr>
              <w:jc w:val="center"/>
              <w:rPr>
                <w:lang w:val="en-US"/>
              </w:rPr>
            </w:pPr>
            <w:r w:rsidRPr="004272B3">
              <w:rPr>
                <w:lang w:val="en-US"/>
              </w:rPr>
              <w:t>(5.91)</w:t>
            </w:r>
          </w:p>
        </w:tc>
      </w:tr>
      <w:tr w:rsidR="004272B3" w:rsidRPr="004272B3" w14:paraId="41BF6A65" w14:textId="77777777" w:rsidTr="009C485F">
        <w:tc>
          <w:tcPr>
            <w:tcW w:w="795" w:type="dxa"/>
          </w:tcPr>
          <w:p w14:paraId="5541046C" w14:textId="77777777" w:rsidR="009C485F" w:rsidRPr="004272B3" w:rsidRDefault="009C485F" w:rsidP="009C485F">
            <w:pPr>
              <w:rPr>
                <w:lang w:val="en-US"/>
              </w:rPr>
            </w:pPr>
            <w:r w:rsidRPr="004272B3">
              <w:rPr>
                <w:lang w:val="en-US"/>
              </w:rPr>
              <w:t>LBS</w:t>
            </w:r>
          </w:p>
        </w:tc>
        <w:tc>
          <w:tcPr>
            <w:tcW w:w="532" w:type="dxa"/>
          </w:tcPr>
          <w:p w14:paraId="3A53999F" w14:textId="77777777" w:rsidR="009C485F" w:rsidRPr="004272B3" w:rsidRDefault="009C485F" w:rsidP="009C485F">
            <w:pPr>
              <w:jc w:val="center"/>
              <w:rPr>
                <w:lang w:val="en-US"/>
              </w:rPr>
            </w:pPr>
            <w:r w:rsidRPr="004272B3">
              <w:rPr>
                <w:lang w:val="en-US"/>
              </w:rPr>
              <w:t>1</w:t>
            </w:r>
          </w:p>
        </w:tc>
        <w:tc>
          <w:tcPr>
            <w:tcW w:w="610" w:type="dxa"/>
          </w:tcPr>
          <w:p w14:paraId="3439424D" w14:textId="77777777" w:rsidR="009C485F" w:rsidRPr="004272B3" w:rsidRDefault="009C485F" w:rsidP="009C485F">
            <w:pPr>
              <w:jc w:val="center"/>
              <w:rPr>
                <w:lang w:val="en-US"/>
              </w:rPr>
            </w:pPr>
            <w:r w:rsidRPr="004272B3">
              <w:rPr>
                <w:lang w:val="en-US"/>
              </w:rPr>
              <w:t>43</w:t>
            </w:r>
          </w:p>
        </w:tc>
        <w:tc>
          <w:tcPr>
            <w:tcW w:w="750" w:type="dxa"/>
          </w:tcPr>
          <w:p w14:paraId="13B16023" w14:textId="77777777" w:rsidR="009C485F" w:rsidRPr="004272B3" w:rsidRDefault="009C485F" w:rsidP="009C485F">
            <w:pPr>
              <w:jc w:val="center"/>
              <w:rPr>
                <w:lang w:val="en-US"/>
              </w:rPr>
            </w:pPr>
            <w:r w:rsidRPr="004272B3">
              <w:rPr>
                <w:lang w:val="en-US"/>
              </w:rPr>
              <w:t>12.84</w:t>
            </w:r>
          </w:p>
        </w:tc>
        <w:tc>
          <w:tcPr>
            <w:tcW w:w="780" w:type="dxa"/>
          </w:tcPr>
          <w:p w14:paraId="16C1E23A" w14:textId="77777777" w:rsidR="009C485F" w:rsidRPr="004272B3" w:rsidRDefault="009C485F" w:rsidP="009C485F">
            <w:pPr>
              <w:jc w:val="center"/>
              <w:rPr>
                <w:lang w:val="en-US"/>
              </w:rPr>
            </w:pPr>
            <w:r w:rsidRPr="004272B3">
              <w:rPr>
                <w:lang w:val="en-US"/>
              </w:rPr>
              <w:t>&lt;.001</w:t>
            </w:r>
          </w:p>
        </w:tc>
        <w:tc>
          <w:tcPr>
            <w:tcW w:w="631" w:type="dxa"/>
          </w:tcPr>
          <w:p w14:paraId="271097CC" w14:textId="77777777" w:rsidR="009C485F" w:rsidRPr="004272B3" w:rsidRDefault="009C485F" w:rsidP="009C485F">
            <w:pPr>
              <w:jc w:val="center"/>
              <w:rPr>
                <w:lang w:val="en-US"/>
              </w:rPr>
            </w:pPr>
            <w:r w:rsidRPr="004272B3">
              <w:rPr>
                <w:lang w:val="en-US"/>
              </w:rPr>
              <w:t>.230</w:t>
            </w:r>
          </w:p>
        </w:tc>
        <w:tc>
          <w:tcPr>
            <w:tcW w:w="860" w:type="dxa"/>
          </w:tcPr>
          <w:p w14:paraId="429C46F3" w14:textId="77777777" w:rsidR="009C485F" w:rsidRPr="004272B3" w:rsidRDefault="009C485F" w:rsidP="009C485F">
            <w:pPr>
              <w:jc w:val="center"/>
              <w:rPr>
                <w:lang w:val="en-US"/>
              </w:rPr>
            </w:pPr>
            <w:r w:rsidRPr="004272B3">
              <w:rPr>
                <w:lang w:val="en-US"/>
              </w:rPr>
              <w:t>33.41</w:t>
            </w:r>
          </w:p>
          <w:p w14:paraId="005AA9F4" w14:textId="77777777" w:rsidR="009C485F" w:rsidRPr="004272B3" w:rsidRDefault="009C485F" w:rsidP="009C485F">
            <w:pPr>
              <w:jc w:val="center"/>
              <w:rPr>
                <w:lang w:val="en-US"/>
              </w:rPr>
            </w:pPr>
            <w:r w:rsidRPr="004272B3">
              <w:rPr>
                <w:lang w:val="en-US"/>
              </w:rPr>
              <w:t>(7.44)</w:t>
            </w:r>
          </w:p>
        </w:tc>
        <w:tc>
          <w:tcPr>
            <w:tcW w:w="1133" w:type="dxa"/>
          </w:tcPr>
          <w:p w14:paraId="3136A8AB" w14:textId="77777777" w:rsidR="009C485F" w:rsidRPr="004272B3" w:rsidRDefault="009C485F" w:rsidP="009C485F">
            <w:pPr>
              <w:jc w:val="center"/>
              <w:rPr>
                <w:lang w:val="en-US"/>
              </w:rPr>
            </w:pPr>
            <w:r w:rsidRPr="004272B3">
              <w:rPr>
                <w:lang w:val="en-US"/>
              </w:rPr>
              <w:t>23.84</w:t>
            </w:r>
          </w:p>
          <w:p w14:paraId="18F1765A" w14:textId="77777777" w:rsidR="009C485F" w:rsidRPr="004272B3" w:rsidRDefault="009C485F" w:rsidP="009C485F">
            <w:pPr>
              <w:jc w:val="center"/>
              <w:rPr>
                <w:lang w:val="en-US"/>
              </w:rPr>
            </w:pPr>
            <w:r w:rsidRPr="004272B3">
              <w:rPr>
                <w:lang w:val="en-US"/>
              </w:rPr>
              <w:t>(9.32)</w:t>
            </w:r>
          </w:p>
        </w:tc>
        <w:tc>
          <w:tcPr>
            <w:tcW w:w="1139" w:type="dxa"/>
          </w:tcPr>
          <w:p w14:paraId="02560E7A" w14:textId="77777777" w:rsidR="009C485F" w:rsidRPr="004272B3" w:rsidRDefault="009C485F" w:rsidP="009C485F">
            <w:pPr>
              <w:jc w:val="center"/>
              <w:rPr>
                <w:lang w:val="en-US"/>
              </w:rPr>
            </w:pPr>
            <w:r w:rsidRPr="004272B3">
              <w:rPr>
                <w:lang w:val="en-US"/>
              </w:rPr>
              <w:t>34.50</w:t>
            </w:r>
          </w:p>
          <w:p w14:paraId="3A75FF24" w14:textId="77777777" w:rsidR="009C485F" w:rsidRPr="004272B3" w:rsidRDefault="009C485F" w:rsidP="009C485F">
            <w:pPr>
              <w:jc w:val="center"/>
              <w:rPr>
                <w:lang w:val="en-US"/>
              </w:rPr>
            </w:pPr>
            <w:r w:rsidRPr="004272B3">
              <w:rPr>
                <w:lang w:val="en-US"/>
              </w:rPr>
              <w:t>(8.01)</w:t>
            </w:r>
          </w:p>
        </w:tc>
        <w:tc>
          <w:tcPr>
            <w:tcW w:w="1275" w:type="dxa"/>
          </w:tcPr>
          <w:p w14:paraId="5BC9D0FC" w14:textId="77777777" w:rsidR="009C485F" w:rsidRPr="004272B3" w:rsidRDefault="009C485F" w:rsidP="009C485F">
            <w:pPr>
              <w:jc w:val="center"/>
              <w:rPr>
                <w:lang w:val="en-US"/>
              </w:rPr>
            </w:pPr>
            <w:r w:rsidRPr="004272B3">
              <w:rPr>
                <w:lang w:val="en-US"/>
              </w:rPr>
              <w:t>30.00</w:t>
            </w:r>
          </w:p>
          <w:p w14:paraId="68633A45" w14:textId="77777777" w:rsidR="009C485F" w:rsidRPr="004272B3" w:rsidRDefault="009C485F" w:rsidP="009C485F">
            <w:pPr>
              <w:jc w:val="center"/>
              <w:rPr>
                <w:lang w:val="en-US"/>
              </w:rPr>
            </w:pPr>
            <w:r w:rsidRPr="004272B3">
              <w:rPr>
                <w:lang w:val="en-US"/>
              </w:rPr>
              <w:t>(10.63)</w:t>
            </w:r>
          </w:p>
        </w:tc>
      </w:tr>
    </w:tbl>
    <w:p w14:paraId="02FB344D" w14:textId="7A121349" w:rsidR="009C485F" w:rsidRPr="004272B3" w:rsidRDefault="009C485F" w:rsidP="00846BBC">
      <w:pPr>
        <w:rPr>
          <w:rFonts w:ascii="Times New Roman" w:hAnsi="Times New Roman" w:cs="Times New Roman"/>
          <w:sz w:val="20"/>
          <w:szCs w:val="20"/>
          <w:lang w:val="en-US"/>
        </w:rPr>
      </w:pPr>
    </w:p>
    <w:p w14:paraId="227AC2E5" w14:textId="77777777" w:rsidR="009C485F" w:rsidRPr="004272B3" w:rsidRDefault="009C485F" w:rsidP="00846BBC">
      <w:pPr>
        <w:rPr>
          <w:rFonts w:ascii="Times New Roman" w:hAnsi="Times New Roman" w:cs="Times New Roman"/>
          <w:sz w:val="20"/>
          <w:szCs w:val="20"/>
          <w:lang w:val="en-US"/>
        </w:rPr>
      </w:pPr>
    </w:p>
    <w:p w14:paraId="711DDB01" w14:textId="2DED484B" w:rsidR="00846BBC" w:rsidRPr="004272B3" w:rsidRDefault="00846BBC" w:rsidP="00846BBC">
      <w:pPr>
        <w:rPr>
          <w:rFonts w:ascii="Times New Roman" w:hAnsi="Times New Roman" w:cs="Times New Roman"/>
          <w:sz w:val="20"/>
          <w:szCs w:val="20"/>
          <w:lang w:val="en-US"/>
        </w:rPr>
      </w:pPr>
      <w:r w:rsidRPr="004272B3">
        <w:rPr>
          <w:rFonts w:ascii="Times New Roman" w:hAnsi="Times New Roman" w:cs="Times New Roman"/>
          <w:sz w:val="20"/>
          <w:szCs w:val="20"/>
          <w:lang w:val="en-US"/>
        </w:rPr>
        <w:t xml:space="preserve">Note: </w:t>
      </w:r>
      <w:r w:rsidR="00E47978" w:rsidRPr="004272B3">
        <w:rPr>
          <w:rFonts w:ascii="Times New Roman" w:hAnsi="Times New Roman" w:cs="Times New Roman"/>
          <w:sz w:val="20"/>
          <w:szCs w:val="20"/>
          <w:lang w:val="en-GB"/>
        </w:rPr>
        <w:t xml:space="preserve">ASD-: ASD-only diagnosis; ASD+: co-occurrence of ASD+ADHD; </w:t>
      </w:r>
      <w:r w:rsidRPr="004272B3">
        <w:rPr>
          <w:rFonts w:ascii="Times New Roman" w:hAnsi="Times New Roman" w:cs="Times New Roman"/>
          <w:sz w:val="20"/>
          <w:szCs w:val="20"/>
          <w:lang w:val="en-US"/>
        </w:rPr>
        <w:t xml:space="preserve">BRI: behaviour regulation index; </w:t>
      </w:r>
      <w:proofErr w:type="spellStart"/>
      <w:r w:rsidRPr="004272B3">
        <w:rPr>
          <w:rFonts w:ascii="Times New Roman" w:hAnsi="Times New Roman" w:cs="Times New Roman"/>
          <w:sz w:val="20"/>
          <w:szCs w:val="20"/>
          <w:lang w:val="en-US"/>
        </w:rPr>
        <w:t>dfd</w:t>
      </w:r>
      <w:proofErr w:type="spellEnd"/>
      <w:r w:rsidRPr="004272B3">
        <w:rPr>
          <w:rFonts w:ascii="Times New Roman" w:hAnsi="Times New Roman" w:cs="Times New Roman"/>
          <w:sz w:val="20"/>
          <w:szCs w:val="20"/>
          <w:lang w:val="en-US"/>
        </w:rPr>
        <w:t xml:space="preserve">: degrees of freedom error denominator; </w:t>
      </w:r>
      <w:proofErr w:type="spellStart"/>
      <w:r w:rsidRPr="004272B3">
        <w:rPr>
          <w:rFonts w:ascii="Times New Roman" w:hAnsi="Times New Roman" w:cs="Times New Roman"/>
          <w:sz w:val="20"/>
          <w:szCs w:val="20"/>
          <w:lang w:val="en-US"/>
        </w:rPr>
        <w:t>dfn</w:t>
      </w:r>
      <w:proofErr w:type="spellEnd"/>
      <w:r w:rsidRPr="004272B3">
        <w:rPr>
          <w:rFonts w:ascii="Times New Roman" w:hAnsi="Times New Roman" w:cs="Times New Roman"/>
          <w:sz w:val="20"/>
          <w:szCs w:val="20"/>
          <w:lang w:val="en-US"/>
        </w:rPr>
        <w:t xml:space="preserve">: degrees of freedom error numerator; MI: metacognitive index; </w:t>
      </w:r>
      <w:proofErr w:type="spellStart"/>
      <w:r w:rsidRPr="004272B3">
        <w:rPr>
          <w:rFonts w:ascii="Times New Roman" w:hAnsi="Times New Roman" w:cs="Times New Roman"/>
          <w:sz w:val="20"/>
          <w:szCs w:val="20"/>
          <w:lang w:val="en-US"/>
        </w:rPr>
        <w:t>ToMI</w:t>
      </w:r>
      <w:proofErr w:type="spellEnd"/>
      <w:r w:rsidRPr="004272B3">
        <w:rPr>
          <w:rFonts w:ascii="Times New Roman" w:hAnsi="Times New Roman" w:cs="Times New Roman"/>
          <w:sz w:val="20"/>
          <w:szCs w:val="20"/>
          <w:lang w:val="en-US"/>
        </w:rPr>
        <w:t xml:space="preserve">: theory of mind inventory; SDQ: strengths and difficulties questionnaire; LBS: learning behaviour scale; SD: standard deviation; </w:t>
      </w:r>
      <m:oMath>
        <m:sSub>
          <m:sSubPr>
            <m:ctrlPr>
              <w:rPr>
                <w:rFonts w:ascii="Cambria Math" w:hAnsi="Cambria Math" w:cs="Times New Roman"/>
                <w:i/>
                <w:sz w:val="20"/>
                <w:szCs w:val="20"/>
                <w:lang w:val="en-US"/>
              </w:rPr>
            </m:ctrlPr>
          </m:sSubPr>
          <m:e>
            <m:acc>
              <m:accPr>
                <m:chr m:val="̅"/>
                <m:ctrlPr>
                  <w:rPr>
                    <w:rFonts w:ascii="Cambria Math" w:hAnsi="Cambria Math" w:cs="Times New Roman"/>
                    <w:i/>
                    <w:sz w:val="20"/>
                    <w:szCs w:val="20"/>
                    <w:lang w:val="en-US"/>
                  </w:rPr>
                </m:ctrlPr>
              </m:accPr>
              <m:e>
                <m:r>
                  <w:rPr>
                    <w:rFonts w:ascii="Cambria Math" w:hAnsi="Cambria Math" w:cs="Times New Roman"/>
                    <w:sz w:val="20"/>
                    <w:szCs w:val="20"/>
                    <w:lang w:val="en-US"/>
                  </w:rPr>
                  <m:t>X</m:t>
                </m:r>
              </m:e>
            </m:acc>
          </m:e>
          <m:sub>
            <m:r>
              <w:rPr>
                <w:rFonts w:ascii="Cambria Math" w:hAnsi="Cambria Math" w:cs="Times New Roman"/>
                <w:sz w:val="20"/>
                <w:szCs w:val="20"/>
                <w:lang w:val="en-US"/>
              </w:rPr>
              <m:t>1</m:t>
            </m:r>
          </m:sub>
        </m:sSub>
        <m:r>
          <w:rPr>
            <w:rFonts w:ascii="Cambria Math" w:hAnsi="Cambria Math" w:cs="Times New Roman"/>
            <w:sz w:val="20"/>
            <w:szCs w:val="20"/>
            <w:lang w:val="en-US"/>
          </w:rPr>
          <m:t>:</m:t>
        </m:r>
        <m:r>
          <m:rPr>
            <m:sty m:val="p"/>
          </m:rPr>
          <w:rPr>
            <w:rFonts w:ascii="Cambria Math" w:hAnsi="Cambria Math" w:cs="Times New Roman"/>
            <w:sz w:val="20"/>
            <w:szCs w:val="20"/>
            <w:lang w:val="en-US"/>
          </w:rPr>
          <m:t>mean T1</m:t>
        </m:r>
        <m:r>
          <w:rPr>
            <w:rFonts w:ascii="Cambria Math" w:hAnsi="Cambria Math" w:cs="Times New Roman"/>
            <w:sz w:val="20"/>
            <w:szCs w:val="20"/>
            <w:lang w:val="en-US"/>
          </w:rPr>
          <m:t xml:space="preserve">; </m:t>
        </m:r>
        <m:sSub>
          <m:sSubPr>
            <m:ctrlPr>
              <w:rPr>
                <w:rFonts w:ascii="Cambria Math" w:hAnsi="Cambria Math" w:cs="Times New Roman"/>
                <w:i/>
                <w:sz w:val="20"/>
                <w:szCs w:val="20"/>
                <w:lang w:val="en-US"/>
              </w:rPr>
            </m:ctrlPr>
          </m:sSubPr>
          <m:e>
            <m:acc>
              <m:accPr>
                <m:chr m:val="̅"/>
                <m:ctrlPr>
                  <w:rPr>
                    <w:rFonts w:ascii="Cambria Math" w:hAnsi="Cambria Math" w:cs="Times New Roman"/>
                    <w:i/>
                    <w:sz w:val="20"/>
                    <w:szCs w:val="20"/>
                    <w:lang w:val="en-US"/>
                  </w:rPr>
                </m:ctrlPr>
              </m:accPr>
              <m:e>
                <m:r>
                  <w:rPr>
                    <w:rFonts w:ascii="Cambria Math" w:hAnsi="Cambria Math" w:cs="Times New Roman"/>
                    <w:sz w:val="20"/>
                    <w:szCs w:val="20"/>
                    <w:lang w:val="en-US"/>
                  </w:rPr>
                  <m:t>X</m:t>
                </m:r>
              </m:e>
            </m:acc>
          </m:e>
          <m:sub>
            <m:r>
              <w:rPr>
                <w:rFonts w:ascii="Cambria Math" w:hAnsi="Cambria Math" w:cs="Times New Roman"/>
                <w:sz w:val="20"/>
                <w:szCs w:val="20"/>
                <w:lang w:val="en-US"/>
              </w:rPr>
              <m:t>2</m:t>
            </m:r>
          </m:sub>
        </m:sSub>
        <m:r>
          <w:rPr>
            <w:rFonts w:ascii="Cambria Math" w:hAnsi="Cambria Math" w:cs="Times New Roman"/>
            <w:sz w:val="20"/>
            <w:szCs w:val="20"/>
            <w:lang w:val="en-US"/>
          </w:rPr>
          <m:t xml:space="preserve">: </m:t>
        </m:r>
        <m:r>
          <m:rPr>
            <m:sty m:val="p"/>
          </m:rPr>
          <w:rPr>
            <w:rFonts w:ascii="Cambria Math" w:hAnsi="Cambria Math" w:cs="Times New Roman"/>
            <w:sz w:val="20"/>
            <w:szCs w:val="20"/>
            <w:lang w:val="en-US"/>
          </w:rPr>
          <m:t>mean T2</m:t>
        </m:r>
      </m:oMath>
    </w:p>
    <w:p w14:paraId="216799FF" w14:textId="77777777" w:rsidR="00846BBC" w:rsidRPr="004272B3" w:rsidRDefault="00846BBC" w:rsidP="00846BBC">
      <w:pPr>
        <w:rPr>
          <w:rFonts w:ascii="Times New Roman" w:hAnsi="Times New Roman" w:cs="Times New Roman"/>
          <w:lang w:val="en-US"/>
        </w:rPr>
      </w:pPr>
    </w:p>
    <w:p w14:paraId="1E8B7D04" w14:textId="77777777" w:rsidR="00846BBC" w:rsidRPr="004272B3" w:rsidRDefault="00846BBC" w:rsidP="00846BBC">
      <w:pPr>
        <w:rPr>
          <w:rFonts w:ascii="Times New Roman" w:hAnsi="Times New Roman" w:cs="Times New Roman"/>
          <w:lang w:val="en-US"/>
        </w:rPr>
      </w:pPr>
    </w:p>
    <w:p w14:paraId="6847D0D3" w14:textId="77777777" w:rsidR="00846BBC" w:rsidRPr="004272B3" w:rsidRDefault="00846BBC" w:rsidP="00846BBC">
      <w:pPr>
        <w:rPr>
          <w:lang w:val="en-US"/>
        </w:rPr>
      </w:pPr>
    </w:p>
    <w:p w14:paraId="26232EB5" w14:textId="77777777" w:rsidR="00846BBC" w:rsidRPr="004272B3" w:rsidRDefault="00846BBC" w:rsidP="00846BBC">
      <w:pPr>
        <w:rPr>
          <w:lang w:val="en-US"/>
        </w:rPr>
      </w:pPr>
    </w:p>
    <w:p w14:paraId="2EC3997E" w14:textId="77777777" w:rsidR="00846BBC" w:rsidRPr="004272B3" w:rsidRDefault="00846BBC" w:rsidP="00846BBC">
      <w:pPr>
        <w:rPr>
          <w:lang w:val="en-US"/>
        </w:rPr>
      </w:pPr>
    </w:p>
    <w:p w14:paraId="20E4320B" w14:textId="77777777" w:rsidR="00846BBC" w:rsidRPr="004272B3" w:rsidRDefault="00846BBC" w:rsidP="00846BBC">
      <w:pPr>
        <w:rPr>
          <w:lang w:val="en-US"/>
        </w:rPr>
      </w:pPr>
    </w:p>
    <w:p w14:paraId="6D609D78" w14:textId="77777777" w:rsidR="00846BBC" w:rsidRPr="004272B3" w:rsidRDefault="00846BBC" w:rsidP="00846BBC">
      <w:pPr>
        <w:rPr>
          <w:lang w:val="en-US"/>
        </w:rPr>
      </w:pPr>
    </w:p>
    <w:p w14:paraId="2E85FDC1" w14:textId="77777777" w:rsidR="00846BBC" w:rsidRPr="004272B3" w:rsidRDefault="00846BBC" w:rsidP="00846BBC">
      <w:pPr>
        <w:rPr>
          <w:lang w:val="en-US"/>
        </w:rPr>
      </w:pPr>
    </w:p>
    <w:p w14:paraId="6564A403" w14:textId="77777777" w:rsidR="00846BBC" w:rsidRPr="004272B3" w:rsidRDefault="00846BBC" w:rsidP="00846BBC">
      <w:pPr>
        <w:rPr>
          <w:lang w:val="en-US"/>
        </w:rPr>
      </w:pPr>
    </w:p>
    <w:p w14:paraId="60F4EB31" w14:textId="77777777" w:rsidR="00846BBC" w:rsidRPr="004272B3" w:rsidRDefault="00846BBC" w:rsidP="00846BBC">
      <w:pPr>
        <w:rPr>
          <w:lang w:val="en-US"/>
        </w:rPr>
      </w:pPr>
    </w:p>
    <w:p w14:paraId="2EEFAA6B" w14:textId="77777777" w:rsidR="00846BBC" w:rsidRPr="004272B3" w:rsidRDefault="00846BBC" w:rsidP="00846BBC">
      <w:pPr>
        <w:rPr>
          <w:lang w:val="en-US"/>
        </w:rPr>
      </w:pPr>
    </w:p>
    <w:p w14:paraId="3B6988C3" w14:textId="77777777" w:rsidR="00846BBC" w:rsidRPr="004272B3" w:rsidRDefault="00846BBC" w:rsidP="00846BBC">
      <w:pPr>
        <w:rPr>
          <w:lang w:val="en-US"/>
        </w:rPr>
      </w:pPr>
    </w:p>
    <w:p w14:paraId="5AB07C07" w14:textId="77777777" w:rsidR="00846BBC" w:rsidRPr="004272B3" w:rsidRDefault="00846BBC" w:rsidP="00846BBC">
      <w:pPr>
        <w:rPr>
          <w:lang w:val="en-US"/>
        </w:rPr>
      </w:pPr>
    </w:p>
    <w:p w14:paraId="3F92F48E" w14:textId="77777777" w:rsidR="00846BBC" w:rsidRPr="004272B3" w:rsidRDefault="00846BBC" w:rsidP="00846BBC">
      <w:pPr>
        <w:rPr>
          <w:lang w:val="en-US"/>
        </w:rPr>
      </w:pPr>
    </w:p>
    <w:p w14:paraId="03BCC787" w14:textId="77777777" w:rsidR="00846BBC" w:rsidRPr="004272B3" w:rsidRDefault="00846BBC" w:rsidP="00846BBC">
      <w:pPr>
        <w:rPr>
          <w:lang w:val="en-US"/>
        </w:rPr>
      </w:pPr>
    </w:p>
    <w:p w14:paraId="7C3F34A5" w14:textId="77777777" w:rsidR="00846BBC" w:rsidRPr="004272B3" w:rsidRDefault="00846BBC" w:rsidP="00846BBC">
      <w:pPr>
        <w:rPr>
          <w:lang w:val="en-US"/>
        </w:rPr>
      </w:pPr>
    </w:p>
    <w:p w14:paraId="1FD39D66" w14:textId="77777777" w:rsidR="00846BBC" w:rsidRPr="004272B3" w:rsidRDefault="00846BBC" w:rsidP="00846BBC">
      <w:pPr>
        <w:rPr>
          <w:lang w:val="en-US"/>
        </w:rPr>
      </w:pPr>
    </w:p>
    <w:p w14:paraId="144A047C" w14:textId="77777777" w:rsidR="00846BBC" w:rsidRPr="004272B3" w:rsidRDefault="00846BBC" w:rsidP="00846BBC">
      <w:pPr>
        <w:rPr>
          <w:lang w:val="en-US"/>
        </w:rPr>
      </w:pPr>
    </w:p>
    <w:p w14:paraId="769AC5E3" w14:textId="77777777" w:rsidR="00846BBC" w:rsidRPr="004272B3" w:rsidRDefault="00846BBC" w:rsidP="00846BBC">
      <w:pPr>
        <w:rPr>
          <w:lang w:val="en-US"/>
        </w:rPr>
      </w:pPr>
    </w:p>
    <w:p w14:paraId="2883F222" w14:textId="77777777" w:rsidR="00846BBC" w:rsidRPr="004272B3" w:rsidRDefault="00846BBC" w:rsidP="00846BBC">
      <w:pPr>
        <w:rPr>
          <w:lang w:val="en-US"/>
        </w:rPr>
      </w:pPr>
    </w:p>
    <w:p w14:paraId="68ECB8D3" w14:textId="77777777" w:rsidR="00846BBC" w:rsidRPr="004272B3" w:rsidRDefault="00846BBC" w:rsidP="00846BBC">
      <w:pPr>
        <w:rPr>
          <w:rFonts w:ascii="Times New Roman" w:hAnsi="Times New Roman" w:cs="Times New Roman"/>
          <w:sz w:val="20"/>
          <w:szCs w:val="20"/>
          <w:lang w:val="en-US"/>
        </w:rPr>
      </w:pPr>
      <w:r w:rsidRPr="004272B3">
        <w:rPr>
          <w:rFonts w:ascii="Times New Roman" w:hAnsi="Times New Roman" w:cs="Times New Roman"/>
          <w:b/>
          <w:lang w:val="en-US"/>
        </w:rPr>
        <w:lastRenderedPageBreak/>
        <w:t>Table 3.</w:t>
      </w:r>
      <w:r w:rsidRPr="004272B3">
        <w:rPr>
          <w:rFonts w:ascii="Times New Roman" w:hAnsi="Times New Roman" w:cs="Times New Roman"/>
          <w:lang w:val="en-US"/>
        </w:rPr>
        <w:t xml:space="preserve"> Percentage of participants in the ASD- and ASD+ groups </w:t>
      </w:r>
      <w:r w:rsidRPr="004272B3">
        <w:rPr>
          <w:rFonts w:ascii="Times New Roman" w:hAnsi="Times New Roman" w:cs="Times New Roman"/>
          <w:lang w:val="en"/>
        </w:rPr>
        <w:t>that exceeded the clinical cut-off points</w:t>
      </w:r>
      <w:r w:rsidRPr="004272B3">
        <w:rPr>
          <w:rFonts w:ascii="Times New Roman" w:hAnsi="Times New Roman" w:cs="Times New Roman"/>
          <w:lang w:val="en-US"/>
        </w:rPr>
        <w:t xml:space="preserve"> on the different domains assessed.</w:t>
      </w:r>
    </w:p>
    <w:p w14:paraId="5C7B5E04" w14:textId="77777777" w:rsidR="00846BBC" w:rsidRPr="004272B3" w:rsidRDefault="00846BBC" w:rsidP="00846BBC">
      <w:pPr>
        <w:rPr>
          <w:rFonts w:ascii="Times New Roman" w:hAnsi="Times New Roman" w:cs="Times New Roman"/>
          <w:sz w:val="20"/>
          <w:szCs w:val="20"/>
          <w:lang w:val="en-US"/>
        </w:rPr>
      </w:pPr>
    </w:p>
    <w:p w14:paraId="03D29C12" w14:textId="77777777" w:rsidR="00846BBC" w:rsidRPr="004272B3" w:rsidRDefault="00846BBC" w:rsidP="00846BBC">
      <w:pPr>
        <w:rPr>
          <w:rFonts w:ascii="Times New Roman" w:hAnsi="Times New Roman" w:cs="Times New Roman"/>
          <w:sz w:val="20"/>
          <w:szCs w:val="20"/>
          <w:lang w:val="en-US"/>
        </w:rPr>
      </w:pPr>
    </w:p>
    <w:tbl>
      <w:tblPr>
        <w:tblStyle w:val="TableGrid"/>
        <w:tblpPr w:leftFromText="141" w:rightFromText="141" w:vertAnchor="page" w:horzAnchor="margin" w:tblpY="2951"/>
        <w:tblW w:w="8081" w:type="dxa"/>
        <w:tblLook w:val="04A0" w:firstRow="1" w:lastRow="0" w:firstColumn="1" w:lastColumn="0" w:noHBand="0" w:noVBand="1"/>
      </w:tblPr>
      <w:tblGrid>
        <w:gridCol w:w="1752"/>
        <w:gridCol w:w="1307"/>
        <w:gridCol w:w="1053"/>
        <w:gridCol w:w="992"/>
        <w:gridCol w:w="992"/>
        <w:gridCol w:w="992"/>
        <w:gridCol w:w="993"/>
      </w:tblGrid>
      <w:tr w:rsidR="004272B3" w:rsidRPr="004272B3" w14:paraId="6C54AB1C" w14:textId="77777777" w:rsidTr="00B8693A">
        <w:tc>
          <w:tcPr>
            <w:tcW w:w="1752" w:type="dxa"/>
            <w:tcBorders>
              <w:right w:val="nil"/>
            </w:tcBorders>
          </w:tcPr>
          <w:p w14:paraId="41B9FF22" w14:textId="77777777" w:rsidR="00846BBC" w:rsidRPr="004272B3" w:rsidRDefault="00846BBC" w:rsidP="00B8693A">
            <w:proofErr w:type="spellStart"/>
            <w:r w:rsidRPr="004272B3">
              <w:t>Number</w:t>
            </w:r>
            <w:proofErr w:type="spellEnd"/>
            <w:r w:rsidRPr="004272B3">
              <w:t xml:space="preserve"> </w:t>
            </w:r>
            <w:proofErr w:type="spellStart"/>
            <w:r w:rsidRPr="004272B3">
              <w:t>of</w:t>
            </w:r>
            <w:proofErr w:type="spellEnd"/>
            <w:r w:rsidRPr="004272B3">
              <w:t xml:space="preserve">  </w:t>
            </w:r>
            <w:proofErr w:type="spellStart"/>
            <w:r w:rsidRPr="004272B3">
              <w:t>domains</w:t>
            </w:r>
            <w:proofErr w:type="spellEnd"/>
            <w:r w:rsidRPr="004272B3">
              <w:t xml:space="preserve"> </w:t>
            </w:r>
            <w:proofErr w:type="spellStart"/>
            <w:r w:rsidRPr="004272B3">
              <w:t>affected</w:t>
            </w:r>
            <w:proofErr w:type="spellEnd"/>
          </w:p>
        </w:tc>
        <w:tc>
          <w:tcPr>
            <w:tcW w:w="1307" w:type="dxa"/>
            <w:tcBorders>
              <w:left w:val="nil"/>
            </w:tcBorders>
          </w:tcPr>
          <w:p w14:paraId="177D95B8" w14:textId="77777777" w:rsidR="00846BBC" w:rsidRPr="004272B3" w:rsidRDefault="00846BBC" w:rsidP="00B8693A"/>
        </w:tc>
        <w:tc>
          <w:tcPr>
            <w:tcW w:w="1053" w:type="dxa"/>
          </w:tcPr>
          <w:p w14:paraId="47E56991" w14:textId="77777777" w:rsidR="00846BBC" w:rsidRPr="004272B3" w:rsidRDefault="00846BBC" w:rsidP="00B8693A">
            <w:pPr>
              <w:jc w:val="center"/>
            </w:pPr>
            <w:r w:rsidRPr="004272B3">
              <w:t>1</w:t>
            </w:r>
          </w:p>
        </w:tc>
        <w:tc>
          <w:tcPr>
            <w:tcW w:w="992" w:type="dxa"/>
          </w:tcPr>
          <w:p w14:paraId="470FC295" w14:textId="77777777" w:rsidR="00846BBC" w:rsidRPr="004272B3" w:rsidRDefault="00846BBC" w:rsidP="00B8693A">
            <w:pPr>
              <w:jc w:val="center"/>
            </w:pPr>
            <w:r w:rsidRPr="004272B3">
              <w:t>2</w:t>
            </w:r>
          </w:p>
        </w:tc>
        <w:tc>
          <w:tcPr>
            <w:tcW w:w="992" w:type="dxa"/>
          </w:tcPr>
          <w:p w14:paraId="42A89EFA" w14:textId="77777777" w:rsidR="00846BBC" w:rsidRPr="004272B3" w:rsidRDefault="00846BBC" w:rsidP="00B8693A">
            <w:pPr>
              <w:jc w:val="center"/>
            </w:pPr>
            <w:r w:rsidRPr="004272B3">
              <w:t>3</w:t>
            </w:r>
          </w:p>
        </w:tc>
        <w:tc>
          <w:tcPr>
            <w:tcW w:w="992" w:type="dxa"/>
          </w:tcPr>
          <w:p w14:paraId="59E7B649" w14:textId="77777777" w:rsidR="00846BBC" w:rsidRPr="004272B3" w:rsidRDefault="00846BBC" w:rsidP="00B8693A">
            <w:pPr>
              <w:jc w:val="center"/>
            </w:pPr>
            <w:r w:rsidRPr="004272B3">
              <w:t>4</w:t>
            </w:r>
          </w:p>
        </w:tc>
        <w:tc>
          <w:tcPr>
            <w:tcW w:w="993" w:type="dxa"/>
          </w:tcPr>
          <w:p w14:paraId="2948E3B7" w14:textId="77777777" w:rsidR="00846BBC" w:rsidRPr="004272B3" w:rsidRDefault="00846BBC" w:rsidP="00B8693A">
            <w:pPr>
              <w:jc w:val="center"/>
            </w:pPr>
            <w:r w:rsidRPr="004272B3">
              <w:t>5</w:t>
            </w:r>
          </w:p>
        </w:tc>
      </w:tr>
      <w:tr w:rsidR="004272B3" w:rsidRPr="004272B3" w14:paraId="297BA46E" w14:textId="77777777" w:rsidTr="00B8693A">
        <w:tc>
          <w:tcPr>
            <w:tcW w:w="1752" w:type="dxa"/>
            <w:vMerge w:val="restart"/>
            <w:vAlign w:val="center"/>
          </w:tcPr>
          <w:p w14:paraId="073543E4" w14:textId="77777777" w:rsidR="00846BBC" w:rsidRPr="004272B3" w:rsidRDefault="00846BBC" w:rsidP="00B8693A">
            <w:pPr>
              <w:jc w:val="center"/>
            </w:pPr>
            <w:r w:rsidRPr="004272B3">
              <w:t>T1</w:t>
            </w:r>
          </w:p>
        </w:tc>
        <w:tc>
          <w:tcPr>
            <w:tcW w:w="1307" w:type="dxa"/>
          </w:tcPr>
          <w:p w14:paraId="217A38E7" w14:textId="77777777" w:rsidR="00846BBC" w:rsidRPr="004272B3" w:rsidRDefault="00846BBC" w:rsidP="00B8693A">
            <w:pPr>
              <w:jc w:val="center"/>
            </w:pPr>
            <w:r w:rsidRPr="004272B3">
              <w:t>ASD-</w:t>
            </w:r>
          </w:p>
        </w:tc>
        <w:tc>
          <w:tcPr>
            <w:tcW w:w="1053" w:type="dxa"/>
          </w:tcPr>
          <w:p w14:paraId="68E5BCCC" w14:textId="77777777" w:rsidR="00846BBC" w:rsidRPr="004272B3" w:rsidRDefault="00846BBC" w:rsidP="00B8693A">
            <w:pPr>
              <w:jc w:val="center"/>
            </w:pPr>
            <w:r w:rsidRPr="004272B3">
              <w:t>20%</w:t>
            </w:r>
          </w:p>
        </w:tc>
        <w:tc>
          <w:tcPr>
            <w:tcW w:w="992" w:type="dxa"/>
          </w:tcPr>
          <w:p w14:paraId="5088D7DE" w14:textId="77777777" w:rsidR="00846BBC" w:rsidRPr="004272B3" w:rsidRDefault="00846BBC" w:rsidP="00B8693A">
            <w:pPr>
              <w:jc w:val="center"/>
            </w:pPr>
            <w:r w:rsidRPr="004272B3">
              <w:t>40%</w:t>
            </w:r>
          </w:p>
        </w:tc>
        <w:tc>
          <w:tcPr>
            <w:tcW w:w="992" w:type="dxa"/>
          </w:tcPr>
          <w:p w14:paraId="2CCE3FDC" w14:textId="77777777" w:rsidR="00846BBC" w:rsidRPr="004272B3" w:rsidRDefault="00846BBC" w:rsidP="00B8693A">
            <w:pPr>
              <w:jc w:val="center"/>
            </w:pPr>
            <w:r w:rsidRPr="004272B3">
              <w:t>20%</w:t>
            </w:r>
          </w:p>
        </w:tc>
        <w:tc>
          <w:tcPr>
            <w:tcW w:w="992" w:type="dxa"/>
          </w:tcPr>
          <w:p w14:paraId="7F749716" w14:textId="77777777" w:rsidR="00846BBC" w:rsidRPr="004272B3" w:rsidRDefault="00846BBC" w:rsidP="00B8693A">
            <w:pPr>
              <w:jc w:val="center"/>
            </w:pPr>
            <w:r w:rsidRPr="004272B3">
              <w:t>6.7%</w:t>
            </w:r>
          </w:p>
        </w:tc>
        <w:tc>
          <w:tcPr>
            <w:tcW w:w="993" w:type="dxa"/>
          </w:tcPr>
          <w:p w14:paraId="36D521BA" w14:textId="4FD944E2" w:rsidR="00846BBC" w:rsidRPr="004272B3" w:rsidRDefault="00846BBC" w:rsidP="006D6C62">
            <w:pPr>
              <w:jc w:val="center"/>
            </w:pPr>
            <w:r w:rsidRPr="004272B3">
              <w:t>6</w:t>
            </w:r>
            <w:r w:rsidR="006D6C62" w:rsidRPr="004272B3">
              <w:t>.</w:t>
            </w:r>
            <w:r w:rsidRPr="004272B3">
              <w:t>7%</w:t>
            </w:r>
          </w:p>
        </w:tc>
      </w:tr>
      <w:tr w:rsidR="004272B3" w:rsidRPr="004272B3" w14:paraId="305F3469" w14:textId="77777777" w:rsidTr="00B8693A">
        <w:tc>
          <w:tcPr>
            <w:tcW w:w="1752" w:type="dxa"/>
            <w:vMerge/>
            <w:vAlign w:val="center"/>
          </w:tcPr>
          <w:p w14:paraId="075FCADC" w14:textId="77777777" w:rsidR="00846BBC" w:rsidRPr="004272B3" w:rsidRDefault="00846BBC" w:rsidP="00B8693A">
            <w:pPr>
              <w:jc w:val="center"/>
            </w:pPr>
          </w:p>
        </w:tc>
        <w:tc>
          <w:tcPr>
            <w:tcW w:w="1307" w:type="dxa"/>
          </w:tcPr>
          <w:p w14:paraId="00F6048F" w14:textId="77777777" w:rsidR="00846BBC" w:rsidRPr="004272B3" w:rsidRDefault="00846BBC" w:rsidP="00B8693A">
            <w:pPr>
              <w:jc w:val="center"/>
            </w:pPr>
            <w:r w:rsidRPr="004272B3">
              <w:t>ASD+ADHD</w:t>
            </w:r>
          </w:p>
        </w:tc>
        <w:tc>
          <w:tcPr>
            <w:tcW w:w="1053" w:type="dxa"/>
          </w:tcPr>
          <w:p w14:paraId="7919A2FC" w14:textId="77777777" w:rsidR="00846BBC" w:rsidRPr="004272B3" w:rsidRDefault="00846BBC" w:rsidP="00B8693A">
            <w:pPr>
              <w:jc w:val="center"/>
            </w:pPr>
            <w:r w:rsidRPr="004272B3">
              <w:t>6.7%</w:t>
            </w:r>
          </w:p>
        </w:tc>
        <w:tc>
          <w:tcPr>
            <w:tcW w:w="992" w:type="dxa"/>
          </w:tcPr>
          <w:p w14:paraId="678E90DC" w14:textId="77777777" w:rsidR="00846BBC" w:rsidRPr="004272B3" w:rsidRDefault="00846BBC" w:rsidP="00B8693A">
            <w:pPr>
              <w:jc w:val="center"/>
            </w:pPr>
            <w:r w:rsidRPr="004272B3">
              <w:t>20%</w:t>
            </w:r>
          </w:p>
        </w:tc>
        <w:tc>
          <w:tcPr>
            <w:tcW w:w="992" w:type="dxa"/>
          </w:tcPr>
          <w:p w14:paraId="63584247" w14:textId="77777777" w:rsidR="00846BBC" w:rsidRPr="004272B3" w:rsidRDefault="00846BBC" w:rsidP="00B8693A">
            <w:pPr>
              <w:jc w:val="center"/>
            </w:pPr>
            <w:r w:rsidRPr="004272B3">
              <w:t>10%</w:t>
            </w:r>
          </w:p>
        </w:tc>
        <w:tc>
          <w:tcPr>
            <w:tcW w:w="992" w:type="dxa"/>
          </w:tcPr>
          <w:p w14:paraId="4BF38F62" w14:textId="77777777" w:rsidR="00846BBC" w:rsidRPr="004272B3" w:rsidRDefault="00846BBC" w:rsidP="00B8693A">
            <w:pPr>
              <w:jc w:val="center"/>
            </w:pPr>
            <w:r w:rsidRPr="004272B3">
              <w:t>26.7%</w:t>
            </w:r>
          </w:p>
        </w:tc>
        <w:tc>
          <w:tcPr>
            <w:tcW w:w="993" w:type="dxa"/>
          </w:tcPr>
          <w:p w14:paraId="59D08A87" w14:textId="77777777" w:rsidR="00846BBC" w:rsidRPr="004272B3" w:rsidRDefault="00846BBC" w:rsidP="00B8693A">
            <w:pPr>
              <w:jc w:val="center"/>
            </w:pPr>
            <w:r w:rsidRPr="004272B3">
              <w:t>36.7%</w:t>
            </w:r>
          </w:p>
        </w:tc>
      </w:tr>
      <w:tr w:rsidR="004272B3" w:rsidRPr="004272B3" w14:paraId="7ED3594D" w14:textId="77777777" w:rsidTr="00B8693A">
        <w:tc>
          <w:tcPr>
            <w:tcW w:w="1752" w:type="dxa"/>
            <w:vMerge w:val="restart"/>
            <w:vAlign w:val="center"/>
          </w:tcPr>
          <w:p w14:paraId="4F6A720A" w14:textId="77777777" w:rsidR="00846BBC" w:rsidRPr="004272B3" w:rsidRDefault="00846BBC" w:rsidP="00B8693A">
            <w:pPr>
              <w:jc w:val="center"/>
            </w:pPr>
            <w:r w:rsidRPr="004272B3">
              <w:t>T2</w:t>
            </w:r>
          </w:p>
        </w:tc>
        <w:tc>
          <w:tcPr>
            <w:tcW w:w="1307" w:type="dxa"/>
          </w:tcPr>
          <w:p w14:paraId="41A5D7ED" w14:textId="77777777" w:rsidR="00846BBC" w:rsidRPr="004272B3" w:rsidRDefault="00846BBC" w:rsidP="00B8693A">
            <w:pPr>
              <w:jc w:val="center"/>
            </w:pPr>
            <w:r w:rsidRPr="004272B3">
              <w:t>ASD-</w:t>
            </w:r>
          </w:p>
        </w:tc>
        <w:tc>
          <w:tcPr>
            <w:tcW w:w="1053" w:type="dxa"/>
          </w:tcPr>
          <w:p w14:paraId="12598753" w14:textId="1CBE78A5" w:rsidR="00846BBC" w:rsidRPr="004272B3" w:rsidRDefault="00846BBC" w:rsidP="00B8693A">
            <w:pPr>
              <w:jc w:val="center"/>
            </w:pPr>
            <w:r w:rsidRPr="004272B3">
              <w:t>19</w:t>
            </w:r>
            <w:r w:rsidR="006D6C62" w:rsidRPr="004272B3">
              <w:t>.</w:t>
            </w:r>
            <w:r w:rsidRPr="004272B3">
              <w:t>2%</w:t>
            </w:r>
          </w:p>
        </w:tc>
        <w:tc>
          <w:tcPr>
            <w:tcW w:w="992" w:type="dxa"/>
          </w:tcPr>
          <w:p w14:paraId="0FA94808" w14:textId="7668E1AC" w:rsidR="00846BBC" w:rsidRPr="004272B3" w:rsidRDefault="00846BBC" w:rsidP="00B8693A">
            <w:pPr>
              <w:jc w:val="center"/>
            </w:pPr>
            <w:r w:rsidRPr="004272B3">
              <w:t>26</w:t>
            </w:r>
            <w:r w:rsidR="006D6C62" w:rsidRPr="004272B3">
              <w:t>.</w:t>
            </w:r>
            <w:r w:rsidRPr="004272B3">
              <w:t>9%</w:t>
            </w:r>
          </w:p>
        </w:tc>
        <w:tc>
          <w:tcPr>
            <w:tcW w:w="992" w:type="dxa"/>
          </w:tcPr>
          <w:p w14:paraId="6C3D1C51" w14:textId="7D9879F5" w:rsidR="00846BBC" w:rsidRPr="004272B3" w:rsidRDefault="00846BBC" w:rsidP="00B8693A">
            <w:pPr>
              <w:jc w:val="center"/>
            </w:pPr>
            <w:r w:rsidRPr="004272B3">
              <w:t>23</w:t>
            </w:r>
            <w:r w:rsidR="006D6C62" w:rsidRPr="004272B3">
              <w:t>.</w:t>
            </w:r>
            <w:r w:rsidRPr="004272B3">
              <w:t>1%</w:t>
            </w:r>
          </w:p>
        </w:tc>
        <w:tc>
          <w:tcPr>
            <w:tcW w:w="992" w:type="dxa"/>
          </w:tcPr>
          <w:p w14:paraId="7F743F37" w14:textId="4682A31E" w:rsidR="00846BBC" w:rsidRPr="004272B3" w:rsidRDefault="00846BBC" w:rsidP="00B8693A">
            <w:pPr>
              <w:jc w:val="center"/>
            </w:pPr>
            <w:r w:rsidRPr="004272B3">
              <w:t>26</w:t>
            </w:r>
            <w:r w:rsidR="006D6C62" w:rsidRPr="004272B3">
              <w:t>.</w:t>
            </w:r>
            <w:r w:rsidRPr="004272B3">
              <w:t>9%</w:t>
            </w:r>
          </w:p>
        </w:tc>
        <w:tc>
          <w:tcPr>
            <w:tcW w:w="993" w:type="dxa"/>
          </w:tcPr>
          <w:p w14:paraId="29AA217C" w14:textId="6FDF3249" w:rsidR="00846BBC" w:rsidRPr="004272B3" w:rsidRDefault="00846BBC" w:rsidP="00B8693A">
            <w:pPr>
              <w:jc w:val="center"/>
            </w:pPr>
            <w:r w:rsidRPr="004272B3">
              <w:t>3</w:t>
            </w:r>
            <w:r w:rsidR="006D6C62" w:rsidRPr="004272B3">
              <w:t>.</w:t>
            </w:r>
            <w:r w:rsidRPr="004272B3">
              <w:t>8%</w:t>
            </w:r>
          </w:p>
        </w:tc>
      </w:tr>
      <w:tr w:rsidR="004272B3" w:rsidRPr="004272B3" w14:paraId="6F1F08A2" w14:textId="77777777" w:rsidTr="00B8693A">
        <w:tc>
          <w:tcPr>
            <w:tcW w:w="1752" w:type="dxa"/>
            <w:vMerge/>
          </w:tcPr>
          <w:p w14:paraId="0D15D537" w14:textId="77777777" w:rsidR="00846BBC" w:rsidRPr="004272B3" w:rsidRDefault="00846BBC" w:rsidP="00B8693A">
            <w:pPr>
              <w:jc w:val="center"/>
            </w:pPr>
          </w:p>
        </w:tc>
        <w:tc>
          <w:tcPr>
            <w:tcW w:w="1307" w:type="dxa"/>
          </w:tcPr>
          <w:p w14:paraId="19A1445F" w14:textId="77777777" w:rsidR="00846BBC" w:rsidRPr="004272B3" w:rsidRDefault="00846BBC" w:rsidP="00B8693A">
            <w:pPr>
              <w:jc w:val="center"/>
            </w:pPr>
            <w:r w:rsidRPr="004272B3">
              <w:t>ASD+ADHD</w:t>
            </w:r>
          </w:p>
        </w:tc>
        <w:tc>
          <w:tcPr>
            <w:tcW w:w="1053" w:type="dxa"/>
          </w:tcPr>
          <w:p w14:paraId="5AC8BC7D" w14:textId="3D9D5054" w:rsidR="00846BBC" w:rsidRPr="004272B3" w:rsidRDefault="00846BBC" w:rsidP="00B8693A">
            <w:pPr>
              <w:jc w:val="center"/>
            </w:pPr>
            <w:r w:rsidRPr="004272B3">
              <w:t>10</w:t>
            </w:r>
            <w:r w:rsidR="006D6C62" w:rsidRPr="004272B3">
              <w:t>.</w:t>
            </w:r>
            <w:r w:rsidRPr="004272B3">
              <w:t>5%</w:t>
            </w:r>
          </w:p>
        </w:tc>
        <w:tc>
          <w:tcPr>
            <w:tcW w:w="992" w:type="dxa"/>
          </w:tcPr>
          <w:p w14:paraId="61F3E84A" w14:textId="6E55572F" w:rsidR="00846BBC" w:rsidRPr="004272B3" w:rsidRDefault="00846BBC" w:rsidP="00B8693A">
            <w:pPr>
              <w:jc w:val="center"/>
            </w:pPr>
            <w:r w:rsidRPr="004272B3">
              <w:t>15</w:t>
            </w:r>
            <w:r w:rsidR="006D6C62" w:rsidRPr="004272B3">
              <w:t>.</w:t>
            </w:r>
            <w:r w:rsidRPr="004272B3">
              <w:t>8%</w:t>
            </w:r>
          </w:p>
        </w:tc>
        <w:tc>
          <w:tcPr>
            <w:tcW w:w="992" w:type="dxa"/>
          </w:tcPr>
          <w:p w14:paraId="652359C3" w14:textId="50467700" w:rsidR="00846BBC" w:rsidRPr="004272B3" w:rsidRDefault="00846BBC" w:rsidP="00B8693A">
            <w:pPr>
              <w:jc w:val="center"/>
            </w:pPr>
            <w:r w:rsidRPr="004272B3">
              <w:t>15</w:t>
            </w:r>
            <w:r w:rsidR="006D6C62" w:rsidRPr="004272B3">
              <w:t>.</w:t>
            </w:r>
            <w:r w:rsidRPr="004272B3">
              <w:t>8%</w:t>
            </w:r>
          </w:p>
        </w:tc>
        <w:tc>
          <w:tcPr>
            <w:tcW w:w="992" w:type="dxa"/>
          </w:tcPr>
          <w:p w14:paraId="183789D9" w14:textId="2E86DEE8" w:rsidR="00846BBC" w:rsidRPr="004272B3" w:rsidRDefault="00846BBC" w:rsidP="00B8693A">
            <w:pPr>
              <w:jc w:val="center"/>
            </w:pPr>
            <w:r w:rsidRPr="004272B3">
              <w:t>36</w:t>
            </w:r>
            <w:r w:rsidR="006D6C62" w:rsidRPr="004272B3">
              <w:t>.</w:t>
            </w:r>
            <w:r w:rsidRPr="004272B3">
              <w:t>8%</w:t>
            </w:r>
          </w:p>
        </w:tc>
        <w:tc>
          <w:tcPr>
            <w:tcW w:w="993" w:type="dxa"/>
          </w:tcPr>
          <w:p w14:paraId="25B014EA" w14:textId="6B7AEA32" w:rsidR="00846BBC" w:rsidRPr="004272B3" w:rsidRDefault="00846BBC" w:rsidP="00B8693A">
            <w:pPr>
              <w:jc w:val="center"/>
            </w:pPr>
            <w:r w:rsidRPr="004272B3">
              <w:t>21</w:t>
            </w:r>
            <w:r w:rsidR="006D6C62" w:rsidRPr="004272B3">
              <w:t>.</w:t>
            </w:r>
            <w:r w:rsidRPr="004272B3">
              <w:t>1%</w:t>
            </w:r>
          </w:p>
        </w:tc>
      </w:tr>
    </w:tbl>
    <w:p w14:paraId="149B0E77" w14:textId="77777777" w:rsidR="00846BBC" w:rsidRPr="004272B3" w:rsidRDefault="00846BBC" w:rsidP="00846BBC">
      <w:pPr>
        <w:rPr>
          <w:rFonts w:ascii="Times New Roman" w:hAnsi="Times New Roman" w:cs="Times New Roman"/>
          <w:sz w:val="20"/>
          <w:szCs w:val="20"/>
          <w:lang w:val="en-US"/>
        </w:rPr>
      </w:pPr>
    </w:p>
    <w:p w14:paraId="1B869604" w14:textId="77777777" w:rsidR="00846BBC" w:rsidRPr="004272B3" w:rsidRDefault="00846BBC" w:rsidP="00846BBC">
      <w:pPr>
        <w:rPr>
          <w:rFonts w:ascii="Times New Roman" w:hAnsi="Times New Roman" w:cs="Times New Roman"/>
          <w:lang w:val="en-US"/>
        </w:rPr>
      </w:pPr>
    </w:p>
    <w:p w14:paraId="1535E66E" w14:textId="77777777" w:rsidR="00846BBC" w:rsidRPr="004272B3" w:rsidRDefault="00846BBC" w:rsidP="00846BBC">
      <w:pPr>
        <w:rPr>
          <w:lang w:val="en-US"/>
        </w:rPr>
      </w:pPr>
    </w:p>
    <w:p w14:paraId="4FD5CEAB" w14:textId="77777777" w:rsidR="00846BBC" w:rsidRPr="004272B3" w:rsidRDefault="00846BBC" w:rsidP="00846BBC">
      <w:pPr>
        <w:rPr>
          <w:lang w:val="en-US"/>
        </w:rPr>
      </w:pPr>
    </w:p>
    <w:p w14:paraId="5866659D" w14:textId="77777777" w:rsidR="00846BBC" w:rsidRPr="004272B3" w:rsidRDefault="00846BBC" w:rsidP="00846BBC">
      <w:pPr>
        <w:rPr>
          <w:lang w:val="en-US"/>
        </w:rPr>
      </w:pPr>
    </w:p>
    <w:p w14:paraId="6B551CA9" w14:textId="77777777" w:rsidR="00846BBC" w:rsidRPr="004272B3" w:rsidRDefault="00846BBC" w:rsidP="00846BBC">
      <w:pPr>
        <w:rPr>
          <w:lang w:val="en-US"/>
        </w:rPr>
      </w:pPr>
    </w:p>
    <w:p w14:paraId="3B397D6D" w14:textId="77777777" w:rsidR="00846BBC" w:rsidRPr="004272B3" w:rsidRDefault="00846BBC" w:rsidP="00846BBC">
      <w:pPr>
        <w:rPr>
          <w:lang w:val="en-US"/>
        </w:rPr>
      </w:pPr>
    </w:p>
    <w:p w14:paraId="278D8628" w14:textId="77777777" w:rsidR="00846BBC" w:rsidRPr="004272B3" w:rsidRDefault="00846BBC" w:rsidP="00846BBC">
      <w:pPr>
        <w:rPr>
          <w:lang w:val="en-US"/>
        </w:rPr>
      </w:pPr>
    </w:p>
    <w:p w14:paraId="7B6071E9" w14:textId="77777777" w:rsidR="00846BBC" w:rsidRPr="004272B3" w:rsidRDefault="00846BBC" w:rsidP="00846BBC">
      <w:pPr>
        <w:rPr>
          <w:lang w:val="en-US"/>
        </w:rPr>
      </w:pPr>
    </w:p>
    <w:p w14:paraId="3DFEFF7D" w14:textId="77777777" w:rsidR="00846BBC" w:rsidRPr="004272B3" w:rsidRDefault="00846BBC" w:rsidP="00846BBC">
      <w:pPr>
        <w:rPr>
          <w:lang w:val="en-US"/>
        </w:rPr>
      </w:pPr>
    </w:p>
    <w:p w14:paraId="7A9C4462" w14:textId="77777777" w:rsidR="00846BBC" w:rsidRPr="004272B3" w:rsidRDefault="00846BBC" w:rsidP="00846BBC">
      <w:pPr>
        <w:rPr>
          <w:lang w:val="en-US"/>
        </w:rPr>
      </w:pPr>
    </w:p>
    <w:p w14:paraId="57F86BF8" w14:textId="77777777" w:rsidR="00846BBC" w:rsidRPr="004272B3" w:rsidRDefault="00846BBC" w:rsidP="00846BBC">
      <w:pPr>
        <w:rPr>
          <w:lang w:val="en-US"/>
        </w:rPr>
      </w:pPr>
    </w:p>
    <w:p w14:paraId="7052F969" w14:textId="77777777" w:rsidR="00846BBC" w:rsidRPr="004272B3" w:rsidRDefault="00846BBC" w:rsidP="00846BBC">
      <w:pPr>
        <w:rPr>
          <w:lang w:val="en-US"/>
        </w:rPr>
      </w:pPr>
    </w:p>
    <w:p w14:paraId="3A3715B3" w14:textId="77777777" w:rsidR="00846BBC" w:rsidRPr="004272B3" w:rsidRDefault="00846BBC" w:rsidP="00846BBC">
      <w:pPr>
        <w:rPr>
          <w:lang w:val="en-US"/>
        </w:rPr>
      </w:pPr>
    </w:p>
    <w:p w14:paraId="6E4844DF" w14:textId="77777777" w:rsidR="00846BBC" w:rsidRPr="004272B3" w:rsidRDefault="00846BBC" w:rsidP="00846BBC">
      <w:pPr>
        <w:rPr>
          <w:lang w:val="en-US"/>
        </w:rPr>
      </w:pPr>
    </w:p>
    <w:p w14:paraId="65871ED6" w14:textId="77777777" w:rsidR="00846BBC" w:rsidRPr="004272B3" w:rsidRDefault="00846BBC" w:rsidP="00846BBC">
      <w:pPr>
        <w:rPr>
          <w:lang w:val="en-US"/>
        </w:rPr>
      </w:pPr>
    </w:p>
    <w:p w14:paraId="0BB6F374" w14:textId="77777777" w:rsidR="00846BBC" w:rsidRPr="004272B3" w:rsidRDefault="00846BBC" w:rsidP="00846BBC">
      <w:pPr>
        <w:rPr>
          <w:lang w:val="en-US"/>
        </w:rPr>
      </w:pPr>
    </w:p>
    <w:p w14:paraId="04A65859" w14:textId="77777777" w:rsidR="00846BBC" w:rsidRPr="004272B3" w:rsidRDefault="00846BBC" w:rsidP="00846BBC">
      <w:pPr>
        <w:rPr>
          <w:lang w:val="en-US"/>
        </w:rPr>
      </w:pPr>
    </w:p>
    <w:p w14:paraId="7C981270" w14:textId="77777777" w:rsidR="00846BBC" w:rsidRPr="004272B3" w:rsidRDefault="00846BBC" w:rsidP="00846BBC">
      <w:pPr>
        <w:rPr>
          <w:lang w:val="en-US"/>
        </w:rPr>
      </w:pPr>
    </w:p>
    <w:p w14:paraId="71085728" w14:textId="77777777" w:rsidR="00846BBC" w:rsidRPr="004272B3" w:rsidRDefault="00846BBC" w:rsidP="00846BBC">
      <w:pPr>
        <w:rPr>
          <w:lang w:val="en-US"/>
        </w:rPr>
      </w:pPr>
    </w:p>
    <w:p w14:paraId="68049F20" w14:textId="77777777" w:rsidR="00846BBC" w:rsidRPr="004272B3" w:rsidRDefault="00846BBC" w:rsidP="00846BBC">
      <w:pPr>
        <w:rPr>
          <w:lang w:val="en-US"/>
        </w:rPr>
      </w:pPr>
    </w:p>
    <w:p w14:paraId="145989BC" w14:textId="77777777" w:rsidR="00846BBC" w:rsidRPr="004272B3" w:rsidRDefault="00846BBC" w:rsidP="00846BBC">
      <w:pPr>
        <w:rPr>
          <w:lang w:val="en-US"/>
        </w:rPr>
      </w:pPr>
    </w:p>
    <w:p w14:paraId="4A05B57B" w14:textId="31C0ECD3" w:rsidR="00846BBC" w:rsidRPr="004272B3" w:rsidRDefault="00846BBC" w:rsidP="00846BBC">
      <w:pPr>
        <w:rPr>
          <w:lang w:val="en-US"/>
        </w:rPr>
      </w:pPr>
    </w:p>
    <w:p w14:paraId="514A34DE" w14:textId="26DAF6CD" w:rsidR="00133AE2" w:rsidRPr="004272B3" w:rsidRDefault="00133AE2" w:rsidP="00846BBC">
      <w:pPr>
        <w:rPr>
          <w:lang w:val="en-US"/>
        </w:rPr>
      </w:pPr>
    </w:p>
    <w:p w14:paraId="393ADB42" w14:textId="77777777" w:rsidR="00133AE2" w:rsidRPr="004272B3" w:rsidRDefault="00133AE2" w:rsidP="00846BBC">
      <w:pPr>
        <w:rPr>
          <w:lang w:val="en-US"/>
        </w:rPr>
      </w:pPr>
    </w:p>
    <w:p w14:paraId="2C08B91B" w14:textId="77777777" w:rsidR="00846BBC" w:rsidRPr="004272B3" w:rsidRDefault="00846BBC" w:rsidP="00846BBC">
      <w:pPr>
        <w:pStyle w:val="MDPI41tablecaption"/>
        <w:ind w:left="0"/>
        <w:rPr>
          <w:rFonts w:ascii="Times New Roman" w:hAnsi="Times New Roman"/>
          <w:color w:val="auto"/>
          <w:sz w:val="22"/>
        </w:rPr>
      </w:pPr>
      <w:r w:rsidRPr="004272B3">
        <w:rPr>
          <w:rFonts w:ascii="Times New Roman" w:hAnsi="Times New Roman"/>
          <w:b/>
          <w:color w:val="auto"/>
          <w:sz w:val="22"/>
        </w:rPr>
        <w:lastRenderedPageBreak/>
        <w:t>Table 4.</w:t>
      </w:r>
      <w:r w:rsidRPr="004272B3">
        <w:rPr>
          <w:rFonts w:ascii="Times New Roman" w:hAnsi="Times New Roman"/>
          <w:color w:val="auto"/>
          <w:sz w:val="22"/>
        </w:rPr>
        <w:t xml:space="preserve">  Hierarchical regression analysis for predicting follow-up SCQ scores </w:t>
      </w:r>
    </w:p>
    <w:p w14:paraId="65B21314" w14:textId="77777777" w:rsidR="00846BBC" w:rsidRPr="004272B3" w:rsidRDefault="00846BBC" w:rsidP="00846BBC">
      <w:pPr>
        <w:rPr>
          <w:rFonts w:ascii="Times New Roman" w:hAnsi="Times New Roman" w:cs="Times New Roman"/>
          <w:lang w:val="en-US"/>
        </w:rPr>
      </w:pPr>
    </w:p>
    <w:tbl>
      <w:tblPr>
        <w:tblStyle w:val="TableGrid"/>
        <w:tblW w:w="75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4"/>
        <w:gridCol w:w="761"/>
        <w:gridCol w:w="761"/>
        <w:gridCol w:w="761"/>
        <w:gridCol w:w="760"/>
        <w:gridCol w:w="760"/>
        <w:gridCol w:w="760"/>
        <w:gridCol w:w="760"/>
      </w:tblGrid>
      <w:tr w:rsidR="004272B3" w:rsidRPr="004272B3" w14:paraId="098A0801" w14:textId="77777777" w:rsidTr="00B8693A">
        <w:trPr>
          <w:trHeight w:val="269"/>
          <w:jc w:val="center"/>
        </w:trPr>
        <w:tc>
          <w:tcPr>
            <w:tcW w:w="2264" w:type="dxa"/>
            <w:tcBorders>
              <w:top w:val="single" w:sz="4" w:space="0" w:color="auto"/>
              <w:bottom w:val="single" w:sz="4" w:space="0" w:color="auto"/>
            </w:tcBorders>
            <w:shd w:val="clear" w:color="auto" w:fill="auto"/>
            <w:vAlign w:val="center"/>
          </w:tcPr>
          <w:p w14:paraId="7B92D109" w14:textId="77777777" w:rsidR="00846BBC" w:rsidRPr="004272B3" w:rsidRDefault="00846BBC" w:rsidP="00B8693A">
            <w:pPr>
              <w:jc w:val="both"/>
              <w:rPr>
                <w:b/>
                <w:iCs/>
                <w:sz w:val="22"/>
                <w:szCs w:val="22"/>
              </w:rPr>
            </w:pPr>
            <w:proofErr w:type="spellStart"/>
            <w:r w:rsidRPr="004272B3">
              <w:rPr>
                <w:b/>
                <w:iCs/>
                <w:sz w:val="22"/>
                <w:szCs w:val="22"/>
              </w:rPr>
              <w:t>Baseline</w:t>
            </w:r>
            <w:proofErr w:type="spellEnd"/>
            <w:r w:rsidRPr="004272B3">
              <w:rPr>
                <w:b/>
                <w:iCs/>
                <w:sz w:val="22"/>
                <w:szCs w:val="22"/>
              </w:rPr>
              <w:t xml:space="preserve"> </w:t>
            </w:r>
            <w:proofErr w:type="spellStart"/>
            <w:r w:rsidRPr="004272B3">
              <w:rPr>
                <w:b/>
                <w:iCs/>
                <w:sz w:val="22"/>
                <w:szCs w:val="22"/>
              </w:rPr>
              <w:t>factors</w:t>
            </w:r>
            <w:proofErr w:type="spellEnd"/>
          </w:p>
        </w:tc>
        <w:tc>
          <w:tcPr>
            <w:tcW w:w="761" w:type="dxa"/>
            <w:tcBorders>
              <w:top w:val="single" w:sz="4" w:space="0" w:color="auto"/>
              <w:bottom w:val="single" w:sz="4" w:space="0" w:color="auto"/>
            </w:tcBorders>
          </w:tcPr>
          <w:p w14:paraId="4A6A4041" w14:textId="77777777" w:rsidR="00846BBC" w:rsidRPr="004272B3" w:rsidRDefault="00846BBC" w:rsidP="00B8693A">
            <w:pPr>
              <w:jc w:val="center"/>
              <w:rPr>
                <w:b/>
                <w:sz w:val="22"/>
                <w:szCs w:val="22"/>
              </w:rPr>
            </w:pPr>
            <w:r w:rsidRPr="004272B3">
              <w:rPr>
                <w:b/>
                <w:sz w:val="22"/>
                <w:szCs w:val="22"/>
              </w:rPr>
              <w:t>B</w:t>
            </w:r>
          </w:p>
        </w:tc>
        <w:tc>
          <w:tcPr>
            <w:tcW w:w="761" w:type="dxa"/>
            <w:tcBorders>
              <w:top w:val="single" w:sz="4" w:space="0" w:color="auto"/>
              <w:bottom w:val="single" w:sz="4" w:space="0" w:color="auto"/>
            </w:tcBorders>
          </w:tcPr>
          <w:p w14:paraId="692FCC5C" w14:textId="77777777" w:rsidR="00846BBC" w:rsidRPr="004272B3" w:rsidRDefault="00846BBC" w:rsidP="00B8693A">
            <w:pPr>
              <w:jc w:val="center"/>
              <w:rPr>
                <w:b/>
                <w:sz w:val="22"/>
                <w:szCs w:val="22"/>
              </w:rPr>
            </w:pPr>
            <w:r w:rsidRPr="004272B3">
              <w:rPr>
                <w:b/>
                <w:sz w:val="22"/>
                <w:szCs w:val="22"/>
              </w:rPr>
              <w:t>EE</w:t>
            </w:r>
          </w:p>
        </w:tc>
        <w:tc>
          <w:tcPr>
            <w:tcW w:w="761" w:type="dxa"/>
            <w:tcBorders>
              <w:top w:val="single" w:sz="4" w:space="0" w:color="auto"/>
              <w:bottom w:val="single" w:sz="4" w:space="0" w:color="auto"/>
            </w:tcBorders>
            <w:shd w:val="clear" w:color="auto" w:fill="auto"/>
            <w:vAlign w:val="center"/>
          </w:tcPr>
          <w:p w14:paraId="69BFE1F3" w14:textId="77777777" w:rsidR="00846BBC" w:rsidRPr="004272B3" w:rsidRDefault="00846BBC" w:rsidP="00B8693A">
            <w:pPr>
              <w:jc w:val="center"/>
              <w:rPr>
                <w:b/>
                <w:iCs/>
                <w:sz w:val="22"/>
                <w:szCs w:val="22"/>
              </w:rPr>
            </w:pPr>
            <w:r w:rsidRPr="004272B3">
              <w:rPr>
                <w:b/>
                <w:sz w:val="22"/>
                <w:szCs w:val="22"/>
              </w:rPr>
              <w:t>Beta</w:t>
            </w:r>
          </w:p>
        </w:tc>
        <w:tc>
          <w:tcPr>
            <w:tcW w:w="760" w:type="dxa"/>
            <w:tcBorders>
              <w:top w:val="single" w:sz="4" w:space="0" w:color="auto"/>
              <w:bottom w:val="single" w:sz="4" w:space="0" w:color="auto"/>
            </w:tcBorders>
            <w:shd w:val="clear" w:color="auto" w:fill="auto"/>
            <w:vAlign w:val="center"/>
          </w:tcPr>
          <w:p w14:paraId="014C2323" w14:textId="77777777" w:rsidR="00846BBC" w:rsidRPr="004272B3" w:rsidRDefault="00846BBC" w:rsidP="00B8693A">
            <w:pPr>
              <w:jc w:val="center"/>
              <w:rPr>
                <w:b/>
                <w:iCs/>
                <w:sz w:val="22"/>
                <w:szCs w:val="22"/>
              </w:rPr>
            </w:pPr>
            <w:r w:rsidRPr="004272B3">
              <w:rPr>
                <w:b/>
                <w:sz w:val="22"/>
                <w:szCs w:val="22"/>
              </w:rPr>
              <w:t>t</w:t>
            </w:r>
          </w:p>
        </w:tc>
        <w:tc>
          <w:tcPr>
            <w:tcW w:w="760" w:type="dxa"/>
            <w:tcBorders>
              <w:top w:val="single" w:sz="4" w:space="0" w:color="auto"/>
              <w:bottom w:val="single" w:sz="4" w:space="0" w:color="auto"/>
            </w:tcBorders>
            <w:shd w:val="clear" w:color="auto" w:fill="auto"/>
            <w:vAlign w:val="center"/>
          </w:tcPr>
          <w:p w14:paraId="60ECB2DB" w14:textId="77777777" w:rsidR="00846BBC" w:rsidRPr="004272B3" w:rsidRDefault="00846BBC" w:rsidP="00B8693A">
            <w:pPr>
              <w:jc w:val="center"/>
              <w:rPr>
                <w:b/>
                <w:iCs/>
                <w:sz w:val="22"/>
                <w:szCs w:val="22"/>
              </w:rPr>
            </w:pPr>
            <w:r w:rsidRPr="004272B3">
              <w:rPr>
                <w:b/>
                <w:sz w:val="22"/>
                <w:szCs w:val="22"/>
              </w:rPr>
              <w:t>p</w:t>
            </w:r>
          </w:p>
        </w:tc>
        <w:tc>
          <w:tcPr>
            <w:tcW w:w="760" w:type="dxa"/>
            <w:tcBorders>
              <w:top w:val="single" w:sz="4" w:space="0" w:color="auto"/>
              <w:bottom w:val="single" w:sz="4" w:space="0" w:color="auto"/>
            </w:tcBorders>
            <w:shd w:val="clear" w:color="auto" w:fill="auto"/>
            <w:vAlign w:val="center"/>
          </w:tcPr>
          <w:p w14:paraId="73965DCA" w14:textId="77777777" w:rsidR="00846BBC" w:rsidRPr="004272B3" w:rsidRDefault="00846BBC" w:rsidP="00B8693A">
            <w:pPr>
              <w:jc w:val="center"/>
              <w:rPr>
                <w:b/>
                <w:iCs/>
                <w:sz w:val="22"/>
                <w:szCs w:val="22"/>
              </w:rPr>
            </w:pPr>
            <w:r w:rsidRPr="004272B3">
              <w:rPr>
                <w:b/>
                <w:sz w:val="22"/>
                <w:szCs w:val="22"/>
              </w:rPr>
              <w:t>R</w:t>
            </w:r>
          </w:p>
        </w:tc>
        <w:tc>
          <w:tcPr>
            <w:tcW w:w="760" w:type="dxa"/>
            <w:tcBorders>
              <w:top w:val="single" w:sz="4" w:space="0" w:color="auto"/>
              <w:bottom w:val="single" w:sz="4" w:space="0" w:color="auto"/>
            </w:tcBorders>
            <w:shd w:val="clear" w:color="auto" w:fill="auto"/>
            <w:vAlign w:val="center"/>
          </w:tcPr>
          <w:p w14:paraId="6A98F8B4" w14:textId="77777777" w:rsidR="00846BBC" w:rsidRPr="004272B3" w:rsidRDefault="00846BBC" w:rsidP="00B8693A">
            <w:pPr>
              <w:jc w:val="center"/>
              <w:rPr>
                <w:b/>
                <w:iCs/>
                <w:sz w:val="22"/>
                <w:szCs w:val="22"/>
              </w:rPr>
            </w:pPr>
            <w:r w:rsidRPr="004272B3">
              <w:rPr>
                <w:b/>
                <w:sz w:val="22"/>
                <w:szCs w:val="22"/>
              </w:rPr>
              <w:t>R</w:t>
            </w:r>
            <w:r w:rsidRPr="004272B3">
              <w:rPr>
                <w:b/>
                <w:sz w:val="22"/>
                <w:szCs w:val="22"/>
                <w:vertAlign w:val="superscript"/>
              </w:rPr>
              <w:t>2</w:t>
            </w:r>
          </w:p>
        </w:tc>
      </w:tr>
      <w:tr w:rsidR="004272B3" w:rsidRPr="004272B3" w14:paraId="1CE36FF0" w14:textId="77777777" w:rsidTr="00B8693A">
        <w:trPr>
          <w:trHeight w:val="157"/>
          <w:jc w:val="center"/>
        </w:trPr>
        <w:tc>
          <w:tcPr>
            <w:tcW w:w="2264" w:type="dxa"/>
            <w:shd w:val="clear" w:color="auto" w:fill="auto"/>
            <w:vAlign w:val="bottom"/>
          </w:tcPr>
          <w:p w14:paraId="0F61D673" w14:textId="77777777" w:rsidR="00846BBC" w:rsidRPr="004272B3" w:rsidRDefault="00846BBC" w:rsidP="00B8693A">
            <w:pPr>
              <w:snapToGrid w:val="0"/>
              <w:rPr>
                <w:iCs/>
                <w:sz w:val="22"/>
                <w:szCs w:val="22"/>
              </w:rPr>
            </w:pPr>
            <w:r w:rsidRPr="004272B3">
              <w:rPr>
                <w:sz w:val="22"/>
                <w:szCs w:val="22"/>
              </w:rPr>
              <w:t>EF (MI)</w:t>
            </w:r>
          </w:p>
        </w:tc>
        <w:tc>
          <w:tcPr>
            <w:tcW w:w="761" w:type="dxa"/>
          </w:tcPr>
          <w:p w14:paraId="376CA337" w14:textId="77777777" w:rsidR="00846BBC" w:rsidRPr="004272B3" w:rsidRDefault="00846BBC" w:rsidP="00B8693A">
            <w:pPr>
              <w:snapToGrid w:val="0"/>
              <w:jc w:val="center"/>
              <w:rPr>
                <w:iCs/>
                <w:sz w:val="22"/>
                <w:szCs w:val="22"/>
              </w:rPr>
            </w:pPr>
            <w:r w:rsidRPr="004272B3">
              <w:rPr>
                <w:iCs/>
                <w:sz w:val="22"/>
                <w:szCs w:val="22"/>
              </w:rPr>
              <w:t>-0.06</w:t>
            </w:r>
          </w:p>
        </w:tc>
        <w:tc>
          <w:tcPr>
            <w:tcW w:w="761" w:type="dxa"/>
          </w:tcPr>
          <w:p w14:paraId="5DBE399D" w14:textId="77777777" w:rsidR="00846BBC" w:rsidRPr="004272B3" w:rsidRDefault="00846BBC" w:rsidP="00B8693A">
            <w:pPr>
              <w:snapToGrid w:val="0"/>
              <w:jc w:val="center"/>
              <w:rPr>
                <w:iCs/>
                <w:sz w:val="22"/>
                <w:szCs w:val="22"/>
              </w:rPr>
            </w:pPr>
            <w:r w:rsidRPr="004272B3">
              <w:rPr>
                <w:iCs/>
                <w:sz w:val="22"/>
                <w:szCs w:val="22"/>
              </w:rPr>
              <w:t>0.07</w:t>
            </w:r>
          </w:p>
        </w:tc>
        <w:tc>
          <w:tcPr>
            <w:tcW w:w="761" w:type="dxa"/>
            <w:shd w:val="clear" w:color="auto" w:fill="auto"/>
            <w:vAlign w:val="center"/>
          </w:tcPr>
          <w:p w14:paraId="65B5248F" w14:textId="77777777" w:rsidR="00846BBC" w:rsidRPr="004272B3" w:rsidRDefault="00846BBC" w:rsidP="00B8693A">
            <w:pPr>
              <w:snapToGrid w:val="0"/>
              <w:jc w:val="center"/>
              <w:rPr>
                <w:iCs/>
                <w:sz w:val="22"/>
                <w:szCs w:val="22"/>
              </w:rPr>
            </w:pPr>
            <w:r w:rsidRPr="004272B3">
              <w:rPr>
                <w:iCs/>
                <w:sz w:val="22"/>
                <w:szCs w:val="22"/>
              </w:rPr>
              <w:t>-.19</w:t>
            </w:r>
          </w:p>
        </w:tc>
        <w:tc>
          <w:tcPr>
            <w:tcW w:w="760" w:type="dxa"/>
            <w:shd w:val="clear" w:color="auto" w:fill="auto"/>
            <w:vAlign w:val="center"/>
          </w:tcPr>
          <w:p w14:paraId="71486AB2" w14:textId="77777777" w:rsidR="00846BBC" w:rsidRPr="004272B3" w:rsidRDefault="00846BBC" w:rsidP="00B8693A">
            <w:pPr>
              <w:snapToGrid w:val="0"/>
              <w:jc w:val="center"/>
              <w:rPr>
                <w:iCs/>
                <w:sz w:val="22"/>
                <w:szCs w:val="22"/>
              </w:rPr>
            </w:pPr>
            <w:r w:rsidRPr="004272B3">
              <w:rPr>
                <w:iCs/>
                <w:sz w:val="22"/>
                <w:szCs w:val="22"/>
              </w:rPr>
              <w:t>-0.81</w:t>
            </w:r>
          </w:p>
        </w:tc>
        <w:tc>
          <w:tcPr>
            <w:tcW w:w="760" w:type="dxa"/>
            <w:shd w:val="clear" w:color="auto" w:fill="auto"/>
            <w:vAlign w:val="center"/>
          </w:tcPr>
          <w:p w14:paraId="02322C53" w14:textId="77777777" w:rsidR="00846BBC" w:rsidRPr="004272B3" w:rsidRDefault="00846BBC" w:rsidP="00B8693A">
            <w:pPr>
              <w:snapToGrid w:val="0"/>
              <w:jc w:val="center"/>
              <w:rPr>
                <w:iCs/>
                <w:sz w:val="22"/>
                <w:szCs w:val="22"/>
              </w:rPr>
            </w:pPr>
            <w:r w:rsidRPr="004272B3">
              <w:rPr>
                <w:iCs/>
                <w:sz w:val="22"/>
                <w:szCs w:val="22"/>
              </w:rPr>
              <w:t>.425</w:t>
            </w:r>
          </w:p>
        </w:tc>
        <w:tc>
          <w:tcPr>
            <w:tcW w:w="760" w:type="dxa"/>
            <w:shd w:val="clear" w:color="auto" w:fill="auto"/>
            <w:vAlign w:val="center"/>
          </w:tcPr>
          <w:p w14:paraId="59DB10CB" w14:textId="77777777" w:rsidR="00846BBC" w:rsidRPr="004272B3" w:rsidRDefault="00846BBC" w:rsidP="00B8693A">
            <w:pPr>
              <w:snapToGrid w:val="0"/>
              <w:jc w:val="center"/>
              <w:rPr>
                <w:iCs/>
                <w:sz w:val="22"/>
                <w:szCs w:val="22"/>
              </w:rPr>
            </w:pPr>
            <w:r w:rsidRPr="004272B3">
              <w:rPr>
                <w:iCs/>
                <w:sz w:val="22"/>
                <w:szCs w:val="22"/>
              </w:rPr>
              <w:t>.447</w:t>
            </w:r>
          </w:p>
        </w:tc>
        <w:tc>
          <w:tcPr>
            <w:tcW w:w="760" w:type="dxa"/>
            <w:shd w:val="clear" w:color="auto" w:fill="auto"/>
            <w:vAlign w:val="center"/>
          </w:tcPr>
          <w:p w14:paraId="44200EC5" w14:textId="77777777" w:rsidR="00846BBC" w:rsidRPr="004272B3" w:rsidRDefault="00846BBC" w:rsidP="00B8693A">
            <w:pPr>
              <w:snapToGrid w:val="0"/>
              <w:jc w:val="center"/>
              <w:rPr>
                <w:iCs/>
                <w:sz w:val="22"/>
                <w:szCs w:val="22"/>
              </w:rPr>
            </w:pPr>
            <w:r w:rsidRPr="004272B3">
              <w:rPr>
                <w:iCs/>
                <w:sz w:val="22"/>
                <w:szCs w:val="22"/>
              </w:rPr>
              <w:t>.200</w:t>
            </w:r>
          </w:p>
        </w:tc>
      </w:tr>
      <w:tr w:rsidR="004272B3" w:rsidRPr="004272B3" w14:paraId="61FB69F4" w14:textId="77777777" w:rsidTr="00B8693A">
        <w:trPr>
          <w:trHeight w:val="144"/>
          <w:jc w:val="center"/>
        </w:trPr>
        <w:tc>
          <w:tcPr>
            <w:tcW w:w="2264" w:type="dxa"/>
            <w:shd w:val="clear" w:color="auto" w:fill="auto"/>
            <w:vAlign w:val="bottom"/>
          </w:tcPr>
          <w:p w14:paraId="5C4A11E4" w14:textId="77777777" w:rsidR="00846BBC" w:rsidRPr="004272B3" w:rsidRDefault="00846BBC" w:rsidP="00B8693A">
            <w:pPr>
              <w:snapToGrid w:val="0"/>
              <w:rPr>
                <w:sz w:val="22"/>
                <w:szCs w:val="22"/>
              </w:rPr>
            </w:pPr>
            <w:r w:rsidRPr="004272B3">
              <w:rPr>
                <w:sz w:val="22"/>
                <w:szCs w:val="22"/>
              </w:rPr>
              <w:t>EF (BRI)</w:t>
            </w:r>
          </w:p>
        </w:tc>
        <w:tc>
          <w:tcPr>
            <w:tcW w:w="761" w:type="dxa"/>
          </w:tcPr>
          <w:p w14:paraId="209D5184" w14:textId="77777777" w:rsidR="00846BBC" w:rsidRPr="004272B3" w:rsidRDefault="00846BBC" w:rsidP="00B8693A">
            <w:pPr>
              <w:snapToGrid w:val="0"/>
              <w:jc w:val="center"/>
              <w:rPr>
                <w:iCs/>
                <w:sz w:val="22"/>
                <w:szCs w:val="22"/>
              </w:rPr>
            </w:pPr>
            <w:r w:rsidRPr="004272B3">
              <w:rPr>
                <w:iCs/>
                <w:sz w:val="22"/>
                <w:szCs w:val="22"/>
              </w:rPr>
              <w:t>0.10</w:t>
            </w:r>
          </w:p>
        </w:tc>
        <w:tc>
          <w:tcPr>
            <w:tcW w:w="761" w:type="dxa"/>
          </w:tcPr>
          <w:p w14:paraId="4E4CE7D4" w14:textId="77777777" w:rsidR="00846BBC" w:rsidRPr="004272B3" w:rsidRDefault="00846BBC" w:rsidP="00B8693A">
            <w:pPr>
              <w:snapToGrid w:val="0"/>
              <w:jc w:val="center"/>
              <w:rPr>
                <w:iCs/>
                <w:sz w:val="22"/>
                <w:szCs w:val="22"/>
              </w:rPr>
            </w:pPr>
            <w:r w:rsidRPr="004272B3">
              <w:rPr>
                <w:iCs/>
                <w:sz w:val="22"/>
                <w:szCs w:val="22"/>
              </w:rPr>
              <w:t>0.07</w:t>
            </w:r>
          </w:p>
        </w:tc>
        <w:tc>
          <w:tcPr>
            <w:tcW w:w="761" w:type="dxa"/>
            <w:shd w:val="clear" w:color="auto" w:fill="auto"/>
            <w:vAlign w:val="center"/>
          </w:tcPr>
          <w:p w14:paraId="776696AA" w14:textId="77777777" w:rsidR="00846BBC" w:rsidRPr="004272B3" w:rsidRDefault="00846BBC" w:rsidP="00B8693A">
            <w:pPr>
              <w:snapToGrid w:val="0"/>
              <w:jc w:val="center"/>
              <w:rPr>
                <w:iCs/>
                <w:sz w:val="22"/>
                <w:szCs w:val="22"/>
              </w:rPr>
            </w:pPr>
            <w:r w:rsidRPr="004272B3">
              <w:rPr>
                <w:iCs/>
                <w:sz w:val="22"/>
                <w:szCs w:val="22"/>
              </w:rPr>
              <w:t>.276</w:t>
            </w:r>
          </w:p>
        </w:tc>
        <w:tc>
          <w:tcPr>
            <w:tcW w:w="760" w:type="dxa"/>
            <w:shd w:val="clear" w:color="auto" w:fill="auto"/>
            <w:vAlign w:val="center"/>
          </w:tcPr>
          <w:p w14:paraId="35AEF21E" w14:textId="77777777" w:rsidR="00846BBC" w:rsidRPr="004272B3" w:rsidRDefault="00846BBC" w:rsidP="00B8693A">
            <w:pPr>
              <w:snapToGrid w:val="0"/>
              <w:jc w:val="center"/>
              <w:rPr>
                <w:iCs/>
                <w:sz w:val="22"/>
                <w:szCs w:val="22"/>
              </w:rPr>
            </w:pPr>
            <w:r w:rsidRPr="004272B3">
              <w:rPr>
                <w:iCs/>
                <w:sz w:val="22"/>
                <w:szCs w:val="22"/>
              </w:rPr>
              <w:t>1.39</w:t>
            </w:r>
          </w:p>
        </w:tc>
        <w:tc>
          <w:tcPr>
            <w:tcW w:w="760" w:type="dxa"/>
            <w:shd w:val="clear" w:color="auto" w:fill="auto"/>
            <w:vAlign w:val="center"/>
          </w:tcPr>
          <w:p w14:paraId="138B3434" w14:textId="77777777" w:rsidR="00846BBC" w:rsidRPr="004272B3" w:rsidRDefault="00846BBC" w:rsidP="00B8693A">
            <w:pPr>
              <w:snapToGrid w:val="0"/>
              <w:jc w:val="center"/>
              <w:rPr>
                <w:bCs/>
                <w:iCs/>
                <w:sz w:val="22"/>
                <w:szCs w:val="22"/>
              </w:rPr>
            </w:pPr>
            <w:r w:rsidRPr="004272B3">
              <w:rPr>
                <w:bCs/>
                <w:iCs/>
                <w:sz w:val="22"/>
                <w:szCs w:val="22"/>
              </w:rPr>
              <w:t>.171</w:t>
            </w:r>
          </w:p>
        </w:tc>
        <w:tc>
          <w:tcPr>
            <w:tcW w:w="760" w:type="dxa"/>
            <w:shd w:val="clear" w:color="auto" w:fill="auto"/>
            <w:vAlign w:val="center"/>
          </w:tcPr>
          <w:p w14:paraId="5E5E776B" w14:textId="77777777" w:rsidR="00846BBC" w:rsidRPr="004272B3" w:rsidRDefault="00846BBC" w:rsidP="00B8693A">
            <w:pPr>
              <w:snapToGrid w:val="0"/>
              <w:jc w:val="center"/>
              <w:rPr>
                <w:iCs/>
                <w:sz w:val="22"/>
                <w:szCs w:val="22"/>
              </w:rPr>
            </w:pPr>
          </w:p>
        </w:tc>
        <w:tc>
          <w:tcPr>
            <w:tcW w:w="760" w:type="dxa"/>
            <w:shd w:val="clear" w:color="auto" w:fill="auto"/>
            <w:vAlign w:val="center"/>
          </w:tcPr>
          <w:p w14:paraId="69183D7A" w14:textId="77777777" w:rsidR="00846BBC" w:rsidRPr="004272B3" w:rsidRDefault="00846BBC" w:rsidP="00B8693A">
            <w:pPr>
              <w:snapToGrid w:val="0"/>
              <w:jc w:val="center"/>
              <w:rPr>
                <w:iCs/>
                <w:sz w:val="22"/>
                <w:szCs w:val="22"/>
              </w:rPr>
            </w:pPr>
          </w:p>
        </w:tc>
      </w:tr>
      <w:tr w:rsidR="004272B3" w:rsidRPr="004272B3" w14:paraId="06D6A718" w14:textId="77777777" w:rsidTr="00B8693A">
        <w:trPr>
          <w:trHeight w:val="144"/>
          <w:jc w:val="center"/>
        </w:trPr>
        <w:tc>
          <w:tcPr>
            <w:tcW w:w="2264" w:type="dxa"/>
            <w:shd w:val="clear" w:color="auto" w:fill="auto"/>
            <w:vAlign w:val="bottom"/>
          </w:tcPr>
          <w:p w14:paraId="051CA06B" w14:textId="77777777" w:rsidR="00846BBC" w:rsidRPr="004272B3" w:rsidRDefault="00846BBC" w:rsidP="00B8693A">
            <w:pPr>
              <w:snapToGrid w:val="0"/>
              <w:rPr>
                <w:iCs/>
                <w:sz w:val="22"/>
                <w:szCs w:val="22"/>
              </w:rPr>
            </w:pPr>
            <w:proofErr w:type="spellStart"/>
            <w:r w:rsidRPr="004272B3">
              <w:rPr>
                <w:sz w:val="22"/>
                <w:szCs w:val="22"/>
              </w:rPr>
              <w:t>ToMI</w:t>
            </w:r>
            <w:proofErr w:type="spellEnd"/>
            <w:r w:rsidRPr="004272B3">
              <w:rPr>
                <w:sz w:val="22"/>
                <w:szCs w:val="22"/>
              </w:rPr>
              <w:t xml:space="preserve"> total </w:t>
            </w:r>
          </w:p>
        </w:tc>
        <w:tc>
          <w:tcPr>
            <w:tcW w:w="761" w:type="dxa"/>
          </w:tcPr>
          <w:p w14:paraId="3642D621" w14:textId="77777777" w:rsidR="00846BBC" w:rsidRPr="004272B3" w:rsidRDefault="00846BBC" w:rsidP="00B8693A">
            <w:pPr>
              <w:snapToGrid w:val="0"/>
              <w:jc w:val="center"/>
              <w:rPr>
                <w:iCs/>
                <w:sz w:val="22"/>
                <w:szCs w:val="22"/>
              </w:rPr>
            </w:pPr>
            <w:r w:rsidRPr="004272B3">
              <w:rPr>
                <w:iCs/>
                <w:sz w:val="22"/>
                <w:szCs w:val="22"/>
              </w:rPr>
              <w:t>.0.33</w:t>
            </w:r>
          </w:p>
        </w:tc>
        <w:tc>
          <w:tcPr>
            <w:tcW w:w="761" w:type="dxa"/>
          </w:tcPr>
          <w:p w14:paraId="3D1D7EBD" w14:textId="77777777" w:rsidR="00846BBC" w:rsidRPr="004272B3" w:rsidRDefault="00846BBC" w:rsidP="00B8693A">
            <w:pPr>
              <w:snapToGrid w:val="0"/>
              <w:jc w:val="center"/>
              <w:rPr>
                <w:iCs/>
                <w:sz w:val="22"/>
                <w:szCs w:val="22"/>
              </w:rPr>
            </w:pPr>
            <w:r w:rsidRPr="004272B3">
              <w:rPr>
                <w:iCs/>
                <w:sz w:val="22"/>
                <w:szCs w:val="22"/>
              </w:rPr>
              <w:t>0.28</w:t>
            </w:r>
          </w:p>
        </w:tc>
        <w:tc>
          <w:tcPr>
            <w:tcW w:w="761" w:type="dxa"/>
            <w:shd w:val="clear" w:color="auto" w:fill="auto"/>
            <w:vAlign w:val="center"/>
          </w:tcPr>
          <w:p w14:paraId="2F93EED4" w14:textId="77777777" w:rsidR="00846BBC" w:rsidRPr="004272B3" w:rsidRDefault="00846BBC" w:rsidP="00B8693A">
            <w:pPr>
              <w:snapToGrid w:val="0"/>
              <w:jc w:val="center"/>
              <w:rPr>
                <w:iCs/>
                <w:sz w:val="22"/>
                <w:szCs w:val="22"/>
              </w:rPr>
            </w:pPr>
            <w:r w:rsidRPr="004272B3">
              <w:rPr>
                <w:iCs/>
                <w:sz w:val="22"/>
                <w:szCs w:val="22"/>
              </w:rPr>
              <w:t>-.194</w:t>
            </w:r>
          </w:p>
        </w:tc>
        <w:tc>
          <w:tcPr>
            <w:tcW w:w="760" w:type="dxa"/>
            <w:shd w:val="clear" w:color="auto" w:fill="auto"/>
            <w:vAlign w:val="center"/>
          </w:tcPr>
          <w:p w14:paraId="593E1082" w14:textId="77777777" w:rsidR="00846BBC" w:rsidRPr="004272B3" w:rsidRDefault="00846BBC" w:rsidP="00B8693A">
            <w:pPr>
              <w:snapToGrid w:val="0"/>
              <w:jc w:val="center"/>
              <w:rPr>
                <w:iCs/>
                <w:sz w:val="22"/>
                <w:szCs w:val="22"/>
              </w:rPr>
            </w:pPr>
            <w:r w:rsidRPr="004272B3">
              <w:rPr>
                <w:iCs/>
                <w:sz w:val="22"/>
                <w:szCs w:val="22"/>
              </w:rPr>
              <w:t>-1.15</w:t>
            </w:r>
          </w:p>
        </w:tc>
        <w:tc>
          <w:tcPr>
            <w:tcW w:w="760" w:type="dxa"/>
            <w:shd w:val="clear" w:color="auto" w:fill="auto"/>
            <w:vAlign w:val="center"/>
          </w:tcPr>
          <w:p w14:paraId="3D0C2EBB" w14:textId="77777777" w:rsidR="00846BBC" w:rsidRPr="004272B3" w:rsidRDefault="00846BBC" w:rsidP="00B8693A">
            <w:pPr>
              <w:snapToGrid w:val="0"/>
              <w:jc w:val="center"/>
              <w:rPr>
                <w:bCs/>
                <w:iCs/>
                <w:sz w:val="22"/>
                <w:szCs w:val="22"/>
              </w:rPr>
            </w:pPr>
            <w:r w:rsidRPr="004272B3">
              <w:rPr>
                <w:bCs/>
                <w:iCs/>
                <w:sz w:val="22"/>
                <w:szCs w:val="22"/>
              </w:rPr>
              <w:t>.253</w:t>
            </w:r>
          </w:p>
        </w:tc>
        <w:tc>
          <w:tcPr>
            <w:tcW w:w="760" w:type="dxa"/>
            <w:shd w:val="clear" w:color="auto" w:fill="auto"/>
            <w:vAlign w:val="center"/>
          </w:tcPr>
          <w:p w14:paraId="17699E2B" w14:textId="77777777" w:rsidR="00846BBC" w:rsidRPr="004272B3" w:rsidRDefault="00846BBC" w:rsidP="00B8693A">
            <w:pPr>
              <w:snapToGrid w:val="0"/>
              <w:jc w:val="center"/>
              <w:rPr>
                <w:iCs/>
                <w:sz w:val="22"/>
                <w:szCs w:val="22"/>
              </w:rPr>
            </w:pPr>
          </w:p>
        </w:tc>
        <w:tc>
          <w:tcPr>
            <w:tcW w:w="760" w:type="dxa"/>
            <w:shd w:val="clear" w:color="auto" w:fill="auto"/>
            <w:vAlign w:val="center"/>
          </w:tcPr>
          <w:p w14:paraId="49E5901E" w14:textId="77777777" w:rsidR="00846BBC" w:rsidRPr="004272B3" w:rsidRDefault="00846BBC" w:rsidP="00B8693A">
            <w:pPr>
              <w:snapToGrid w:val="0"/>
              <w:jc w:val="center"/>
              <w:rPr>
                <w:iCs/>
                <w:sz w:val="22"/>
                <w:szCs w:val="22"/>
              </w:rPr>
            </w:pPr>
          </w:p>
        </w:tc>
      </w:tr>
      <w:tr w:rsidR="004272B3" w:rsidRPr="004272B3" w14:paraId="4231FE87" w14:textId="77777777" w:rsidTr="00B8693A">
        <w:trPr>
          <w:trHeight w:val="178"/>
          <w:jc w:val="center"/>
        </w:trPr>
        <w:tc>
          <w:tcPr>
            <w:tcW w:w="2264" w:type="dxa"/>
            <w:shd w:val="clear" w:color="auto" w:fill="auto"/>
            <w:vAlign w:val="bottom"/>
          </w:tcPr>
          <w:p w14:paraId="73D4EF2D" w14:textId="77777777" w:rsidR="00846BBC" w:rsidRPr="004272B3" w:rsidRDefault="00846BBC" w:rsidP="00B8693A">
            <w:pPr>
              <w:snapToGrid w:val="0"/>
              <w:rPr>
                <w:iCs/>
                <w:sz w:val="22"/>
                <w:szCs w:val="22"/>
              </w:rPr>
            </w:pPr>
            <w:r w:rsidRPr="004272B3">
              <w:rPr>
                <w:sz w:val="22"/>
                <w:szCs w:val="22"/>
              </w:rPr>
              <w:t>SDQ total Pro</w:t>
            </w:r>
          </w:p>
        </w:tc>
        <w:tc>
          <w:tcPr>
            <w:tcW w:w="761" w:type="dxa"/>
          </w:tcPr>
          <w:p w14:paraId="4AE878AC" w14:textId="77777777" w:rsidR="00846BBC" w:rsidRPr="004272B3" w:rsidRDefault="00846BBC" w:rsidP="00B8693A">
            <w:pPr>
              <w:snapToGrid w:val="0"/>
              <w:jc w:val="center"/>
              <w:rPr>
                <w:iCs/>
                <w:sz w:val="22"/>
                <w:szCs w:val="22"/>
              </w:rPr>
            </w:pPr>
            <w:r w:rsidRPr="004272B3">
              <w:rPr>
                <w:iCs/>
                <w:sz w:val="22"/>
                <w:szCs w:val="22"/>
              </w:rPr>
              <w:t>.299</w:t>
            </w:r>
          </w:p>
        </w:tc>
        <w:tc>
          <w:tcPr>
            <w:tcW w:w="761" w:type="dxa"/>
          </w:tcPr>
          <w:p w14:paraId="536A4AE8" w14:textId="77777777" w:rsidR="00846BBC" w:rsidRPr="004272B3" w:rsidRDefault="00846BBC" w:rsidP="00B8693A">
            <w:pPr>
              <w:snapToGrid w:val="0"/>
              <w:jc w:val="center"/>
              <w:rPr>
                <w:iCs/>
                <w:sz w:val="22"/>
                <w:szCs w:val="22"/>
              </w:rPr>
            </w:pPr>
            <w:r w:rsidRPr="004272B3">
              <w:rPr>
                <w:iCs/>
                <w:sz w:val="22"/>
                <w:szCs w:val="22"/>
              </w:rPr>
              <w:t>.143</w:t>
            </w:r>
          </w:p>
        </w:tc>
        <w:tc>
          <w:tcPr>
            <w:tcW w:w="761" w:type="dxa"/>
            <w:shd w:val="clear" w:color="auto" w:fill="auto"/>
            <w:vAlign w:val="center"/>
          </w:tcPr>
          <w:p w14:paraId="2FC879C1" w14:textId="77777777" w:rsidR="00846BBC" w:rsidRPr="004272B3" w:rsidRDefault="00846BBC" w:rsidP="00B8693A">
            <w:pPr>
              <w:snapToGrid w:val="0"/>
              <w:jc w:val="center"/>
              <w:rPr>
                <w:iCs/>
                <w:sz w:val="22"/>
                <w:szCs w:val="22"/>
              </w:rPr>
            </w:pPr>
            <w:r w:rsidRPr="004272B3">
              <w:rPr>
                <w:iCs/>
                <w:sz w:val="22"/>
                <w:szCs w:val="22"/>
              </w:rPr>
              <w:t>.364</w:t>
            </w:r>
          </w:p>
        </w:tc>
        <w:tc>
          <w:tcPr>
            <w:tcW w:w="760" w:type="dxa"/>
            <w:shd w:val="clear" w:color="auto" w:fill="auto"/>
            <w:vAlign w:val="center"/>
          </w:tcPr>
          <w:p w14:paraId="38F3A1ED" w14:textId="77777777" w:rsidR="00846BBC" w:rsidRPr="004272B3" w:rsidRDefault="00846BBC" w:rsidP="00B8693A">
            <w:pPr>
              <w:snapToGrid w:val="0"/>
              <w:jc w:val="center"/>
              <w:rPr>
                <w:iCs/>
                <w:sz w:val="22"/>
                <w:szCs w:val="22"/>
              </w:rPr>
            </w:pPr>
            <w:r w:rsidRPr="004272B3">
              <w:rPr>
                <w:iCs/>
                <w:sz w:val="22"/>
                <w:szCs w:val="22"/>
              </w:rPr>
              <w:t>-2.7</w:t>
            </w:r>
          </w:p>
        </w:tc>
        <w:tc>
          <w:tcPr>
            <w:tcW w:w="760" w:type="dxa"/>
            <w:shd w:val="clear" w:color="auto" w:fill="auto"/>
            <w:vAlign w:val="center"/>
          </w:tcPr>
          <w:p w14:paraId="7597DF81" w14:textId="77777777" w:rsidR="00846BBC" w:rsidRPr="004272B3" w:rsidRDefault="00846BBC" w:rsidP="00B8693A">
            <w:pPr>
              <w:snapToGrid w:val="0"/>
              <w:jc w:val="center"/>
              <w:rPr>
                <w:iCs/>
                <w:sz w:val="22"/>
                <w:szCs w:val="22"/>
              </w:rPr>
            </w:pPr>
            <w:r w:rsidRPr="004272B3">
              <w:rPr>
                <w:b/>
                <w:bCs/>
                <w:iCs/>
                <w:sz w:val="22"/>
                <w:szCs w:val="22"/>
              </w:rPr>
              <w:t>.044*</w:t>
            </w:r>
          </w:p>
        </w:tc>
        <w:tc>
          <w:tcPr>
            <w:tcW w:w="760" w:type="dxa"/>
            <w:shd w:val="clear" w:color="auto" w:fill="auto"/>
            <w:vAlign w:val="center"/>
          </w:tcPr>
          <w:p w14:paraId="5E6652F8" w14:textId="77777777" w:rsidR="00846BBC" w:rsidRPr="004272B3" w:rsidRDefault="00846BBC" w:rsidP="00B8693A">
            <w:pPr>
              <w:snapToGrid w:val="0"/>
              <w:jc w:val="center"/>
              <w:rPr>
                <w:iCs/>
                <w:sz w:val="22"/>
                <w:szCs w:val="22"/>
              </w:rPr>
            </w:pPr>
          </w:p>
        </w:tc>
        <w:tc>
          <w:tcPr>
            <w:tcW w:w="760" w:type="dxa"/>
            <w:shd w:val="clear" w:color="auto" w:fill="auto"/>
            <w:vAlign w:val="center"/>
          </w:tcPr>
          <w:p w14:paraId="1689DEB8" w14:textId="77777777" w:rsidR="00846BBC" w:rsidRPr="004272B3" w:rsidRDefault="00846BBC" w:rsidP="00B8693A">
            <w:pPr>
              <w:snapToGrid w:val="0"/>
              <w:jc w:val="center"/>
              <w:rPr>
                <w:iCs/>
                <w:sz w:val="22"/>
                <w:szCs w:val="22"/>
              </w:rPr>
            </w:pPr>
          </w:p>
        </w:tc>
      </w:tr>
      <w:tr w:rsidR="004272B3" w:rsidRPr="004272B3" w14:paraId="470B3A55" w14:textId="77777777" w:rsidTr="00B8693A">
        <w:trPr>
          <w:trHeight w:val="224"/>
          <w:jc w:val="center"/>
        </w:trPr>
        <w:tc>
          <w:tcPr>
            <w:tcW w:w="2264" w:type="dxa"/>
            <w:shd w:val="clear" w:color="auto" w:fill="auto"/>
            <w:vAlign w:val="bottom"/>
          </w:tcPr>
          <w:p w14:paraId="12FE580A" w14:textId="77777777" w:rsidR="00846BBC" w:rsidRPr="004272B3" w:rsidRDefault="00846BBC" w:rsidP="00B8693A">
            <w:pPr>
              <w:snapToGrid w:val="0"/>
              <w:rPr>
                <w:iCs/>
                <w:sz w:val="22"/>
                <w:szCs w:val="22"/>
              </w:rPr>
            </w:pPr>
            <w:r w:rsidRPr="004272B3">
              <w:rPr>
                <w:sz w:val="22"/>
                <w:szCs w:val="22"/>
              </w:rPr>
              <w:t>LBS total</w:t>
            </w:r>
          </w:p>
        </w:tc>
        <w:tc>
          <w:tcPr>
            <w:tcW w:w="761" w:type="dxa"/>
          </w:tcPr>
          <w:p w14:paraId="428426B0" w14:textId="77777777" w:rsidR="00846BBC" w:rsidRPr="004272B3" w:rsidRDefault="00846BBC" w:rsidP="00B8693A">
            <w:pPr>
              <w:snapToGrid w:val="0"/>
              <w:jc w:val="center"/>
              <w:rPr>
                <w:iCs/>
                <w:sz w:val="22"/>
                <w:szCs w:val="22"/>
              </w:rPr>
            </w:pPr>
            <w:r w:rsidRPr="004272B3">
              <w:rPr>
                <w:iCs/>
                <w:sz w:val="22"/>
                <w:szCs w:val="22"/>
              </w:rPr>
              <w:t>-0.01</w:t>
            </w:r>
          </w:p>
        </w:tc>
        <w:tc>
          <w:tcPr>
            <w:tcW w:w="761" w:type="dxa"/>
          </w:tcPr>
          <w:p w14:paraId="62CD0A79" w14:textId="77777777" w:rsidR="00846BBC" w:rsidRPr="004272B3" w:rsidRDefault="00846BBC" w:rsidP="00B8693A">
            <w:pPr>
              <w:snapToGrid w:val="0"/>
              <w:jc w:val="center"/>
              <w:rPr>
                <w:iCs/>
                <w:sz w:val="22"/>
                <w:szCs w:val="22"/>
              </w:rPr>
            </w:pPr>
            <w:r w:rsidRPr="004272B3">
              <w:rPr>
                <w:iCs/>
                <w:sz w:val="22"/>
                <w:szCs w:val="22"/>
              </w:rPr>
              <w:t>0.13</w:t>
            </w:r>
          </w:p>
        </w:tc>
        <w:tc>
          <w:tcPr>
            <w:tcW w:w="761" w:type="dxa"/>
            <w:shd w:val="clear" w:color="auto" w:fill="auto"/>
            <w:vAlign w:val="center"/>
          </w:tcPr>
          <w:p w14:paraId="6F17AA4E" w14:textId="77777777" w:rsidR="00846BBC" w:rsidRPr="004272B3" w:rsidRDefault="00846BBC" w:rsidP="00B8693A">
            <w:pPr>
              <w:snapToGrid w:val="0"/>
              <w:jc w:val="center"/>
              <w:rPr>
                <w:iCs/>
                <w:sz w:val="22"/>
                <w:szCs w:val="22"/>
              </w:rPr>
            </w:pPr>
            <w:r w:rsidRPr="004272B3">
              <w:rPr>
                <w:iCs/>
                <w:sz w:val="22"/>
                <w:szCs w:val="22"/>
              </w:rPr>
              <w:t>-.027</w:t>
            </w:r>
          </w:p>
        </w:tc>
        <w:tc>
          <w:tcPr>
            <w:tcW w:w="760" w:type="dxa"/>
            <w:shd w:val="clear" w:color="auto" w:fill="auto"/>
            <w:vAlign w:val="center"/>
          </w:tcPr>
          <w:p w14:paraId="79ED772E" w14:textId="77777777" w:rsidR="00846BBC" w:rsidRPr="004272B3" w:rsidRDefault="00846BBC" w:rsidP="00B8693A">
            <w:pPr>
              <w:snapToGrid w:val="0"/>
              <w:jc w:val="center"/>
              <w:rPr>
                <w:iCs/>
                <w:sz w:val="22"/>
                <w:szCs w:val="22"/>
              </w:rPr>
            </w:pPr>
            <w:r w:rsidRPr="004272B3">
              <w:rPr>
                <w:iCs/>
                <w:sz w:val="22"/>
                <w:szCs w:val="22"/>
              </w:rPr>
              <w:t>-0.11</w:t>
            </w:r>
          </w:p>
        </w:tc>
        <w:tc>
          <w:tcPr>
            <w:tcW w:w="760" w:type="dxa"/>
            <w:shd w:val="clear" w:color="auto" w:fill="auto"/>
            <w:vAlign w:val="center"/>
          </w:tcPr>
          <w:p w14:paraId="260221DD" w14:textId="77777777" w:rsidR="00846BBC" w:rsidRPr="004272B3" w:rsidRDefault="00846BBC" w:rsidP="00B8693A">
            <w:pPr>
              <w:snapToGrid w:val="0"/>
              <w:jc w:val="center"/>
              <w:rPr>
                <w:iCs/>
                <w:sz w:val="22"/>
                <w:szCs w:val="22"/>
              </w:rPr>
            </w:pPr>
            <w:r w:rsidRPr="004272B3">
              <w:rPr>
                <w:iCs/>
                <w:sz w:val="22"/>
                <w:szCs w:val="22"/>
              </w:rPr>
              <w:t>.910</w:t>
            </w:r>
          </w:p>
        </w:tc>
        <w:tc>
          <w:tcPr>
            <w:tcW w:w="760" w:type="dxa"/>
            <w:shd w:val="clear" w:color="auto" w:fill="auto"/>
            <w:vAlign w:val="center"/>
          </w:tcPr>
          <w:p w14:paraId="3AD9E265" w14:textId="77777777" w:rsidR="00846BBC" w:rsidRPr="004272B3" w:rsidRDefault="00846BBC" w:rsidP="00B8693A">
            <w:pPr>
              <w:snapToGrid w:val="0"/>
              <w:jc w:val="center"/>
              <w:rPr>
                <w:iCs/>
                <w:sz w:val="22"/>
                <w:szCs w:val="22"/>
              </w:rPr>
            </w:pPr>
          </w:p>
        </w:tc>
        <w:tc>
          <w:tcPr>
            <w:tcW w:w="760" w:type="dxa"/>
            <w:shd w:val="clear" w:color="auto" w:fill="auto"/>
            <w:vAlign w:val="center"/>
          </w:tcPr>
          <w:p w14:paraId="53CEFEA1" w14:textId="77777777" w:rsidR="00846BBC" w:rsidRPr="004272B3" w:rsidRDefault="00846BBC" w:rsidP="00B8693A">
            <w:pPr>
              <w:snapToGrid w:val="0"/>
              <w:jc w:val="center"/>
              <w:rPr>
                <w:iCs/>
                <w:sz w:val="22"/>
                <w:szCs w:val="22"/>
              </w:rPr>
            </w:pPr>
          </w:p>
        </w:tc>
      </w:tr>
      <w:tr w:rsidR="004272B3" w:rsidRPr="004272B3" w14:paraId="155B8F08" w14:textId="77777777" w:rsidTr="00B8693A">
        <w:trPr>
          <w:trHeight w:val="64"/>
          <w:jc w:val="center"/>
        </w:trPr>
        <w:tc>
          <w:tcPr>
            <w:tcW w:w="2264" w:type="dxa"/>
            <w:tcBorders>
              <w:bottom w:val="single" w:sz="6" w:space="0" w:color="auto"/>
            </w:tcBorders>
            <w:shd w:val="clear" w:color="auto" w:fill="auto"/>
            <w:vAlign w:val="bottom"/>
          </w:tcPr>
          <w:p w14:paraId="14C9B289" w14:textId="77777777" w:rsidR="00846BBC" w:rsidRPr="004272B3" w:rsidRDefault="00846BBC" w:rsidP="00B8693A">
            <w:pPr>
              <w:snapToGrid w:val="0"/>
              <w:rPr>
                <w:iCs/>
                <w:sz w:val="22"/>
                <w:szCs w:val="22"/>
              </w:rPr>
            </w:pPr>
            <w:proofErr w:type="spellStart"/>
            <w:r w:rsidRPr="004272B3">
              <w:rPr>
                <w:iCs/>
                <w:sz w:val="22"/>
                <w:szCs w:val="22"/>
              </w:rPr>
              <w:t>Group</w:t>
            </w:r>
            <w:proofErr w:type="spellEnd"/>
          </w:p>
        </w:tc>
        <w:tc>
          <w:tcPr>
            <w:tcW w:w="761" w:type="dxa"/>
            <w:tcBorders>
              <w:bottom w:val="single" w:sz="6" w:space="0" w:color="auto"/>
            </w:tcBorders>
          </w:tcPr>
          <w:p w14:paraId="18D2FB94" w14:textId="77777777" w:rsidR="00846BBC" w:rsidRPr="004272B3" w:rsidRDefault="00846BBC" w:rsidP="00B8693A">
            <w:pPr>
              <w:snapToGrid w:val="0"/>
              <w:jc w:val="center"/>
              <w:rPr>
                <w:iCs/>
                <w:sz w:val="22"/>
                <w:szCs w:val="22"/>
              </w:rPr>
            </w:pPr>
            <w:r w:rsidRPr="004272B3">
              <w:rPr>
                <w:iCs/>
                <w:sz w:val="22"/>
                <w:szCs w:val="22"/>
              </w:rPr>
              <w:t>-0.37</w:t>
            </w:r>
          </w:p>
        </w:tc>
        <w:tc>
          <w:tcPr>
            <w:tcW w:w="761" w:type="dxa"/>
            <w:tcBorders>
              <w:bottom w:val="single" w:sz="6" w:space="0" w:color="auto"/>
            </w:tcBorders>
          </w:tcPr>
          <w:p w14:paraId="710A0D04" w14:textId="77777777" w:rsidR="00846BBC" w:rsidRPr="004272B3" w:rsidRDefault="00846BBC" w:rsidP="00B8693A">
            <w:pPr>
              <w:snapToGrid w:val="0"/>
              <w:jc w:val="center"/>
              <w:rPr>
                <w:iCs/>
                <w:sz w:val="22"/>
                <w:szCs w:val="22"/>
              </w:rPr>
            </w:pPr>
            <w:r w:rsidRPr="004272B3">
              <w:rPr>
                <w:iCs/>
                <w:sz w:val="22"/>
                <w:szCs w:val="22"/>
              </w:rPr>
              <w:t>1.05</w:t>
            </w:r>
          </w:p>
        </w:tc>
        <w:tc>
          <w:tcPr>
            <w:tcW w:w="761" w:type="dxa"/>
            <w:tcBorders>
              <w:bottom w:val="single" w:sz="6" w:space="0" w:color="auto"/>
            </w:tcBorders>
            <w:shd w:val="clear" w:color="auto" w:fill="auto"/>
            <w:vAlign w:val="center"/>
          </w:tcPr>
          <w:p w14:paraId="29A251C2" w14:textId="77777777" w:rsidR="00846BBC" w:rsidRPr="004272B3" w:rsidRDefault="00846BBC" w:rsidP="00B8693A">
            <w:pPr>
              <w:snapToGrid w:val="0"/>
              <w:jc w:val="center"/>
              <w:rPr>
                <w:iCs/>
                <w:sz w:val="22"/>
                <w:szCs w:val="22"/>
              </w:rPr>
            </w:pPr>
            <w:r w:rsidRPr="004272B3">
              <w:rPr>
                <w:iCs/>
                <w:sz w:val="22"/>
                <w:szCs w:val="22"/>
              </w:rPr>
              <w:t>-.072</w:t>
            </w:r>
          </w:p>
        </w:tc>
        <w:tc>
          <w:tcPr>
            <w:tcW w:w="760" w:type="dxa"/>
            <w:tcBorders>
              <w:bottom w:val="single" w:sz="6" w:space="0" w:color="auto"/>
            </w:tcBorders>
            <w:shd w:val="clear" w:color="auto" w:fill="auto"/>
            <w:vAlign w:val="center"/>
          </w:tcPr>
          <w:p w14:paraId="53274A54" w14:textId="77777777" w:rsidR="00846BBC" w:rsidRPr="004272B3" w:rsidRDefault="00846BBC" w:rsidP="00B8693A">
            <w:pPr>
              <w:snapToGrid w:val="0"/>
              <w:jc w:val="center"/>
              <w:rPr>
                <w:iCs/>
                <w:sz w:val="22"/>
                <w:szCs w:val="22"/>
              </w:rPr>
            </w:pPr>
            <w:r w:rsidRPr="004272B3">
              <w:rPr>
                <w:iCs/>
                <w:sz w:val="22"/>
                <w:szCs w:val="22"/>
              </w:rPr>
              <w:t>-0.35</w:t>
            </w:r>
          </w:p>
        </w:tc>
        <w:tc>
          <w:tcPr>
            <w:tcW w:w="760" w:type="dxa"/>
            <w:tcBorders>
              <w:bottom w:val="single" w:sz="6" w:space="0" w:color="auto"/>
            </w:tcBorders>
            <w:shd w:val="clear" w:color="auto" w:fill="auto"/>
            <w:vAlign w:val="center"/>
          </w:tcPr>
          <w:p w14:paraId="255B63F7" w14:textId="77777777" w:rsidR="00846BBC" w:rsidRPr="004272B3" w:rsidRDefault="00846BBC" w:rsidP="00B8693A">
            <w:pPr>
              <w:snapToGrid w:val="0"/>
              <w:jc w:val="center"/>
              <w:rPr>
                <w:iCs/>
                <w:sz w:val="22"/>
                <w:szCs w:val="22"/>
              </w:rPr>
            </w:pPr>
            <w:r w:rsidRPr="004272B3">
              <w:rPr>
                <w:iCs/>
                <w:sz w:val="22"/>
                <w:szCs w:val="22"/>
              </w:rPr>
              <w:t>.723</w:t>
            </w:r>
          </w:p>
        </w:tc>
        <w:tc>
          <w:tcPr>
            <w:tcW w:w="760" w:type="dxa"/>
            <w:tcBorders>
              <w:bottom w:val="single" w:sz="6" w:space="0" w:color="auto"/>
            </w:tcBorders>
            <w:shd w:val="clear" w:color="auto" w:fill="auto"/>
            <w:vAlign w:val="center"/>
          </w:tcPr>
          <w:p w14:paraId="3E16C057" w14:textId="77777777" w:rsidR="00846BBC" w:rsidRPr="004272B3" w:rsidRDefault="00846BBC" w:rsidP="00B8693A">
            <w:pPr>
              <w:snapToGrid w:val="0"/>
              <w:jc w:val="center"/>
              <w:rPr>
                <w:iCs/>
                <w:sz w:val="22"/>
                <w:szCs w:val="22"/>
              </w:rPr>
            </w:pPr>
          </w:p>
        </w:tc>
        <w:tc>
          <w:tcPr>
            <w:tcW w:w="760" w:type="dxa"/>
            <w:tcBorders>
              <w:bottom w:val="single" w:sz="6" w:space="0" w:color="auto"/>
            </w:tcBorders>
            <w:shd w:val="clear" w:color="auto" w:fill="auto"/>
            <w:vAlign w:val="center"/>
          </w:tcPr>
          <w:p w14:paraId="09DD99A2" w14:textId="77777777" w:rsidR="00846BBC" w:rsidRPr="004272B3" w:rsidRDefault="00846BBC" w:rsidP="00B8693A">
            <w:pPr>
              <w:snapToGrid w:val="0"/>
              <w:jc w:val="center"/>
              <w:rPr>
                <w:iCs/>
                <w:sz w:val="22"/>
                <w:szCs w:val="22"/>
              </w:rPr>
            </w:pPr>
          </w:p>
        </w:tc>
      </w:tr>
    </w:tbl>
    <w:p w14:paraId="748ADBB4" w14:textId="77777777" w:rsidR="00846BBC" w:rsidRPr="004272B3" w:rsidRDefault="00846BBC" w:rsidP="00846BBC">
      <w:pPr>
        <w:widowControl w:val="0"/>
        <w:autoSpaceDE w:val="0"/>
        <w:autoSpaceDN w:val="0"/>
        <w:adjustRightInd w:val="0"/>
        <w:spacing w:line="276" w:lineRule="auto"/>
        <w:ind w:left="567" w:right="418"/>
        <w:jc w:val="both"/>
        <w:rPr>
          <w:rFonts w:ascii="Times New Roman" w:hAnsi="Times New Roman" w:cs="Times New Roman"/>
          <w:sz w:val="20"/>
          <w:szCs w:val="20"/>
          <w:lang w:val="en-US"/>
        </w:rPr>
      </w:pPr>
      <w:r w:rsidRPr="004272B3">
        <w:rPr>
          <w:rFonts w:ascii="Times New Roman" w:hAnsi="Times New Roman" w:cs="Times New Roman"/>
          <w:sz w:val="20"/>
          <w:szCs w:val="20"/>
          <w:lang w:val="en-US"/>
        </w:rPr>
        <w:t>*</w:t>
      </w:r>
      <w:r w:rsidRPr="004272B3">
        <w:rPr>
          <w:rFonts w:ascii="Times New Roman" w:hAnsi="Times New Roman" w:cs="Times New Roman"/>
          <w:i/>
          <w:sz w:val="20"/>
          <w:szCs w:val="20"/>
          <w:lang w:val="en-US"/>
        </w:rPr>
        <w:t>p</w:t>
      </w:r>
      <w:r w:rsidRPr="004272B3">
        <w:rPr>
          <w:rFonts w:ascii="Times New Roman" w:hAnsi="Times New Roman" w:cs="Times New Roman"/>
          <w:sz w:val="20"/>
          <w:szCs w:val="20"/>
          <w:lang w:val="en-US"/>
        </w:rPr>
        <w:t xml:space="preserve"> &lt; .05. Note: EF=Executive function. GEC= General executive composite; </w:t>
      </w:r>
      <w:proofErr w:type="spellStart"/>
      <w:r w:rsidRPr="004272B3">
        <w:rPr>
          <w:rFonts w:ascii="Times New Roman" w:hAnsi="Times New Roman" w:cs="Times New Roman"/>
          <w:sz w:val="20"/>
          <w:szCs w:val="20"/>
          <w:lang w:val="en-US"/>
        </w:rPr>
        <w:t>ToMI</w:t>
      </w:r>
      <w:proofErr w:type="spellEnd"/>
      <w:r w:rsidRPr="004272B3">
        <w:rPr>
          <w:rFonts w:ascii="Times New Roman" w:hAnsi="Times New Roman" w:cs="Times New Roman"/>
          <w:sz w:val="20"/>
          <w:szCs w:val="20"/>
          <w:lang w:val="en-US"/>
        </w:rPr>
        <w:t xml:space="preserve"> = Theory of mind; SDQ total Pro= Strengths and difficulties questionnaire total problems; LBS total= Learning behavior scale total</w:t>
      </w:r>
    </w:p>
    <w:p w14:paraId="0E1B7245" w14:textId="77777777" w:rsidR="00846BBC" w:rsidRPr="004272B3" w:rsidRDefault="00846BBC" w:rsidP="00846BBC">
      <w:pPr>
        <w:rPr>
          <w:lang w:val="en-US"/>
        </w:rPr>
      </w:pPr>
    </w:p>
    <w:p w14:paraId="4DFB6781" w14:textId="77777777" w:rsidR="00846BBC" w:rsidRPr="004272B3" w:rsidRDefault="00846BBC" w:rsidP="00846BBC">
      <w:pPr>
        <w:rPr>
          <w:lang w:val="en-US"/>
        </w:rPr>
      </w:pPr>
    </w:p>
    <w:p w14:paraId="40BEA0AC" w14:textId="77777777" w:rsidR="00846BBC" w:rsidRPr="004272B3" w:rsidRDefault="00846BBC" w:rsidP="00846BBC">
      <w:pPr>
        <w:rPr>
          <w:lang w:val="en-US"/>
        </w:rPr>
      </w:pPr>
    </w:p>
    <w:p w14:paraId="6C26B408" w14:textId="77777777" w:rsidR="00846BBC" w:rsidRPr="004272B3" w:rsidRDefault="00846BBC" w:rsidP="00846BBC">
      <w:pPr>
        <w:rPr>
          <w:lang w:val="en-US"/>
        </w:rPr>
      </w:pPr>
    </w:p>
    <w:p w14:paraId="23D59709" w14:textId="77777777" w:rsidR="00846BBC" w:rsidRPr="004272B3" w:rsidRDefault="00846BBC" w:rsidP="00846BBC">
      <w:pPr>
        <w:rPr>
          <w:lang w:val="en-US"/>
        </w:rPr>
      </w:pPr>
    </w:p>
    <w:p w14:paraId="540FFF1F" w14:textId="77777777" w:rsidR="00846BBC" w:rsidRPr="004272B3" w:rsidRDefault="00846BBC" w:rsidP="00846BBC">
      <w:pPr>
        <w:rPr>
          <w:lang w:val="en-US"/>
        </w:rPr>
      </w:pPr>
    </w:p>
    <w:p w14:paraId="04BB33B6" w14:textId="77777777" w:rsidR="00846BBC" w:rsidRPr="004272B3" w:rsidRDefault="00846BBC" w:rsidP="00846BBC">
      <w:pPr>
        <w:rPr>
          <w:lang w:val="en-US"/>
        </w:rPr>
      </w:pPr>
    </w:p>
    <w:p w14:paraId="1CBB92BA" w14:textId="77777777" w:rsidR="00846BBC" w:rsidRPr="004272B3" w:rsidRDefault="00846BBC" w:rsidP="00846BBC">
      <w:pPr>
        <w:rPr>
          <w:lang w:val="en-US"/>
        </w:rPr>
      </w:pPr>
    </w:p>
    <w:p w14:paraId="62F8B998" w14:textId="77777777" w:rsidR="00846BBC" w:rsidRPr="004272B3" w:rsidRDefault="00846BBC" w:rsidP="00846BBC">
      <w:pPr>
        <w:rPr>
          <w:lang w:val="en-US"/>
        </w:rPr>
      </w:pPr>
    </w:p>
    <w:p w14:paraId="7AF4D5C1" w14:textId="77777777" w:rsidR="00846BBC" w:rsidRPr="004272B3" w:rsidRDefault="00846BBC" w:rsidP="00846BBC">
      <w:pPr>
        <w:rPr>
          <w:lang w:val="en-US"/>
        </w:rPr>
      </w:pPr>
    </w:p>
    <w:p w14:paraId="1DB94FA4" w14:textId="77777777" w:rsidR="00846BBC" w:rsidRPr="004272B3" w:rsidRDefault="00846BBC" w:rsidP="00846BBC">
      <w:pPr>
        <w:rPr>
          <w:lang w:val="en-US"/>
        </w:rPr>
      </w:pPr>
    </w:p>
    <w:p w14:paraId="69310A3C" w14:textId="77777777" w:rsidR="00846BBC" w:rsidRPr="004272B3" w:rsidRDefault="00846BBC" w:rsidP="00846BBC">
      <w:pPr>
        <w:rPr>
          <w:lang w:val="en-US"/>
        </w:rPr>
      </w:pPr>
    </w:p>
    <w:p w14:paraId="1962A0D3" w14:textId="77777777" w:rsidR="00846BBC" w:rsidRPr="004272B3" w:rsidRDefault="00846BBC" w:rsidP="00846BBC">
      <w:pPr>
        <w:rPr>
          <w:lang w:val="en-US"/>
        </w:rPr>
      </w:pPr>
    </w:p>
    <w:p w14:paraId="77C0903F" w14:textId="77777777" w:rsidR="00846BBC" w:rsidRPr="004272B3" w:rsidRDefault="00846BBC" w:rsidP="00846BBC">
      <w:pPr>
        <w:rPr>
          <w:lang w:val="en-US"/>
        </w:rPr>
      </w:pPr>
    </w:p>
    <w:p w14:paraId="316AB9AC" w14:textId="77777777" w:rsidR="00846BBC" w:rsidRPr="004272B3" w:rsidRDefault="00846BBC" w:rsidP="00846BBC">
      <w:pPr>
        <w:rPr>
          <w:lang w:val="en-US"/>
        </w:rPr>
      </w:pPr>
    </w:p>
    <w:p w14:paraId="6661CDD4" w14:textId="77777777" w:rsidR="00846BBC" w:rsidRPr="004272B3" w:rsidRDefault="00846BBC" w:rsidP="00846BBC">
      <w:pPr>
        <w:rPr>
          <w:lang w:val="en-US"/>
        </w:rPr>
      </w:pPr>
    </w:p>
    <w:p w14:paraId="51222FC2" w14:textId="77777777" w:rsidR="00846BBC" w:rsidRPr="004272B3" w:rsidRDefault="00846BBC" w:rsidP="00846BBC">
      <w:pPr>
        <w:rPr>
          <w:lang w:val="en-US"/>
        </w:rPr>
      </w:pPr>
    </w:p>
    <w:p w14:paraId="278EF4FA" w14:textId="77777777" w:rsidR="00846BBC" w:rsidRPr="004272B3" w:rsidRDefault="00846BBC" w:rsidP="00846BBC">
      <w:pPr>
        <w:rPr>
          <w:lang w:val="en-US"/>
        </w:rPr>
      </w:pPr>
    </w:p>
    <w:p w14:paraId="3258E9F2" w14:textId="77777777" w:rsidR="00846BBC" w:rsidRPr="004272B3" w:rsidRDefault="00846BBC" w:rsidP="00846BBC">
      <w:pPr>
        <w:rPr>
          <w:lang w:val="en-US"/>
        </w:rPr>
      </w:pPr>
    </w:p>
    <w:p w14:paraId="1813BB90" w14:textId="77777777" w:rsidR="00846BBC" w:rsidRPr="004272B3" w:rsidRDefault="00846BBC" w:rsidP="00846BBC">
      <w:pPr>
        <w:rPr>
          <w:lang w:val="en-US"/>
        </w:rPr>
      </w:pPr>
    </w:p>
    <w:p w14:paraId="480F4433" w14:textId="77777777" w:rsidR="00846BBC" w:rsidRPr="004272B3" w:rsidRDefault="00846BBC" w:rsidP="00846BBC">
      <w:pPr>
        <w:rPr>
          <w:lang w:val="en-US"/>
        </w:rPr>
      </w:pPr>
    </w:p>
    <w:p w14:paraId="0CB83DE9" w14:textId="77777777" w:rsidR="00846BBC" w:rsidRPr="004272B3" w:rsidRDefault="00846BBC" w:rsidP="00846BBC">
      <w:pPr>
        <w:rPr>
          <w:lang w:val="en-US"/>
        </w:rPr>
      </w:pPr>
    </w:p>
    <w:p w14:paraId="132BBDE8" w14:textId="77777777" w:rsidR="00846BBC" w:rsidRPr="004272B3" w:rsidRDefault="00846BBC" w:rsidP="00846BBC">
      <w:pPr>
        <w:rPr>
          <w:lang w:val="en-US"/>
        </w:rPr>
      </w:pPr>
    </w:p>
    <w:p w14:paraId="102131D8" w14:textId="77777777" w:rsidR="00846BBC" w:rsidRPr="004272B3" w:rsidRDefault="00846BBC" w:rsidP="00846BBC">
      <w:pPr>
        <w:rPr>
          <w:lang w:val="en-US"/>
        </w:rPr>
      </w:pPr>
    </w:p>
    <w:p w14:paraId="05A746E0" w14:textId="77777777" w:rsidR="00846BBC" w:rsidRPr="004272B3" w:rsidRDefault="00846BBC" w:rsidP="00846BBC">
      <w:pPr>
        <w:rPr>
          <w:lang w:val="en-US"/>
        </w:rPr>
      </w:pPr>
      <w:r w:rsidRPr="004272B3">
        <w:rPr>
          <w:rFonts w:ascii="Times New Roman" w:hAnsi="Times New Roman" w:cs="Times New Roman"/>
          <w:b/>
          <w:bCs/>
          <w:lang w:val="en-US"/>
        </w:rPr>
        <w:t>Figure 1</w:t>
      </w:r>
      <w:r w:rsidRPr="004272B3">
        <w:rPr>
          <w:rFonts w:ascii="Times New Roman" w:hAnsi="Times New Roman" w:cs="Times New Roman"/>
          <w:lang w:val="en-US"/>
        </w:rPr>
        <w:t>. Difficulties in each variable for the ASD- and the ASD+ groups at baseline and follow-up</w:t>
      </w:r>
    </w:p>
    <w:p w14:paraId="7D56B339" w14:textId="77777777" w:rsidR="00846BBC" w:rsidRPr="004272B3" w:rsidRDefault="00846BBC" w:rsidP="00846BBC">
      <w:pPr>
        <w:rPr>
          <w:rFonts w:ascii="Times New Roman" w:hAnsi="Times New Roman" w:cs="Times New Roman"/>
          <w:lang w:val="en-US"/>
        </w:rPr>
      </w:pPr>
      <w:r w:rsidRPr="004272B3">
        <w:rPr>
          <w:noProof/>
        </w:rPr>
        <w:drawing>
          <wp:anchor distT="0" distB="0" distL="114300" distR="114300" simplePos="0" relativeHeight="251659264" behindDoc="1" locked="0" layoutInCell="1" allowOverlap="1" wp14:anchorId="2A57341C" wp14:editId="6E76F135">
            <wp:simplePos x="0" y="0"/>
            <wp:positionH relativeFrom="margin">
              <wp:posOffset>-38100</wp:posOffset>
            </wp:positionH>
            <wp:positionV relativeFrom="paragraph">
              <wp:posOffset>290195</wp:posOffset>
            </wp:positionV>
            <wp:extent cx="5401310" cy="3008630"/>
            <wp:effectExtent l="0" t="0" r="8890" b="1270"/>
            <wp:wrapTight wrapText="bothSides">
              <wp:wrapPolygon edited="0">
                <wp:start x="0" y="0"/>
                <wp:lineTo x="0" y="21472"/>
                <wp:lineTo x="21559" y="21472"/>
                <wp:lineTo x="21559" y="0"/>
                <wp:lineTo x="0" y="0"/>
              </wp:wrapPolygon>
            </wp:wrapTight>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0226863A" w14:textId="77777777" w:rsidR="00846BBC" w:rsidRPr="004272B3" w:rsidRDefault="00846BBC" w:rsidP="00846BBC">
      <w:pPr>
        <w:rPr>
          <w:rFonts w:ascii="Times New Roman" w:hAnsi="Times New Roman" w:cs="Times New Roman"/>
          <w:lang w:val="en-US"/>
        </w:rPr>
      </w:pPr>
    </w:p>
    <w:p w14:paraId="1AF7FD92" w14:textId="77777777" w:rsidR="00846BBC" w:rsidRPr="004272B3" w:rsidRDefault="00846BBC" w:rsidP="00846BBC">
      <w:pPr>
        <w:rPr>
          <w:rFonts w:ascii="Times New Roman" w:hAnsi="Times New Roman" w:cs="Times New Roman"/>
          <w:lang w:val="en-US"/>
        </w:rPr>
      </w:pPr>
    </w:p>
    <w:p w14:paraId="36C77ABF" w14:textId="77777777" w:rsidR="00846BBC" w:rsidRPr="004272B3" w:rsidRDefault="00846BBC" w:rsidP="00846BBC">
      <w:pPr>
        <w:rPr>
          <w:rFonts w:ascii="Times New Roman" w:hAnsi="Times New Roman" w:cs="Times New Roman"/>
          <w:lang w:val="en-US"/>
        </w:rPr>
      </w:pPr>
    </w:p>
    <w:p w14:paraId="1DBCBE6A" w14:textId="77777777" w:rsidR="00846BBC" w:rsidRPr="004272B3" w:rsidRDefault="00846BBC" w:rsidP="00846BBC">
      <w:pPr>
        <w:rPr>
          <w:lang w:val="en-US"/>
        </w:rPr>
      </w:pPr>
    </w:p>
    <w:p w14:paraId="6CE1B7DB" w14:textId="77777777" w:rsidR="00846BBC" w:rsidRPr="004272B3" w:rsidRDefault="00846BBC" w:rsidP="00846BBC">
      <w:pPr>
        <w:rPr>
          <w:rFonts w:ascii="Times New Roman" w:hAnsi="Times New Roman" w:cs="Times New Roman"/>
          <w:lang w:val="en-US"/>
        </w:rPr>
      </w:pPr>
    </w:p>
    <w:p w14:paraId="65D20DD6" w14:textId="77777777" w:rsidR="00F912E3" w:rsidRPr="004272B3" w:rsidRDefault="00F912E3">
      <w:pPr>
        <w:rPr>
          <w:lang w:val="en-US"/>
        </w:rPr>
      </w:pPr>
    </w:p>
    <w:sectPr w:rsidR="00F912E3" w:rsidRPr="004272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F3D49"/>
    <w:multiLevelType w:val="hybridMultilevel"/>
    <w:tmpl w:val="3F82AA6E"/>
    <w:lvl w:ilvl="0" w:tplc="F718FB82">
      <w:start w:val="1"/>
      <w:numFmt w:val="decimal"/>
      <w:lvlText w:val="%1."/>
      <w:lvlJc w:val="left"/>
      <w:pPr>
        <w:ind w:left="720" w:hanging="360"/>
      </w:pPr>
      <w:rPr>
        <w:rFonts w:eastAsiaTheme="minorEastAsia"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78E4A93"/>
    <w:multiLevelType w:val="hybridMultilevel"/>
    <w:tmpl w:val="56E035D6"/>
    <w:lvl w:ilvl="0" w:tplc="B4141086">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BBC"/>
    <w:rsid w:val="000541DD"/>
    <w:rsid w:val="00072C20"/>
    <w:rsid w:val="00133AE2"/>
    <w:rsid w:val="001973F7"/>
    <w:rsid w:val="001B5D2C"/>
    <w:rsid w:val="002079DF"/>
    <w:rsid w:val="00230E49"/>
    <w:rsid w:val="003242CB"/>
    <w:rsid w:val="00335433"/>
    <w:rsid w:val="00357140"/>
    <w:rsid w:val="00395D27"/>
    <w:rsid w:val="003A52B4"/>
    <w:rsid w:val="003C1C3B"/>
    <w:rsid w:val="003D28E1"/>
    <w:rsid w:val="003E0ADF"/>
    <w:rsid w:val="004133F5"/>
    <w:rsid w:val="004272B3"/>
    <w:rsid w:val="00442F2C"/>
    <w:rsid w:val="00485502"/>
    <w:rsid w:val="00485AF1"/>
    <w:rsid w:val="004B5A44"/>
    <w:rsid w:val="004F40F0"/>
    <w:rsid w:val="005536E7"/>
    <w:rsid w:val="0057727B"/>
    <w:rsid w:val="005B3E5F"/>
    <w:rsid w:val="005D71F9"/>
    <w:rsid w:val="0066452B"/>
    <w:rsid w:val="00695846"/>
    <w:rsid w:val="00697B47"/>
    <w:rsid w:val="006C2A7A"/>
    <w:rsid w:val="006C2CC6"/>
    <w:rsid w:val="006D6C62"/>
    <w:rsid w:val="0073584D"/>
    <w:rsid w:val="00736153"/>
    <w:rsid w:val="007F45D3"/>
    <w:rsid w:val="00846BBC"/>
    <w:rsid w:val="00900605"/>
    <w:rsid w:val="00950DC8"/>
    <w:rsid w:val="009C485F"/>
    <w:rsid w:val="009C73DE"/>
    <w:rsid w:val="00A229ED"/>
    <w:rsid w:val="00A6477A"/>
    <w:rsid w:val="00AD0628"/>
    <w:rsid w:val="00AD4C48"/>
    <w:rsid w:val="00B50E1B"/>
    <w:rsid w:val="00B87A0C"/>
    <w:rsid w:val="00C0345F"/>
    <w:rsid w:val="00C22387"/>
    <w:rsid w:val="00C96147"/>
    <w:rsid w:val="00CB24E6"/>
    <w:rsid w:val="00D4134D"/>
    <w:rsid w:val="00DA0986"/>
    <w:rsid w:val="00DA49DC"/>
    <w:rsid w:val="00DD4389"/>
    <w:rsid w:val="00DF581D"/>
    <w:rsid w:val="00E47978"/>
    <w:rsid w:val="00E55EAC"/>
    <w:rsid w:val="00F54C7B"/>
    <w:rsid w:val="00F56222"/>
    <w:rsid w:val="00F912E3"/>
    <w:rsid w:val="00FA3AF2"/>
    <w:rsid w:val="00FA5761"/>
    <w:rsid w:val="00FE43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A201"/>
  <w15:chartTrackingRefBased/>
  <w15:docId w15:val="{2EE0009A-29E8-4169-B724-EB8DC09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1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6BBC"/>
    <w:rPr>
      <w:color w:val="0000FF"/>
      <w:u w:val="single"/>
    </w:rPr>
  </w:style>
  <w:style w:type="character" w:customStyle="1" w:styleId="apple-converted-space">
    <w:name w:val="apple-converted-space"/>
    <w:basedOn w:val="DefaultParagraphFont"/>
    <w:rsid w:val="00846BBC"/>
  </w:style>
  <w:style w:type="table" w:styleId="TableGrid">
    <w:name w:val="Table Grid"/>
    <w:basedOn w:val="TableNormal"/>
    <w:uiPriority w:val="39"/>
    <w:rsid w:val="00846BBC"/>
    <w:pPr>
      <w:spacing w:after="0" w:line="240" w:lineRule="auto"/>
    </w:pPr>
    <w:rPr>
      <w:rFonts w:ascii="Times New Roman" w:eastAsia="SimSu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41tablecaption">
    <w:name w:val="MDPI_4.1_table_caption"/>
    <w:basedOn w:val="Normal"/>
    <w:qFormat/>
    <w:rsid w:val="00846BBC"/>
    <w:pPr>
      <w:adjustRightInd w:val="0"/>
      <w:snapToGrid w:val="0"/>
      <w:spacing w:before="240" w:after="120" w:line="260" w:lineRule="atLeast"/>
      <w:ind w:left="425" w:right="425"/>
      <w:jc w:val="both"/>
    </w:pPr>
    <w:rPr>
      <w:rFonts w:ascii="Palatino Linotype" w:eastAsia="Times New Roman" w:hAnsi="Palatino Linotype" w:cs="Times New Roman"/>
      <w:color w:val="000000"/>
      <w:sz w:val="18"/>
      <w:lang w:val="en-US" w:eastAsia="de-DE" w:bidi="en-US"/>
    </w:rPr>
  </w:style>
  <w:style w:type="paragraph" w:styleId="Header">
    <w:name w:val="header"/>
    <w:basedOn w:val="Normal"/>
    <w:link w:val="HeaderChar"/>
    <w:uiPriority w:val="99"/>
    <w:unhideWhenUsed/>
    <w:rsid w:val="00846BBC"/>
    <w:pPr>
      <w:tabs>
        <w:tab w:val="center" w:pos="4252"/>
        <w:tab w:val="right" w:pos="8504"/>
      </w:tabs>
      <w:spacing w:after="0" w:line="240" w:lineRule="auto"/>
    </w:pPr>
    <w:rPr>
      <w:rFonts w:eastAsiaTheme="minorEastAsia"/>
      <w:sz w:val="24"/>
      <w:szCs w:val="24"/>
      <w:lang w:val="es-ES_tradnl" w:eastAsia="es-ES"/>
    </w:rPr>
  </w:style>
  <w:style w:type="character" w:customStyle="1" w:styleId="HeaderChar">
    <w:name w:val="Header Char"/>
    <w:basedOn w:val="DefaultParagraphFont"/>
    <w:link w:val="Header"/>
    <w:uiPriority w:val="99"/>
    <w:rsid w:val="00846BBC"/>
    <w:rPr>
      <w:rFonts w:eastAsiaTheme="minorEastAsia"/>
      <w:sz w:val="24"/>
      <w:szCs w:val="24"/>
      <w:lang w:val="es-ES_tradnl" w:eastAsia="es-ES"/>
    </w:rPr>
  </w:style>
  <w:style w:type="paragraph" w:styleId="Footer">
    <w:name w:val="footer"/>
    <w:basedOn w:val="Normal"/>
    <w:link w:val="FooterChar"/>
    <w:uiPriority w:val="99"/>
    <w:unhideWhenUsed/>
    <w:rsid w:val="00846BBC"/>
    <w:pPr>
      <w:tabs>
        <w:tab w:val="center" w:pos="4252"/>
        <w:tab w:val="right" w:pos="8504"/>
      </w:tabs>
      <w:spacing w:after="0" w:line="240" w:lineRule="auto"/>
    </w:pPr>
    <w:rPr>
      <w:rFonts w:eastAsiaTheme="minorEastAsia"/>
      <w:sz w:val="24"/>
      <w:szCs w:val="24"/>
      <w:lang w:val="es-ES_tradnl" w:eastAsia="es-ES"/>
    </w:rPr>
  </w:style>
  <w:style w:type="character" w:customStyle="1" w:styleId="FooterChar">
    <w:name w:val="Footer Char"/>
    <w:basedOn w:val="DefaultParagraphFont"/>
    <w:link w:val="Footer"/>
    <w:uiPriority w:val="99"/>
    <w:rsid w:val="00846BBC"/>
    <w:rPr>
      <w:rFonts w:eastAsiaTheme="minorEastAsia"/>
      <w:sz w:val="24"/>
      <w:szCs w:val="24"/>
      <w:lang w:val="es-ES_tradnl" w:eastAsia="es-ES"/>
    </w:rPr>
  </w:style>
  <w:style w:type="character" w:customStyle="1" w:styleId="BalloonTextChar">
    <w:name w:val="Balloon Text Char"/>
    <w:basedOn w:val="DefaultParagraphFont"/>
    <w:link w:val="BalloonText"/>
    <w:uiPriority w:val="99"/>
    <w:semiHidden/>
    <w:rsid w:val="00846BBC"/>
    <w:rPr>
      <w:rFonts w:ascii="Lucida Grande" w:eastAsiaTheme="minorEastAsia" w:hAnsi="Lucida Grande" w:cs="Lucida Grande"/>
      <w:sz w:val="18"/>
      <w:szCs w:val="18"/>
      <w:lang w:val="es-ES_tradnl" w:eastAsia="es-ES"/>
    </w:rPr>
  </w:style>
  <w:style w:type="paragraph" w:styleId="BalloonText">
    <w:name w:val="Balloon Text"/>
    <w:basedOn w:val="Normal"/>
    <w:link w:val="BalloonTextChar"/>
    <w:uiPriority w:val="99"/>
    <w:semiHidden/>
    <w:unhideWhenUsed/>
    <w:rsid w:val="00846BBC"/>
    <w:pPr>
      <w:spacing w:after="0" w:line="240" w:lineRule="auto"/>
    </w:pPr>
    <w:rPr>
      <w:rFonts w:ascii="Lucida Grande" w:eastAsiaTheme="minorEastAsia" w:hAnsi="Lucida Grande" w:cs="Lucida Grande"/>
      <w:sz w:val="18"/>
      <w:szCs w:val="18"/>
      <w:lang w:val="es-ES_tradnl" w:eastAsia="es-ES"/>
    </w:rPr>
  </w:style>
  <w:style w:type="character" w:customStyle="1" w:styleId="TextodegloboCar1">
    <w:name w:val="Texto de globo Car1"/>
    <w:basedOn w:val="DefaultParagraphFont"/>
    <w:uiPriority w:val="99"/>
    <w:semiHidden/>
    <w:rsid w:val="00846BBC"/>
    <w:rPr>
      <w:rFonts w:ascii="Segoe UI" w:hAnsi="Segoe UI" w:cs="Segoe UI"/>
      <w:sz w:val="18"/>
      <w:szCs w:val="18"/>
    </w:rPr>
  </w:style>
  <w:style w:type="paragraph" w:styleId="ListParagraph">
    <w:name w:val="List Paragraph"/>
    <w:basedOn w:val="Normal"/>
    <w:uiPriority w:val="34"/>
    <w:qFormat/>
    <w:rsid w:val="00846BBC"/>
    <w:pPr>
      <w:spacing w:after="0" w:line="240" w:lineRule="auto"/>
      <w:ind w:left="720"/>
      <w:contextualSpacing/>
    </w:pPr>
    <w:rPr>
      <w:rFonts w:eastAsiaTheme="minorEastAsia"/>
      <w:sz w:val="24"/>
      <w:szCs w:val="24"/>
      <w:lang w:val="es-ES_tradnl" w:eastAsia="es-ES"/>
    </w:rPr>
  </w:style>
  <w:style w:type="character" w:customStyle="1" w:styleId="CommentTextChar">
    <w:name w:val="Comment Text Char"/>
    <w:basedOn w:val="DefaultParagraphFont"/>
    <w:link w:val="CommentText"/>
    <w:uiPriority w:val="99"/>
    <w:semiHidden/>
    <w:rsid w:val="00846BBC"/>
    <w:rPr>
      <w:rFonts w:eastAsiaTheme="minorEastAsia"/>
      <w:sz w:val="20"/>
      <w:szCs w:val="20"/>
      <w:lang w:val="es-ES_tradnl" w:eastAsia="es-ES"/>
    </w:rPr>
  </w:style>
  <w:style w:type="paragraph" w:styleId="CommentText">
    <w:name w:val="annotation text"/>
    <w:basedOn w:val="Normal"/>
    <w:link w:val="CommentTextChar"/>
    <w:uiPriority w:val="99"/>
    <w:semiHidden/>
    <w:unhideWhenUsed/>
    <w:rsid w:val="00846BBC"/>
    <w:pPr>
      <w:spacing w:after="0" w:line="240" w:lineRule="auto"/>
    </w:pPr>
    <w:rPr>
      <w:rFonts w:eastAsiaTheme="minorEastAsia"/>
      <w:sz w:val="20"/>
      <w:szCs w:val="20"/>
      <w:lang w:val="es-ES_tradnl" w:eastAsia="es-ES"/>
    </w:rPr>
  </w:style>
  <w:style w:type="character" w:customStyle="1" w:styleId="CommentSubjectChar">
    <w:name w:val="Comment Subject Char"/>
    <w:basedOn w:val="CommentTextChar"/>
    <w:link w:val="CommentSubject"/>
    <w:uiPriority w:val="99"/>
    <w:semiHidden/>
    <w:rsid w:val="00846BBC"/>
    <w:rPr>
      <w:rFonts w:eastAsiaTheme="minorEastAsia"/>
      <w:b/>
      <w:bCs/>
      <w:sz w:val="20"/>
      <w:szCs w:val="20"/>
      <w:lang w:val="es-ES_tradnl" w:eastAsia="es-ES"/>
    </w:rPr>
  </w:style>
  <w:style w:type="paragraph" w:styleId="CommentSubject">
    <w:name w:val="annotation subject"/>
    <w:basedOn w:val="CommentText"/>
    <w:next w:val="CommentText"/>
    <w:link w:val="CommentSubjectChar"/>
    <w:uiPriority w:val="99"/>
    <w:semiHidden/>
    <w:unhideWhenUsed/>
    <w:rsid w:val="00846BBC"/>
    <w:rPr>
      <w:b/>
      <w:bCs/>
    </w:rPr>
  </w:style>
  <w:style w:type="character" w:customStyle="1" w:styleId="AsuntodelcomentarioCar1">
    <w:name w:val="Asunto del comentario Car1"/>
    <w:basedOn w:val="CommentTextChar"/>
    <w:uiPriority w:val="99"/>
    <w:semiHidden/>
    <w:rsid w:val="00846BBC"/>
    <w:rPr>
      <w:rFonts w:eastAsiaTheme="minorEastAsia"/>
      <w:b/>
      <w:bCs/>
      <w:sz w:val="20"/>
      <w:szCs w:val="20"/>
      <w:lang w:val="es-ES_tradnl" w:eastAsia="es-ES"/>
    </w:rPr>
  </w:style>
  <w:style w:type="character" w:customStyle="1" w:styleId="a">
    <w:name w:val="_"/>
    <w:basedOn w:val="DefaultParagraphFont"/>
    <w:rsid w:val="00846BBC"/>
  </w:style>
  <w:style w:type="paragraph" w:customStyle="1" w:styleId="paragraph">
    <w:name w:val="paragraph"/>
    <w:basedOn w:val="Normal"/>
    <w:rsid w:val="00846BB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DefaultParagraphFont"/>
    <w:rsid w:val="00846BBC"/>
  </w:style>
  <w:style w:type="character" w:customStyle="1" w:styleId="eop">
    <w:name w:val="eop"/>
    <w:basedOn w:val="DefaultParagraphFont"/>
    <w:rsid w:val="00846BBC"/>
  </w:style>
  <w:style w:type="character" w:styleId="UnresolvedMention">
    <w:name w:val="Unresolved Mention"/>
    <w:basedOn w:val="DefaultParagraphFont"/>
    <w:uiPriority w:val="99"/>
    <w:semiHidden/>
    <w:unhideWhenUsed/>
    <w:rsid w:val="00695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00004583-200111000-00015" TargetMode="External"/><Relationship Id="rId13" Type="http://schemas.openxmlformats.org/officeDocument/2006/relationships/hyperlink" Target="https://doi.org/10.1007/s11920-010-0145-3" TargetMode="External"/><Relationship Id="rId18" Type="http://schemas.openxmlformats.org/officeDocument/2006/relationships/hyperlink" Target="https://doi.org/10.1007/s10803-021-05353-6" TargetMode="Externa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doi.org/10.1076/chin.6.3.235.3152" TargetMode="External"/><Relationship Id="rId12" Type="http://schemas.openxmlformats.org/officeDocument/2006/relationships/hyperlink" Target="https://doi.org/10.1016/j.braindev.2019.07.011" TargetMode="External"/><Relationship Id="rId17" Type="http://schemas.openxmlformats.org/officeDocument/2006/relationships/hyperlink" Target="https://doi.org/10.1371/journal.%20pone.0207286" TargetMode="External"/><Relationship Id="rId2" Type="http://schemas.openxmlformats.org/officeDocument/2006/relationships/styles" Target="styles.xml"/><Relationship Id="rId16" Type="http://schemas.openxmlformats.org/officeDocument/2006/relationships/hyperlink" Target="https://doi.org/10.1016/j.rasd.2021.10175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038/srep36566" TargetMode="External"/><Relationship Id="rId11" Type="http://schemas.openxmlformats.org/officeDocument/2006/relationships/hyperlink" Target="https://doi.org/10.1002/aur.1873" TargetMode="External"/><Relationship Id="rId5" Type="http://schemas.openxmlformats.org/officeDocument/2006/relationships/hyperlink" Target="http://dx.doi.org/" TargetMode="External"/><Relationship Id="rId15" Type="http://schemas.openxmlformats.org/officeDocument/2006/relationships/hyperlink" Target="https://doi.org/10.1111/jcpp.13305" TargetMode="External"/><Relationship Id="rId10" Type="http://schemas.openxmlformats.org/officeDocument/2006/relationships/hyperlink" Target="http://www.theoryofmindinventory.com/" TargetMode="External"/><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s://doi.org/10.3102/0034654319857038" TargetMode="External"/><Relationship Id="rId14" Type="http://schemas.openxmlformats.org/officeDocument/2006/relationships/hyperlink" Target="https://doi10.1007/s10803-015-2576-5"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ASD- T1</c:v>
                </c:pt>
              </c:strCache>
            </c:strRef>
          </c:tx>
          <c:spPr>
            <a:solidFill>
              <a:schemeClr val="bg1">
                <a:lumMod val="75000"/>
              </a:schemeClr>
            </a:solidFill>
            <a:ln>
              <a:noFill/>
            </a:ln>
            <a:effectLst/>
          </c:spPr>
          <c:invertIfNegative val="0"/>
          <c:cat>
            <c:strRef>
              <c:f>Hoja1!$A$2:$A$6</c:f>
              <c:strCache>
                <c:ptCount val="5"/>
                <c:pt idx="0">
                  <c:v>BRI</c:v>
                </c:pt>
                <c:pt idx="1">
                  <c:v>MI</c:v>
                </c:pt>
                <c:pt idx="2">
                  <c:v>TOMI</c:v>
                </c:pt>
                <c:pt idx="3">
                  <c:v>SDQ</c:v>
                </c:pt>
                <c:pt idx="4">
                  <c:v>LBS</c:v>
                </c:pt>
              </c:strCache>
            </c:strRef>
          </c:cat>
          <c:val>
            <c:numRef>
              <c:f>Hoja1!$B$2:$B$6</c:f>
              <c:numCache>
                <c:formatCode>General</c:formatCode>
                <c:ptCount val="5"/>
                <c:pt idx="0">
                  <c:v>26.7</c:v>
                </c:pt>
                <c:pt idx="1">
                  <c:v>26.7</c:v>
                </c:pt>
                <c:pt idx="2">
                  <c:v>73.3</c:v>
                </c:pt>
                <c:pt idx="3">
                  <c:v>26.7</c:v>
                </c:pt>
                <c:pt idx="4">
                  <c:v>66.7</c:v>
                </c:pt>
              </c:numCache>
            </c:numRef>
          </c:val>
          <c:extLst>
            <c:ext xmlns:c16="http://schemas.microsoft.com/office/drawing/2014/chart" uri="{C3380CC4-5D6E-409C-BE32-E72D297353CC}">
              <c16:uniqueId val="{00000000-BB17-4C16-9BE2-5ABEF95F4169}"/>
            </c:ext>
          </c:extLst>
        </c:ser>
        <c:ser>
          <c:idx val="1"/>
          <c:order val="1"/>
          <c:tx>
            <c:strRef>
              <c:f>Hoja1!$C$1</c:f>
              <c:strCache>
                <c:ptCount val="1"/>
                <c:pt idx="0">
                  <c:v>ASD+ T1</c:v>
                </c:pt>
              </c:strCache>
            </c:strRef>
          </c:tx>
          <c:spPr>
            <a:solidFill>
              <a:schemeClr val="tx1">
                <a:lumMod val="65000"/>
                <a:lumOff val="35000"/>
              </a:schemeClr>
            </a:solidFill>
            <a:ln>
              <a:noFill/>
            </a:ln>
            <a:effectLst/>
          </c:spPr>
          <c:invertIfNegative val="0"/>
          <c:cat>
            <c:strRef>
              <c:f>Hoja1!$A$2:$A$6</c:f>
              <c:strCache>
                <c:ptCount val="5"/>
                <c:pt idx="0">
                  <c:v>BRI</c:v>
                </c:pt>
                <c:pt idx="1">
                  <c:v>MI</c:v>
                </c:pt>
                <c:pt idx="2">
                  <c:v>TOMI</c:v>
                </c:pt>
                <c:pt idx="3">
                  <c:v>SDQ</c:v>
                </c:pt>
                <c:pt idx="4">
                  <c:v>LBS</c:v>
                </c:pt>
              </c:strCache>
            </c:strRef>
          </c:cat>
          <c:val>
            <c:numRef>
              <c:f>Hoja1!$C$2:$C$6</c:f>
              <c:numCache>
                <c:formatCode>General</c:formatCode>
                <c:ptCount val="5"/>
                <c:pt idx="0">
                  <c:v>63.3</c:v>
                </c:pt>
                <c:pt idx="1">
                  <c:v>46.7</c:v>
                </c:pt>
                <c:pt idx="2">
                  <c:v>96.7</c:v>
                </c:pt>
                <c:pt idx="3">
                  <c:v>83.3</c:v>
                </c:pt>
                <c:pt idx="4">
                  <c:v>76.7</c:v>
                </c:pt>
              </c:numCache>
            </c:numRef>
          </c:val>
          <c:extLst>
            <c:ext xmlns:c16="http://schemas.microsoft.com/office/drawing/2014/chart" uri="{C3380CC4-5D6E-409C-BE32-E72D297353CC}">
              <c16:uniqueId val="{00000001-BB17-4C16-9BE2-5ABEF95F4169}"/>
            </c:ext>
          </c:extLst>
        </c:ser>
        <c:ser>
          <c:idx val="2"/>
          <c:order val="2"/>
          <c:tx>
            <c:strRef>
              <c:f>Hoja1!$D$1</c:f>
              <c:strCache>
                <c:ptCount val="1"/>
                <c:pt idx="0">
                  <c:v>ASD- T2</c:v>
                </c:pt>
              </c:strCache>
            </c:strRef>
          </c:tx>
          <c:spPr>
            <a:pattFill prst="wdDnDiag">
              <a:fgClr>
                <a:sysClr val="windowText" lastClr="000000"/>
              </a:fgClr>
              <a:bgClr>
                <a:schemeClr val="bg1">
                  <a:lumMod val="75000"/>
                </a:schemeClr>
              </a:bgClr>
            </a:pattFill>
            <a:ln>
              <a:solidFill>
                <a:schemeClr val="tx1"/>
              </a:solidFill>
            </a:ln>
            <a:effectLst/>
          </c:spPr>
          <c:invertIfNegative val="0"/>
          <c:cat>
            <c:strRef>
              <c:f>Hoja1!$A$2:$A$6</c:f>
              <c:strCache>
                <c:ptCount val="5"/>
                <c:pt idx="0">
                  <c:v>BRI</c:v>
                </c:pt>
                <c:pt idx="1">
                  <c:v>MI</c:v>
                </c:pt>
                <c:pt idx="2">
                  <c:v>TOMI</c:v>
                </c:pt>
                <c:pt idx="3">
                  <c:v>SDQ</c:v>
                </c:pt>
                <c:pt idx="4">
                  <c:v>LBS</c:v>
                </c:pt>
              </c:strCache>
            </c:strRef>
          </c:cat>
          <c:val>
            <c:numRef>
              <c:f>Hoja1!$D$2:$D$6</c:f>
              <c:numCache>
                <c:formatCode>General</c:formatCode>
                <c:ptCount val="5"/>
                <c:pt idx="0">
                  <c:v>38</c:v>
                </c:pt>
                <c:pt idx="1">
                  <c:v>31</c:v>
                </c:pt>
                <c:pt idx="2">
                  <c:v>85</c:v>
                </c:pt>
                <c:pt idx="3">
                  <c:v>65</c:v>
                </c:pt>
                <c:pt idx="4">
                  <c:v>54</c:v>
                </c:pt>
              </c:numCache>
            </c:numRef>
          </c:val>
          <c:extLst>
            <c:ext xmlns:c16="http://schemas.microsoft.com/office/drawing/2014/chart" uri="{C3380CC4-5D6E-409C-BE32-E72D297353CC}">
              <c16:uniqueId val="{00000002-BB17-4C16-9BE2-5ABEF95F4169}"/>
            </c:ext>
          </c:extLst>
        </c:ser>
        <c:ser>
          <c:idx val="3"/>
          <c:order val="3"/>
          <c:tx>
            <c:strRef>
              <c:f>Hoja1!$E$1</c:f>
              <c:strCache>
                <c:ptCount val="1"/>
                <c:pt idx="0">
                  <c:v>ASD+ T2</c:v>
                </c:pt>
              </c:strCache>
            </c:strRef>
          </c:tx>
          <c:spPr>
            <a:pattFill prst="wdDnDiag">
              <a:fgClr>
                <a:schemeClr val="tx1">
                  <a:lumMod val="50000"/>
                  <a:lumOff val="50000"/>
                </a:schemeClr>
              </a:fgClr>
              <a:bgClr>
                <a:schemeClr val="tx1">
                  <a:lumMod val="65000"/>
                  <a:lumOff val="35000"/>
                </a:schemeClr>
              </a:bgClr>
            </a:pattFill>
            <a:ln>
              <a:solidFill>
                <a:schemeClr val="tx1"/>
              </a:solidFill>
            </a:ln>
            <a:effectLst/>
          </c:spPr>
          <c:invertIfNegative val="0"/>
          <c:cat>
            <c:strRef>
              <c:f>Hoja1!$A$2:$A$6</c:f>
              <c:strCache>
                <c:ptCount val="5"/>
                <c:pt idx="0">
                  <c:v>BRI</c:v>
                </c:pt>
                <c:pt idx="1">
                  <c:v>MI</c:v>
                </c:pt>
                <c:pt idx="2">
                  <c:v>TOMI</c:v>
                </c:pt>
                <c:pt idx="3">
                  <c:v>SDQ</c:v>
                </c:pt>
                <c:pt idx="4">
                  <c:v>LBS</c:v>
                </c:pt>
              </c:strCache>
            </c:strRef>
          </c:cat>
          <c:val>
            <c:numRef>
              <c:f>Hoja1!$E$2:$E$6</c:f>
              <c:numCache>
                <c:formatCode>General</c:formatCode>
                <c:ptCount val="5"/>
                <c:pt idx="0">
                  <c:v>58</c:v>
                </c:pt>
                <c:pt idx="1">
                  <c:v>47</c:v>
                </c:pt>
                <c:pt idx="2">
                  <c:v>89</c:v>
                </c:pt>
                <c:pt idx="3">
                  <c:v>68</c:v>
                </c:pt>
                <c:pt idx="4">
                  <c:v>74</c:v>
                </c:pt>
              </c:numCache>
            </c:numRef>
          </c:val>
          <c:extLst>
            <c:ext xmlns:c16="http://schemas.microsoft.com/office/drawing/2014/chart" uri="{C3380CC4-5D6E-409C-BE32-E72D297353CC}">
              <c16:uniqueId val="{00000003-BB17-4C16-9BE2-5ABEF95F4169}"/>
            </c:ext>
          </c:extLst>
        </c:ser>
        <c:dLbls>
          <c:showLegendKey val="0"/>
          <c:showVal val="0"/>
          <c:showCatName val="0"/>
          <c:showSerName val="0"/>
          <c:showPercent val="0"/>
          <c:showBubbleSize val="0"/>
        </c:dLbls>
        <c:gapWidth val="115"/>
        <c:axId val="1934743904"/>
        <c:axId val="1934744992"/>
      </c:barChart>
      <c:catAx>
        <c:axId val="1934743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34744992"/>
        <c:crosses val="autoZero"/>
        <c:auto val="1"/>
        <c:lblAlgn val="ctr"/>
        <c:lblOffset val="100"/>
        <c:noMultiLvlLbl val="0"/>
      </c:catAx>
      <c:valAx>
        <c:axId val="193474499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34743904"/>
        <c:crosses val="autoZero"/>
        <c:crossBetween val="between"/>
        <c:dispUnits>
          <c:builtInUnit val="hundreds"/>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3349D0899A4DF7A6CD79EF8F9DA111"/>
        <w:category>
          <w:name w:val="General"/>
          <w:gallery w:val="placeholder"/>
        </w:category>
        <w:types>
          <w:type w:val="bbPlcHdr"/>
        </w:types>
        <w:behaviors>
          <w:behavior w:val="content"/>
        </w:behaviors>
        <w:guid w:val="{E6FB9883-882F-4734-821A-94D4E3B2EF97}"/>
      </w:docPartPr>
      <w:docPartBody>
        <w:p w:rsidR="00DA6464" w:rsidRDefault="00DA64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48"/>
    <w:rsid w:val="003D7B95"/>
    <w:rsid w:val="00467747"/>
    <w:rsid w:val="00822028"/>
    <w:rsid w:val="00896728"/>
    <w:rsid w:val="008A337D"/>
    <w:rsid w:val="00C15B53"/>
    <w:rsid w:val="00CC3546"/>
    <w:rsid w:val="00D33959"/>
    <w:rsid w:val="00DA6464"/>
    <w:rsid w:val="00E617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6968</Words>
  <Characters>39723</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Rosello Miranda, Rocio</dc:creator>
  <cp:keywords/>
  <dc:description/>
  <cp:lastModifiedBy>Samuele Cortese</cp:lastModifiedBy>
  <cp:revision>2</cp:revision>
  <cp:lastPrinted>2022-01-31T20:13:00Z</cp:lastPrinted>
  <dcterms:created xsi:type="dcterms:W3CDTF">2022-05-17T11:42:00Z</dcterms:created>
  <dcterms:modified xsi:type="dcterms:W3CDTF">2022-05-17T11:42:00Z</dcterms:modified>
</cp:coreProperties>
</file>