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59C692" w14:textId="02834713" w:rsidR="00536695" w:rsidRPr="0051331B" w:rsidRDefault="00664BBC" w:rsidP="7BF89CF4">
      <w:pPr>
        <w:spacing w:line="360" w:lineRule="auto"/>
        <w:jc w:val="both"/>
        <w:rPr>
          <w:rFonts w:eastAsia="Times New Roman"/>
          <w:b/>
          <w:bCs/>
          <w:lang w:eastAsia="en-GB"/>
        </w:rPr>
      </w:pPr>
      <w:bookmarkStart w:id="0" w:name="_GoBack"/>
      <w:bookmarkEnd w:id="0"/>
      <w:r w:rsidRPr="594CCC0A">
        <w:rPr>
          <w:rFonts w:eastAsia="Times New Roman"/>
          <w:b/>
          <w:bCs/>
          <w:lang w:eastAsia="en-GB"/>
        </w:rPr>
        <w:t xml:space="preserve">Abstract </w:t>
      </w:r>
      <w:r w:rsidR="007E5B82" w:rsidRPr="594CCC0A">
        <w:rPr>
          <w:rFonts w:eastAsia="Times New Roman"/>
          <w:b/>
          <w:bCs/>
          <w:lang w:eastAsia="en-GB"/>
        </w:rPr>
        <w:t xml:space="preserve"> </w:t>
      </w:r>
    </w:p>
    <w:p w14:paraId="1F23A103" w14:textId="77777777" w:rsidR="0051331B" w:rsidRPr="0051331B" w:rsidRDefault="0051331B" w:rsidP="005D2029">
      <w:pPr>
        <w:spacing w:line="360" w:lineRule="auto"/>
        <w:jc w:val="both"/>
        <w:rPr>
          <w:rFonts w:eastAsia="Times New Roman" w:cstheme="minorHAnsi"/>
          <w:b/>
          <w:bCs/>
          <w:lang w:eastAsia="en-GB"/>
        </w:rPr>
      </w:pPr>
      <w:r w:rsidRPr="0051331B">
        <w:rPr>
          <w:rFonts w:eastAsia="Times New Roman" w:cstheme="minorHAnsi"/>
          <w:b/>
          <w:bCs/>
          <w:lang w:eastAsia="en-GB"/>
        </w:rPr>
        <w:t>Aims and objectives</w:t>
      </w:r>
    </w:p>
    <w:p w14:paraId="34E4BEFE" w14:textId="2B545D29" w:rsidR="0077034E" w:rsidRDefault="0051331B" w:rsidP="4C19B7E2">
      <w:pPr>
        <w:spacing w:line="360" w:lineRule="auto"/>
        <w:jc w:val="both"/>
        <w:rPr>
          <w:rFonts w:eastAsia="Times New Roman"/>
          <w:lang w:eastAsia="en-GB"/>
        </w:rPr>
      </w:pPr>
      <w:r w:rsidRPr="4C19B7E2">
        <w:rPr>
          <w:rFonts w:eastAsia="Times New Roman"/>
          <w:lang w:eastAsia="en-GB"/>
        </w:rPr>
        <w:t xml:space="preserve">This study </w:t>
      </w:r>
      <w:r w:rsidR="00FC63EE" w:rsidRPr="4C19B7E2">
        <w:rPr>
          <w:rFonts w:eastAsia="Times New Roman"/>
          <w:lang w:eastAsia="en-GB"/>
        </w:rPr>
        <w:t xml:space="preserve">explores UK nurses’ experiences </w:t>
      </w:r>
      <w:r w:rsidR="00FC63EE">
        <w:t xml:space="preserve">of working in a respiratory clinical area during the COVID-19 pandemic </w:t>
      </w:r>
      <w:r w:rsidR="00E33A59">
        <w:t>over winter 2020</w:t>
      </w:r>
      <w:r w:rsidR="00F41FC7">
        <w:t>.</w:t>
      </w:r>
      <w:r w:rsidRPr="4C19B7E2">
        <w:rPr>
          <w:rFonts w:eastAsia="Times New Roman"/>
          <w:lang w:eastAsia="en-GB"/>
        </w:rPr>
        <w:t xml:space="preserve"> </w:t>
      </w:r>
    </w:p>
    <w:p w14:paraId="467FD404" w14:textId="25259576" w:rsidR="00664BBC" w:rsidRPr="00664BBC" w:rsidRDefault="00664BBC" w:rsidP="4C19B7E2">
      <w:pPr>
        <w:spacing w:line="360" w:lineRule="auto"/>
        <w:jc w:val="both"/>
        <w:rPr>
          <w:rFonts w:eastAsia="Times New Roman"/>
          <w:lang w:eastAsia="en-GB"/>
        </w:rPr>
      </w:pPr>
      <w:r w:rsidRPr="4C19B7E2">
        <w:rPr>
          <w:rFonts w:eastAsia="Times New Roman"/>
          <w:b/>
          <w:bCs/>
          <w:lang w:eastAsia="en-GB"/>
        </w:rPr>
        <w:t>Background</w:t>
      </w:r>
      <w:r w:rsidRPr="4C19B7E2">
        <w:rPr>
          <w:rFonts w:eastAsia="Times New Roman"/>
          <w:lang w:eastAsia="en-GB"/>
        </w:rPr>
        <w:t xml:space="preserve"> </w:t>
      </w:r>
    </w:p>
    <w:p w14:paraId="30F56AB5" w14:textId="5A1A73C7" w:rsidR="00536695" w:rsidRPr="00664BBC" w:rsidRDefault="002F2CE0" w:rsidP="594CCC0A">
      <w:pPr>
        <w:spacing w:after="0" w:line="360" w:lineRule="auto"/>
        <w:jc w:val="both"/>
      </w:pPr>
      <w:r>
        <w:t>During the first wave of the pandemic</w:t>
      </w:r>
      <w:r w:rsidR="00FC63EE">
        <w:t>,</w:t>
      </w:r>
      <w:r>
        <w:t xml:space="preserve"> nurses working in respiratory clinical areas </w:t>
      </w:r>
      <w:r w:rsidR="009503DC">
        <w:t>experienced</w:t>
      </w:r>
      <w:r>
        <w:t xml:space="preserve"> significant levels of anxiety and depression.  As the pandemic has progressed, </w:t>
      </w:r>
      <w:r w:rsidR="009503DC">
        <w:t xml:space="preserve">levels of fatigue in nurses </w:t>
      </w:r>
      <w:r w:rsidR="6849E99B">
        <w:t>have</w:t>
      </w:r>
      <w:r w:rsidR="009503DC">
        <w:t xml:space="preserve"> not been assessed.</w:t>
      </w:r>
      <w:r w:rsidR="00B01B50">
        <w:t xml:space="preserve"> </w:t>
      </w:r>
    </w:p>
    <w:p w14:paraId="520B5FA5" w14:textId="77777777" w:rsidR="00664BBC" w:rsidRPr="0051331B" w:rsidRDefault="00536695" w:rsidP="00300682">
      <w:pPr>
        <w:spacing w:line="360" w:lineRule="auto"/>
        <w:jc w:val="both"/>
        <w:rPr>
          <w:rFonts w:eastAsia="Times New Roman" w:cstheme="minorHAnsi"/>
          <w:b/>
          <w:bCs/>
          <w:lang w:eastAsia="en-GB"/>
        </w:rPr>
      </w:pPr>
      <w:r w:rsidRPr="0051331B">
        <w:rPr>
          <w:rFonts w:eastAsia="Times New Roman" w:cstheme="minorHAnsi"/>
          <w:b/>
          <w:bCs/>
          <w:lang w:eastAsia="en-GB"/>
        </w:rPr>
        <w:t>Methods</w:t>
      </w:r>
    </w:p>
    <w:p w14:paraId="19611822" w14:textId="4F4B6645" w:rsidR="00664BBC" w:rsidRPr="00830473" w:rsidRDefault="009503DC" w:rsidP="24D43A9E">
      <w:pPr>
        <w:spacing w:line="360" w:lineRule="auto"/>
        <w:jc w:val="both"/>
        <w:rPr>
          <w:rFonts w:eastAsia="Times New Roman"/>
          <w:lang w:eastAsia="en-GB"/>
        </w:rPr>
      </w:pPr>
      <w:r>
        <w:t>A</w:t>
      </w:r>
      <w:r w:rsidR="000767B6">
        <w:t xml:space="preserve"> cross sectional</w:t>
      </w:r>
      <w:r w:rsidR="00664BBC">
        <w:t xml:space="preserve"> e-survey</w:t>
      </w:r>
      <w:r>
        <w:t xml:space="preserve"> was distributed </w:t>
      </w:r>
      <w:r w:rsidR="00664BBC">
        <w:t>via professional respiratory societies</w:t>
      </w:r>
      <w:r w:rsidR="00255869">
        <w:t xml:space="preserve"> and social media</w:t>
      </w:r>
      <w:r w:rsidR="00FC63EE">
        <w:t>.</w:t>
      </w:r>
      <w:r w:rsidR="00664BBC">
        <w:t xml:space="preserve"> </w:t>
      </w:r>
      <w:r w:rsidR="00FC63EE">
        <w:t>T</w:t>
      </w:r>
      <w:r w:rsidR="00664BBC">
        <w:t xml:space="preserve">he survey included </w:t>
      </w:r>
      <w:r w:rsidR="006F0443" w:rsidRPr="00830473">
        <w:t>Generalised Anxiety Disorder Assessment (</w:t>
      </w:r>
      <w:r w:rsidR="00CB45F4" w:rsidRPr="00830473">
        <w:t>GAD7</w:t>
      </w:r>
      <w:r w:rsidR="006F0443" w:rsidRPr="00830473">
        <w:t xml:space="preserve">), Patient Health Questionnaire (PHQ9, </w:t>
      </w:r>
      <w:r w:rsidR="00664BBC" w:rsidRPr="00830473">
        <w:t xml:space="preserve">depression) </w:t>
      </w:r>
      <w:r w:rsidR="000F637E" w:rsidRPr="00830473">
        <w:t>a resilience scale</w:t>
      </w:r>
      <w:r w:rsidR="454F9C4E" w:rsidRPr="00830473">
        <w:t xml:space="preserve"> (</w:t>
      </w:r>
      <w:r w:rsidR="454F9C4E" w:rsidRPr="00830473">
        <w:rPr>
          <w:rFonts w:ascii="Calibri" w:eastAsia="Calibri" w:hAnsi="Calibri" w:cs="Calibri"/>
        </w:rPr>
        <w:t>RS-14)</w:t>
      </w:r>
      <w:r w:rsidR="000F637E" w:rsidRPr="00830473">
        <w:t xml:space="preserve">, </w:t>
      </w:r>
      <w:r w:rsidR="00581083" w:rsidRPr="00830473">
        <w:t xml:space="preserve">and </w:t>
      </w:r>
      <w:proofErr w:type="spellStart"/>
      <w:r w:rsidR="00581083" w:rsidRPr="00830473">
        <w:t>Chalder</w:t>
      </w:r>
      <w:proofErr w:type="spellEnd"/>
      <w:r w:rsidR="00581083" w:rsidRPr="00830473">
        <w:t xml:space="preserve"> </w:t>
      </w:r>
      <w:r w:rsidR="00B01B50" w:rsidRPr="00830473">
        <w:t xml:space="preserve">mental and physical </w:t>
      </w:r>
      <w:r w:rsidR="00581083" w:rsidRPr="00830473">
        <w:t xml:space="preserve">fatigue </w:t>
      </w:r>
      <w:r w:rsidR="00664BBC" w:rsidRPr="00830473">
        <w:t xml:space="preserve">tools.  </w:t>
      </w:r>
      <w:r w:rsidR="006F6676" w:rsidRPr="00830473">
        <w:t>The STROBE checklist was followed as guidance to write the manuscript.</w:t>
      </w:r>
    </w:p>
    <w:p w14:paraId="3CE78600" w14:textId="77777777" w:rsidR="00536695" w:rsidRDefault="00536695" w:rsidP="00300682">
      <w:pPr>
        <w:spacing w:line="360" w:lineRule="auto"/>
        <w:jc w:val="both"/>
        <w:rPr>
          <w:rFonts w:eastAsia="Times New Roman" w:cstheme="minorHAnsi"/>
          <w:lang w:eastAsia="en-GB"/>
        </w:rPr>
      </w:pPr>
      <w:r w:rsidRPr="0051331B">
        <w:rPr>
          <w:rFonts w:eastAsia="Times New Roman" w:cstheme="minorHAnsi"/>
          <w:b/>
          <w:bCs/>
          <w:lang w:eastAsia="en-GB"/>
        </w:rPr>
        <w:t>Results</w:t>
      </w:r>
      <w:r w:rsidRPr="00536695">
        <w:rPr>
          <w:rFonts w:eastAsia="Times New Roman" w:cstheme="minorHAnsi"/>
          <w:lang w:eastAsia="en-GB"/>
        </w:rPr>
        <w:t xml:space="preserve"> </w:t>
      </w:r>
    </w:p>
    <w:p w14:paraId="190C89F1" w14:textId="7E7ABC04" w:rsidR="0051331B" w:rsidRDefault="3C834372" w:rsidP="24D43A9E">
      <w:pPr>
        <w:spacing w:line="360" w:lineRule="auto"/>
        <w:jc w:val="both"/>
        <w:rPr>
          <w:rFonts w:eastAsia="Times New Roman"/>
          <w:lang w:eastAsia="en-GB"/>
        </w:rPr>
      </w:pPr>
      <w:r w:rsidRPr="3C834372">
        <w:rPr>
          <w:rFonts w:eastAsia="Times New Roman"/>
          <w:lang w:eastAsia="en-GB"/>
        </w:rPr>
        <w:t xml:space="preserve">Despite reporting anxiety and depression, few nurses reported having time off work with stress, most were maintaining training and felt prepared for COVID challenges in their current role.  Nurses reported concerns over safety and patient feedback was both positive and negative. A quarter of respondents reported wanting to leave nursing.  Nurses experiencing greater physical fatigue reported higher levels of anxiety and depression. </w:t>
      </w:r>
    </w:p>
    <w:p w14:paraId="11149129" w14:textId="436855DE" w:rsidR="00664BBC" w:rsidRDefault="00536695" w:rsidP="7BF89CF4">
      <w:pPr>
        <w:spacing w:line="360" w:lineRule="auto"/>
        <w:jc w:val="both"/>
        <w:rPr>
          <w:rFonts w:eastAsia="Times New Roman"/>
          <w:lang w:eastAsia="en-GB"/>
        </w:rPr>
      </w:pPr>
      <w:r w:rsidRPr="4C19B7E2">
        <w:rPr>
          <w:rFonts w:eastAsia="Times New Roman"/>
          <w:b/>
          <w:bCs/>
          <w:lang w:eastAsia="en-GB"/>
        </w:rPr>
        <w:t>Conclusions</w:t>
      </w:r>
      <w:r w:rsidRPr="4C19B7E2">
        <w:rPr>
          <w:rFonts w:eastAsia="Times New Roman"/>
          <w:lang w:eastAsia="en-GB"/>
        </w:rPr>
        <w:t xml:space="preserve"> </w:t>
      </w:r>
    </w:p>
    <w:p w14:paraId="5D11849F" w14:textId="71B19F62" w:rsidR="00E009E2" w:rsidRDefault="00E009E2" w:rsidP="7BF89CF4">
      <w:pPr>
        <w:spacing w:line="360" w:lineRule="auto"/>
        <w:jc w:val="both"/>
        <w:rPr>
          <w:rFonts w:eastAsia="Times New Roman"/>
          <w:lang w:eastAsia="en-GB"/>
        </w:rPr>
      </w:pPr>
      <w:r w:rsidRPr="594CCC0A">
        <w:rPr>
          <w:rFonts w:eastAsia="Times New Roman"/>
          <w:lang w:eastAsia="en-GB"/>
        </w:rPr>
        <w:t xml:space="preserve">Nurses </w:t>
      </w:r>
      <w:r w:rsidR="00FD5959" w:rsidRPr="594CCC0A">
        <w:rPr>
          <w:rFonts w:eastAsia="Times New Roman"/>
          <w:lang w:eastAsia="en-GB"/>
        </w:rPr>
        <w:t>working in respiratory clinical areas were</w:t>
      </w:r>
      <w:r w:rsidR="1015A55F" w:rsidRPr="594CCC0A">
        <w:rPr>
          <w:rFonts w:eastAsia="Times New Roman"/>
          <w:lang w:eastAsia="en-GB"/>
        </w:rPr>
        <w:t xml:space="preserve"> closely</w:t>
      </w:r>
      <w:r w:rsidR="00FD5959" w:rsidRPr="594CCC0A">
        <w:rPr>
          <w:rFonts w:eastAsia="Times New Roman"/>
          <w:lang w:eastAsia="en-GB"/>
        </w:rPr>
        <w:t xml:space="preserve"> involved in </w:t>
      </w:r>
      <w:r w:rsidR="00B01B50" w:rsidRPr="594CCC0A">
        <w:rPr>
          <w:rFonts w:eastAsia="Times New Roman"/>
          <w:lang w:eastAsia="en-GB"/>
        </w:rPr>
        <w:t>caring for</w:t>
      </w:r>
      <w:r w:rsidR="00FD5959" w:rsidRPr="594CCC0A">
        <w:rPr>
          <w:rFonts w:eastAsia="Times New Roman"/>
          <w:lang w:eastAsia="en-GB"/>
        </w:rPr>
        <w:t xml:space="preserve"> </w:t>
      </w:r>
      <w:r w:rsidR="00EE0DFA" w:rsidRPr="594CCC0A">
        <w:rPr>
          <w:rFonts w:eastAsia="Times New Roman"/>
          <w:lang w:eastAsia="en-GB"/>
        </w:rPr>
        <w:t>COVID-19</w:t>
      </w:r>
      <w:r w:rsidR="00EE0DFA">
        <w:rPr>
          <w:rFonts w:eastAsia="Times New Roman"/>
          <w:lang w:eastAsia="en-GB"/>
        </w:rPr>
        <w:t xml:space="preserve"> </w:t>
      </w:r>
      <w:r w:rsidR="26AE0F92" w:rsidRPr="594CCC0A">
        <w:rPr>
          <w:rFonts w:eastAsia="Times New Roman"/>
          <w:lang w:eastAsia="en-GB"/>
        </w:rPr>
        <w:t>patients</w:t>
      </w:r>
      <w:r w:rsidR="00FD5959" w:rsidRPr="594CCC0A">
        <w:rPr>
          <w:rFonts w:eastAsia="Times New Roman"/>
          <w:lang w:eastAsia="en-GB"/>
        </w:rPr>
        <w:t xml:space="preserve">.  </w:t>
      </w:r>
      <w:r w:rsidR="00B01B50" w:rsidRPr="594CCC0A">
        <w:rPr>
          <w:rFonts w:eastAsia="Times New Roman"/>
          <w:lang w:eastAsia="en-GB"/>
        </w:rPr>
        <w:t xml:space="preserve">Nurses continued to experience similar levels of </w:t>
      </w:r>
      <w:r w:rsidR="00FD5959" w:rsidRPr="594CCC0A">
        <w:rPr>
          <w:rFonts w:eastAsia="Times New Roman"/>
          <w:lang w:eastAsia="en-GB"/>
        </w:rPr>
        <w:t>anxiety, depression</w:t>
      </w:r>
      <w:r w:rsidR="07F5F901" w:rsidRPr="594CCC0A">
        <w:rPr>
          <w:rFonts w:eastAsia="Times New Roman"/>
          <w:lang w:eastAsia="en-GB"/>
        </w:rPr>
        <w:t xml:space="preserve"> to </w:t>
      </w:r>
      <w:r w:rsidR="58E675C8" w:rsidRPr="594CCC0A">
        <w:rPr>
          <w:rFonts w:eastAsia="Times New Roman"/>
          <w:lang w:eastAsia="en-GB"/>
        </w:rPr>
        <w:t>those</w:t>
      </w:r>
      <w:r w:rsidR="07F5F901" w:rsidRPr="594CCC0A">
        <w:rPr>
          <w:rFonts w:eastAsia="Times New Roman"/>
          <w:lang w:eastAsia="en-GB"/>
        </w:rPr>
        <w:t xml:space="preserve"> found in the first wave and </w:t>
      </w:r>
      <w:r w:rsidR="5914440C" w:rsidRPr="594CCC0A">
        <w:rPr>
          <w:rFonts w:eastAsia="Times New Roman"/>
          <w:lang w:eastAsia="en-GB"/>
        </w:rPr>
        <w:t>report</w:t>
      </w:r>
      <w:r w:rsidR="44B83E83" w:rsidRPr="594CCC0A">
        <w:rPr>
          <w:rFonts w:eastAsia="Times New Roman"/>
          <w:lang w:eastAsia="en-GB"/>
        </w:rPr>
        <w:t>ed</w:t>
      </w:r>
      <w:r w:rsidR="5914440C" w:rsidRPr="594CCC0A">
        <w:rPr>
          <w:rFonts w:eastAsia="Times New Roman"/>
          <w:lang w:eastAsia="en-GB"/>
        </w:rPr>
        <w:t xml:space="preserve"> symptoms of </w:t>
      </w:r>
      <w:r w:rsidR="00FD5959" w:rsidRPr="594CCC0A">
        <w:rPr>
          <w:rFonts w:eastAsia="Times New Roman"/>
          <w:lang w:eastAsia="en-GB"/>
        </w:rPr>
        <w:t xml:space="preserve">fatigue (physical and mental).  </w:t>
      </w:r>
      <w:r w:rsidR="000E6D04">
        <w:rPr>
          <w:rFonts w:eastAsia="Times New Roman"/>
          <w:lang w:eastAsia="en-GB"/>
        </w:rPr>
        <w:t>A</w:t>
      </w:r>
      <w:r w:rsidR="00592E9C" w:rsidRPr="594CCC0A">
        <w:rPr>
          <w:rFonts w:eastAsia="Times New Roman"/>
          <w:lang w:eastAsia="en-GB"/>
        </w:rPr>
        <w:t xml:space="preserve"> significant proportion of respondents </w:t>
      </w:r>
      <w:r w:rsidR="00FC27DD">
        <w:rPr>
          <w:rFonts w:eastAsia="Times New Roman"/>
          <w:lang w:eastAsia="en-GB"/>
        </w:rPr>
        <w:t>reported</w:t>
      </w:r>
      <w:r w:rsidR="00FC27DD" w:rsidRPr="594CCC0A">
        <w:rPr>
          <w:rFonts w:eastAsia="Times New Roman"/>
          <w:lang w:eastAsia="en-GB"/>
        </w:rPr>
        <w:t xml:space="preserve"> </w:t>
      </w:r>
      <w:r w:rsidR="00592E9C" w:rsidRPr="594CCC0A">
        <w:rPr>
          <w:rFonts w:eastAsia="Times New Roman"/>
          <w:lang w:eastAsia="en-GB"/>
        </w:rPr>
        <w:t xml:space="preserve">considering leaving nursing.  </w:t>
      </w:r>
      <w:r w:rsidR="00062F3A" w:rsidRPr="594CCC0A">
        <w:rPr>
          <w:rFonts w:eastAsia="Times New Roman"/>
          <w:lang w:eastAsia="en-GB"/>
        </w:rPr>
        <w:t xml:space="preserve">Retention of nurses is vital to ensure the safe functioning of already overstretched health services.  </w:t>
      </w:r>
      <w:r w:rsidR="00D23B71" w:rsidRPr="594CCC0A">
        <w:rPr>
          <w:rFonts w:eastAsia="Times New Roman"/>
          <w:lang w:eastAsia="en-GB"/>
        </w:rPr>
        <w:t>N</w:t>
      </w:r>
      <w:r w:rsidRPr="594CCC0A">
        <w:rPr>
          <w:rFonts w:eastAsia="Times New Roman"/>
          <w:lang w:eastAsia="en-GB"/>
        </w:rPr>
        <w:t>urses would benefit from regular mental health check-ups to ensure they are fit to practice and receive the support they need to work effectivel</w:t>
      </w:r>
      <w:r w:rsidR="74CD7A75" w:rsidRPr="594CCC0A">
        <w:rPr>
          <w:rFonts w:eastAsia="Times New Roman"/>
          <w:lang w:eastAsia="en-GB"/>
        </w:rPr>
        <w:t>y</w:t>
      </w:r>
      <w:r w:rsidR="00B337B1">
        <w:rPr>
          <w:rFonts w:eastAsia="Times New Roman"/>
          <w:lang w:eastAsia="en-GB"/>
        </w:rPr>
        <w:t>.</w:t>
      </w:r>
    </w:p>
    <w:p w14:paraId="0419A07B" w14:textId="77777777" w:rsidR="00536695" w:rsidRDefault="00536695" w:rsidP="00D23B71">
      <w:pPr>
        <w:spacing w:line="360" w:lineRule="auto"/>
        <w:jc w:val="both"/>
        <w:rPr>
          <w:rFonts w:eastAsia="Times New Roman" w:cstheme="minorHAnsi"/>
          <w:lang w:eastAsia="en-GB"/>
        </w:rPr>
      </w:pPr>
      <w:r w:rsidRPr="0051331B">
        <w:rPr>
          <w:rFonts w:eastAsia="Times New Roman" w:cstheme="minorHAnsi"/>
          <w:b/>
          <w:bCs/>
          <w:lang w:eastAsia="en-GB"/>
        </w:rPr>
        <w:t>Relevance to clinical practice</w:t>
      </w:r>
      <w:r w:rsidRPr="008E6AE6">
        <w:rPr>
          <w:rFonts w:eastAsia="Times New Roman" w:cstheme="minorHAnsi"/>
          <w:lang w:eastAsia="en-GB"/>
        </w:rPr>
        <w:t xml:space="preserve">. </w:t>
      </w:r>
    </w:p>
    <w:p w14:paraId="1808EC6E" w14:textId="5EBE1925" w:rsidR="00664BBC" w:rsidRPr="00664BBC" w:rsidRDefault="4BEB3211" w:rsidP="00C7234F">
      <w:pPr>
        <w:spacing w:line="360" w:lineRule="auto"/>
        <w:jc w:val="both"/>
        <w:rPr>
          <w:rFonts w:eastAsia="Times New Roman" w:cstheme="minorHAnsi"/>
          <w:lang w:eastAsia="en-GB"/>
        </w:rPr>
      </w:pPr>
      <w:r w:rsidRPr="4BEB3211">
        <w:rPr>
          <w:rFonts w:eastAsia="Times New Roman"/>
          <w:lang w:eastAsia="en-GB"/>
        </w:rPr>
        <w:t xml:space="preserve">A high proportion of nurses working in respiratory clinical areas have been identified as experiencing fatigue in addition to continued levels of anxiety, depression over winter 2020.    Interventions need to be implemented to help provide mental health support and improve workplace conditions to minimise PTSD and burnout. </w:t>
      </w:r>
    </w:p>
    <w:p w14:paraId="561994E3" w14:textId="77777777" w:rsidR="00194A6E" w:rsidRDefault="00194A6E" w:rsidP="00800A0B">
      <w:pPr>
        <w:rPr>
          <w:rFonts w:eastAsia="Times New Roman" w:cstheme="minorHAnsi"/>
          <w:b/>
          <w:lang w:eastAsia="en-GB"/>
        </w:rPr>
      </w:pPr>
      <w:r>
        <w:rPr>
          <w:rFonts w:eastAsia="Times New Roman" w:cstheme="minorHAnsi"/>
          <w:b/>
          <w:lang w:eastAsia="en-GB"/>
        </w:rPr>
        <w:lastRenderedPageBreak/>
        <w:t>Introduction</w:t>
      </w:r>
      <w:r w:rsidR="008B181A">
        <w:rPr>
          <w:rFonts w:eastAsia="Times New Roman" w:cstheme="minorHAnsi"/>
          <w:b/>
          <w:lang w:eastAsia="en-GB"/>
        </w:rPr>
        <w:t xml:space="preserve"> </w:t>
      </w:r>
    </w:p>
    <w:p w14:paraId="2E71BCFB" w14:textId="7155C8E9" w:rsidR="00A829A3" w:rsidRDefault="3C834372" w:rsidP="6375884C">
      <w:pPr>
        <w:spacing w:after="0" w:line="360" w:lineRule="auto"/>
        <w:jc w:val="both"/>
      </w:pPr>
      <w:r w:rsidRPr="3C834372">
        <w:rPr>
          <w:rFonts w:eastAsia="Times New Roman"/>
          <w:lang w:eastAsia="en-GB"/>
        </w:rPr>
        <w:t xml:space="preserve">Worldwide, there have already been more than 256 million cases of COVID-19 with mortality rates of over 5 million </w:t>
      </w:r>
      <w:r w:rsidR="4024292E" w:rsidRPr="3C834372">
        <w:rPr>
          <w:rFonts w:eastAsia="Times New Roman"/>
          <w:lang w:eastAsia="en-GB"/>
        </w:rPr>
        <w:fldChar w:fldCharType="begin" w:fldLock="1"/>
      </w:r>
      <w:r w:rsidR="4024292E" w:rsidRPr="3C834372">
        <w:rPr>
          <w:rFonts w:eastAsia="Times New Roman"/>
          <w:lang w:eastAsia="en-GB"/>
        </w:rPr>
        <w:instrText>ADDIN CSL_CITATION {"citationItems":[{"id":"ITEM-1","itemData":{"URL":"https://www.who.int/publications/m/item/weekly-operational-update-on-covid-19---23-november-2021","accessed":{"date-parts":[["2021","11","29"]]},"author":[{"dropping-particle":"","family":"World Health Organisation.","given":"World Health","non-dropping-particle":"","parse-names":false,"suffix":""}],"container-title":"WHO","id":"ITEM-1","issued":{"date-parts":[["2021"]]},"title":"Weekly operational update on COVID-19 - 23 November 2021","type":"webpage"},"uris":["http://www.mendeley.com/documents/?uuid=c4488693-f104-3985-8cc9-dca927319e35"]}],"mendeley":{"formattedCitation":"(World Health Organisation., 2021)","plainTextFormattedCitation":"(World Health Organisation., 2021)","previouslyFormattedCitation":"(World Health Organisation., 2021)"},"properties":{"noteIndex":0},"schema":"https://github.com/citation-style-language/schema/raw/master/csl-citation.json"}</w:instrText>
      </w:r>
      <w:r w:rsidR="4024292E" w:rsidRPr="3C834372">
        <w:rPr>
          <w:rFonts w:eastAsia="Times New Roman"/>
          <w:lang w:eastAsia="en-GB"/>
        </w:rPr>
        <w:fldChar w:fldCharType="separate"/>
      </w:r>
      <w:r w:rsidRPr="3C834372">
        <w:rPr>
          <w:rFonts w:eastAsia="Times New Roman"/>
          <w:noProof/>
          <w:lang w:eastAsia="en-GB"/>
        </w:rPr>
        <w:t>(World Health Organisation., 2021)</w:t>
      </w:r>
      <w:r w:rsidR="4024292E" w:rsidRPr="3C834372">
        <w:rPr>
          <w:rFonts w:eastAsia="Times New Roman"/>
          <w:lang w:eastAsia="en-GB"/>
        </w:rPr>
        <w:fldChar w:fldCharType="end"/>
      </w:r>
      <w:r w:rsidRPr="3C834372">
        <w:rPr>
          <w:rFonts w:eastAsia="Times New Roman"/>
          <w:lang w:eastAsia="en-GB"/>
        </w:rPr>
        <w:t xml:space="preserve">.   The ongoing pandemic has driven the NHS to make adaptations to the delivery of care </w:t>
      </w:r>
      <w:r w:rsidR="4024292E" w:rsidRPr="3C834372">
        <w:rPr>
          <w:rFonts w:eastAsia="Times New Roman"/>
          <w:lang w:eastAsia="en-GB"/>
        </w:rPr>
        <w:fldChar w:fldCharType="begin" w:fldLock="1"/>
      </w:r>
      <w:r w:rsidR="4024292E" w:rsidRPr="3C834372">
        <w:rPr>
          <w:rFonts w:eastAsia="Times New Roman"/>
          <w:lang w:eastAsia="en-GB"/>
        </w:rPr>
        <w:instrText>ADDIN CSL_CITATION {"citationItems":[{"id":"ITEM-1","itemData":{"DOI":"10.3399/BJGP.2020.1112","ISSN":"0960-1643","PMID":"33979303","abstract":"Background Primary care has a crucial role in responding to the COVID-19 pandemic as the first point of patient care and gatekeeper to secondary care. Qualitative studies exploring the experiences of healthcare professionals during the COVID-19 pandemic have mainly focused on secondary care.\n\nAim To gain an understanding of the experiences of European primary care professionals (PCPs) working during the first peak of the COVID-19 pandemic.\n\nDesign and setting An exploratory qualitative study, using semi-structured interviews in primary care in England, Belgium, the Netherlands, Ireland, Germany, Poland, Greece, and Sweden, between April and July 2020.\n\nMethod Interviews were audiorecorded, transcribed, and analysed using a combination of inductive and deductive thematic analysis techniques.\n\nResults Eighty interviews were conducted with PCPs. PCPs had to make their own decisions on how to rapidly transform services in relation to COVID-19 and non-COVID-19 care. Despite being overwhelmed with guidance, they often lacked access to practical training. Consequently, PCPs turned to their colleagues for moral support and information to try to quickly adjust to new ways of working, including remote care, and to deal with uncertainty.\n\nConclusion PCPs rapidly transformed primary care delivery despite a number of challenges. Representation of primary care at policy level and engagement with local primary care champions are needed to facilitate easy and coordinated access to practical information on how to adapt services, ongoing training, and access to appropriate mental health support services for PCPs. Preservation of autonomy and responsiveness of primary care are critical to preserve the ability for rapid transformation in any future crisis of care delivery.","author":[{"dropping-particle":"","family":"Wanat","given":"Marta","non-dropping-particle":"","parse-names":false,"suffix":""},{"dropping-particle":"","family":"Hoste","given":"Melanie","non-dropping-particle":"","parse-names":false,"suffix":""},{"dropping-particle":"","family":"Gobat","given":"Nina","non-dropping-particle":"","parse-names":false,"suffix":""},{"dropping-particle":"","family":"Anastasaki","given":"Marilena","non-dropping-particle":"","parse-names":false,"suffix":""},{"dropping-particle":"","family":"Böhmer","given":"Femke","non-dropping-particle":"","parse-names":false,"suffix":""},{"dropping-particle":"","family":"Chlabicz","given":"Slawomir","non-dropping-particle":"","parse-names":false,"suffix":""},{"dropping-particle":"","family":"Colliers","given":"Annelies","non-dropping-particle":"","parse-names":false,"suffix":""},{"dropping-particle":"","family":"Farrell","given":"Karen","non-dropping-particle":"","parse-names":false,"suffix":""},{"dropping-particle":"","family":"Karkana","given":"Maria-Nefeli","non-dropping-particle":"","parse-names":false,"suffix":""},{"dropping-particle":"","family":"Kinsman","given":"John","non-dropping-particle":"","parse-names":false,"suffix":""},{"dropping-particle":"","family":"Lionis","given":"Christos","non-dropping-particle":"","parse-names":false,"suffix":""},{"dropping-particle":"","family":"Marcinowicz","given":"Ludmila","non-dropping-particle":"","parse-names":false,"suffix":""},{"dropping-particle":"","family":"Reinhardt","given":"Katrin","non-dropping-particle":"","parse-names":false,"suffix":""},{"dropping-particle":"","family":"Skoglund","given":"Ingmarie","non-dropping-particle":"","parse-names":false,"suffix":""},{"dropping-particle":"","family":"Sundvall","given":"Pär-Daniel","non-dropping-particle":"","parse-names":false,"suffix":""},{"dropping-particle":"","family":"Vellinga","given":"Akke","non-dropping-particle":"","parse-names":false,"suffix":""},{"dropping-particle":"","family":"Verheij","given":"Theo JM","non-dropping-particle":"","parse-names":false,"suffix":""},{"dropping-particle":"","family":"Goossens","given":"Herman","non-dropping-particle":"","parse-names":false,"suffix":""},{"dropping-particle":"","family":"Butler","given":"Christopher C","non-dropping-particle":"","parse-names":false,"suffix":""},{"dropping-particle":"van der","family":"Velden","given":"Alike","non-dropping-particle":"","parse-names":false,"suffix":""},{"dropping-particle":"","family":"Anthierens","given":"Sibyl","non-dropping-particle":"","parse-names":false,"suffix":""},{"dropping-particle":"","family":"Tonkin-Crine","given":"Sarah","non-dropping-particle":"","parse-names":false,"suffix":""}],"container-title":"British Journal of General Practice","id":"ITEM-1","issue":"709","issued":{"date-parts":[["2021","8","1"]]},"page":"e634-e642","publisher":"British Journal of General Practice","title":"Transformation of primary care during the COVID-19 pandemic: experiences of healthcare professionals in eight European countries","type":"article-journal","volume":"71"},"uris":["http://www.mendeley.com/documents/?uuid=af2ec2c9-3f27-3216-b60e-f759f99f9f64"]}],"mendeley":{"formattedCitation":"(Wanat &lt;i&gt;et al.&lt;/i&gt;, 2021)","plainTextFormattedCitation":"(Wanat et al., 2021)","previouslyFormattedCitation":"(Wanat &lt;i&gt;et al.&lt;/i&gt;, 2021)"},"properties":{"noteIndex":0},"schema":"https://github.com/citation-style-language/schema/raw/master/csl-citation.json"}</w:instrText>
      </w:r>
      <w:r w:rsidR="4024292E" w:rsidRPr="3C834372">
        <w:rPr>
          <w:rFonts w:eastAsia="Times New Roman"/>
          <w:lang w:eastAsia="en-GB"/>
        </w:rPr>
        <w:fldChar w:fldCharType="separate"/>
      </w:r>
      <w:r w:rsidRPr="3C834372">
        <w:rPr>
          <w:rFonts w:eastAsia="Times New Roman"/>
          <w:noProof/>
          <w:lang w:eastAsia="en-GB"/>
        </w:rPr>
        <w:t xml:space="preserve">(Wanat </w:t>
      </w:r>
      <w:r w:rsidRPr="3C834372">
        <w:rPr>
          <w:rFonts w:eastAsia="Times New Roman"/>
          <w:i/>
          <w:iCs/>
          <w:noProof/>
          <w:lang w:eastAsia="en-GB"/>
        </w:rPr>
        <w:t>et al.</w:t>
      </w:r>
      <w:r w:rsidRPr="3C834372">
        <w:rPr>
          <w:rFonts w:eastAsia="Times New Roman"/>
          <w:noProof/>
          <w:lang w:eastAsia="en-GB"/>
        </w:rPr>
        <w:t>, 2021)</w:t>
      </w:r>
      <w:r w:rsidR="4024292E" w:rsidRPr="3C834372">
        <w:rPr>
          <w:rFonts w:eastAsia="Times New Roman"/>
          <w:lang w:eastAsia="en-GB"/>
        </w:rPr>
        <w:fldChar w:fldCharType="end"/>
      </w:r>
      <w:r w:rsidRPr="3C834372">
        <w:rPr>
          <w:rFonts w:eastAsia="Times New Roman"/>
          <w:lang w:eastAsia="en-GB"/>
        </w:rPr>
        <w:t xml:space="preserve">. The unrelenting workload has been mentally and physically </w:t>
      </w:r>
      <w:r w:rsidRPr="00830473">
        <w:rPr>
          <w:rFonts w:eastAsia="Times New Roman"/>
          <w:lang w:eastAsia="en-GB"/>
        </w:rPr>
        <w:t xml:space="preserve">challenging for many healthcare professionals, particularly those based in critical care and respiratory services, with increased morbidity and mortality in these professional groups </w:t>
      </w:r>
      <w:r w:rsidR="4024292E" w:rsidRPr="00830473">
        <w:rPr>
          <w:rFonts w:eastAsia="Times New Roman"/>
          <w:lang w:eastAsia="en-GB"/>
        </w:rPr>
        <w:fldChar w:fldCharType="begin" w:fldLock="1"/>
      </w:r>
      <w:r w:rsidR="4024292E" w:rsidRPr="00830473">
        <w:rPr>
          <w:rFonts w:eastAsia="Times New Roman"/>
          <w:lang w:eastAsia="en-GB"/>
        </w:rPr>
        <w:instrText>ADDIN CSL_CITATION {"citationItems":[{"id":"ITEM-1","itemData":{"URL":"https://www.theguardian.com/world/2020/apr/20/at-least-100-uk-health-workers-have-died-from-coronavirus-figures-show","accessed":{"date-parts":[["2020","7","2"]]},"author":[{"dropping-particle":"","family":"Marsh","given":"S","non-dropping-particle":"","parse-names":false,"suffix":""}],"container-title":"The Guardian","id":"ITEM-1","issued":{"date-parts":[["2020"]]},"title":"At least 100 UK healthcare workers have died from coronavirus, figures show | World news | The Guardian","type":"webpage"},"uris":["http://www.mendeley.com/documents/?uuid=10f725cb-713b-3590-a007-96d6202249ba"]}],"mendeley":{"formattedCitation":"(Marsh, 2020)","plainTextFormattedCitation":"(Marsh, 2020)","previouslyFormattedCitation":"(Marsh, 2020)"},"properties":{"noteIndex":0},"schema":"https://github.com/citation-style-language/schema/raw/master/csl-citation.json"}</w:instrText>
      </w:r>
      <w:r w:rsidR="4024292E" w:rsidRPr="00830473">
        <w:rPr>
          <w:rFonts w:eastAsia="Times New Roman"/>
          <w:lang w:eastAsia="en-GB"/>
        </w:rPr>
        <w:fldChar w:fldCharType="separate"/>
      </w:r>
      <w:r w:rsidRPr="00830473">
        <w:rPr>
          <w:rFonts w:eastAsia="Times New Roman"/>
          <w:noProof/>
          <w:lang w:eastAsia="en-GB"/>
        </w:rPr>
        <w:t>(Marsh, 2020)</w:t>
      </w:r>
      <w:r w:rsidR="4024292E" w:rsidRPr="00830473">
        <w:rPr>
          <w:rFonts w:eastAsia="Times New Roman"/>
          <w:lang w:eastAsia="en-GB"/>
        </w:rPr>
        <w:fldChar w:fldCharType="end"/>
      </w:r>
      <w:r w:rsidRPr="00830473">
        <w:rPr>
          <w:rFonts w:eastAsia="Times New Roman"/>
          <w:lang w:eastAsia="en-GB"/>
        </w:rPr>
        <w:t>.  In the U</w:t>
      </w:r>
      <w:r w:rsidR="004A22F1" w:rsidRPr="00830473">
        <w:rPr>
          <w:rFonts w:eastAsia="Times New Roman"/>
          <w:lang w:eastAsia="en-GB"/>
        </w:rPr>
        <w:t xml:space="preserve">nited </w:t>
      </w:r>
      <w:r w:rsidRPr="00830473">
        <w:rPr>
          <w:rFonts w:eastAsia="Times New Roman"/>
          <w:lang w:eastAsia="en-GB"/>
        </w:rPr>
        <w:t>K</w:t>
      </w:r>
      <w:r w:rsidR="004A22F1" w:rsidRPr="00830473">
        <w:rPr>
          <w:rFonts w:eastAsia="Times New Roman"/>
          <w:lang w:eastAsia="en-GB"/>
        </w:rPr>
        <w:t>ingdom</w:t>
      </w:r>
      <w:r w:rsidRPr="00830473">
        <w:rPr>
          <w:rFonts w:eastAsia="Times New Roman"/>
          <w:lang w:eastAsia="en-GB"/>
        </w:rPr>
        <w:t xml:space="preserve">, Shaw et al reported </w:t>
      </w:r>
      <w:r w:rsidRPr="00830473">
        <w:t>feelings of hopelessness and helplessness amongst healthcare professionals working in the N</w:t>
      </w:r>
      <w:r w:rsidR="005F4800" w:rsidRPr="00830473">
        <w:t xml:space="preserve">ational </w:t>
      </w:r>
      <w:r w:rsidRPr="00830473">
        <w:t>H</w:t>
      </w:r>
      <w:r w:rsidR="005F4800" w:rsidRPr="00830473">
        <w:t xml:space="preserve">ealth </w:t>
      </w:r>
      <w:r w:rsidRPr="00830473">
        <w:t>S</w:t>
      </w:r>
      <w:r w:rsidR="005F4800" w:rsidRPr="00830473">
        <w:t>ervice (UK)</w:t>
      </w:r>
      <w:r w:rsidRPr="00830473">
        <w:t xml:space="preserve"> </w:t>
      </w:r>
      <w:r w:rsidR="4024292E" w:rsidRPr="00830473">
        <w:fldChar w:fldCharType="begin" w:fldLock="1"/>
      </w:r>
      <w:r w:rsidR="4024292E" w:rsidRPr="00830473">
        <w:instrText>ADDIN CSL_CITATION {"citationItems":[{"id":"ITEM-1","itemData":{"DOI":"10.1016/j.nepr.2020.102780","ISSN":"14715953","PMID":"32272394","author":[{"dropping-particle":"","family":"Shaw","given":"Sebastian C.K.","non-dropping-particle":"","parse-names":false,"suffix":""}],"container-title":"Nurse Education in Practice","id":"ITEM-1","issued":{"date-parts":[["2020","3","1"]]},"page":"102780","publisher":"Elsevier Ltd","title":"Hopelessness, helplessness and resilience: The importance of safeguarding our trainees' mental wellbeing during the COVID-19 pandemic","type":"article","volume":"44"},"uris":["http://www.mendeley.com/documents/?uuid=5255fa1a-806b-373f-8c42-6c8b4a3dfe4f"]}],"mendeley":{"formattedCitation":"(Shaw, 2020)","plainTextFormattedCitation":"(Shaw, 2020)","previouslyFormattedCitation":"(Shaw, 2020)"},"properties":{"noteIndex":0},"schema":"https://github.com/citation-style-language/schema/raw/master/csl-citation.json"}</w:instrText>
      </w:r>
      <w:r w:rsidR="4024292E" w:rsidRPr="00830473">
        <w:fldChar w:fldCharType="separate"/>
      </w:r>
      <w:r w:rsidRPr="00830473">
        <w:rPr>
          <w:noProof/>
        </w:rPr>
        <w:t>(Shaw, 2020)</w:t>
      </w:r>
      <w:r w:rsidR="4024292E" w:rsidRPr="00830473">
        <w:fldChar w:fldCharType="end"/>
      </w:r>
      <w:r w:rsidRPr="00830473">
        <w:t xml:space="preserve">.  Our previous work has shown that a significant proportion of nurses working in </w:t>
      </w:r>
      <w:r w:rsidRPr="3C834372">
        <w:rPr>
          <w:color w:val="000000" w:themeColor="text1"/>
        </w:rPr>
        <w:t xml:space="preserve">respiratory clinical areas experienced high levels of anxiety and/or depression during the first wave of the pandemic last March </w:t>
      </w:r>
      <w:r w:rsidR="4024292E" w:rsidRPr="3C834372">
        <w:rPr>
          <w:color w:val="000000" w:themeColor="text1"/>
        </w:rPr>
        <w:fldChar w:fldCharType="begin" w:fldLock="1"/>
      </w:r>
      <w:r w:rsidR="4024292E" w:rsidRPr="3C834372">
        <w:rPr>
          <w:color w:val="000000" w:themeColor="text1"/>
        </w:rPr>
        <w:instrText>ADDIN CSL_CITATION {"citationItems":[{"id":"ITEM-1","itemData":{"DOI":"10.1016/j.rmed.2020.106219","ISSN":"09546111","abstract":"Background The delivery of healthcare during the COVID pandemic has had a significant impact on front line staff. Nurses who work with respiratory patients, have been at the forefront of the pandemic response. Lessons can be learnt from these nurses’ experiences in order to support these nurses during the existing pandemic and retain and mobilise this skilled workforce for future pandemics. Methods This study explores UK nurses’ experiences of working in a respiratory environment during the COVID-19 pandemic. An e-survey was distributed via professional respiratory societies the survey included a resilience scale, the GAD7 (anxiety) and the PHQ9 (depression) tools. Demographic data was collected on age, gender, ethnicity, nursing experience and background, clinical role in the pandemic, and home-life and work balance. Results Two hundred and fifty-five responses were received for the survey, predominately women (89%, 226/255), aged over 35 (79%, 202/255). Nearly 21% (40/191) experiencing moderate to severe or severe symptoms of anxiety. Similar levels are seen for depression (15.7%, 30/191). 18.9% (34/180) had a low or very low resilience score. Regression analysis showed that for both depression and anxiety variables, age and years of qualification provided the best model fit.  Younger nurses with less experience have higher levels of anxiety and depression and had lower resilience. Conclusion This cohort experienced significant levels of anxiety and depression, with moderate to high levels of resilience. Support mechanisms and interventions need to be put in place to support all nurses during pandemic outbreaks, particularly younger or less experienced staff.","author":[{"dropping-particle":"","family":"Roberts","given":"N.J.","non-dropping-particle":"","parse-names":false,"suffix":""},{"dropping-particle":"","family":"McAloney-Kocaman","given":"K.","non-dropping-particle":"","parse-names":false,"suffix":""},{"dropping-particle":"","family":"Lippiett","given":"K.","non-dropping-particle":"","parse-names":false,"suffix":""},{"dropping-particle":"","family":"Ray","given":"E.","non-dropping-particle":"","parse-names":false,"suffix":""},{"dropping-particle":"","family":"Welch","given":"L.","non-dropping-particle":"","parse-names":false,"suffix":""},{"dropping-particle":"","family":"Kelly","given":"C.","non-dropping-particle":"","parse-names":false,"suffix":""}],"container-title":"Respiratory Medicine","id":"ITEM-1","issued":{"date-parts":[["2020","11","1"]]},"page":"106219","publisher":"Elsevier BV","title":"Levels of resilience, anxiety and depression and in nurses working in respiratory clinical areas during the COVID pandemic","type":"article-journal","volume":"176"},"uris":["http://www.mendeley.com/documents/?uuid=0ae83200-66b0-3fd9-8f31-fee1f555da52"]},{"id":"ITEM-2","itemData":{"author":[{"dropping-particle":"","family":"Roberts","given":"N.J.","non-dropping-particle":"","parse-names":false,"suffix":""},{"dropping-particle":"","family":"Kelly","given":"C.","non-dropping-particle":"","parse-names":false,"suffix":""},{"dropping-particle":"","family":"Lippiett","given":"K.","non-dropping-particle":"","parse-names":false,"suffix":""},{"dropping-particle":"","family":"Ray","given":"E.","non-dropping-particle":"","parse-names":false,"suffix":""},{"dropping-particle":"","family":"Welch","given":"L.","non-dropping-particle":"","parse-names":false,"suffix":""}],"container-title":"BMJ Open Respiratory Research","id":"ITEM-2","issue":"e000987.","issued":{"date-parts":[["2021"]]},"title":"Experiences of nurses caring for respiratory patients during the first wave of the COVID-19 pandemic: an online survey study.","type":"article-journal","volume":"8"},"uris":["http://www.mendeley.com/documents/?uuid=c4fea033-c6af-455f-8bf4-696f6c07514f"]}],"mendeley":{"formattedCitation":"(Roberts &lt;i&gt;et al.&lt;/i&gt;, 2020; N.J. Roberts &lt;i&gt;et al.&lt;/i&gt;, 2021)","manualFormatting":"(Roberts et al., 2020; Roberts et al., 2021)","plainTextFormattedCitation":"(Roberts et al., 2020; N.J. Roberts et al., 2021)","previouslyFormattedCitation":"(Roberts &lt;i&gt;et al.&lt;/i&gt;, 2020; N.J. Roberts &lt;i&gt;et al.&lt;/i&gt;, 2021)"},"properties":{"noteIndex":0},"schema":"https://github.com/citation-style-language/schema/raw/master/csl-citation.json"}</w:instrText>
      </w:r>
      <w:r w:rsidR="4024292E" w:rsidRPr="3C834372">
        <w:rPr>
          <w:color w:val="000000" w:themeColor="text1"/>
        </w:rPr>
        <w:fldChar w:fldCharType="separate"/>
      </w:r>
      <w:r w:rsidRPr="3C834372">
        <w:rPr>
          <w:noProof/>
          <w:color w:val="000000" w:themeColor="text1"/>
        </w:rPr>
        <w:t xml:space="preserve">(Roberts </w:t>
      </w:r>
      <w:r w:rsidRPr="3C834372">
        <w:rPr>
          <w:i/>
          <w:iCs/>
          <w:noProof/>
          <w:color w:val="000000" w:themeColor="text1"/>
        </w:rPr>
        <w:t>et al.</w:t>
      </w:r>
      <w:r w:rsidRPr="3C834372">
        <w:rPr>
          <w:noProof/>
          <w:color w:val="000000" w:themeColor="text1"/>
        </w:rPr>
        <w:t xml:space="preserve">, 2020; Roberts </w:t>
      </w:r>
      <w:r w:rsidRPr="3C834372">
        <w:rPr>
          <w:i/>
          <w:iCs/>
          <w:noProof/>
          <w:color w:val="000000" w:themeColor="text1"/>
        </w:rPr>
        <w:t>et al.</w:t>
      </w:r>
      <w:r w:rsidRPr="3C834372">
        <w:rPr>
          <w:noProof/>
          <w:color w:val="000000" w:themeColor="text1"/>
        </w:rPr>
        <w:t>, 2021)</w:t>
      </w:r>
      <w:r w:rsidR="4024292E" w:rsidRPr="3C834372">
        <w:rPr>
          <w:color w:val="000000" w:themeColor="text1"/>
        </w:rPr>
        <w:fldChar w:fldCharType="end"/>
      </w:r>
      <w:r w:rsidRPr="3C834372">
        <w:rPr>
          <w:color w:val="000000" w:themeColor="text1"/>
        </w:rPr>
        <w:t xml:space="preserve">.  </w:t>
      </w:r>
      <w:r w:rsidRPr="3C834372">
        <w:rPr>
          <w:rFonts w:eastAsia="Times New Roman"/>
          <w:color w:val="000000" w:themeColor="text1"/>
          <w:lang w:eastAsia="en-GB"/>
        </w:rPr>
        <w:t xml:space="preserve"> </w:t>
      </w:r>
      <w:r w:rsidRPr="3C834372">
        <w:rPr>
          <w:rFonts w:eastAsia="Times New Roman"/>
          <w:lang w:eastAsia="en-GB"/>
        </w:rPr>
        <w:t xml:space="preserve">  We previously highlighted the inconsistencies in provision of work-based mental health support and the impact of the pandemic on nurses’ lives both at home and at work during the first wave of the pandemic </w:t>
      </w:r>
      <w:r w:rsidR="4024292E" w:rsidRPr="3C834372">
        <w:rPr>
          <w:rFonts w:eastAsia="Times New Roman"/>
          <w:lang w:eastAsia="en-GB"/>
        </w:rPr>
        <w:fldChar w:fldCharType="begin" w:fldLock="1"/>
      </w:r>
      <w:r w:rsidR="4024292E" w:rsidRPr="3C834372">
        <w:rPr>
          <w:rFonts w:eastAsia="Times New Roman"/>
          <w:lang w:eastAsia="en-GB"/>
        </w:rPr>
        <w:instrText>ADDIN CSL_CITATION {"citationItems":[{"id":"ITEM-1","itemData":{"author":[{"dropping-particle":"","family":"Roberts","given":"N.J.","non-dropping-particle":"","parse-names":false,"suffix":""},{"dropping-particle":"","family":"Kelly","given":"C.","non-dropping-particle":"","parse-names":false,"suffix":""},{"dropping-particle":"","family":"Lippiett","given":"K.","non-dropping-particle":"","parse-names":false,"suffix":""},{"dropping-particle":"","family":"Ray","given":"E.","non-dropping-particle":"","parse-names":false,"suffix":""},{"dropping-particle":"","family":"Welch","given":"L.","non-dropping-particle":"","parse-names":false,"suffix":""}],"container-title":"BMJ Open Respiratory Research","id":"ITEM-1","issue":"e000987.","issued":{"date-parts":[["2021"]]},"title":"Experiences of nurses caring for respiratory patients during the first wave of the COVID-19 pandemic: an online survey study.","type":"article-journal","volume":"8"},"uris":["http://www.mendeley.com/documents/?uuid=c4fea033-c6af-455f-8bf4-696f6c07514f"]}],"mendeley":{"formattedCitation":"(N.J. Roberts &lt;i&gt;et al.&lt;/i&gt;, 2021)","manualFormatting":"( Roberts et al., 2021)","plainTextFormattedCitation":"(N.J. Roberts et al., 2021)","previouslyFormattedCitation":"(N.J. Roberts &lt;i&gt;et al.&lt;/i&gt;, 2021)"},"properties":{"noteIndex":0},"schema":"https://github.com/citation-style-language/schema/raw/master/csl-citation.json"}</w:instrText>
      </w:r>
      <w:r w:rsidR="4024292E" w:rsidRPr="3C834372">
        <w:rPr>
          <w:rFonts w:eastAsia="Times New Roman"/>
          <w:lang w:eastAsia="en-GB"/>
        </w:rPr>
        <w:fldChar w:fldCharType="separate"/>
      </w:r>
      <w:r w:rsidR="00A35E88">
        <w:rPr>
          <w:rFonts w:eastAsia="Times New Roman"/>
          <w:noProof/>
          <w:lang w:eastAsia="en-GB"/>
        </w:rPr>
        <w:t>(</w:t>
      </w:r>
      <w:r w:rsidRPr="3C834372">
        <w:rPr>
          <w:rFonts w:eastAsia="Times New Roman"/>
          <w:noProof/>
          <w:lang w:eastAsia="en-GB"/>
        </w:rPr>
        <w:t xml:space="preserve">Roberts </w:t>
      </w:r>
      <w:r w:rsidRPr="3C834372">
        <w:rPr>
          <w:rFonts w:eastAsia="Times New Roman"/>
          <w:i/>
          <w:iCs/>
          <w:noProof/>
          <w:lang w:eastAsia="en-GB"/>
        </w:rPr>
        <w:t>et al.</w:t>
      </w:r>
      <w:r w:rsidRPr="3C834372">
        <w:rPr>
          <w:rFonts w:eastAsia="Times New Roman"/>
          <w:noProof/>
          <w:lang w:eastAsia="en-GB"/>
        </w:rPr>
        <w:t>, 2021)</w:t>
      </w:r>
      <w:r w:rsidR="4024292E" w:rsidRPr="3C834372">
        <w:rPr>
          <w:rFonts w:eastAsia="Times New Roman"/>
          <w:lang w:eastAsia="en-GB"/>
        </w:rPr>
        <w:fldChar w:fldCharType="end"/>
      </w:r>
      <w:r w:rsidRPr="3C834372">
        <w:rPr>
          <w:rFonts w:eastAsia="Times New Roman"/>
          <w:lang w:eastAsia="en-GB"/>
        </w:rPr>
        <w:t>.  Building on our previous work, this study identifies and characterises the experiences of nurses working in respiratory clinical areas in terms of anxiety, depression, resilience and fatigu</w:t>
      </w:r>
      <w:r>
        <w:t xml:space="preserve">e </w:t>
      </w:r>
      <w:r w:rsidRPr="3C834372">
        <w:rPr>
          <w:rFonts w:ascii="Calibri" w:eastAsia="Calibri" w:hAnsi="Calibri" w:cs="Calibri"/>
          <w:color w:val="000000" w:themeColor="text1"/>
        </w:rPr>
        <w:t>over the winter of 2020.</w:t>
      </w:r>
      <w:r>
        <w:t xml:space="preserve"> Our body of work aims to inform policy decision making in supporting the healthcare professional workforce through the current pandemic, in preparation for future pandemics and to make recommendations for future respiratory workforce planning. </w:t>
      </w:r>
    </w:p>
    <w:p w14:paraId="5C6BADF7" w14:textId="77777777" w:rsidR="00A829A3" w:rsidRDefault="00A829A3" w:rsidP="005D2029">
      <w:pPr>
        <w:spacing w:after="0" w:line="360" w:lineRule="auto"/>
        <w:jc w:val="both"/>
        <w:rPr>
          <w:rFonts w:eastAsia="Times New Roman" w:cstheme="minorHAnsi"/>
          <w:lang w:eastAsia="en-GB"/>
        </w:rPr>
      </w:pPr>
    </w:p>
    <w:p w14:paraId="76CBE74A" w14:textId="59B8D393" w:rsidR="594CCC0A" w:rsidRDefault="594CCC0A">
      <w:r>
        <w:br w:type="page"/>
      </w:r>
    </w:p>
    <w:p w14:paraId="29FDD332" w14:textId="77777777" w:rsidR="00664BBC" w:rsidRPr="00A829A3" w:rsidRDefault="00536695" w:rsidP="009C5E29">
      <w:pPr>
        <w:spacing w:after="0" w:line="360" w:lineRule="auto"/>
        <w:jc w:val="both"/>
        <w:rPr>
          <w:rFonts w:eastAsia="Times New Roman" w:cstheme="minorHAnsi"/>
          <w:b/>
          <w:bCs/>
          <w:lang w:eastAsia="en-GB"/>
        </w:rPr>
      </w:pPr>
      <w:r w:rsidRPr="004400BC">
        <w:rPr>
          <w:b/>
          <w:bCs/>
        </w:rPr>
        <w:lastRenderedPageBreak/>
        <w:t xml:space="preserve">Background </w:t>
      </w:r>
    </w:p>
    <w:p w14:paraId="099BDF50" w14:textId="3716F39B" w:rsidR="009B424A" w:rsidRDefault="4024292E" w:rsidP="24D43A9E">
      <w:pPr>
        <w:spacing w:after="0" w:line="360" w:lineRule="auto"/>
        <w:jc w:val="both"/>
        <w:rPr>
          <w:rFonts w:eastAsia="Times New Roman"/>
          <w:color w:val="000000"/>
          <w:lang w:eastAsia="en-GB"/>
        </w:rPr>
      </w:pPr>
      <w:r w:rsidRPr="4024292E">
        <w:rPr>
          <w:rFonts w:eastAsia="Times New Roman"/>
          <w:color w:val="000000" w:themeColor="text1"/>
          <w:lang w:eastAsia="en-GB"/>
        </w:rPr>
        <w:t xml:space="preserve">The COVID-19 outbreak has forced many nurses and other healthcare professionals globally to function under extreme pressure with, at some points, limited or inadequate resources.  Nurses have had to adapt quickly to demanding situations, including frequent changes to protocols and procedures and staff shortages, as well as the demands of delivering advanced and palliative care to very sick patients.  Despite this, nurses have reported an increased sense of duty, dedication to patient care and personal sacrifice </w:t>
      </w:r>
      <w:r w:rsidR="00567BE6" w:rsidRPr="4024292E">
        <w:rPr>
          <w:rFonts w:eastAsia="Times New Roman"/>
          <w:color w:val="000000" w:themeColor="text1"/>
          <w:lang w:eastAsia="en-GB"/>
        </w:rPr>
        <w:fldChar w:fldCharType="begin" w:fldLock="1"/>
      </w:r>
      <w:r w:rsidR="00567BE6" w:rsidRPr="4024292E">
        <w:rPr>
          <w:rFonts w:eastAsia="Times New Roman"/>
          <w:color w:val="000000" w:themeColor="text1"/>
          <w:lang w:eastAsia="en-GB"/>
        </w:rPr>
        <w:instrText>ADDIN CSL_CITATION {"citationItems":[{"id":"ITEM-1","itemData":{"DOI":"10.1016/J.IJNURSTU.2020.103637","ISSN":"0020-7489","abstract":"Background: Pandemics and epidemics are public health emergencies that can result in substantial deaths and socio-economic disruption. Nurses play a key role in the public health response to such crises, delivering direct patient care and reducing the risk of exposure to the infectious disease. The experience of providing nursing care in this context has the potential to have significant short and long term consequences for individual nurses, society and the nursing profession. Objectives: To synthesize and present the best available evidence on the experiences of nurses working in acute hospital settings during a pandemic. Design: This review was conducted using the Joanna Briggs Institute methodology for systematic reviews. Data sources: A structured search using CINAHL, MEDLINE, EMBASE, PubMed, Google Scholar, Cochrane Library, MedNar, ProQuest and Index to Theses was conducted. Review methods: All studies describing nurses’ experiences were included regardless of methodology. Themes and narrative statements were extracted from included papers using the SUMARI data extraction tool from Joanna Briggs Institute. Results: Thirteen qualitative studies were included in the review. The experiences of 348 nurses generated a total of 116 findings, which formed seven categories based on similarity of meaning. Three synthesized findings were generated from the categories: (i) Supportive nursing teams providing quality care; (ii) Acknowledging the physical and emotional impact; and (iii) Responsiveness of systematised organizational reaction. Conclusions: Nurses are pivotal to the health care response to infectious disease pandemics and epidemics. This systematic review emphasises that nurses’ require Governments, policy makers and nursing groups to actively engage in supporting nurses, both during and following a pandemic or epidemic. Without this, nurses are likely to experience substantial psychological issues that can lead to burnout and loss from the nursing workforce.","author":[{"dropping-particle":"","family":"Fernandez","given":"Ritin","non-dropping-particle":"","parse-names":false,"suffix":""},{"dropping-particle":"","family":"Lord","given":"Heidi","non-dropping-particle":"","parse-names":false,"suffix":""},{"dropping-particle":"","family":"Halcomb","given":"Elizabeth","non-dropping-particle":"","parse-names":false,"suffix":""},{"dropping-particle":"","family":"Moxham","given":"Lorna","non-dropping-particle":"","parse-names":false,"suffix":""},{"dropping-particle":"","family":"Middleton","given":"Rebekkah","non-dropping-particle":"","parse-names":false,"suffix":""},{"dropping-particle":"","family":"Alananzeh","given":"Ibrahim","non-dropping-particle":"","parse-names":false,"suffix":""},{"dropping-particle":"","family":"Ellwood","given":"Laura","non-dropping-particle":"","parse-names":false,"suffix":""}],"container-title":"International Journal of Nursing Studies","id":"ITEM-1","issued":{"date-parts":[["2020","11","1"]]},"page":"103637","publisher":"Pergamon","title":"Implications for COVID-19: A systematic review of nurses’ experiences of working in acute care hospital settings during a respiratory pandemic","type":"article-journal","volume":"111"},"uris":["http://www.mendeley.com/documents/?uuid=af3504e2-d2f0-3491-818b-561ae2026e95"]}],"mendeley":{"formattedCitation":"(Fernandez &lt;i&gt;et al.&lt;/i&gt;, 2020)","plainTextFormattedCitation":"(Fernandez et al., 2020)","previouslyFormattedCitation":"(Fernandez &lt;i&gt;et al.&lt;/i&gt;, 2020)"},"properties":{"noteIndex":0},"schema":"https://github.com/citation-style-language/schema/raw/master/csl-citation.json"}</w:instrText>
      </w:r>
      <w:r w:rsidR="00567BE6" w:rsidRPr="4024292E">
        <w:rPr>
          <w:rFonts w:eastAsia="Times New Roman"/>
          <w:color w:val="000000" w:themeColor="text1"/>
          <w:lang w:eastAsia="en-GB"/>
        </w:rPr>
        <w:fldChar w:fldCharType="separate"/>
      </w:r>
      <w:r w:rsidRPr="4024292E">
        <w:rPr>
          <w:rFonts w:eastAsia="Times New Roman"/>
          <w:noProof/>
          <w:color w:val="000000" w:themeColor="text1"/>
          <w:lang w:eastAsia="en-GB"/>
        </w:rPr>
        <w:t xml:space="preserve">(Fernandez </w:t>
      </w:r>
      <w:r w:rsidRPr="4024292E">
        <w:rPr>
          <w:rFonts w:eastAsia="Times New Roman"/>
          <w:i/>
          <w:iCs/>
          <w:noProof/>
          <w:color w:val="000000" w:themeColor="text1"/>
          <w:lang w:eastAsia="en-GB"/>
        </w:rPr>
        <w:t>et al.</w:t>
      </w:r>
      <w:r w:rsidRPr="4024292E">
        <w:rPr>
          <w:rFonts w:eastAsia="Times New Roman"/>
          <w:noProof/>
          <w:color w:val="000000" w:themeColor="text1"/>
          <w:lang w:eastAsia="en-GB"/>
        </w:rPr>
        <w:t>, 2020)</w:t>
      </w:r>
      <w:r w:rsidR="00567BE6" w:rsidRPr="4024292E">
        <w:rPr>
          <w:rFonts w:eastAsia="Times New Roman"/>
          <w:color w:val="000000" w:themeColor="text1"/>
          <w:lang w:eastAsia="en-GB"/>
        </w:rPr>
        <w:fldChar w:fldCharType="end"/>
      </w:r>
      <w:r w:rsidRPr="4024292E">
        <w:rPr>
          <w:rFonts w:eastAsia="Times New Roman"/>
          <w:color w:val="000000" w:themeColor="text1"/>
          <w:lang w:eastAsia="en-GB"/>
        </w:rPr>
        <w:t xml:space="preserve">.  </w:t>
      </w:r>
    </w:p>
    <w:p w14:paraId="3BD2B1BE" w14:textId="77777777" w:rsidR="009B424A" w:rsidRDefault="009B424A" w:rsidP="00D53BB3">
      <w:pPr>
        <w:spacing w:after="0" w:line="360" w:lineRule="auto"/>
        <w:jc w:val="both"/>
        <w:rPr>
          <w:rFonts w:eastAsia="Times New Roman" w:cstheme="minorHAnsi"/>
          <w:color w:val="000000"/>
          <w:lang w:eastAsia="en-GB"/>
        </w:rPr>
      </w:pPr>
    </w:p>
    <w:p w14:paraId="1CF989E9" w14:textId="4281E5F2" w:rsidR="00B53DCF" w:rsidRPr="00B53DCF" w:rsidRDefault="4024292E" w:rsidP="24D43A9E">
      <w:pPr>
        <w:spacing w:after="0" w:line="360" w:lineRule="auto"/>
        <w:jc w:val="both"/>
        <w:rPr>
          <w:rFonts w:eastAsia="Times New Roman"/>
          <w:lang w:eastAsia="en-GB"/>
        </w:rPr>
      </w:pPr>
      <w:r w:rsidRPr="4024292E">
        <w:rPr>
          <w:rFonts w:eastAsia="Times New Roman"/>
          <w:color w:val="000000" w:themeColor="text1"/>
          <w:lang w:eastAsia="en-GB"/>
        </w:rPr>
        <w:t xml:space="preserve">The impact of this has meant that many nurses and healthcare professionals have experienced mental health issues including anxiety, depression and, in some cases, even post-traumatic stress disorder (PTSD) </w:t>
      </w:r>
      <w:r w:rsidR="00567BE6" w:rsidRPr="4024292E">
        <w:rPr>
          <w:rFonts w:eastAsia="Times New Roman"/>
          <w:color w:val="000000" w:themeColor="text1"/>
          <w:lang w:eastAsia="en-GB"/>
        </w:rPr>
        <w:fldChar w:fldCharType="begin" w:fldLock="1"/>
      </w:r>
      <w:r w:rsidR="00567BE6" w:rsidRPr="4024292E">
        <w:rPr>
          <w:rFonts w:eastAsia="Times New Roman"/>
          <w:color w:val="000000" w:themeColor="text1"/>
          <w:lang w:eastAsia="en-GB"/>
        </w:rPr>
        <w:instrText>ADDIN CSL_CITATION {"citationItems":[{"id":"ITEM-1","itemData":{"DOI":"10.1056/NEJMP2008017","abstract":"Mental Health and the Covid-19 Pandemic Many aspects of the Covid-19 pandemic and the public health response to it will undoubtedly contribute to widespread emotional distress and increased risk fo...","author":[{"dropping-particle":"","family":"Pfefferbaum","given":"Betty","non-dropping-particle":"","parse-names":false,"suffix":""},{"dropping-particle":"","family":"North","given":"Carol S.","non-dropping-particle":"","parse-names":false,"suffix":""}],"container-title":"https://doi.org/10.1056/NEJMp2008017","id":"ITEM-1","issue":"6","issued":{"date-parts":[["2020","4","13"]]},"page":"510-512","publisher":"Massachusetts Medical Society","title":"Mental Health and the Covid-19 Pandemic","type":"article-journal","volume":"383"},"uris":["http://www.mendeley.com/documents/?uuid=21cf9884-d56a-31c6-930b-937bfaf86ae2"]}],"mendeley":{"formattedCitation":"(Pfefferbaum and North, 2020)","plainTextFormattedCitation":"(Pfefferbaum and North, 2020)","previouslyFormattedCitation":"(Pfefferbaum and North, 2020)"},"properties":{"noteIndex":0},"schema":"https://github.com/citation-style-language/schema/raw/master/csl-citation.json"}</w:instrText>
      </w:r>
      <w:r w:rsidR="00567BE6" w:rsidRPr="4024292E">
        <w:rPr>
          <w:rFonts w:eastAsia="Times New Roman"/>
          <w:color w:val="000000" w:themeColor="text1"/>
          <w:lang w:eastAsia="en-GB"/>
        </w:rPr>
        <w:fldChar w:fldCharType="separate"/>
      </w:r>
      <w:r w:rsidRPr="4024292E">
        <w:rPr>
          <w:rFonts w:eastAsia="Times New Roman"/>
          <w:noProof/>
          <w:color w:val="000000" w:themeColor="text1"/>
          <w:lang w:eastAsia="en-GB"/>
        </w:rPr>
        <w:t>(Pfefferbaum and North, 2020)</w:t>
      </w:r>
      <w:r w:rsidR="00567BE6" w:rsidRPr="4024292E">
        <w:rPr>
          <w:rFonts w:eastAsia="Times New Roman"/>
          <w:color w:val="000000" w:themeColor="text1"/>
          <w:lang w:eastAsia="en-GB"/>
        </w:rPr>
        <w:fldChar w:fldCharType="end"/>
      </w:r>
      <w:r w:rsidRPr="4024292E">
        <w:rPr>
          <w:rFonts w:eastAsia="Times New Roman"/>
          <w:color w:val="000000" w:themeColor="text1"/>
          <w:lang w:eastAsia="en-GB"/>
        </w:rPr>
        <w:t xml:space="preserve">.  Moore et al have shown that nearly two thirds of frontline healthcare professionals working with Covid-19 reported feeling anxious during April 2020 </w:t>
      </w:r>
      <w:r w:rsidR="00567BE6" w:rsidRPr="4024292E">
        <w:rPr>
          <w:rFonts w:eastAsia="Times New Roman"/>
          <w:color w:val="000000" w:themeColor="text1"/>
          <w:lang w:eastAsia="en-GB"/>
        </w:rPr>
        <w:fldChar w:fldCharType="begin" w:fldLock="1"/>
      </w:r>
      <w:r w:rsidR="00567BE6" w:rsidRPr="4024292E">
        <w:rPr>
          <w:rFonts w:eastAsia="Times New Roman"/>
          <w:color w:val="000000" w:themeColor="text1"/>
          <w:lang w:eastAsia="en-GB"/>
        </w:rPr>
        <w:instrText>ADDIN CSL_CITATION {"citationItems":[{"id":"ITEM-1","itemData":{"DOI":"10.22381/PIHRM8120209","ISSN":"2377-0716","abstract":"We develop a conceptual framework based on a systematic and comprehensive literature review on acute depression, extreme anxiety, and prolonged stress among COVID-19 frontline healthcare workers. Building our argument by drawing on data collected from AMS, APA, ARI, BMA, McKinsey, MQ, Nursing Times, and Sermo, we performed analyses and made estimates regarding how the stress and anxiety caused by the COVID-19 pandemic are having an effect on healthcare professionals' mental health. The data for this research were gathered via an online survey questionnaire and were analyzed through structural equation modeling on a sample of 660 respondents.","author":[{"dropping-particle":"","family":"Moore","given":"Christine","non-dropping-particle":"","parse-names":false,"suffix":""},{"dropping-particle":"","family":"Kolencik","given":"Juraj","non-dropping-particle":"","parse-names":false,"suffix":""}],"container-title":"Psychosociological Issues in Human Resource Management","id":"ITEM-1","issue":"1","issued":{"date-parts":[["2020"]]},"page":"55-60","title":"Acute Depression, Extreme Anxiety, and Prolonged Stress among COVID-19 Frontline Healthcare Workers","type":"article-journal","volume":"8"},"uris":["http://www.mendeley.com/documents/?uuid=17493da5-b3b7-3f4f-9c1f-3811e1d6fc69"]}],"mendeley":{"formattedCitation":"(Moore and Kolencik, 2020)","plainTextFormattedCitation":"(Moore and Kolencik, 2020)","previouslyFormattedCitation":"(Moore and Kolencik, 2020)"},"properties":{"noteIndex":0},"schema":"https://github.com/citation-style-language/schema/raw/master/csl-citation.json"}</w:instrText>
      </w:r>
      <w:r w:rsidR="00567BE6" w:rsidRPr="4024292E">
        <w:rPr>
          <w:rFonts w:eastAsia="Times New Roman"/>
          <w:color w:val="000000" w:themeColor="text1"/>
          <w:lang w:eastAsia="en-GB"/>
        </w:rPr>
        <w:fldChar w:fldCharType="separate"/>
      </w:r>
      <w:r w:rsidRPr="4024292E">
        <w:rPr>
          <w:rFonts w:eastAsia="Times New Roman"/>
          <w:noProof/>
          <w:color w:val="000000" w:themeColor="text1"/>
          <w:lang w:eastAsia="en-GB"/>
        </w:rPr>
        <w:t>(Moore and Kolencik, 2020)</w:t>
      </w:r>
      <w:r w:rsidR="00567BE6" w:rsidRPr="4024292E">
        <w:rPr>
          <w:rFonts w:eastAsia="Times New Roman"/>
          <w:color w:val="000000" w:themeColor="text1"/>
          <w:lang w:eastAsia="en-GB"/>
        </w:rPr>
        <w:fldChar w:fldCharType="end"/>
      </w:r>
      <w:r w:rsidRPr="4024292E">
        <w:rPr>
          <w:rFonts w:eastAsia="Times New Roman"/>
          <w:color w:val="000000" w:themeColor="text1"/>
          <w:lang w:eastAsia="en-GB"/>
        </w:rPr>
        <w:t xml:space="preserve">.  </w:t>
      </w:r>
      <w:r w:rsidRPr="4024292E">
        <w:rPr>
          <w:rFonts w:eastAsia="Times New Roman"/>
          <w:lang w:eastAsia="en-GB"/>
        </w:rPr>
        <w:t xml:space="preserve"> </w:t>
      </w:r>
      <w:r w:rsidR="00567BE6" w:rsidRPr="4024292E">
        <w:rPr>
          <w:rFonts w:eastAsia="Times New Roman"/>
          <w:lang w:eastAsia="en-GB"/>
        </w:rPr>
        <w:fldChar w:fldCharType="begin" w:fldLock="1"/>
      </w:r>
      <w:r w:rsidR="00567BE6" w:rsidRPr="4024292E">
        <w:rPr>
          <w:rFonts w:eastAsia="Times New Roman"/>
          <w:lang w:eastAsia="en-GB"/>
        </w:rPr>
        <w:instrText>ADDIN CSL_CITATION {"citationItems":[{"id":"ITEM-1","itemData":{"DOI":"10.1111/JOCN.15566","ISSN":"1365-2702","abstract":"Aims and objectives: To describe the levels of insomnia, fatigue and intershift recovery, and psychological well-being (burnout, post-traumatic stress and psychological distress), and to examine differences in these measures based on work-related characteristics among nursing staff during COVID-19 pandemic in the United States. Background: The COVID-19 pandemic has created a major physical and psychological burden on nursing staff in the United States and worldwide. A better understanding of these conditions will lead to tailored support and resources for nursing staff during and after the pandemic. Design: Cross-sectional study. Methods: Hospital nurses and nursing assistants (N = 587) were recruited online between May–June 2020. The survey included measures on insomnia (Insomnia Severity Index) fatigue and intershift recovery (Occupational Fatigue and Exhaustion Recovery-15), burnout (Maslach Burnout Inventory-Human Services Survey), post-traumatic stress (Short Post-Traumatic Stress Disorder Rating Interview) and psychological distress (Patient Health Questionnaire-4), and questions on work and demographics. The STROBE checklist was followed for reporting. Results: The sample had subthreshold insomnia, moderate-to-high chronic fatigue, high acute fatigue and low-to-moderate intershift recovery. The sample experienced increased emotional exhaustion and depersonalisation, increased personal accomplishment, moderate psychological distress and high post-traumatic stress. Nurses who cared for COVID-19 patients had significantly scored worse on almost all measures than their co-workers. Certain factors such as working hours per week and the frequency of 30-min breaks were significant. Conclusion: Nursing staff experienced poor sleep, fatigue and multiple psychological problems during the COVID-19 pandemic. Moreover, staff who were involved in the care of COVID-19 patients, worked more than 40 h per week and skipped 30-min breaks showed generally worse self-reported outcomes. Relevance to clinical practice: Nursing administration is recommended to monitor for fatigue and distress on nursing units, re-visit current scheduling practices, reinforce rest breaks and provide access to mental health and sleep wellness resources with additional support for their front-line nursing groups.","author":[{"dropping-particle":"","family":"Sagherian","given":"Knar","non-dropping-particle":"","parse-names":false,"suffix":""},{"dropping-particle":"","family":"Steege","given":"Linsey M.","non-dropping-particle":"","parse-names":false,"suffix":""},{"dropping-particle":"","family":"Cobb","given":"Sandra J.","non-dropping-particle":"","parse-names":false,"suffix":""},{"dropping-particle":"","family":"Cho","given":"Hyeonmi","non-dropping-particle":"","parse-names":false,"suffix":""}],"container-title":"Journal of Clinical Nursing","id":"ITEM-1","issued":{"date-parts":[["2020"]]},"page":"1-14","publisher":"John Wiley &amp; Sons, Ltd","title":"Insomnia, fatigue and psychosocial well-being during COVID-19 pandemic: A cross-sectional survey of hospital nursing staff in the United States","type":"article-journal","volume":"00"},"uris":["http://www.mendeley.com/documents/?uuid=faf49d91-b443-3a4d-ad15-72d514e65015"]}],"mendeley":{"formattedCitation":"(Sagherian &lt;i&gt;et al.&lt;/i&gt;, 2020)","manualFormatting":"Sagherian et al (2020)","plainTextFormattedCitation":"(Sagherian et al., 2020)","previouslyFormattedCitation":"(Sagherian &lt;i&gt;et al.&lt;/i&gt;, 2020)"},"properties":{"noteIndex":0},"schema":"https://github.com/citation-style-language/schema/raw/master/csl-citation.json"}</w:instrText>
      </w:r>
      <w:r w:rsidR="00567BE6" w:rsidRPr="4024292E">
        <w:rPr>
          <w:rFonts w:eastAsia="Times New Roman"/>
          <w:lang w:eastAsia="en-GB"/>
        </w:rPr>
        <w:fldChar w:fldCharType="separate"/>
      </w:r>
      <w:r w:rsidRPr="4024292E">
        <w:rPr>
          <w:rFonts w:eastAsia="Times New Roman"/>
          <w:noProof/>
          <w:lang w:eastAsia="en-GB"/>
        </w:rPr>
        <w:t xml:space="preserve">Sagherian </w:t>
      </w:r>
      <w:r w:rsidRPr="4024292E">
        <w:rPr>
          <w:rFonts w:eastAsia="Times New Roman"/>
          <w:i/>
          <w:iCs/>
          <w:noProof/>
          <w:lang w:eastAsia="en-GB"/>
        </w:rPr>
        <w:t xml:space="preserve">et al </w:t>
      </w:r>
      <w:r w:rsidRPr="4024292E">
        <w:rPr>
          <w:rFonts w:eastAsia="Times New Roman"/>
          <w:noProof/>
          <w:lang w:eastAsia="en-GB"/>
        </w:rPr>
        <w:t>(2020)</w:t>
      </w:r>
      <w:r w:rsidR="00567BE6" w:rsidRPr="4024292E">
        <w:rPr>
          <w:rFonts w:eastAsia="Times New Roman"/>
          <w:lang w:eastAsia="en-GB"/>
        </w:rPr>
        <w:fldChar w:fldCharType="end"/>
      </w:r>
      <w:r w:rsidRPr="4024292E">
        <w:rPr>
          <w:rFonts w:eastAsia="Times New Roman"/>
          <w:lang w:eastAsia="en-GB"/>
        </w:rPr>
        <w:t xml:space="preserve"> found that, during the first wave of the pandemic (May –June 2020), nurses experienced poor sleep, fatigue and multiple psychological problems.  Furthermore, s</w:t>
      </w:r>
      <w:r w:rsidRPr="4024292E">
        <w:rPr>
          <w:rFonts w:eastAsia="Times New Roman"/>
          <w:color w:val="000000" w:themeColor="text1"/>
          <w:lang w:eastAsia="en-GB"/>
        </w:rPr>
        <w:t xml:space="preserve">taff sickness levels significantly increased, rising above the 10-year average and continued to rise during the second wave (September 2020 - January 2021) peaking at 2,231,693 lost days (FTE), of which 28.6% were COVID-19 related </w:t>
      </w:r>
      <w:r w:rsidR="00567BE6" w:rsidRPr="4024292E">
        <w:rPr>
          <w:rFonts w:eastAsia="Times New Roman"/>
          <w:color w:val="000000" w:themeColor="text1"/>
          <w:lang w:eastAsia="en-GB"/>
        </w:rPr>
        <w:fldChar w:fldCharType="begin" w:fldLock="1"/>
      </w:r>
      <w:r w:rsidR="00567BE6" w:rsidRPr="4024292E">
        <w:rPr>
          <w:rFonts w:eastAsia="Times New Roman"/>
          <w:color w:val="000000" w:themeColor="text1"/>
          <w:lang w:eastAsia="en-GB"/>
        </w:rPr>
        <w:instrText>ADDIN CSL_CITATION {"citationItems":[{"id":"ITEM-1","itemData":{"URL":"https://digital.nhs.uk/data-and-information/publications/statistical/nhs-sickness-absence-rates/july-2020-to-september-2020-provisional-statistics#chapter-index","accessed":{"date-parts":[["2021","8","26"]]},"author":[{"dropping-particle":"","family":"NHS Digital.","given":"","non-dropping-particle":"","parse-names":false,"suffix":""}],"container-title":"NHS","id":"ITEM-1","issued":{"date-parts":[["2021"]]},"title":"NHS Sickness Absence Rates July 2020 to September 2020, Provisional Statistics","type":"webpage"},"uris":["http://www.mendeley.com/documents/?uuid=c3f45b7c-8a8a-39c3-b882-0d07cf57a4e9"]}],"mendeley":{"formattedCitation":"(NHS Digital., 2021)","plainTextFormattedCitation":"(NHS Digital., 2021)","previouslyFormattedCitation":"(NHS Digital., 2021)"},"properties":{"noteIndex":0},"schema":"https://github.com/citation-style-language/schema/raw/master/csl-citation.json"}</w:instrText>
      </w:r>
      <w:r w:rsidR="00567BE6" w:rsidRPr="4024292E">
        <w:rPr>
          <w:rFonts w:eastAsia="Times New Roman"/>
          <w:color w:val="000000" w:themeColor="text1"/>
          <w:lang w:eastAsia="en-GB"/>
        </w:rPr>
        <w:fldChar w:fldCharType="separate"/>
      </w:r>
      <w:r w:rsidRPr="4024292E">
        <w:rPr>
          <w:rFonts w:eastAsia="Times New Roman"/>
          <w:noProof/>
          <w:color w:val="000000" w:themeColor="text1"/>
          <w:lang w:eastAsia="en-GB"/>
        </w:rPr>
        <w:t>(NHS Digital., 2021)</w:t>
      </w:r>
      <w:r w:rsidR="00567BE6" w:rsidRPr="4024292E">
        <w:rPr>
          <w:rFonts w:eastAsia="Times New Roman"/>
          <w:color w:val="000000" w:themeColor="text1"/>
          <w:lang w:eastAsia="en-GB"/>
        </w:rPr>
        <w:fldChar w:fldCharType="end"/>
      </w:r>
      <w:r w:rsidRPr="4024292E">
        <w:rPr>
          <w:rFonts w:eastAsia="Times New Roman"/>
          <w:color w:val="000000" w:themeColor="text1"/>
          <w:lang w:eastAsia="en-GB"/>
        </w:rPr>
        <w:t xml:space="preserve">.  </w:t>
      </w:r>
    </w:p>
    <w:p w14:paraId="2C2C78DA" w14:textId="77777777" w:rsidR="00B53DCF" w:rsidRDefault="00B53DCF" w:rsidP="00300682">
      <w:pPr>
        <w:spacing w:after="0" w:line="360" w:lineRule="auto"/>
        <w:jc w:val="both"/>
        <w:rPr>
          <w:rFonts w:eastAsia="Times New Roman" w:cstheme="minorHAnsi"/>
          <w:color w:val="000000"/>
          <w:lang w:eastAsia="en-GB"/>
        </w:rPr>
      </w:pPr>
    </w:p>
    <w:p w14:paraId="4125086E" w14:textId="7A755AB5" w:rsidR="00B53DCF" w:rsidRDefault="4BEB3211" w:rsidP="24D43A9E">
      <w:pPr>
        <w:spacing w:after="0" w:line="360" w:lineRule="auto"/>
        <w:jc w:val="both"/>
        <w:rPr>
          <w:rFonts w:eastAsia="Times New Roman"/>
          <w:lang w:eastAsia="en-GB"/>
        </w:rPr>
      </w:pPr>
      <w:r w:rsidRPr="4BEB3211">
        <w:rPr>
          <w:rFonts w:eastAsia="Times New Roman"/>
          <w:color w:val="000000" w:themeColor="text1"/>
          <w:lang w:eastAsia="en-GB"/>
        </w:rPr>
        <w:t xml:space="preserve">Several studies have explored the prevalence of ‘burnout’ in healthcare professionals during the COVID-19 pandemic. Burnout can be both a process and an outcome of challenging work conditions that causes physical and emotion exhaustion, alienation from work related activities, and poor performance  </w:t>
      </w:r>
      <w:r w:rsidR="008E5AF2" w:rsidRPr="4BEB3211">
        <w:rPr>
          <w:rFonts w:eastAsia="Times New Roman"/>
          <w:color w:val="000000" w:themeColor="text1"/>
          <w:lang w:eastAsia="en-GB"/>
        </w:rPr>
        <w:fldChar w:fldCharType="begin" w:fldLock="1"/>
      </w:r>
      <w:r w:rsidR="008E5AF2" w:rsidRPr="4BEB3211">
        <w:rPr>
          <w:rFonts w:eastAsia="Times New Roman"/>
          <w:color w:val="000000" w:themeColor="text1"/>
          <w:lang w:eastAsia="en-GB"/>
        </w:rPr>
        <w:instrText>ADDIN CSL_CITATION {"citationItems":[{"id":"ITEM-1","itemData":{"DOI":"10.1002/WPS.20311","ISSN":"2051-5545","abstract":"The experience of burnout has been the focus of much research during the past few decades. Measures have been developed, as have various theoretical models, and research studies from many countries have contributed to a better understanding of the causes and consequences of this occupationally-specific dysphoria. The majority of this work has focused on human service occupations, and particularly health care. Research on the burnout experience for psychiatrists mirrors much of the broader literature, in terms of both sources and outcomes of burnout. But it has also identified some of the unique stressors that mental health professionals face when they are dealing with especially difficult or violent clients. Current issues of particular relevance for psychiatry include the links between burnout and mental illness, the attempts to redefine burnout as simply exhaustion, and the relative dearth of evaluative research on potential interventions to treat and/or prevent burnout. Given that the treatment goal for burnout is usually to enable people to return to their job, and to be successful in their work, psychiatry could make an important contribution by identifying the treatment strategies that would be most effective in achieving that goal.","author":[{"dropping-particle":"","family":"Maslach","given":"Christina","non-dropping-particle":"","parse-names":false,"suffix":""},{"dropping-particle":"","family":"Leiter","given":"Michael P.","non-dropping-particle":"","parse-names":false,"suffix":""}],"container-title":"World Psychiatry","id":"ITEM-1","issue":"2","issued":{"date-parts":[["2016","6","1"]]},"page":"103-111","publisher":"John Wiley &amp; Sons, Ltd","title":"Understanding the burnout experience: recent research and its implications for psychiatry","type":"article-journal","volume":"15"},"uris":["http://www.mendeley.com/documents/?uuid=3ed9c642-9d6f-3144-bcc9-46110af138a3"]},{"id":"ITEM-2","itemData":{"DOI":"10.1186/S12960-020-00469-9","ISSN":"1478-4491","abstract":"Workforce studies often identify burnout as a nursing ‘outcome’. Yet, burnout itself—what constitutes it, what factors contribute to its development, and what the wider consequences are for individuals, organisations, or their patients—is rarely made explicit. We aimed to provide a comprehensive summary of research that examines theorised relationships between burnout and other variables, in order to determine what is known (and not known) about the causes and consequences of burnout in nursing, and how this relates to theories of burnout. We searched MEDLINE, CINAHL, and PsycINFO. We included quantitative primary empirical studies (published in English) which examined associations between burnout and work-related factors in the nursing workforce. Ninety-one papers were identified. The majority (n = 87) were cross-sectional studies; 39 studies used all three subscales of the Maslach Burnout Inventory (MBI) Scale to measure burnout. As hypothesised by Maslach, we identified high workload, value incongruence, low control over the job, low decision latitude, poor social climate/social support, and low rewards as predictors of burnout. Maslach suggested that turnover, sickness absence, and general health were effects of burnout; however, we identified relationships only with general health and sickness absence. Other factors that were classified as predictors of burnout in the nursing literature were low/inadequate nurse staffing levels, ≥ 12-h shifts, low schedule flexibility, time pressure, high job and psychological demands, low task variety, role conflict, low autonomy, negative nurse-physician relationship, poor supervisor/leader support, poor leadership, negative team relationship, and job insecurity. Among the outcomes of burnout, we found reduced job performance, poor quality of care, poor patient safety, adverse events, patient negative experience, medication errors, infections, patient falls, and intention to leave. The patterns identified by these studies consistently show that adverse job characteristics—high workload, low staffing levels, long shifts, and low control—are associated with burnout in nursing. The potential consequences for staff and patients are severe. The literature on burnout in nursing partly supports Maslach’s theory, but some areas are insufficiently tested, in particular, the association between burnout and turnover, and relationships were found for some MBI dimensions only.","author":[{"dropping-particle":"","family":"Dall’Ora","given":"Chiara","non-dropping-particle":"","parse-names":false,"suffix":""},{"dropping-particle":"","family":"Ball","given":"Jane","non-dropping-particle":"","parse-names":false,"suffix":""},{"dropping-particle":"","family":"Reinius","given":"Maria","non-dropping-particle":"","parse-names":false,"suffix":""},{"dropping-particle":"","family":"Griffiths","given":"Peter","non-dropping-particle":"","parse-names":false,"suffix":""}],"container-title":"Human Resources for Health 2020 18:1","id":"ITEM-2","issue":"1","issued":{"date-parts":[["2020","6","5"]]},"page":"1-17","publisher":"BioMed Central","title":"Burnout in nursing: a theoretical review","type":"article-journal","volume":"18"},"uris":["http://www.mendeley.com/documents/?uuid=61a18907-3e05-3f46-a403-c857aa396222"]}],"mendeley":{"formattedCitation":"(Maslach and Leiter, 2016; Dall’Ora &lt;i&gt;et al.&lt;/i&gt;, 2020)","plainTextFormattedCitation":"(Maslach and Leiter, 2016; Dall’Ora et al., 2020)","previouslyFormattedCitation":"(Maslach and Leiter, 2016; Dall’Ora &lt;i&gt;et al.&lt;/i&gt;, 2020)"},"properties":{"noteIndex":0},"schema":"https://github.com/citation-style-language/schema/raw/master/csl-citation.json"}</w:instrText>
      </w:r>
      <w:r w:rsidR="008E5AF2" w:rsidRPr="4BEB3211">
        <w:rPr>
          <w:rFonts w:eastAsia="Times New Roman"/>
          <w:color w:val="000000" w:themeColor="text1"/>
          <w:lang w:eastAsia="en-GB"/>
        </w:rPr>
        <w:fldChar w:fldCharType="separate"/>
      </w:r>
      <w:r w:rsidRPr="4BEB3211">
        <w:rPr>
          <w:rFonts w:eastAsia="Times New Roman"/>
          <w:noProof/>
          <w:color w:val="000000" w:themeColor="text1"/>
          <w:lang w:eastAsia="en-GB"/>
        </w:rPr>
        <w:t xml:space="preserve">(Maslach and Leiter, 2016; Dall’Ora </w:t>
      </w:r>
      <w:r w:rsidRPr="4BEB3211">
        <w:rPr>
          <w:rFonts w:eastAsia="Times New Roman"/>
          <w:i/>
          <w:iCs/>
          <w:noProof/>
          <w:color w:val="000000" w:themeColor="text1"/>
          <w:lang w:eastAsia="en-GB"/>
        </w:rPr>
        <w:t>et al.</w:t>
      </w:r>
      <w:r w:rsidRPr="4BEB3211">
        <w:rPr>
          <w:rFonts w:eastAsia="Times New Roman"/>
          <w:noProof/>
          <w:color w:val="000000" w:themeColor="text1"/>
          <w:lang w:eastAsia="en-GB"/>
        </w:rPr>
        <w:t>, 2020)</w:t>
      </w:r>
      <w:r w:rsidR="008E5AF2" w:rsidRPr="4BEB3211">
        <w:rPr>
          <w:rFonts w:eastAsia="Times New Roman"/>
          <w:color w:val="000000" w:themeColor="text1"/>
          <w:lang w:eastAsia="en-GB"/>
        </w:rPr>
        <w:fldChar w:fldCharType="end"/>
      </w:r>
      <w:r w:rsidRPr="4BEB3211">
        <w:rPr>
          <w:rFonts w:eastAsia="Times New Roman"/>
          <w:color w:val="000000" w:themeColor="text1"/>
          <w:lang w:eastAsia="en-GB"/>
        </w:rPr>
        <w:t xml:space="preserve">.   </w:t>
      </w:r>
      <w:proofErr w:type="spellStart"/>
      <w:r w:rsidRPr="4BEB3211">
        <w:rPr>
          <w:rFonts w:eastAsia="Times New Roman"/>
          <w:color w:val="000000" w:themeColor="text1"/>
          <w:lang w:eastAsia="en-GB"/>
        </w:rPr>
        <w:t>Dall’Ora</w:t>
      </w:r>
      <w:proofErr w:type="spellEnd"/>
      <w:r w:rsidRPr="4BEB3211">
        <w:rPr>
          <w:rFonts w:eastAsia="Times New Roman"/>
          <w:color w:val="000000" w:themeColor="text1"/>
          <w:lang w:eastAsia="en-GB"/>
        </w:rPr>
        <w:t xml:space="preserve">  </w:t>
      </w:r>
      <w:r w:rsidRPr="4BEB3211">
        <w:rPr>
          <w:rFonts w:eastAsia="Times New Roman"/>
          <w:i/>
          <w:iCs/>
          <w:color w:val="000000" w:themeColor="text1"/>
          <w:lang w:eastAsia="en-GB"/>
        </w:rPr>
        <w:t>et al</w:t>
      </w:r>
      <w:r w:rsidRPr="4BEB3211">
        <w:rPr>
          <w:rFonts w:eastAsia="Times New Roman"/>
          <w:color w:val="000000" w:themeColor="text1"/>
          <w:lang w:eastAsia="en-GB"/>
        </w:rPr>
        <w:t xml:space="preserve"> (2020) provide seven key areas impacting the likelihood of burnout: work life, workload and staffing levels, job control, reward and fairness, shift-work and working patterns, psychological demands and job complexity, support factors (relationships / leadership) and work environment and hospital characteristics </w:t>
      </w:r>
      <w:r w:rsidR="008E5AF2" w:rsidRPr="4BEB3211">
        <w:rPr>
          <w:rFonts w:eastAsia="Times New Roman"/>
          <w:color w:val="000000" w:themeColor="text1"/>
          <w:lang w:eastAsia="en-GB"/>
        </w:rPr>
        <w:fldChar w:fldCharType="begin" w:fldLock="1"/>
      </w:r>
      <w:r w:rsidR="008E5AF2" w:rsidRPr="4BEB3211">
        <w:rPr>
          <w:rFonts w:eastAsia="Times New Roman"/>
          <w:color w:val="000000" w:themeColor="text1"/>
          <w:lang w:eastAsia="en-GB"/>
        </w:rPr>
        <w:instrText>ADDIN CSL_CITATION {"citationItems":[{"id":"ITEM-1","itemData":{"DOI":"10.1186/S12960-020-00469-9","ISSN":"1478-4491","abstract":"Workforce studies often identify burnout as a nursing ‘outcome’. Yet, burnout itself—what constitutes it, what factors contribute to its development, and what the wider consequences are for individuals, organisations, or their patients—is rarely made explicit. We aimed to provide a comprehensive summary of research that examines theorised relationships between burnout and other variables, in order to determine what is known (and not known) about the causes and consequences of burnout in nursing, and how this relates to theories of burnout. We searched MEDLINE, CINAHL, and PsycINFO. We included quantitative primary empirical studies (published in English) which examined associations between burnout and work-related factors in the nursing workforce. Ninety-one papers were identified. The majority (n = 87) were cross-sectional studies; 39 studies used all three subscales of the Maslach Burnout Inventory (MBI) Scale to measure burnout. As hypothesised by Maslach, we identified high workload, value incongruence, low control over the job, low decision latitude, poor social climate/social support, and low rewards as predictors of burnout. Maslach suggested that turnover, sickness absence, and general health were effects of burnout; however, we identified relationships only with general health and sickness absence. Other factors that were classified as predictors of burnout in the nursing literature were low/inadequate nurse staffing levels, ≥ 12-h shifts, low schedule flexibility, time pressure, high job and psychological demands, low task variety, role conflict, low autonomy, negative nurse-physician relationship, poor supervisor/leader support, poor leadership, negative team relationship, and job insecurity. Among the outcomes of burnout, we found reduced job performance, poor quality of care, poor patient safety, adverse events, patient negative experience, medication errors, infections, patient falls, and intention to leave. The patterns identified by these studies consistently show that adverse job characteristics—high workload, low staffing levels, long shifts, and low control—are associated with burnout in nursing. The potential consequences for staff and patients are severe. The literature on burnout in nursing partly supports Maslach’s theory, but some areas are insufficiently tested, in particular, the association between burnout and turnover, and relationships were found for some MBI dimensions only.","author":[{"dropping-particle":"","family":"Dall’Ora","given":"Chiara","non-dropping-particle":"","parse-names":false,"suffix":""},{"dropping-particle":"","family":"Ball","given":"Jane","non-dropping-particle":"","parse-names":false,"suffix":""},{"dropping-particle":"","family":"Reinius","given":"Maria","non-dropping-particle":"","parse-names":false,"suffix":""},{"dropping-particle":"","family":"Griffiths","given":"Peter","non-dropping-particle":"","parse-names":false,"suffix":""}],"container-title":"Human Resources for Health 2020 18:1","id":"ITEM-1","issue":"1","issued":{"date-parts":[["2020","6","5"]]},"page":"1-17","publisher":"BioMed Central","title":"Burnout in nursing: a theoretical review","type":"article-journal","volume":"18"},"uris":["http://www.mendeley.com/documents/?uuid=61a18907-3e05-3f46-a403-c857aa396222"]}],"mendeley":{"formattedCitation":"(Dall’Ora &lt;i&gt;et al.&lt;/i&gt;, 2020)","plainTextFormattedCitation":"(Dall’Ora et al., 2020)","previouslyFormattedCitation":"(Dall’Ora &lt;i&gt;et al.&lt;/i&gt;, 2020)"},"properties":{"noteIndex":0},"schema":"https://github.com/citation-style-language/schema/raw/master/csl-citation.json"}</w:instrText>
      </w:r>
      <w:r w:rsidR="008E5AF2" w:rsidRPr="4BEB3211">
        <w:rPr>
          <w:rFonts w:eastAsia="Times New Roman"/>
          <w:color w:val="000000" w:themeColor="text1"/>
          <w:lang w:eastAsia="en-GB"/>
        </w:rPr>
        <w:fldChar w:fldCharType="separate"/>
      </w:r>
      <w:r w:rsidRPr="4BEB3211">
        <w:rPr>
          <w:rFonts w:eastAsia="Times New Roman"/>
          <w:noProof/>
          <w:color w:val="000000" w:themeColor="text1"/>
          <w:lang w:eastAsia="en-GB"/>
        </w:rPr>
        <w:t xml:space="preserve">(Dall’Ora </w:t>
      </w:r>
      <w:r w:rsidRPr="4BEB3211">
        <w:rPr>
          <w:rFonts w:eastAsia="Times New Roman"/>
          <w:i/>
          <w:iCs/>
          <w:noProof/>
          <w:color w:val="000000" w:themeColor="text1"/>
          <w:lang w:eastAsia="en-GB"/>
        </w:rPr>
        <w:t>et al.</w:t>
      </w:r>
      <w:r w:rsidRPr="4BEB3211">
        <w:rPr>
          <w:rFonts w:eastAsia="Times New Roman"/>
          <w:noProof/>
          <w:color w:val="000000" w:themeColor="text1"/>
          <w:lang w:eastAsia="en-GB"/>
        </w:rPr>
        <w:t>, 2020)</w:t>
      </w:r>
      <w:r w:rsidR="008E5AF2" w:rsidRPr="4BEB3211">
        <w:rPr>
          <w:rFonts w:eastAsia="Times New Roman"/>
          <w:color w:val="000000" w:themeColor="text1"/>
          <w:lang w:eastAsia="en-GB"/>
        </w:rPr>
        <w:fldChar w:fldCharType="end"/>
      </w:r>
      <w:r w:rsidRPr="4BEB3211">
        <w:rPr>
          <w:rFonts w:eastAsia="Times New Roman"/>
          <w:color w:val="000000" w:themeColor="text1"/>
          <w:lang w:eastAsia="en-GB"/>
        </w:rPr>
        <w:t xml:space="preserve">.     </w:t>
      </w:r>
      <w:r w:rsidR="008E5AF2" w:rsidRPr="4BEB3211">
        <w:rPr>
          <w:rFonts w:eastAsia="Times New Roman"/>
          <w:color w:val="000000" w:themeColor="text1"/>
          <w:lang w:eastAsia="en-GB"/>
        </w:rPr>
        <w:fldChar w:fldCharType="begin" w:fldLock="1"/>
      </w:r>
      <w:r w:rsidR="008E5AF2" w:rsidRPr="4BEB3211">
        <w:rPr>
          <w:rFonts w:eastAsia="Times New Roman"/>
          <w:color w:val="000000" w:themeColor="text1"/>
          <w:lang w:eastAsia="en-GB"/>
        </w:rPr>
        <w:instrText>ADDIN CSL_CITATION {"citationItems":[{"id":"ITEM-1","itemData":{"DOI":"10.1371/JOURNAL.PONE.0238666","ISSN":"1932-6203","abstract":"The Covid-19 pandemic has placed unprecedented pressure on healthcare systems and workers around the world. Such pressures may impact on working conditions, psychological wellbeing and perception of safety. In spite of this, no study has assessed the relationship between safety attitudes and psychological outcomes. Moreover, only limited studies have examined the relationship between personal characteristics and psychological outcomes during Covid-19. From 22nd March 2020 to 18th June 2020, healthcare workers from the United Kingdom, Poland, and Singapore were invited to participate using a self-administered questionnaire comprising the Safety Attitudes Questionnaire (SAQ), Oldenburg Burnout Inventory (OLBI) and Hospital Anxiety and Depression Scale (HADS) to evaluate safety culture, burnout and anxiety/depression. Multivariate logistic regression was used to determine predictors of burnout, anxiety and depression. Of 3,537 healthcare workers who participated in the study, 2,364 (67%) screened positive for burnout, 701 (20%) for anxiety, and 389 (11%) for depression. Significant predictors of burnout included patient-facing roles: doctor (OR 2.10; 95% CI 1.49–2.95), nurse (OR 1.38; 95% CI 1.04–1.84), and ‘other clinical’ (OR 2.02; 95% CI 1.45–2.82); being redeployed (OR 1.27; 95% CI 1.02–1.58), bottom quartile SAQ score (OR 2.43; 95% CI 1.98–2.99), anxiety (OR 4.87; 95% CI 3.92–6.06) and depression (OR 4.06; 95% CI 3.04–5.42). Significant factors inversely correlated with burnout included being tested for SARS-CoV-2 (OR 0.64; 95% CI 0.51–0.82) and top quartile SAQ score (OR 0.30; 95% CI 0.22–0.40). Significant factors associated with anxiety and depression, included burnout, gender, safety attitudes and job role. Our findings demonstrate a significant burden of burnout, anxiety, and depression amongst healthcare workers. A strong association was seen between SARS-CoV-2 testing, safety attitudes, gender, job role, redeployment and psychological state. These findings highlight the importance of targeted support services for at risk groups and proactive SARS-CoV-2 testing of healthcare workers.","author":[{"dropping-particle":"","family":"Denning","given":"Max","non-dropping-particle":"","parse-names":false,"suffix":""},{"dropping-particle":"","family":"Goh","given":"Ee Teng","non-dropping-particle":"","parse-names":false,"suffix":""},{"dropping-particle":"","family":"Tan","given":"Benjamin","non-dropping-particle":"","parse-names":false,"suffix":""},{"dropping-particle":"","family":"Kanneganti","given":"Abhiram","non-dropping-particle":"","parse-names":false,"suffix":""},{"dropping-particle":"","family":"Almonte","given":"Melanie","non-dropping-particle":"","parse-names":false,"suffix":""},{"dropping-particle":"","family":"Scott","given":"Alasdair","non-dropping-particle":"","parse-names":false,"suffix":""},{"dropping-particle":"","family":"Martin","given":"Guy","non-dropping-particle":"","parse-names":false,"suffix":""},{"dropping-particle":"","family":"Clarke","given":"Jonathan","non-dropping-particle":"","parse-names":false,"suffix":""},{"dropping-particle":"","family":"Sounderajah","given":"Viknesh","non-dropping-particle":"","parse-names":false,"suffix":""},{"dropping-particle":"","family":"Markar","given":"Sheraz","non-dropping-particle":"","parse-names":false,"suffix":""},{"dropping-particle":"","family":"Przybylowicz","given":"Jan","non-dropping-particle":"","parse-names":false,"suffix":""},{"dropping-particle":"","family":"Chan","given":"Yiong Huak","non-dropping-particle":"","parse-names":false,"suffix":""},{"dropping-particle":"","family":"Sia","given":"Ching-Hui","non-dropping-particle":"","parse-names":false,"suffix":""},{"dropping-particle":"","family":"Chua","given":"Ying Xian","non-dropping-particle":"","parse-names":false,"suffix":""},{"dropping-particle":"","family":"Sim","given":"Kang","non-dropping-particle":"","parse-names":false,"suffix":""},{"dropping-particle":"","family":"Lim","given":"Lucas","non-dropping-particle":"","parse-names":false,"suffix":""},{"dropping-particle":"","family":"Tan","given":"Lifeng","non-dropping-particle":"","parse-names":false,"suffix":""},{"dropping-particle":"","family":"Tan","given":"Melanie","non-dropping-particle":"","parse-names":false,"suffix":""},{"dropping-particle":"","family":"Sharma","given":"Vijay","non-dropping-particle":"","parse-names":false,"suffix":""},{"dropping-particle":"","family":"Ooi","given":"Shirley","non-dropping-particle":"","parse-names":false,"suffix":""},{"dropping-particle":"","family":"Beatty","given":"Jasmine Winter","non-dropping-particle":"","parse-names":false,"suffix":""},{"dropping-particle":"","family":"Flott","given":"Kelsey","non-dropping-particle":"","parse-names":false,"suffix":""},{"dropping-particle":"","family":"Mason","given":"Sam","non-dropping-particle":"","parse-names":false,"suffix":""},{"dropping-particle":"","family":"Chidambaram","given":"Swathikan","non-dropping-particle":"","parse-names":false,"suffix":""},{"dropping-particle":"","family":"Yalamanchili","given":"Seema","non-dropping-particle":"","parse-names":false,"suffix":""},{"dropping-particle":"","family":"Zbikowska","given":"Gabriela","non-dropping-particle":"","parse-names":false,"suffix":""},{"dropping-particle":"","family":"Fedorowski","given":"Jaroslaw","non-dropping-particle":"","parse-names":false,"suffix":""},{"dropping-particle":"","family":"Dykowska","given":"Grazyna","non-dropping-particle":"","parse-names":false,"suffix":""},{"dropping-particle":"","family":"Wells","given":"Mary","non-dropping-particle":"","parse-names":false,"suffix":""},{"dropping-particle":"","family":"Purkayastha","given":"Sanjay","non-dropping-particle":"","parse-names":false,"suffix":""},{"dropping-particle":"","family":"Kinross","given":"James","non-dropping-particle":"","parse-names":false,"suffix":""}],"container-title":"PLOS ONE","id":"ITEM-1","issue":"4","issued":{"date-parts":[["2021","4","1"]]},"page":"e0238666","publisher":"Public Library of Science","title":"Determinants of burnout and other aspects of psychological well-being in healthcare workers during the Covid-19 pandemic: A multinational cross-sectional study","type":"article-journal","volume":"16"},"uris":["http://www.mendeley.com/documents/?uuid=303ae2e7-7405-3765-8f95-9990cbd7b151"]}],"mendeley":{"formattedCitation":"(Denning &lt;i&gt;et al.&lt;/i&gt;, 2021)","manualFormatting":"Denning et al (2021)","plainTextFormattedCitation":"(Denning et al., 2021)","previouslyFormattedCitation":"(Denning &lt;i&gt;et al.&lt;/i&gt;, 2021)"},"properties":{"noteIndex":0},"schema":"https://github.com/citation-style-language/schema/raw/master/csl-citation.json"}</w:instrText>
      </w:r>
      <w:r w:rsidR="008E5AF2" w:rsidRPr="4BEB3211">
        <w:rPr>
          <w:rFonts w:eastAsia="Times New Roman"/>
          <w:color w:val="000000" w:themeColor="text1"/>
          <w:lang w:eastAsia="en-GB"/>
        </w:rPr>
        <w:fldChar w:fldCharType="separate"/>
      </w:r>
      <w:r w:rsidRPr="4BEB3211">
        <w:rPr>
          <w:rFonts w:eastAsia="Times New Roman"/>
          <w:noProof/>
          <w:color w:val="000000" w:themeColor="text1"/>
          <w:lang w:eastAsia="en-GB"/>
        </w:rPr>
        <w:t xml:space="preserve">Denning </w:t>
      </w:r>
      <w:r w:rsidRPr="4BEB3211">
        <w:rPr>
          <w:rFonts w:eastAsia="Times New Roman"/>
          <w:i/>
          <w:iCs/>
          <w:noProof/>
          <w:color w:val="000000" w:themeColor="text1"/>
          <w:lang w:eastAsia="en-GB"/>
        </w:rPr>
        <w:t>et al</w:t>
      </w:r>
      <w:r w:rsidRPr="4BEB3211">
        <w:rPr>
          <w:rFonts w:eastAsia="Times New Roman"/>
          <w:noProof/>
          <w:color w:val="000000" w:themeColor="text1"/>
          <w:lang w:eastAsia="en-GB"/>
        </w:rPr>
        <w:t xml:space="preserve"> (2021)</w:t>
      </w:r>
      <w:r w:rsidR="008E5AF2" w:rsidRPr="4BEB3211">
        <w:rPr>
          <w:rFonts w:eastAsia="Times New Roman"/>
          <w:color w:val="000000" w:themeColor="text1"/>
          <w:lang w:eastAsia="en-GB"/>
        </w:rPr>
        <w:fldChar w:fldCharType="end"/>
      </w:r>
      <w:r w:rsidRPr="4BEB3211">
        <w:rPr>
          <w:rFonts w:eastAsia="Times New Roman"/>
          <w:color w:val="000000" w:themeColor="text1"/>
          <w:lang w:eastAsia="en-GB"/>
        </w:rPr>
        <w:t xml:space="preserve"> found that 67% of healthcare professionals screened positively for burnout during the first wave of the pandemic. A systematic review and meta-analysis demonstrated nurses, in particular, experienced high levels of burnout during this period </w:t>
      </w:r>
      <w:r w:rsidR="008E5AF2" w:rsidRPr="4BEB3211">
        <w:rPr>
          <w:rFonts w:eastAsia="Times New Roman"/>
          <w:color w:val="000000" w:themeColor="text1"/>
          <w:lang w:eastAsia="en-GB"/>
        </w:rPr>
        <w:fldChar w:fldCharType="begin" w:fldLock="1"/>
      </w:r>
      <w:r w:rsidR="008E5AF2" w:rsidRPr="4BEB3211">
        <w:rPr>
          <w:rFonts w:eastAsia="Times New Roman"/>
          <w:color w:val="000000" w:themeColor="text1"/>
          <w:lang w:eastAsia="en-GB"/>
        </w:rPr>
        <w:instrText>ADDIN CSL_CITATION {"citationItems":[{"id":"ITEM-1","itemData":{"DOI":"10.1111/JAN.14839","ISSN":"1365-2648","abstract":"Aims: To examine the nurses' burnout and associated risk factors during the COVID-19 pandemic. Design: We followed the Cochrane criteria and the Preferred Reporting Items for Systematic Reviews and Meta-Analysis guidelines for this systematic review and meta-analysis. Data Sources: PubMed, Scopus, ProQuest, Cochrane COVID-19 registry, CINAHL and pre-print services (medRχiv and PsyArXiv) were searched from January 1 to November 15, 2020 and we removed duplicates. Review Methods: We applied a random effect model to estimate pooled effects since the heterogeneity between results was very high. Results: Sixteen studies, including 18,935 nurses met the inclusion criteria. The overall prevalence of emotional exhaustion was 34.1%, of depersonalization was 12.6% and of lack of personal accomplishment was 15.2%. The main risk factors that increased nurses' burnout were the following: younger age, decreased social support, low family and colleagues readiness to cope with COVID-19 outbreak, increased perceived threat of Covid-19, longer working time in quarantine areas, working in a high-risk environment, working in hospitals with inadequate and insufficient material and human resources, increased workload and lower level of specialized training regarding COVID-19. Conclusion: Nurses experience high levels of burnout during the COVID-19 pandemic, while several sociodemographic, social and occupational factors affect this burnout. Impact: We found that burnout among nurses is a crucial issue during the COVID-19 pandemic. There is an urgent need to prepare nurses to cope better with COVID-19 pandemic. Identification of risk factors for burnout could be a significant weapon giving nurses and health care systems the ability to response in a better way against the following COVID-19 waves in the near future.","author":[{"dropping-particle":"","family":"Galanis","given":"Petros","non-dropping-particle":"","parse-names":false,"suffix":""},{"dropping-particle":"","family":"Vraka","given":"Irene","non-dropping-particle":"","parse-names":false,"suffix":""},{"dropping-particle":"","family":"Fragkou","given":"Despoina","non-dropping-particle":"","parse-names":false,"suffix":""},{"dropping-particle":"","family":"Bilali","given":"Angeliki","non-dropping-particle":"","parse-names":false,"suffix":""},{"dropping-particle":"","family":"Kaitelidou","given":"Daphne","non-dropping-particle":"","parse-names":false,"suffix":""}],"container-title":"Journal of Advanced Nursing","id":"ITEM-1","issue":"8","issued":{"date-parts":[["2021","8","1"]]},"page":"3286-3302","publisher":"John Wiley &amp; Sons, Ltd","title":"Nurses' burnout and associated risk factors during the COVID-19 pandemic: A systematic review and meta-analysis","type":"article-journal","volume":"77"},"uris":["http://www.mendeley.com/documents/?uuid=3478d1a9-b6c0-3809-923b-4fc2bcabaf0b"]}],"mendeley":{"formattedCitation":"(Galanis &lt;i&gt;et al.&lt;/i&gt;, 2021)","plainTextFormattedCitation":"(Galanis et al., 2021)","previouslyFormattedCitation":"(Galanis &lt;i&gt;et al.&lt;/i&gt;, 2021)"},"properties":{"noteIndex":0},"schema":"https://github.com/citation-style-language/schema/raw/master/csl-citation.json"}</w:instrText>
      </w:r>
      <w:r w:rsidR="008E5AF2" w:rsidRPr="4BEB3211">
        <w:rPr>
          <w:rFonts w:eastAsia="Times New Roman"/>
          <w:color w:val="000000" w:themeColor="text1"/>
          <w:lang w:eastAsia="en-GB"/>
        </w:rPr>
        <w:fldChar w:fldCharType="separate"/>
      </w:r>
      <w:r w:rsidRPr="4BEB3211">
        <w:rPr>
          <w:rFonts w:eastAsia="Times New Roman"/>
          <w:noProof/>
          <w:color w:val="000000" w:themeColor="text1"/>
          <w:lang w:eastAsia="en-GB"/>
        </w:rPr>
        <w:t xml:space="preserve">(Galanis </w:t>
      </w:r>
      <w:r w:rsidRPr="4BEB3211">
        <w:rPr>
          <w:rFonts w:eastAsia="Times New Roman"/>
          <w:i/>
          <w:iCs/>
          <w:noProof/>
          <w:color w:val="000000" w:themeColor="text1"/>
          <w:lang w:eastAsia="en-GB"/>
        </w:rPr>
        <w:t>et al.</w:t>
      </w:r>
      <w:r w:rsidRPr="4BEB3211">
        <w:rPr>
          <w:rFonts w:eastAsia="Times New Roman"/>
          <w:noProof/>
          <w:color w:val="000000" w:themeColor="text1"/>
          <w:lang w:eastAsia="en-GB"/>
        </w:rPr>
        <w:t>, 2021)</w:t>
      </w:r>
      <w:r w:rsidR="008E5AF2" w:rsidRPr="4BEB3211">
        <w:rPr>
          <w:rFonts w:eastAsia="Times New Roman"/>
          <w:color w:val="000000" w:themeColor="text1"/>
          <w:lang w:eastAsia="en-GB"/>
        </w:rPr>
        <w:fldChar w:fldCharType="end"/>
      </w:r>
      <w:r w:rsidRPr="4BEB3211">
        <w:rPr>
          <w:rFonts w:eastAsia="Times New Roman"/>
          <w:lang w:eastAsia="en-GB"/>
        </w:rPr>
        <w:t>.  This study examines the levels of fatigue in nurses which can be used as an indicator (or precursor) to potential burnout.</w:t>
      </w:r>
    </w:p>
    <w:p w14:paraId="44C13782" w14:textId="77777777" w:rsidR="00B53DCF" w:rsidRDefault="00B53DCF" w:rsidP="00300682">
      <w:pPr>
        <w:spacing w:after="0" w:line="360" w:lineRule="auto"/>
        <w:jc w:val="both"/>
        <w:rPr>
          <w:rFonts w:eastAsia="Times New Roman" w:cstheme="minorHAnsi"/>
          <w:lang w:eastAsia="en-GB"/>
        </w:rPr>
      </w:pPr>
    </w:p>
    <w:p w14:paraId="437B3E02" w14:textId="6B7D2EF2" w:rsidR="008B177A" w:rsidRDefault="4024292E" w:rsidP="24D43A9E">
      <w:pPr>
        <w:spacing w:after="0" w:line="360" w:lineRule="auto"/>
        <w:jc w:val="both"/>
        <w:rPr>
          <w:rFonts w:eastAsia="Times New Roman"/>
          <w:lang w:eastAsia="en-GB"/>
        </w:rPr>
      </w:pPr>
      <w:r w:rsidRPr="4024292E">
        <w:rPr>
          <w:rFonts w:eastAsia="Times New Roman"/>
          <w:lang w:eastAsia="en-GB"/>
        </w:rPr>
        <w:t xml:space="preserve">Longitudinal data from previous epidemics indicate that the psychological impact on healthcare professionals may be long lasting with increased risk of burnout, depression, anxiety, substance misuse, and post-traumatic stress disorder (PTSD) </w:t>
      </w:r>
      <w:r w:rsidR="00F564D5" w:rsidRPr="4024292E">
        <w:rPr>
          <w:rFonts w:eastAsia="Times New Roman"/>
          <w:lang w:eastAsia="en-GB"/>
        </w:rPr>
        <w:fldChar w:fldCharType="begin" w:fldLock="1"/>
      </w:r>
      <w:r w:rsidR="00F564D5" w:rsidRPr="4024292E">
        <w:rPr>
          <w:rFonts w:eastAsia="Times New Roman"/>
          <w:lang w:eastAsia="en-GB"/>
        </w:rPr>
        <w:instrText>ADDIN CSL_CITATION {"citationItems":[{"id":"ITEM-1","itemData":{"DOI":"10.1371/JOURNAL.PONE.0233831","ISSN":"1932-6203","abstract":"Purposes During the outbreak of Coronavirus Disease 2019 (COVID-19) all over the world, the mental health conditions of health care workers are of great importance to ensure the efficiency of rescue operations. The current study examined the effect of social support on mental health of health care workers and its underlying mechanisms regarding the mediating role of resilience and moderating role of age during the epidemic.   Methods Social Support Rating Scale (SSRS), Connor-Davidson Resilience scale (CD-RISC) and Symptom Checklist 90 (SCL-90) were administrated among 1472 health care workers from Jiangsu Province, China during the peak period of COVID-19 outbreak. Structural equation modeling (SEM) was used to examine the mediation effect of resilience on the relation between social support and mental health, whereas moderated mediation analysis was performed by Hayes PROCESS macro.   Results The findings showed that resilience could partially mediate the effect of social support on mental health among health care workers. Age group moderated the indirect relationship between social support and mental health via resilience. Specifically, compared with younger health care workers, the association between resilience and mental health would be attenuated in the middle-aged workers.   Conclusions The results add knowledge to previous literature by uncovering the underlying mechanisms between social support and mental health. The present study has profound implications for mental health services for health care workers during the peak period of COVID-19.","author":[{"dropping-particle":"","family":"Hou","given":"Tianya","non-dropping-particle":"","parse-names":false,"suffix":""},{"dropping-particle":"","family":"Zhang","given":"Taiquan","non-dropping-particle":"","parse-names":false,"suffix":""},{"dropping-particle":"","family":"Cai","given":"Wenpeng","non-dropping-particle":"","parse-names":false,"suffix":""},{"dropping-particle":"","family":"Song","given":"Xiangrui","non-dropping-particle":"","parse-names":false,"suffix":""},{"dropping-particle":"","family":"Chen","given":"Aibin","non-dropping-particle":"","parse-names":false,"suffix":""},{"dropping-particle":"","family":"Deng","given":"Guanghui","non-dropping-particle":"","parse-names":false,"suffix":""},{"dropping-particle":"","family":"Ni","given":"Chunyan","non-dropping-particle":"","parse-names":false,"suffix":""}],"container-title":"PLOS ONE","id":"ITEM-1","issue":"5","issued":{"date-parts":[["2020","5","1"]]},"page":"e0233831","publisher":"Public Library of Science","title":"Social support and mental health among health care workers during Coronavirus Disease 2019 outbreak: A moderated mediation model","type":"article-journal","volume":"15"},"uris":["http://www.mendeley.com/documents/?uuid=16d34273-9cc1-35f9-9197-f9c9aeaa24a3"]}],"mendeley":{"formattedCitation":"(Hou &lt;i&gt;et al.&lt;/i&gt;, 2020)","manualFormatting":"(Hou et al., 2020","plainTextFormattedCitation":"(Hou et al., 2020)","previouslyFormattedCitation":"(Hou &lt;i&gt;et al.&lt;/i&gt;, 2020)"},"properties":{"noteIndex":0},"schema":"https://github.com/citation-style-language/schema/raw/master/csl-citation.json"}</w:instrText>
      </w:r>
      <w:r w:rsidR="00F564D5" w:rsidRPr="4024292E">
        <w:rPr>
          <w:rFonts w:eastAsia="Times New Roman"/>
          <w:lang w:eastAsia="en-GB"/>
        </w:rPr>
        <w:fldChar w:fldCharType="separate"/>
      </w:r>
      <w:r w:rsidRPr="4024292E">
        <w:rPr>
          <w:rFonts w:eastAsia="Times New Roman"/>
          <w:noProof/>
          <w:lang w:eastAsia="en-GB"/>
        </w:rPr>
        <w:t xml:space="preserve">(Hou </w:t>
      </w:r>
      <w:r w:rsidRPr="4024292E">
        <w:rPr>
          <w:rFonts w:eastAsia="Times New Roman"/>
          <w:i/>
          <w:iCs/>
          <w:noProof/>
          <w:lang w:eastAsia="en-GB"/>
        </w:rPr>
        <w:t>et al.</w:t>
      </w:r>
      <w:r w:rsidRPr="4024292E">
        <w:rPr>
          <w:rFonts w:eastAsia="Times New Roman"/>
          <w:noProof/>
          <w:lang w:eastAsia="en-GB"/>
        </w:rPr>
        <w:t>, 2020</w:t>
      </w:r>
      <w:r w:rsidR="00F564D5" w:rsidRPr="4024292E">
        <w:rPr>
          <w:rFonts w:eastAsia="Times New Roman"/>
          <w:lang w:eastAsia="en-GB"/>
        </w:rPr>
        <w:fldChar w:fldCharType="end"/>
      </w:r>
      <w:r w:rsidRPr="4024292E">
        <w:rPr>
          <w:rFonts w:eastAsia="Times New Roman"/>
          <w:lang w:eastAsia="en-GB"/>
        </w:rPr>
        <w:t>;</w:t>
      </w:r>
      <w:r w:rsidR="00F564D5" w:rsidRPr="4024292E">
        <w:rPr>
          <w:rFonts w:eastAsia="Times New Roman"/>
          <w:lang w:eastAsia="en-GB"/>
        </w:rPr>
        <w:fldChar w:fldCharType="begin" w:fldLock="1"/>
      </w:r>
      <w:r w:rsidR="00F564D5" w:rsidRPr="4024292E">
        <w:rPr>
          <w:rFonts w:eastAsia="Times New Roman"/>
          <w:lang w:eastAsia="en-GB"/>
        </w:rPr>
        <w:instrText>ADDIN CSL_CITATION {"citationItems":[{"id":"ITEM-1","itemData":{"DOI":"10.1093/ALCALC/AGN073","ISSN":"0735-0414","abstract":"Aims: The aim of this study was to examine alcohol abuse/dependence symptoms among hospital employees exposed to a severe acute respiratory syndrome (SARS) outbreak, and the relationship between types of exposure to the SARS outbreak and subsequent alcohol abuse/dependence symptoms. Methods: A survey was conducted among 549 randomly selected hospital employees in Beijing, China, concerning the psychological impact of the 2003 SARS outbreak. Subjects were assessed on sociodemographic factors and types of exposure to the outbreak, and on symptoms of post-traumatic stress (PTS), alcohol abuse/dependence and depression. Results: Current alcohol abuse/dependence symptom counts 3 years after the outbreak were positively associated with having been quarantined, or worked in high-risk locations such as SARS wards, during the outbreak. However, having had family members or friends contract, SARS was not related to alcohol abuse/dependence symptom count. Symptoms of PTS and of depression, and having used drinking as a coping method, were also significantly associated with increased alcohol abuse/dependence symptoms. The relationship between outbreak exposure and alcohol abuse/ dependence symptom count remained significant even when sociodemographic and other factors were controlled for. When the intrusion, avoidance and hyperarousal PTS symptom clusters were entered into the model, hyperarousal was found to be significantly associated with alcohol abuse/dependence symptoms. Conclusions: Exposure to an outbreak of a severe infectious disease can, like other disaster exposures, lead not only to PTSD but also to other psychiatric conditions, such as alcohol abuse/dependence. The findings will help policy makers and health professionals to better prepare for potential outbreaks of diseases such as SARS or avian flu.","author":[{"dropping-particle":"","family":"Wu","given":"Ping","non-dropping-particle":"","parse-names":false,"suffix":""},{"dropping-particle":"","family":"Liu","given":"Xinhua","non-dropping-particle":"","parse-names":false,"suffix":""},{"dropping-particle":"","family":"Fang","given":"Yunyun","non-dropping-particle":"","parse-names":false,"suffix":""},{"dropping-particle":"","family":"Fan","given":"Bin","non-dropping-particle":"","parse-names":false,"suffix":""},{"dropping-particle":"","family":"Fuller","given":"Cordelia J.","non-dropping-particle":"","parse-names":false,"suffix":""},{"dropping-particle":"","family":"Guan","given":"Zhiqiang","non-dropping-particle":"","parse-names":false,"suffix":""},{"dropping-particle":"","family":"Yao","given":"Zhongling","non-dropping-particle":"","parse-names":false,"suffix":""},{"dropping-particle":"","family":"Kong","given":"Junhui","non-dropping-particle":"","parse-names":false,"suffix":""},{"dropping-particle":"","family":"Lu","given":"Jin","non-dropping-particle":"","parse-names":false,"suffix":""},{"dropping-particle":"","family":"Litvak","given":"Iva J.","non-dropping-particle":"","parse-names":false,"suffix":""}],"container-title":"Alcohol and Alcoholism","id":"ITEM-1","issue":"6","issued":{"date-parts":[["2008","11","1"]]},"page":"706-712","publisher":"Oxford Academic","title":"Alcohol Abuse/Dependence Symptoms Among Hospital Employees Exposed to a SARS Outbreak","type":"article-journal","volume":"43"},"uris":["http://www.mendeley.com/documents/?uuid=dd6e1e08-e99b-3242-9296-fbecd4d7aa01"]}],"mendeley":{"formattedCitation":"(Wu &lt;i&gt;et al.&lt;/i&gt;, 2008)","manualFormatting":"Wu et al., 2008)","plainTextFormattedCitation":"(Wu et al., 2008)","previouslyFormattedCitation":"(Wu &lt;i&gt;et al.&lt;/i&gt;, 2008)"},"properties":{"noteIndex":0},"schema":"https://github.com/citation-style-language/schema/raw/master/csl-citation.json"}</w:instrText>
      </w:r>
      <w:r w:rsidR="00F564D5" w:rsidRPr="4024292E">
        <w:rPr>
          <w:rFonts w:eastAsia="Times New Roman"/>
          <w:lang w:eastAsia="en-GB"/>
        </w:rPr>
        <w:fldChar w:fldCharType="separate"/>
      </w:r>
      <w:r w:rsidRPr="4024292E">
        <w:rPr>
          <w:rFonts w:eastAsia="Times New Roman"/>
          <w:noProof/>
          <w:lang w:eastAsia="en-GB"/>
        </w:rPr>
        <w:t xml:space="preserve">Wu </w:t>
      </w:r>
      <w:r w:rsidRPr="4024292E">
        <w:rPr>
          <w:rFonts w:eastAsia="Times New Roman"/>
          <w:i/>
          <w:iCs/>
          <w:noProof/>
          <w:lang w:eastAsia="en-GB"/>
        </w:rPr>
        <w:t>et al.</w:t>
      </w:r>
      <w:r w:rsidRPr="4024292E">
        <w:rPr>
          <w:rFonts w:eastAsia="Times New Roman"/>
          <w:noProof/>
          <w:lang w:eastAsia="en-GB"/>
        </w:rPr>
        <w:t>, 2008)</w:t>
      </w:r>
      <w:r w:rsidR="00F564D5" w:rsidRPr="4024292E">
        <w:rPr>
          <w:rFonts w:eastAsia="Times New Roman"/>
          <w:lang w:eastAsia="en-GB"/>
        </w:rPr>
        <w:fldChar w:fldCharType="end"/>
      </w:r>
      <w:r w:rsidRPr="4024292E">
        <w:rPr>
          <w:rFonts w:eastAsia="Times New Roman"/>
          <w:lang w:eastAsia="en-GB"/>
        </w:rPr>
        <w:t xml:space="preserve">. As the COVID-19 pandemic continues, it is important to identify and address the short, medium and long term effects it may have on nurses and other healthcare professionals. </w:t>
      </w:r>
    </w:p>
    <w:p w14:paraId="6A06AD03" w14:textId="77777777" w:rsidR="008B177A" w:rsidRDefault="008B177A" w:rsidP="24D43A9E">
      <w:pPr>
        <w:spacing w:after="0" w:line="360" w:lineRule="auto"/>
        <w:jc w:val="both"/>
        <w:rPr>
          <w:rFonts w:eastAsia="Times New Roman"/>
          <w:lang w:eastAsia="en-GB"/>
        </w:rPr>
      </w:pPr>
    </w:p>
    <w:p w14:paraId="1D284793" w14:textId="6F2B5EE8" w:rsidR="004B628D" w:rsidRDefault="4024292E" w:rsidP="24D43A9E">
      <w:pPr>
        <w:spacing w:after="0" w:line="360" w:lineRule="auto"/>
        <w:jc w:val="both"/>
        <w:rPr>
          <w:rFonts w:eastAsia="Times New Roman"/>
          <w:lang w:eastAsia="en-GB"/>
        </w:rPr>
      </w:pPr>
      <w:r w:rsidRPr="4024292E">
        <w:rPr>
          <w:rFonts w:eastAsia="Times New Roman"/>
          <w:lang w:eastAsia="en-GB"/>
        </w:rPr>
        <w:t xml:space="preserve">This study, therefore, aimed to identify and characterise the experiences of nurses working within respiratory areas during mid-November 2020 to the end of January 2021, specifically focusing on fatigue, and exploring the relationship between fatigue and anxiety, depression and resilience. It is important to understand the impact of working during a prolonged pandemic on nurses' mental health and to address how they can be better supported. Firstly, because healthcare providers have a professional and moral responsibility to maintain a safe working environment for their staff. Secondly, to avoid experienced clinical staff leaving the profession which can leave significant gaps in service provision </w:t>
      </w:r>
      <w:r w:rsidR="008B177A" w:rsidRPr="4024292E">
        <w:rPr>
          <w:rFonts w:eastAsia="Times New Roman"/>
          <w:lang w:eastAsia="en-GB"/>
        </w:rPr>
        <w:fldChar w:fldCharType="begin" w:fldLock="1"/>
      </w:r>
      <w:r w:rsidR="008B177A" w:rsidRPr="4024292E">
        <w:rPr>
          <w:rFonts w:eastAsia="Times New Roman"/>
          <w:lang w:eastAsia="en-GB"/>
        </w:rPr>
        <w:instrText>ADDIN CSL_CITATION {"citationItems":[{"id":"ITEM-1","itemData":{"DOI":"10.1016/J.MNL.2015.01.001","ISSN":"1541-4612","abstract":"In the United States, as well as globally, a nursing shortage is highly expected within the next decade and will continue to be a major problem affecting healthcare delivery in the years to come. Baby boomers presently dominate the registered nurse (RN) workforce, accounting for 40% of actively working RNs who will soon be entering retirement. In 2011, nursing schools were unable to accept 60,000 qualified applicants as a result of budgetary constraints and insufficient numbers of faculty, clinical preceptors, and clinical sites. Although the United States has previously experienced nursing shortages, projections estimate that this RN shortage will likely surpass 500,000 RNs by the year 2025 and will persist for the long term. It is forecasted that the shortage will affect the delivery of healthcare directly, as well as the quality of patient care. Factors thought to be contributing to the anticipated shortage include the increasing number of individuals insured through the Affordable Care Act, the healthcare demands from the elderly population, and the retiring baby-boomer RN workforce. According to 2013 data from the Bureau of Labor Statistics, it is anticipated that by 2020, there will be a need for 1.05 million RNs in the United States. The projected nursing shortage is a concern beyond the United States, expanding internationally to other developed nations.","author":[{"dropping-particle":"","family":"Gellasch","given":"Patricia","non-dropping-particle":"","parse-names":false,"suffix":""}],"container-title":"Nurse Leader","id":"ITEM-1","issue":"5","issued":{"date-parts":[["2015","10","1"]]},"page":"63-68","publisher":"Mosby","title":"The Driving Forces Behind Nurses Leaving the Profession","type":"article-journal","volume":"13"},"uris":["http://www.mendeley.com/documents/?uuid=abc07fe1-d714-3d2c-b61d-846aa466b174"]}],"mendeley":{"formattedCitation":"(Gellasch, 2015)","plainTextFormattedCitation":"(Gellasch, 2015)","previouslyFormattedCitation":"(Gellasch, 2015)"},"properties":{"noteIndex":0},"schema":"https://github.com/citation-style-language/schema/raw/master/csl-citation.json"}</w:instrText>
      </w:r>
      <w:r w:rsidR="008B177A" w:rsidRPr="4024292E">
        <w:rPr>
          <w:rFonts w:eastAsia="Times New Roman"/>
          <w:lang w:eastAsia="en-GB"/>
        </w:rPr>
        <w:fldChar w:fldCharType="separate"/>
      </w:r>
      <w:r w:rsidRPr="4024292E">
        <w:rPr>
          <w:rFonts w:eastAsia="Times New Roman"/>
          <w:noProof/>
          <w:lang w:eastAsia="en-GB"/>
        </w:rPr>
        <w:t>(Gellasch, 2015)</w:t>
      </w:r>
      <w:r w:rsidR="008B177A" w:rsidRPr="4024292E">
        <w:rPr>
          <w:rFonts w:eastAsia="Times New Roman"/>
          <w:lang w:eastAsia="en-GB"/>
        </w:rPr>
        <w:fldChar w:fldCharType="end"/>
      </w:r>
      <w:r w:rsidRPr="4024292E">
        <w:rPr>
          <w:rFonts w:eastAsia="Times New Roman"/>
          <w:lang w:eastAsia="en-GB"/>
        </w:rPr>
        <w:t>.</w:t>
      </w:r>
    </w:p>
    <w:p w14:paraId="2D4E9311" w14:textId="77777777" w:rsidR="005149D7" w:rsidRDefault="005149D7" w:rsidP="00C7234F">
      <w:pPr>
        <w:spacing w:after="0" w:line="360" w:lineRule="auto"/>
        <w:jc w:val="both"/>
        <w:rPr>
          <w:rFonts w:eastAsia="Times New Roman" w:cstheme="minorHAnsi"/>
          <w:lang w:eastAsia="en-GB"/>
        </w:rPr>
      </w:pPr>
    </w:p>
    <w:p w14:paraId="75E4C815" w14:textId="181813B1" w:rsidR="005556B6" w:rsidRDefault="4024292E" w:rsidP="40B9AEF9">
      <w:pPr>
        <w:jc w:val="both"/>
        <w:rPr>
          <w:rFonts w:eastAsia="Times New Roman"/>
          <w:b/>
          <w:bCs/>
          <w:lang w:eastAsia="en-GB"/>
        </w:rPr>
      </w:pPr>
      <w:r w:rsidRPr="4024292E">
        <w:rPr>
          <w:rFonts w:eastAsia="Times New Roman"/>
          <w:b/>
          <w:bCs/>
          <w:lang w:eastAsia="en-GB"/>
        </w:rPr>
        <w:t>Aims</w:t>
      </w:r>
    </w:p>
    <w:p w14:paraId="48DE6A97" w14:textId="6C25B9D0" w:rsidR="005556B6" w:rsidRDefault="4024292E" w:rsidP="6375884C">
      <w:pPr>
        <w:spacing w:after="180" w:line="360" w:lineRule="auto"/>
        <w:jc w:val="both"/>
        <w:rPr>
          <w:rFonts w:eastAsia="Times New Roman"/>
          <w:lang w:eastAsia="en-GB"/>
        </w:rPr>
      </w:pPr>
      <w:r w:rsidRPr="4024292E">
        <w:rPr>
          <w:rFonts w:eastAsia="Times New Roman"/>
          <w:lang w:eastAsia="en-GB"/>
        </w:rPr>
        <w:t>This study explored levels of fatigue in the nursing population working in respiratory clinical areas during the second wave in order to investigate what variables, if any, impact on fatigue levels.</w:t>
      </w:r>
    </w:p>
    <w:p w14:paraId="3A6CC3A6" w14:textId="51898A38" w:rsidR="00B71C77" w:rsidRDefault="005556B6" w:rsidP="40B9AEF9">
      <w:pPr>
        <w:jc w:val="both"/>
        <w:rPr>
          <w:rFonts w:eastAsia="Times New Roman"/>
          <w:b/>
          <w:bCs/>
          <w:lang w:eastAsia="en-GB"/>
        </w:rPr>
      </w:pPr>
      <w:r w:rsidRPr="594CCC0A">
        <w:rPr>
          <w:rFonts w:eastAsia="Times New Roman"/>
          <w:b/>
          <w:bCs/>
          <w:lang w:eastAsia="en-GB"/>
        </w:rPr>
        <w:t xml:space="preserve"> </w:t>
      </w:r>
      <w:r w:rsidRPr="594CCC0A">
        <w:rPr>
          <w:rFonts w:eastAsia="Times New Roman"/>
          <w:b/>
          <w:bCs/>
          <w:lang w:eastAsia="en-GB"/>
        </w:rPr>
        <w:br w:type="page"/>
      </w:r>
    </w:p>
    <w:p w14:paraId="799A944A" w14:textId="77777777" w:rsidR="00664BBC" w:rsidRPr="00664BBC" w:rsidRDefault="00664BBC" w:rsidP="0019567A">
      <w:pPr>
        <w:spacing w:after="0" w:line="360" w:lineRule="auto"/>
        <w:jc w:val="both"/>
        <w:rPr>
          <w:rFonts w:eastAsia="Times New Roman" w:cstheme="minorHAnsi"/>
          <w:b/>
          <w:lang w:eastAsia="en-GB"/>
        </w:rPr>
      </w:pPr>
      <w:r w:rsidRPr="00664BBC">
        <w:rPr>
          <w:rFonts w:eastAsia="Times New Roman" w:cstheme="minorHAnsi"/>
          <w:b/>
          <w:lang w:eastAsia="en-GB"/>
        </w:rPr>
        <w:lastRenderedPageBreak/>
        <w:t>Methods</w:t>
      </w:r>
    </w:p>
    <w:p w14:paraId="3A37C4AF" w14:textId="77777777" w:rsidR="00664BBC" w:rsidRPr="00664BBC" w:rsidRDefault="00664BBC" w:rsidP="005D2029">
      <w:pPr>
        <w:spacing w:after="0" w:line="360" w:lineRule="auto"/>
        <w:jc w:val="both"/>
        <w:rPr>
          <w:rFonts w:eastAsia="Times New Roman" w:cstheme="minorHAnsi"/>
          <w:u w:val="single"/>
          <w:lang w:eastAsia="en-GB"/>
        </w:rPr>
      </w:pPr>
      <w:r w:rsidRPr="00664BBC">
        <w:rPr>
          <w:rFonts w:eastAsia="Times New Roman" w:cstheme="minorHAnsi"/>
          <w:u w:val="single"/>
          <w:lang w:eastAsia="en-GB"/>
        </w:rPr>
        <w:t xml:space="preserve">Design of the survey tool </w:t>
      </w:r>
    </w:p>
    <w:p w14:paraId="08813356" w14:textId="58EB9D9C" w:rsidR="00CB364D" w:rsidRPr="000B2C46" w:rsidRDefault="4024292E" w:rsidP="594CCC0A">
      <w:pPr>
        <w:spacing w:line="360" w:lineRule="auto"/>
        <w:jc w:val="both"/>
        <w:rPr>
          <w:rFonts w:eastAsia="Calibri"/>
        </w:rPr>
      </w:pPr>
      <w:r w:rsidRPr="4024292E">
        <w:rPr>
          <w:rFonts w:eastAsia="Calibri"/>
        </w:rPr>
        <w:t xml:space="preserve">The survey tool consisted of 91 questions using a mixture of open-ended and closed </w:t>
      </w:r>
      <w:r w:rsidRPr="000B2C46">
        <w:rPr>
          <w:rFonts w:eastAsia="Calibri"/>
        </w:rPr>
        <w:t xml:space="preserve">questions, including a Likert scale (0 no confidence to 10 highest confidence). Participants could also add free-text comments.  The survey included four validated tools: the </w:t>
      </w:r>
      <w:proofErr w:type="spellStart"/>
      <w:r w:rsidRPr="000B2C46">
        <w:rPr>
          <w:rFonts w:eastAsia="Calibri"/>
        </w:rPr>
        <w:t>Chalder</w:t>
      </w:r>
      <w:proofErr w:type="spellEnd"/>
      <w:r w:rsidRPr="000B2C46">
        <w:rPr>
          <w:rFonts w:eastAsia="Calibri"/>
        </w:rPr>
        <w:t xml:space="preserve"> fatigue tool </w:t>
      </w:r>
      <w:r w:rsidR="00664BBC" w:rsidRPr="000B2C46">
        <w:rPr>
          <w:rFonts w:eastAsia="Calibri"/>
        </w:rPr>
        <w:fldChar w:fldCharType="begin" w:fldLock="1"/>
      </w:r>
      <w:r w:rsidR="00664BBC" w:rsidRPr="000B2C46">
        <w:rPr>
          <w:rFonts w:eastAsia="Calibri"/>
        </w:rPr>
        <w:instrText>ADDIN CSL_CITATION {"citationItems":[{"id":"ITEM-1","itemData":{"DOI":"10.1016/0022-3999(93)90081-P","ISSN":"0022-3999","abstract":"A self-rating scale was developed to measure the severity of fatigue. Two-hundred and seventy-four new registrations on a general practice list completed a 14-item fatigue scale. In addition, 100 consecutive attenders to a general practice completed the fatigue scale and the fatigue item of the revised Clinical Interview Schedule (CIS-R). These were compared by the application of Relative Operating Characteristic (ROC) analysis. Tests of internal consistency and principal components analyses were performed on both sets of data. The scale was found to be both reliable and valid. There was a high degree of internal consistency, and the principal components analysis supported the notion of a two-factor solution (physical and mental fatigue). The validation coefficients for the fatigue scale, using an arbitary cut off score of 3/4 and the item on the CIS-R were: sensitivity 75.5 and specificity 74.5. © 1993.","author":[{"dropping-particle":"","family":"Chalder","given":"Trudie","non-dropping-particle":"","parse-names":false,"suffix":""},{"dropping-particle":"","family":"Berelowitz","given":"G.","non-dropping-particle":"","parse-names":false,"suffix":""},{"dropping-particle":"","family":"Pawlikowska","given":"Teresa","non-dropping-particle":"","parse-names":false,"suffix":""},{"dropping-particle":"","family":"Watts","given":"Louise","non-dropping-particle":"","parse-names":false,"suffix":""},{"dropping-particle":"","family":"Wessely","given":"S.","non-dropping-particle":"","parse-names":false,"suffix":""},{"dropping-particle":"","family":"Wright","given":"D.","non-dropping-particle":"","parse-names":false,"suffix":""},{"dropping-particle":"","family":"Wallace","given":"E. P.","non-dropping-particle":"","parse-names":false,"suffix":""}],"container-title":"Journal of Psychosomatic Research","id":"ITEM-1","issue":"2","issued":{"date-parts":[["1993","2","1"]]},"page":"147-153","publisher":"Elsevier","title":"Development of a fatigue scale","type":"article-journal","volume":"37"},"uris":["http://www.mendeley.com/documents/?uuid=2304efd2-8ec8-3add-874d-b03a39b749c2"]}],"mendeley":{"formattedCitation":"(Chalder &lt;i&gt;et al.&lt;/i&gt;, 1993)","plainTextFormattedCitation":"(Chalder et al., 1993)","previouslyFormattedCitation":"(Chalder &lt;i&gt;et al.&lt;/i&gt;, 1993)"},"properties":{"noteIndex":0},"schema":"https://github.com/citation-style-language/schema/raw/master/csl-citation.json"}</w:instrText>
      </w:r>
      <w:r w:rsidR="00664BBC" w:rsidRPr="000B2C46">
        <w:rPr>
          <w:rFonts w:eastAsia="Calibri"/>
        </w:rPr>
        <w:fldChar w:fldCharType="separate"/>
      </w:r>
      <w:r w:rsidRPr="000B2C46">
        <w:rPr>
          <w:rFonts w:eastAsia="Calibri"/>
          <w:noProof/>
        </w:rPr>
        <w:t xml:space="preserve">(Chalder </w:t>
      </w:r>
      <w:r w:rsidRPr="000B2C46">
        <w:rPr>
          <w:rFonts w:eastAsia="Calibri"/>
          <w:i/>
          <w:iCs/>
          <w:noProof/>
        </w:rPr>
        <w:t>et al.</w:t>
      </w:r>
      <w:r w:rsidRPr="000B2C46">
        <w:rPr>
          <w:rFonts w:eastAsia="Calibri"/>
          <w:noProof/>
        </w:rPr>
        <w:t>, 1993)</w:t>
      </w:r>
      <w:r w:rsidR="00664BBC" w:rsidRPr="000B2C46">
        <w:rPr>
          <w:rFonts w:eastAsia="Calibri"/>
        </w:rPr>
        <w:fldChar w:fldCharType="end"/>
      </w:r>
      <w:r w:rsidRPr="000B2C46">
        <w:rPr>
          <w:rFonts w:eastAsia="Calibri"/>
          <w:noProof/>
        </w:rPr>
        <w:t xml:space="preserve">, </w:t>
      </w:r>
      <w:r w:rsidRPr="000B2C46">
        <w:rPr>
          <w:rFonts w:eastAsia="Calibri"/>
        </w:rPr>
        <w:t xml:space="preserve"> the </w:t>
      </w:r>
      <w:r w:rsidR="009C1AF3" w:rsidRPr="000B2C46">
        <w:rPr>
          <w:rFonts w:eastAsia="Calibri"/>
        </w:rPr>
        <w:t xml:space="preserve">Generalised Anxiety Disorder Assessment (GAD7, </w:t>
      </w:r>
      <w:r w:rsidRPr="000B2C46">
        <w:rPr>
          <w:rFonts w:eastAsia="Calibri"/>
        </w:rPr>
        <w:t xml:space="preserve">a commonly used tool for screening for generalised anxiety disorder) </w:t>
      </w:r>
      <w:r w:rsidR="00664BBC" w:rsidRPr="000B2C46">
        <w:rPr>
          <w:rFonts w:eastAsia="Calibri"/>
        </w:rPr>
        <w:fldChar w:fldCharType="begin" w:fldLock="1"/>
      </w:r>
      <w:r w:rsidR="00664BBC" w:rsidRPr="000B2C46">
        <w:rPr>
          <w:rFonts w:eastAsia="Calibri"/>
        </w:rPr>
        <w:instrText>ADDIN CSL_CITATION {"citationItems":[{"id":"ITEM-1","itemData":{"DOI":"10.1001/archinte.166.10.1092","ISSN":"00039926","PMID":"16717171","abstract":"Background: Generalized anxiety disorder (GAD) is one of the most common mental disorders; however, there is no brief clinical measure for assessing GAD. The objective of this study was to develop a brief self-report scale to identify probable cases of GAD and evaluate its reliability and validity. Methods: A criterion-standard study was performed in 15 primary care clinics in the United States from November 2004 through June 2005. Of a total of 2740 adult patients completing a study questionnaire, 965 patients had a telephone interview with a mental health professional within 1 week. For criterion and construct validity, GAD self-report scale diagnoses were compared with independent diagnoses made by mental health professionals; functional status measures; disability days; and health care use. Results: A 7-item anxiety scale (GAD-7) had good reliability, as well as criterion, construct, factorial, and procedural validity. A cut point was identified that optimized sensitivity (89%) and specificity (82%). Increasing scores on the scale were strongly associated with multiple domains of functional impairment (all 6 Medical Outcomes Study Short-Form General Health Survey scales and disability days). Although GAD and depression symptoms frequently co-occurred, factor analysis confirmed them as distinct dimensions. Moreover, GAD and depression symptoms had differing but independent effects on functional impairment and disability. There was good agreement between self-report and interviewer-administered versions of the scale. Conclusion: The GAD-7 is a valid and efficient tool for screening for GAD and assessing its severity in clinical practice and research. ©2006 American Medical Association. All rights reserved.","author":[{"dropping-particle":"","family":"Spitzer","given":"Robert L.","non-dropping-particle":"","parse-names":false,"suffix":""},{"dropping-particle":"","family":"Kroenke","given":"Kurt","non-dropping-particle":"","parse-names":false,"suffix":""},{"dropping-particle":"","family":"Williams","given":"Janet B.W.","non-dropping-particle":"","parse-names":false,"suffix":""},{"dropping-particle":"","family":"Löwe","given":"Bernd","non-dropping-particle":"","parse-names":false,"suffix":""}],"container-title":"Archives of Internal Medicine","id":"ITEM-1","issue":"10","issued":{"date-parts":[["2006","5","22"]]},"page":"1092-1097","publisher":"American Medical Association","title":"A brief measure for assessing generalized anxiety disorder: The GAD-7","type":"article-journal","volume":"166"},"uris":["http://www.mendeley.com/documents/?uuid=e53a4cf9-f2f8-32f6-828b-a9a9f2134e40"]}],"mendeley":{"formattedCitation":"(Spitzer &lt;i&gt;et al.&lt;/i&gt;, 2006)","plainTextFormattedCitation":"(Spitzer et al., 2006)","previouslyFormattedCitation":"(Spitzer &lt;i&gt;et al.&lt;/i&gt;, 2006)"},"properties":{"noteIndex":0},"schema":"https://github.com/citation-style-language/schema/raw/master/csl-citation.json"}</w:instrText>
      </w:r>
      <w:r w:rsidR="00664BBC" w:rsidRPr="000B2C46">
        <w:rPr>
          <w:rFonts w:eastAsia="Calibri"/>
        </w:rPr>
        <w:fldChar w:fldCharType="separate"/>
      </w:r>
      <w:r w:rsidRPr="000B2C46">
        <w:rPr>
          <w:rFonts w:eastAsia="Calibri"/>
          <w:noProof/>
        </w:rPr>
        <w:t xml:space="preserve">(Spitzer </w:t>
      </w:r>
      <w:r w:rsidRPr="000B2C46">
        <w:rPr>
          <w:rFonts w:eastAsia="Calibri"/>
          <w:i/>
          <w:iCs/>
          <w:noProof/>
        </w:rPr>
        <w:t>et al.</w:t>
      </w:r>
      <w:r w:rsidRPr="000B2C46">
        <w:rPr>
          <w:rFonts w:eastAsia="Calibri"/>
          <w:noProof/>
        </w:rPr>
        <w:t>, 2006)</w:t>
      </w:r>
      <w:r w:rsidR="00664BBC" w:rsidRPr="000B2C46">
        <w:rPr>
          <w:rFonts w:eastAsia="Calibri"/>
        </w:rPr>
        <w:fldChar w:fldCharType="end"/>
      </w:r>
      <w:r w:rsidRPr="000B2C46">
        <w:rPr>
          <w:rFonts w:eastAsia="Calibri"/>
        </w:rPr>
        <w:t xml:space="preserve">, the </w:t>
      </w:r>
      <w:r w:rsidR="009C1AF3" w:rsidRPr="000B2C46">
        <w:rPr>
          <w:rFonts w:eastAsia="Calibri"/>
        </w:rPr>
        <w:t>Patient Health Questionnaire  (</w:t>
      </w:r>
      <w:r w:rsidRPr="000B2C46">
        <w:rPr>
          <w:rFonts w:eastAsia="Calibri"/>
        </w:rPr>
        <w:t>P</w:t>
      </w:r>
      <w:r w:rsidR="009C1AF3" w:rsidRPr="000B2C46">
        <w:rPr>
          <w:rFonts w:eastAsia="Calibri"/>
        </w:rPr>
        <w:t xml:space="preserve">HQ9, </w:t>
      </w:r>
      <w:r w:rsidRPr="000B2C46">
        <w:rPr>
          <w:rFonts w:eastAsia="Calibri"/>
        </w:rPr>
        <w:t xml:space="preserve">depression scale) </w:t>
      </w:r>
      <w:r w:rsidR="00664BBC" w:rsidRPr="000B2C46">
        <w:rPr>
          <w:rFonts w:eastAsia="Calibri"/>
        </w:rPr>
        <w:fldChar w:fldCharType="begin" w:fldLock="1"/>
      </w:r>
      <w:r w:rsidR="00664BBC" w:rsidRPr="000B2C46">
        <w:rPr>
          <w:rFonts w:eastAsia="Calibri"/>
        </w:rPr>
        <w:instrText>ADDIN CSL_CITATION {"citationItems":[{"id":"ITEM-1","itemData":{"DOI":"10.1001/jama.282.18.1737","ISSN":"00987484","PMID":"10568646","abstract":"Context. The Primary Care Evaluation of Mental Disorders (PRIME-MD) was developed as a screening instrument but its administration time has limited its clinical usefulness. Objective. To determine if the self- administered PRIME-MD Patient Health Questionnaire (PHQ) has validity and utility for diagnosing mental disorders in primary care comparable to the original clinician-administered PRIME-MD. Design. Criterion standard study undertaken between May 1997 and November 1998. Setting. Eight primary care clinics in the United States. Participants. Of a total of 3000 adult patients (selected by site-specific methods to avoid sampling bias) assessed by 62 primary care physicians (21 general internal medicine, 41 family practice), 585 patients had an interview with a mental health professional within 48 hours of completing the PHQ. Main Outcome Measures. Patient Health Questionnaire diagnoses compared with independent diagnoses made by mental health professionals; functional status measures; disability days; health care use; and treatment/referral decisions. Results. A total of 825 (28%) of the 3000 individuals and 170 (29%) of the 585 had a PHQ diagnosis. There was good agreement between PHQ diagnoses and those of independent mental health professionals (for the diagnosis of any 1 or more PHQ disorder, κ = 0.65; overall accuracy, 85%; sensitivity, 75%; specificity, 90%), similar to the original PRIME-MD. Patients with PHQ diagnoses had more functional impairment, disability days, and health care use than did patients without PHQ diagnoses (for all group main effects, P&lt;.001). The average time required of the physician to review the PHQ was far less than to administer the original PRIME-MD (&lt;3 minutes for 85% vs 16% of the cases). Although 80% of the physicians reported that routine use of the PHQ would be useful, new management actions were initiated or planned for only 117 (32%) of the 363 patients with I or more PHQ diagnoses not previously recognized. Conclusion. Our study suggests that the PHQ has diagnostic validity comparable to the original clinician-administered PRIME-MD, and is more efficient to use.","author":[{"dropping-particle":"","family":"Spitzer","given":"Robert L.","non-dropping-particle":"","parse-names":false,"suffix":""},{"dropping-particle":"","family":"Kroenke","given":"Kurt","non-dropping-particle":"","parse-names":false,"suffix":""},{"dropping-particle":"","family":"Williams","given":"Janet B.W.","non-dropping-particle":"","parse-names":false,"suffix":""}],"container-title":"Journal of the American Medical Association","id":"ITEM-1","issue":"18","issued":{"date-parts":[["1999","11","10"]]},"page":"1737-1744","publisher":"JAMA","title":"Validation and utility of a self-report version of PRIME-MD: The PHQ Primary Care Study","type":"article-journal","volume":"282"},"uris":["http://www.mendeley.com/documents/?uuid=45a71e43-0a11-3efc-8215-b02957fc5ef9"]}],"mendeley":{"formattedCitation":"(Spitzer &lt;i&gt;et al.&lt;/i&gt;, 1999)","plainTextFormattedCitation":"(Spitzer et al., 1999)","previouslyFormattedCitation":"(Spitzer &lt;i&gt;et al.&lt;/i&gt;, 1999)"},"properties":{"noteIndex":0},"schema":"https://github.com/citation-style-language/schema/raw/master/csl-citation.json"}</w:instrText>
      </w:r>
      <w:r w:rsidR="00664BBC" w:rsidRPr="000B2C46">
        <w:rPr>
          <w:rFonts w:eastAsia="Calibri"/>
        </w:rPr>
        <w:fldChar w:fldCharType="separate"/>
      </w:r>
      <w:r w:rsidRPr="000B2C46">
        <w:rPr>
          <w:rFonts w:eastAsia="Calibri"/>
          <w:noProof/>
        </w:rPr>
        <w:t xml:space="preserve">(Spitzer </w:t>
      </w:r>
      <w:r w:rsidRPr="000B2C46">
        <w:rPr>
          <w:rFonts w:eastAsia="Calibri"/>
          <w:i/>
          <w:iCs/>
          <w:noProof/>
        </w:rPr>
        <w:t>et al.</w:t>
      </w:r>
      <w:r w:rsidRPr="000B2C46">
        <w:rPr>
          <w:rFonts w:eastAsia="Calibri"/>
          <w:noProof/>
        </w:rPr>
        <w:t>, 1999)</w:t>
      </w:r>
      <w:r w:rsidR="00664BBC" w:rsidRPr="000B2C46">
        <w:rPr>
          <w:rFonts w:eastAsia="Calibri"/>
        </w:rPr>
        <w:fldChar w:fldCharType="end"/>
      </w:r>
      <w:r w:rsidRPr="000B2C46">
        <w:rPr>
          <w:rFonts w:eastAsia="Calibri"/>
        </w:rPr>
        <w:t xml:space="preserve"> and the resilience scale RS-14 </w:t>
      </w:r>
      <w:r w:rsidR="00664BBC" w:rsidRPr="000B2C46">
        <w:rPr>
          <w:rFonts w:eastAsia="Calibri"/>
        </w:rPr>
        <w:fldChar w:fldCharType="begin" w:fldLock="1"/>
      </w:r>
      <w:r w:rsidR="00664BBC" w:rsidRPr="000B2C46">
        <w:rPr>
          <w:rFonts w:eastAsia="Calibri"/>
        </w:rPr>
        <w:instrText>ADDIN CSL_CITATION {"citationItems":[{"id":"ITEM-1","itemData":{"URL":"https://eprovide.mapi-trust.org/instruments/resilience-scale-14-items","accessed":{"date-parts":[["2020","7","2"]]},"author":[{"dropping-particle":"","family":"Wagnild","given":"GM","non-dropping-particle":"","parse-names":false,"suffix":""}],"id":"ITEM-1","issued":{"date-parts":[["2009"]]},"title":"RS14 - Resilience Scale 14-items","type":"webpage"},"uris":["http://www.mendeley.com/documents/?uuid=7cee402a-be94-36b3-ade0-65061619591b"]}],"mendeley":{"formattedCitation":"(Wagnild, 2009)","plainTextFormattedCitation":"(Wagnild, 2009)","previouslyFormattedCitation":"(Wagnild, 2009)"},"properties":{"noteIndex":0},"schema":"https://github.com/citation-style-language/schema/raw/master/csl-citation.json"}</w:instrText>
      </w:r>
      <w:r w:rsidR="00664BBC" w:rsidRPr="000B2C46">
        <w:rPr>
          <w:rFonts w:eastAsia="Calibri"/>
        </w:rPr>
        <w:fldChar w:fldCharType="separate"/>
      </w:r>
      <w:r w:rsidRPr="000B2C46">
        <w:rPr>
          <w:rFonts w:eastAsia="Calibri"/>
          <w:noProof/>
        </w:rPr>
        <w:t>(Wagnild, 2009)</w:t>
      </w:r>
      <w:r w:rsidR="00664BBC" w:rsidRPr="000B2C46">
        <w:rPr>
          <w:rFonts w:eastAsia="Calibri"/>
        </w:rPr>
        <w:fldChar w:fldCharType="end"/>
      </w:r>
      <w:r w:rsidRPr="000B2C46">
        <w:rPr>
          <w:rFonts w:eastAsia="Calibri"/>
        </w:rPr>
        <w:t xml:space="preserve">.  </w:t>
      </w:r>
      <w:r w:rsidR="006F6676" w:rsidRPr="000B2C46">
        <w:rPr>
          <w:rFonts w:eastAsia="Calibri"/>
        </w:rPr>
        <w:t xml:space="preserve">The </w:t>
      </w:r>
      <w:proofErr w:type="spellStart"/>
      <w:r w:rsidR="005E41FF" w:rsidRPr="000B2C46">
        <w:rPr>
          <w:rFonts w:eastAsia="Calibri"/>
        </w:rPr>
        <w:t>STrengthening</w:t>
      </w:r>
      <w:proofErr w:type="spellEnd"/>
      <w:r w:rsidR="005E41FF" w:rsidRPr="000B2C46">
        <w:rPr>
          <w:rFonts w:eastAsia="Calibri"/>
        </w:rPr>
        <w:t xml:space="preserve"> the Reporting of </w:t>
      </w:r>
      <w:proofErr w:type="spellStart"/>
      <w:r w:rsidR="005E41FF" w:rsidRPr="000B2C46">
        <w:rPr>
          <w:rFonts w:eastAsia="Calibri"/>
        </w:rPr>
        <w:t>OBservational</w:t>
      </w:r>
      <w:proofErr w:type="spellEnd"/>
      <w:r w:rsidR="005E41FF" w:rsidRPr="000B2C46">
        <w:rPr>
          <w:rFonts w:eastAsia="Calibri"/>
        </w:rPr>
        <w:t xml:space="preserve"> studies in Epidemiology (</w:t>
      </w:r>
      <w:r w:rsidR="00A405B1" w:rsidRPr="000B2C46">
        <w:rPr>
          <w:rFonts w:eastAsia="Calibri"/>
        </w:rPr>
        <w:t>STROBE</w:t>
      </w:r>
      <w:r w:rsidR="005E41FF" w:rsidRPr="000B2C46">
        <w:rPr>
          <w:rFonts w:eastAsia="Calibri"/>
        </w:rPr>
        <w:t>) statement</w:t>
      </w:r>
      <w:r w:rsidR="00A405B1" w:rsidRPr="000B2C46">
        <w:rPr>
          <w:rFonts w:eastAsia="Calibri"/>
        </w:rPr>
        <w:t xml:space="preserve"> </w:t>
      </w:r>
      <w:r w:rsidR="004376AE" w:rsidRPr="000B2C46">
        <w:rPr>
          <w:rFonts w:eastAsia="Calibri"/>
        </w:rPr>
        <w:t xml:space="preserve"> </w:t>
      </w:r>
      <w:r w:rsidR="0010270A" w:rsidRPr="000B2C46">
        <w:rPr>
          <w:rFonts w:eastAsia="Calibri"/>
        </w:rPr>
        <w:fldChar w:fldCharType="begin" w:fldLock="1"/>
      </w:r>
      <w:r w:rsidR="006F2C79" w:rsidRPr="000B2C46">
        <w:rPr>
          <w:rFonts w:eastAsia="Calibri"/>
        </w:rPr>
        <w:instrText>ADDIN CSL_CITATION {"citationItems":[{"id":"ITEM-1","itemData":{"author":[{"dropping-particle":"","family":"Elm","given":"E","non-dropping-particle":"von","parse-names":false,"suffix":""},{"dropping-particle":"","family":"Altman","given":"D","non-dropping-particle":"","parse-names":false,"suffix":""},{"dropping-particle":"","family":"Egger","given":"M","non-dropping-particle":"","parse-names":false,"suffix":""},{"dropping-particle":"","family":"Pocock","given":"SJ","non-dropping-particle":"","parse-names":false,"suffix":""},{"dropping-particle":"","family":"Gøtzsche","given":"PC","non-dropping-particle":"","parse-names":false,"suffix":""},{"dropping-particle":"","family":"Vandenbroucke","given":"JP","non-dropping-particle":"","parse-names":false,"suffix":""},{"dropping-particle":"","family":"JP","given":"","non-dropping-particle":"","parse-names":false,"suffix":""}],"container-title":"J Clin Epidemiol","id":"ITEM-1","issue":"4","issued":{"date-parts":[["2008"]]},"page":"344–9","title":"The Strengthening the Reporting of Observational Studies in Epidemiology (STROBE) statement: guidelines for reporting observational studies","type":"article-journal","volume":"61"},"uris":["http://www.mendeley.com/documents/?uuid=73b4911a-c7d7-4485-bb0d-7bef7bcf9865"]}],"mendeley":{"formattedCitation":"(von Elm &lt;i&gt;et al.&lt;/i&gt;, 2008)","plainTextFormattedCitation":"(von Elm et al., 2008)","previouslyFormattedCitation":"(von Elm &lt;i&gt;et al.&lt;/i&gt;, 2008)"},"properties":{"noteIndex":0},"schema":"https://github.com/citation-style-language/schema/raw/master/csl-citation.json"}</w:instrText>
      </w:r>
      <w:r w:rsidR="0010270A" w:rsidRPr="000B2C46">
        <w:rPr>
          <w:rFonts w:eastAsia="Calibri"/>
        </w:rPr>
        <w:fldChar w:fldCharType="separate"/>
      </w:r>
      <w:r w:rsidR="00A1183D" w:rsidRPr="000B2C46">
        <w:rPr>
          <w:rFonts w:eastAsia="Calibri"/>
          <w:noProof/>
        </w:rPr>
        <w:t xml:space="preserve">(von Elm </w:t>
      </w:r>
      <w:r w:rsidR="00A1183D" w:rsidRPr="000B2C46">
        <w:rPr>
          <w:rFonts w:eastAsia="Calibri"/>
          <w:i/>
          <w:noProof/>
        </w:rPr>
        <w:t>et al.</w:t>
      </w:r>
      <w:r w:rsidR="00A1183D" w:rsidRPr="000B2C46">
        <w:rPr>
          <w:rFonts w:eastAsia="Calibri"/>
          <w:noProof/>
        </w:rPr>
        <w:t>, 2008)</w:t>
      </w:r>
      <w:r w:rsidR="0010270A" w:rsidRPr="000B2C46">
        <w:rPr>
          <w:rFonts w:eastAsia="Calibri"/>
        </w:rPr>
        <w:fldChar w:fldCharType="end"/>
      </w:r>
      <w:r w:rsidR="006F6676" w:rsidRPr="000B2C46">
        <w:rPr>
          <w:rFonts w:eastAsia="Calibri"/>
        </w:rPr>
        <w:t xml:space="preserve"> (Appendix S1) w</w:t>
      </w:r>
      <w:r w:rsidR="00A405B1" w:rsidRPr="000B2C46">
        <w:rPr>
          <w:rFonts w:eastAsia="Calibri"/>
        </w:rPr>
        <w:t>as</w:t>
      </w:r>
      <w:r w:rsidR="006F6676" w:rsidRPr="000B2C46">
        <w:rPr>
          <w:rFonts w:eastAsia="Calibri"/>
        </w:rPr>
        <w:t xml:space="preserve"> followed when producing the manuscript.</w:t>
      </w:r>
    </w:p>
    <w:p w14:paraId="5F9B21D6" w14:textId="6A73499F" w:rsidR="00CB364D" w:rsidRPr="000B2C46" w:rsidRDefault="4024292E" w:rsidP="7BF89CF4">
      <w:pPr>
        <w:spacing w:line="360" w:lineRule="auto"/>
        <w:jc w:val="both"/>
        <w:rPr>
          <w:rFonts w:eastAsia="Calibri"/>
        </w:rPr>
      </w:pPr>
      <w:r w:rsidRPr="000B2C46">
        <w:rPr>
          <w:rFonts w:eastAsia="Calibri"/>
        </w:rPr>
        <w:t xml:space="preserve">Data were collected on demographic characteristics such as age, gender, ethnicity, number of years qualified, geographical location, nursing background and clinical setting and role.  We asked nurses about their views on changes to the delivery of patient care and their clinical role during the pandemic. </w:t>
      </w:r>
    </w:p>
    <w:p w14:paraId="6EA43802" w14:textId="6586EB58" w:rsidR="005E65CB" w:rsidRPr="000B2C46" w:rsidRDefault="005E65CB" w:rsidP="7BF89CF4">
      <w:pPr>
        <w:spacing w:line="360" w:lineRule="auto"/>
        <w:jc w:val="both"/>
        <w:rPr>
          <w:rFonts w:eastAsia="Calibri"/>
        </w:rPr>
      </w:pPr>
      <w:r w:rsidRPr="000B2C46">
        <w:rPr>
          <w:rFonts w:eastAsia="Calibri"/>
        </w:rPr>
        <w:t xml:space="preserve">The GAD7 score was scored as minimal anxiety (0-4), mild anxiety (5-9), moderate anxiety (10-15) and severe anxiety (15-21).  Depression using the PHQ9 scale was </w:t>
      </w:r>
      <w:r w:rsidR="00FE49E1" w:rsidRPr="000B2C46">
        <w:rPr>
          <w:rFonts w:eastAsia="Calibri"/>
        </w:rPr>
        <w:t>scored as none to minimal depression (0-4), mild depression (4-9), moderate depression (10-14), moderately severe depression (15-19) and severe depression (20-27).</w:t>
      </w:r>
      <w:r w:rsidR="00FE3BCD" w:rsidRPr="000B2C46">
        <w:rPr>
          <w:rFonts w:eastAsia="Calibri"/>
        </w:rPr>
        <w:t xml:space="preserve"> The </w:t>
      </w:r>
      <w:proofErr w:type="spellStart"/>
      <w:r w:rsidR="00FE3BCD" w:rsidRPr="000B2C46">
        <w:rPr>
          <w:rFonts w:eastAsia="Calibri"/>
        </w:rPr>
        <w:t>Chalder</w:t>
      </w:r>
      <w:proofErr w:type="spellEnd"/>
      <w:r w:rsidR="00FE3BCD" w:rsidRPr="000B2C46">
        <w:rPr>
          <w:rFonts w:eastAsia="Calibri"/>
        </w:rPr>
        <w:t xml:space="preserve"> Fatigue Scale was developed for hospital and community studies of patients with chronic fatigue syndrome (CFS) (</w:t>
      </w:r>
      <w:proofErr w:type="spellStart"/>
      <w:r w:rsidR="00FE3BCD" w:rsidRPr="000B2C46">
        <w:rPr>
          <w:rFonts w:eastAsia="Calibri"/>
        </w:rPr>
        <w:t>Wessely</w:t>
      </w:r>
      <w:proofErr w:type="spellEnd"/>
      <w:r w:rsidR="00FE3BCD" w:rsidRPr="000B2C46">
        <w:rPr>
          <w:rFonts w:eastAsia="Calibri"/>
        </w:rPr>
        <w:t xml:space="preserve"> and Powell, 1989) and has been previously used to determine levels of fatigue in nurses during COVID-19 (Zhan et al., 2020). The tool consists of 11 items measuring fatigue related symptoms in two domains: physical and mental.   </w:t>
      </w:r>
      <w:r w:rsidR="00066B1B" w:rsidRPr="000B2C46">
        <w:rPr>
          <w:rFonts w:eastAsia="Calibri"/>
        </w:rPr>
        <w:t xml:space="preserve">Those without fatigue would score 11/33, indicating that they had fatigue ‘no more than usual’, studies in health </w:t>
      </w:r>
      <w:r w:rsidR="006F2C79" w:rsidRPr="000B2C46">
        <w:rPr>
          <w:rFonts w:eastAsia="Calibri"/>
        </w:rPr>
        <w:t>communities score between 12-14</w:t>
      </w:r>
      <w:r w:rsidR="00066B1B" w:rsidRPr="000B2C46">
        <w:rPr>
          <w:rFonts w:eastAsia="Calibri"/>
        </w:rPr>
        <w:t xml:space="preserve"> </w:t>
      </w:r>
      <w:r w:rsidR="006F2C79" w:rsidRPr="000B2C46">
        <w:rPr>
          <w:rFonts w:eastAsia="Calibri"/>
        </w:rPr>
        <w:fldChar w:fldCharType="begin" w:fldLock="1"/>
      </w:r>
      <w:r w:rsidR="006F2C79" w:rsidRPr="000B2C46">
        <w:rPr>
          <w:rFonts w:eastAsia="Calibri"/>
        </w:rPr>
        <w:instrText>ADDIN CSL_CITATION {"citationItems":[{"id":"ITEM-1","itemData":{"DOI":"10.1016/J.JPSYCHORES.2009.10.007","ISSN":"0022-3999","PMID":"20630259","abstract":"Objective: The Chalder Fatigue Scale (CFQ) is a widely used instrument to assess fatigue in both clinical and nonclinical settings. Psychometric properties of the scale and discriminative abilities were examined. Methods: A total of 361 patients with CFS and 1615 individuals in the community were assessed with the CFQ. Principal component analysis (PCA) was used to explore the structure of the scale. Receiver-operating characteristic curve (ROC) was used to investigate the discriminative properties. Results: Two components, physical and mental fatigue, were identified in the CFS patient group and in the general population samples. Area under the curve for ROC was .91. The fatigue scale effectively discriminates, at high scores, between CFS patients and the general population. Conclusion: Physical and mental fatigue are clearly separable components of fatigue. The CFQ can discriminate reliably between clinical and nonclinical conditions. © 2010 Elsevier Inc.","author":[{"dropping-particle":"","family":"Cella","given":"Matteo","non-dropping-particle":"","parse-names":false,"suffix":""},{"dropping-particle":"","family":"Chalder","given":"Trudie","non-dropping-particle":"","parse-names":false,"suffix":""}],"container-title":"Journal of Psychosomatic Research","id":"ITEM-1","issue":"1","issued":{"date-parts":[["2010","7","1"]]},"page":"17-22","publisher":"Elsevier","title":"Measuring fatigue in clinical and community settings","type":"article-journal","volume":"69"},"uris":["http://www.mendeley.com/documents/?uuid=67c3b6e0-00b5-3c13-b294-7cd6ceb85ce1"]}],"mendeley":{"formattedCitation":"(Cella and Chalder, 2010)","plainTextFormattedCitation":"(Cella and Chalder, 2010)","previouslyFormattedCitation":"(Cella and Chalder, 2010)"},"properties":{"noteIndex":0},"schema":"https://github.com/citation-style-language/schema/raw/master/csl-citation.json"}</w:instrText>
      </w:r>
      <w:r w:rsidR="006F2C79" w:rsidRPr="000B2C46">
        <w:rPr>
          <w:rFonts w:eastAsia="Calibri"/>
        </w:rPr>
        <w:fldChar w:fldCharType="separate"/>
      </w:r>
      <w:r w:rsidR="006F2C79" w:rsidRPr="000B2C46">
        <w:rPr>
          <w:rFonts w:eastAsia="Calibri"/>
          <w:noProof/>
        </w:rPr>
        <w:t>(Cella and Chalder, 2010)</w:t>
      </w:r>
      <w:r w:rsidR="006F2C79" w:rsidRPr="000B2C46">
        <w:rPr>
          <w:rFonts w:eastAsia="Calibri"/>
        </w:rPr>
        <w:fldChar w:fldCharType="end"/>
      </w:r>
      <w:r w:rsidR="006F2C79" w:rsidRPr="000B2C46">
        <w:rPr>
          <w:rFonts w:eastAsia="Calibri"/>
        </w:rPr>
        <w:fldChar w:fldCharType="begin" w:fldLock="1"/>
      </w:r>
      <w:r w:rsidR="00FD4D4B" w:rsidRPr="000B2C46">
        <w:rPr>
          <w:rFonts w:eastAsia="Calibri"/>
        </w:rPr>
        <w:instrText>ADDIN CSL_CITATION {"citationItems":[{"id":"ITEM-1","itemData":{"DOI":"10.1016/S0022-3999(97)00291-2","ISSN":"0022-3999","abstract":"Population norms for interpretation of fatigue measurements have been lacking, and the sociodemographic associations of fatigue are poorly documented. A random sample of 3500 Norwegians. aged 19-80 years, was therefore investigated. A mailed questionnaire included the fatigue questionnaire (11 items) in which the sum score of the responses (each scored 0, 1, 2, 3) is designated as total fatigue (TF). Sixty-seven percent of those receiving the questionnaire responded. Women (TF mean = 12.6) were more fatigued than men (TF mean = 11.9), and 11.4% reported substantial fatigue lasting 6 months or longer. TF and age were weakly correlated (men: r = 0.17; women: r = 0.09). No firm associations between fatigue and social variables were found. Disabled and subjects reporting health problems were more fatigued than subjects at work or in good health. Fatigue is highly prevalent in somatic and psychiatric disorders, but is often neglected. This national representative sample provides age- and gender-specific norms that will allow for comparisons and interpretations of fatigue scores in future studies.","author":[{"dropping-particle":"","family":"Loge","given":"Jon Håvard","non-dropping-particle":"","parse-names":false,"suffix":""},{"dropping-particle":"","family":"Ekeberg","given":"Øivind","non-dropping-particle":"","parse-names":false,"suffix":""},{"dropping-particle":"","family":"Kaasa","given":"Stein","non-dropping-particle":"","parse-names":false,"suffix":""}],"container-title":"Journal of Psychosomatic Research","id":"ITEM-1","issue":"1","issued":{"date-parts":[["1998","7","1"]]},"page":"53-65","publisher":"Elsevier","title":"Fatigue in the general norwegian population: Normative data and associations","type":"article-journal","volume":"45"},"uris":["http://www.mendeley.com/documents/?uuid=aad5e318-d105-3f51-ba66-15f0cb344fa0"]}],"mendeley":{"formattedCitation":"(Loge &lt;i&gt;et al.&lt;/i&gt;, 1998)","plainTextFormattedCitation":"(Loge et al., 1998)","previouslyFormattedCitation":"(Loge &lt;i&gt;et al.&lt;/i&gt;, 1998)"},"properties":{"noteIndex":0},"schema":"https://github.com/citation-style-language/schema/raw/master/csl-citation.json"}</w:instrText>
      </w:r>
      <w:r w:rsidR="006F2C79" w:rsidRPr="000B2C46">
        <w:rPr>
          <w:rFonts w:eastAsia="Calibri"/>
        </w:rPr>
        <w:fldChar w:fldCharType="separate"/>
      </w:r>
      <w:r w:rsidR="006F2C79" w:rsidRPr="000B2C46">
        <w:rPr>
          <w:rFonts w:eastAsia="Calibri"/>
          <w:noProof/>
        </w:rPr>
        <w:t xml:space="preserve">(Loge </w:t>
      </w:r>
      <w:r w:rsidR="006F2C79" w:rsidRPr="000B2C46">
        <w:rPr>
          <w:rFonts w:eastAsia="Calibri"/>
          <w:i/>
          <w:noProof/>
        </w:rPr>
        <w:t>et al.</w:t>
      </w:r>
      <w:r w:rsidR="006F2C79" w:rsidRPr="000B2C46">
        <w:rPr>
          <w:rFonts w:eastAsia="Calibri"/>
          <w:noProof/>
        </w:rPr>
        <w:t>, 1998)</w:t>
      </w:r>
      <w:r w:rsidR="006F2C79" w:rsidRPr="000B2C46">
        <w:rPr>
          <w:rFonts w:eastAsia="Calibri"/>
        </w:rPr>
        <w:fldChar w:fldCharType="end"/>
      </w:r>
      <w:r w:rsidR="006F2C79" w:rsidRPr="000B2C46">
        <w:rPr>
          <w:rFonts w:eastAsia="Calibri"/>
        </w:rPr>
        <w:t>.</w:t>
      </w:r>
      <w:r w:rsidR="00EF0975" w:rsidRPr="000B2C46">
        <w:rPr>
          <w:rFonts w:eastAsia="Calibri"/>
        </w:rPr>
        <w:t xml:space="preserve"> For resilience scores, low resilience is found with scores below 65; scores between 65 and 81 illustrate moderate resilience; scores above 81 indicate  high levels of resilience </w:t>
      </w:r>
      <w:r w:rsidR="00FD4D4B" w:rsidRPr="000B2C46">
        <w:rPr>
          <w:rFonts w:eastAsia="Calibri"/>
        </w:rPr>
        <w:fldChar w:fldCharType="begin" w:fldLock="1"/>
      </w:r>
      <w:r w:rsidR="00101157" w:rsidRPr="000B2C46">
        <w:rPr>
          <w:rFonts w:eastAsia="Calibri"/>
        </w:rPr>
        <w:instrText>ADDIN CSL_CITATION {"citationItems":[{"id":"ITEM-1","itemData":{"ISSN":"1061-3749","PMID":"7850498","abstract":"This study describes the development and initial psychometric evaluation of the 25-item Resilience Scale (RS) in a sample of 810 community-dwelling older adults. Principal components factor analysis of the RS was conducted followed by oblimin rotation indicating that the factor structure represented two factors (Personal Competence and Acceptance of Self and Life). Positive correlations with adaptational outcomes (physical health, morale, and life satisfaction) and a negative correlation with depression supported concurrent validity of the RS. The results of this study support the internal consistency reliability and concurrent validity of the RS as an instrument to measure resilience.","author":[{"dropping-particle":"","family":"Wagnild","given":"GM","non-dropping-particle":"","parse-names":false,"suffix":""},{"dropping-particle":"","family":"Young","given":"HM","non-dropping-particle":"","parse-names":false,"suffix":""}],"container-title":"Journal of nursing measurement","id":"ITEM-1","issue":"2","issued":{"date-parts":[["1993","12"]]},"page":"165-178","publisher":"J Nurs Meas","title":"Development and psychometric evaluation of the Resilience Scale","type":"article-journal","volume":"1"},"uris":["http://www.mendeley.com/documents/?uuid=5d3ff30b-e837-394f-82d5-8a6b0d480222"]},{"id":"ITEM-2","itemData":{"URL":"https://eprovide.mapi-trust.org/instruments/resilience-scale-14-items","accessed":{"date-parts":[["2020","7","2"]]},"author":[{"dropping-particle":"","family":"Wagnild","given":"GM","non-dropping-particle":"","parse-names":false,"suffix":""}],"id":"ITEM-2","issued":{"date-parts":[["2009"]]},"title":"RS14 - Resilience Scale 14-items","type":"webpage"},"uris":["http://www.mendeley.com/documents/?uuid=7cee402a-be94-36b3-ade0-65061619591b"]}],"mendeley":{"formattedCitation":"(Wagnild and Young, 1993; Wagnild, 2009)","plainTextFormattedCitation":"(Wagnild and Young, 1993; Wagnild, 2009)","previouslyFormattedCitation":"(Wagnild and Young, 1993; Wagnild, 2009)"},"properties":{"noteIndex":0},"schema":"https://github.com/citation-style-language/schema/raw/master/csl-citation.json"}</w:instrText>
      </w:r>
      <w:r w:rsidR="00FD4D4B" w:rsidRPr="000B2C46">
        <w:rPr>
          <w:rFonts w:eastAsia="Calibri"/>
        </w:rPr>
        <w:fldChar w:fldCharType="separate"/>
      </w:r>
      <w:r w:rsidR="00FD4D4B" w:rsidRPr="000B2C46">
        <w:rPr>
          <w:rFonts w:eastAsia="Calibri"/>
          <w:noProof/>
        </w:rPr>
        <w:t>(Wagnild and Young, 1993; Wagnild, 2009)</w:t>
      </w:r>
      <w:r w:rsidR="00FD4D4B" w:rsidRPr="000B2C46">
        <w:rPr>
          <w:rFonts w:eastAsia="Calibri"/>
        </w:rPr>
        <w:fldChar w:fldCharType="end"/>
      </w:r>
    </w:p>
    <w:p w14:paraId="5D6E0667" w14:textId="2E8E6DE1" w:rsidR="00664BBC" w:rsidRDefault="4024292E" w:rsidP="7BF89CF4">
      <w:pPr>
        <w:spacing w:line="360" w:lineRule="auto"/>
        <w:jc w:val="both"/>
        <w:rPr>
          <w:rFonts w:eastAsia="Calibri"/>
        </w:rPr>
      </w:pPr>
      <w:r w:rsidRPr="000B2C46">
        <w:rPr>
          <w:rFonts w:eastAsia="Calibri"/>
        </w:rPr>
        <w:t>We piloted the survey tools with a small group of nurses from the teams’ professional n</w:t>
      </w:r>
      <w:r w:rsidRPr="4024292E">
        <w:rPr>
          <w:rFonts w:eastAsia="Calibri"/>
        </w:rPr>
        <w:t>etwork for construct validation and to estimate completion time and guard against overburden to this already pressured group of nurses. We made minor changes to enhance ease of understanding.</w:t>
      </w:r>
    </w:p>
    <w:p w14:paraId="3779CB59" w14:textId="5AF0C2DA" w:rsidR="00664BBC" w:rsidRPr="00664BBC" w:rsidRDefault="00664BBC" w:rsidP="4C19B7E2">
      <w:pPr>
        <w:spacing w:line="360" w:lineRule="auto"/>
        <w:jc w:val="both"/>
        <w:rPr>
          <w:rFonts w:eastAsia="Times New Roman"/>
          <w:lang w:eastAsia="en-GB"/>
        </w:rPr>
      </w:pPr>
      <w:r w:rsidRPr="594CCC0A">
        <w:rPr>
          <w:rFonts w:eastAsia="Calibri"/>
        </w:rPr>
        <w:t xml:space="preserve">The online survey </w:t>
      </w:r>
      <w:r w:rsidR="00CB364D" w:rsidRPr="594CCC0A">
        <w:rPr>
          <w:rFonts w:eastAsia="Calibri"/>
        </w:rPr>
        <w:t>used</w:t>
      </w:r>
      <w:r w:rsidRPr="594CCC0A">
        <w:rPr>
          <w:rFonts w:eastAsia="Calibri"/>
        </w:rPr>
        <w:t xml:space="preserve"> </w:t>
      </w:r>
      <w:proofErr w:type="spellStart"/>
      <w:r w:rsidRPr="594CCC0A">
        <w:rPr>
          <w:rFonts w:eastAsia="Calibri"/>
        </w:rPr>
        <w:t>RedCAP</w:t>
      </w:r>
      <w:proofErr w:type="spellEnd"/>
      <w:r w:rsidRPr="594CCC0A">
        <w:rPr>
          <w:rFonts w:eastAsia="Calibri"/>
        </w:rPr>
        <w:t xml:space="preserve">© and </w:t>
      </w:r>
      <w:r w:rsidR="00CB364D" w:rsidRPr="594CCC0A">
        <w:rPr>
          <w:rFonts w:eastAsia="Calibri"/>
        </w:rPr>
        <w:t xml:space="preserve">was </w:t>
      </w:r>
      <w:r w:rsidRPr="594CCC0A">
        <w:rPr>
          <w:rFonts w:eastAsia="Calibri"/>
        </w:rPr>
        <w:t>analysed in SPSS (Version 25.0)</w:t>
      </w:r>
      <w:r w:rsidR="009A19F2" w:rsidRPr="594CCC0A">
        <w:rPr>
          <w:rFonts w:eastAsia="Calibri"/>
        </w:rPr>
        <w:t xml:space="preserve">. </w:t>
      </w:r>
      <w:r w:rsidR="00CB364D" w:rsidRPr="594CCC0A">
        <w:rPr>
          <w:rFonts w:eastAsia="Calibri"/>
        </w:rPr>
        <w:t>We cascaded t</w:t>
      </w:r>
      <w:r w:rsidRPr="594CCC0A">
        <w:rPr>
          <w:rFonts w:eastAsia="Calibri"/>
        </w:rPr>
        <w:t>he link to the survey</w:t>
      </w:r>
      <w:r w:rsidR="6880643B" w:rsidRPr="594CCC0A">
        <w:rPr>
          <w:rFonts w:eastAsia="Calibri"/>
        </w:rPr>
        <w:t xml:space="preserve"> </w:t>
      </w:r>
      <w:r w:rsidRPr="594CCC0A">
        <w:rPr>
          <w:rFonts w:eastAsia="Calibri"/>
        </w:rPr>
        <w:t xml:space="preserve">via social </w:t>
      </w:r>
      <w:r w:rsidRPr="000B2C46">
        <w:rPr>
          <w:rFonts w:eastAsia="Calibri"/>
        </w:rPr>
        <w:t>media</w:t>
      </w:r>
      <w:r w:rsidR="00D565E2" w:rsidRPr="000B2C46">
        <w:rPr>
          <w:rFonts w:eastAsia="Calibri"/>
        </w:rPr>
        <w:t xml:space="preserve"> (Twitter, LinkedIn, Facebook)</w:t>
      </w:r>
      <w:r w:rsidRPr="000B2C46">
        <w:rPr>
          <w:rFonts w:eastAsia="Calibri"/>
        </w:rPr>
        <w:t xml:space="preserve">.  </w:t>
      </w:r>
      <w:r w:rsidR="00846EBC" w:rsidRPr="000B2C46">
        <w:rPr>
          <w:rFonts w:eastAsia="Calibri"/>
        </w:rPr>
        <w:t xml:space="preserve">Professional </w:t>
      </w:r>
      <w:r w:rsidR="00846EBC" w:rsidRPr="594CCC0A">
        <w:rPr>
          <w:rFonts w:eastAsia="Calibri"/>
        </w:rPr>
        <w:t>r</w:t>
      </w:r>
      <w:r w:rsidRPr="594CCC0A">
        <w:rPr>
          <w:rFonts w:eastAsia="Calibri"/>
        </w:rPr>
        <w:t xml:space="preserve">espiratory societies </w:t>
      </w:r>
      <w:r w:rsidR="009A19F2" w:rsidRPr="594CCC0A">
        <w:rPr>
          <w:rFonts w:eastAsia="Calibri"/>
        </w:rPr>
        <w:t xml:space="preserve">(British Thoracic Society, Primary Care Respiratory Society, Association for Respiratory Nurse Specialists) </w:t>
      </w:r>
      <w:r w:rsidRPr="594CCC0A">
        <w:rPr>
          <w:rFonts w:eastAsia="Calibri"/>
        </w:rPr>
        <w:t xml:space="preserve">were also asked to circulate the survey link via email and social media.    </w:t>
      </w:r>
      <w:r w:rsidR="00CB364D" w:rsidRPr="594CCC0A">
        <w:rPr>
          <w:rFonts w:eastAsia="Calibri"/>
        </w:rPr>
        <w:t>We redistributed t</w:t>
      </w:r>
      <w:r w:rsidRPr="594CCC0A">
        <w:rPr>
          <w:rFonts w:eastAsia="Calibri"/>
        </w:rPr>
        <w:t>he survey link</w:t>
      </w:r>
      <w:r w:rsidR="40A25338" w:rsidRPr="594CCC0A">
        <w:rPr>
          <w:rFonts w:eastAsia="Calibri"/>
        </w:rPr>
        <w:t xml:space="preserve"> </w:t>
      </w:r>
      <w:r w:rsidRPr="594CCC0A">
        <w:rPr>
          <w:rFonts w:eastAsia="Calibri"/>
        </w:rPr>
        <w:t>regularly</w:t>
      </w:r>
      <w:r w:rsidR="004200F7" w:rsidRPr="594CCC0A">
        <w:rPr>
          <w:rFonts w:eastAsia="Calibri"/>
        </w:rPr>
        <w:t xml:space="preserve"> over a </w:t>
      </w:r>
      <w:r w:rsidR="005149D7" w:rsidRPr="594CCC0A">
        <w:rPr>
          <w:rFonts w:eastAsia="Calibri"/>
        </w:rPr>
        <w:t>10-week</w:t>
      </w:r>
      <w:r w:rsidR="001939AA" w:rsidRPr="594CCC0A">
        <w:rPr>
          <w:rFonts w:eastAsia="Calibri"/>
        </w:rPr>
        <w:t xml:space="preserve"> period</w:t>
      </w:r>
      <w:r w:rsidRPr="594CCC0A">
        <w:rPr>
          <w:rFonts w:eastAsia="Calibri"/>
        </w:rPr>
        <w:t xml:space="preserve"> </w:t>
      </w:r>
      <w:r w:rsidR="00830447" w:rsidRPr="594CCC0A">
        <w:rPr>
          <w:rFonts w:eastAsia="Calibri"/>
        </w:rPr>
        <w:t>from mid-November 2020 to the end of January 2021</w:t>
      </w:r>
      <w:r w:rsidR="001939AA" w:rsidRPr="594CCC0A">
        <w:rPr>
          <w:rFonts w:eastAsia="Calibri"/>
        </w:rPr>
        <w:t xml:space="preserve">.  </w:t>
      </w:r>
    </w:p>
    <w:p w14:paraId="52E1E89F" w14:textId="77777777" w:rsidR="000B2C46" w:rsidRDefault="000B2C46" w:rsidP="00D53BB3">
      <w:pPr>
        <w:spacing w:after="0" w:line="360" w:lineRule="auto"/>
        <w:jc w:val="both"/>
        <w:rPr>
          <w:rFonts w:eastAsia="Times New Roman" w:cstheme="minorHAnsi"/>
          <w:color w:val="FF0000"/>
          <w:u w:val="single"/>
          <w:lang w:eastAsia="en-GB"/>
        </w:rPr>
      </w:pPr>
    </w:p>
    <w:p w14:paraId="567ADF36" w14:textId="61E615DF" w:rsidR="00664BBC" w:rsidRPr="000B2C46" w:rsidRDefault="006F2C79" w:rsidP="00D53BB3">
      <w:pPr>
        <w:spacing w:after="0" w:line="360" w:lineRule="auto"/>
        <w:jc w:val="both"/>
        <w:rPr>
          <w:rFonts w:eastAsia="Times New Roman" w:cstheme="minorHAnsi"/>
          <w:u w:val="single"/>
          <w:lang w:eastAsia="en-GB"/>
        </w:rPr>
      </w:pPr>
      <w:r w:rsidRPr="000B2C46">
        <w:rPr>
          <w:rFonts w:eastAsia="Times New Roman" w:cstheme="minorHAnsi"/>
          <w:u w:val="single"/>
          <w:lang w:eastAsia="en-GB"/>
        </w:rPr>
        <w:lastRenderedPageBreak/>
        <w:t>Sampling method</w:t>
      </w:r>
    </w:p>
    <w:p w14:paraId="42D1F834" w14:textId="24F7B8D4" w:rsidR="00664BBC" w:rsidRPr="00664BBC" w:rsidRDefault="4024292E" w:rsidP="4C19B7E2">
      <w:pPr>
        <w:spacing w:line="360" w:lineRule="auto"/>
        <w:jc w:val="both"/>
        <w:rPr>
          <w:rFonts w:eastAsia="Times New Roman"/>
          <w:lang w:eastAsia="en-GB"/>
        </w:rPr>
      </w:pPr>
      <w:r w:rsidRPr="000B2C46">
        <w:rPr>
          <w:rFonts w:eastAsia="Times New Roman"/>
          <w:lang w:eastAsia="en-GB"/>
        </w:rPr>
        <w:t xml:space="preserve">We did not undertake a sample size calculation as we were unsure of the likely response rate given the uncertainties of winter pressures on the NHS, combined with a rise in COVID-19 infection rates and consequent healthcare utilisation. </w:t>
      </w:r>
      <w:r w:rsidR="00855B4C" w:rsidRPr="000B2C46">
        <w:rPr>
          <w:rFonts w:eastAsia="Times New Roman"/>
          <w:lang w:eastAsia="en-GB"/>
        </w:rPr>
        <w:t xml:space="preserve">We do not know the number of respiratory nurses in the UK, however </w:t>
      </w:r>
      <w:r w:rsidR="00AD3BF9" w:rsidRPr="000B2C46">
        <w:rPr>
          <w:rFonts w:eastAsia="Times New Roman"/>
          <w:lang w:eastAsia="en-GB"/>
        </w:rPr>
        <w:t>o</w:t>
      </w:r>
      <w:r w:rsidR="00855B4C" w:rsidRPr="000B2C46">
        <w:rPr>
          <w:rFonts w:eastAsia="Times New Roman"/>
          <w:lang w:eastAsia="en-GB"/>
        </w:rPr>
        <w:t>ur previous survey received a response rate of 255</w:t>
      </w:r>
      <w:r w:rsidR="00AD3BF9" w:rsidRPr="000B2C46">
        <w:rPr>
          <w:rFonts w:eastAsia="Times New Roman"/>
          <w:lang w:eastAsia="en-GB"/>
        </w:rPr>
        <w:t xml:space="preserve"> at the start of the pandemic.  With the added pressures and longer term impact of the pandemic this number would be unrealistic.  </w:t>
      </w:r>
      <w:r w:rsidRPr="000B2C46">
        <w:rPr>
          <w:rFonts w:eastAsia="Times New Roman"/>
          <w:lang w:eastAsia="en-GB"/>
        </w:rPr>
        <w:t xml:space="preserve">Thus, we proposed a minimum convenience sample of approximately 150 participants: UK registered adult nurses working </w:t>
      </w:r>
      <w:r w:rsidRPr="4024292E">
        <w:rPr>
          <w:rFonts w:eastAsia="Times New Roman"/>
          <w:lang w:eastAsia="en-GB"/>
        </w:rPr>
        <w:t>in respiratory clinical areas from mid- November 2020 to the end of January 2021.</w:t>
      </w:r>
    </w:p>
    <w:p w14:paraId="0C2BB7B7" w14:textId="77777777" w:rsidR="00664BBC" w:rsidRPr="00664BBC" w:rsidRDefault="00664BBC" w:rsidP="00300682">
      <w:pPr>
        <w:spacing w:line="360" w:lineRule="auto"/>
        <w:jc w:val="both"/>
        <w:rPr>
          <w:rFonts w:eastAsia="Times New Roman" w:cstheme="minorHAnsi"/>
          <w:u w:val="single"/>
          <w:lang w:eastAsia="en-GB"/>
        </w:rPr>
      </w:pPr>
      <w:r w:rsidRPr="00664BBC">
        <w:rPr>
          <w:rFonts w:eastAsia="Times New Roman" w:cstheme="minorHAnsi"/>
          <w:u w:val="single"/>
          <w:lang w:eastAsia="en-GB"/>
        </w:rPr>
        <w:t>Data analysis</w:t>
      </w:r>
    </w:p>
    <w:p w14:paraId="4EBFEAA3" w14:textId="2D3F6EEF" w:rsidR="00991847" w:rsidRDefault="4BEB3211" w:rsidP="594CCC0A">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360" w:lineRule="auto"/>
        <w:jc w:val="both"/>
        <w:rPr>
          <w:rFonts w:eastAsia="Arial"/>
          <w:lang w:eastAsia="en-GB"/>
        </w:rPr>
      </w:pPr>
      <w:r w:rsidRPr="4BEB3211">
        <w:rPr>
          <w:rFonts w:eastAsia="Arial"/>
          <w:lang w:eastAsia="en-GB"/>
        </w:rPr>
        <w:t>Survey data was entered into SPSS</w:t>
      </w:r>
      <w:r w:rsidRPr="4BEB3211">
        <w:rPr>
          <w:rFonts w:eastAsia="Arial"/>
          <w:vertAlign w:val="superscript"/>
          <w:lang w:eastAsia="en-GB"/>
        </w:rPr>
        <w:t>©</w:t>
      </w:r>
      <w:r w:rsidRPr="4BEB3211">
        <w:rPr>
          <w:rFonts w:eastAsia="Arial"/>
          <w:lang w:eastAsia="en-GB"/>
        </w:rPr>
        <w:t xml:space="preserve"> (Version 25.0) for analysis.  Descriptive statistical analysis and univariate inferential testing (Mann-Whitney, </w:t>
      </w:r>
      <w:proofErr w:type="spellStart"/>
      <w:r w:rsidRPr="4BEB3211">
        <w:rPr>
          <w:rFonts w:eastAsia="Arial"/>
          <w:lang w:eastAsia="en-GB"/>
        </w:rPr>
        <w:t>Kruskall</w:t>
      </w:r>
      <w:proofErr w:type="spellEnd"/>
      <w:r w:rsidRPr="4BEB3211">
        <w:rPr>
          <w:rFonts w:eastAsia="Arial"/>
          <w:lang w:eastAsia="en-GB"/>
        </w:rPr>
        <w:t xml:space="preserve">-Wallis, level of significance p&lt;0.05) were undertaken for the survey response to explore relationships with the respective dependent scores for </w:t>
      </w:r>
      <w:proofErr w:type="spellStart"/>
      <w:r w:rsidRPr="4BEB3211">
        <w:rPr>
          <w:rFonts w:ascii="Calibri" w:eastAsia="Calibri" w:hAnsi="Calibri" w:cs="Calibri"/>
          <w:color w:val="000000" w:themeColor="text1"/>
        </w:rPr>
        <w:t>Chalder</w:t>
      </w:r>
      <w:proofErr w:type="spellEnd"/>
      <w:r w:rsidRPr="4BEB3211">
        <w:rPr>
          <w:rFonts w:ascii="Calibri" w:eastAsia="Calibri" w:hAnsi="Calibri" w:cs="Calibri"/>
          <w:color w:val="000000" w:themeColor="text1"/>
        </w:rPr>
        <w:t xml:space="preserve"> fatigue</w:t>
      </w:r>
      <w:r w:rsidRPr="4BEB3211">
        <w:rPr>
          <w:rFonts w:eastAsia="Arial"/>
          <w:lang w:eastAsia="en-GB"/>
        </w:rPr>
        <w:t xml:space="preserve">, GAD-7, PHQ-9 and for the purpose of variable reduction in regression modelling.  </w:t>
      </w:r>
    </w:p>
    <w:p w14:paraId="2CCB885D" w14:textId="77777777" w:rsidR="000C708C" w:rsidRDefault="000C708C" w:rsidP="594CCC0A">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360" w:lineRule="auto"/>
        <w:jc w:val="both"/>
        <w:rPr>
          <w:rFonts w:eastAsia="Arial"/>
          <w:lang w:eastAsia="en-GB"/>
        </w:rPr>
      </w:pPr>
    </w:p>
    <w:p w14:paraId="048CF600" w14:textId="2A6B22C4" w:rsidR="00991847" w:rsidRDefault="4024292E" w:rsidP="594CCC0A">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360" w:lineRule="auto"/>
        <w:jc w:val="both"/>
        <w:rPr>
          <w:rFonts w:eastAsia="Arial"/>
          <w:lang w:eastAsia="en-GB"/>
        </w:rPr>
      </w:pPr>
      <w:r w:rsidRPr="4024292E">
        <w:rPr>
          <w:rFonts w:eastAsia="Arial"/>
          <w:lang w:eastAsia="en-GB"/>
        </w:rPr>
        <w:t>The study team undertook a series of multiple logistic regression models to provide an indication of the relative independent association of the socio-demographic variables, COVID-19 related experiences, working conditions, and mental health (depression, anxiety and resilience) with the outcome variables (</w:t>
      </w:r>
      <w:proofErr w:type="spellStart"/>
      <w:r w:rsidRPr="4024292E">
        <w:rPr>
          <w:rFonts w:eastAsia="Arial"/>
          <w:lang w:eastAsia="en-GB"/>
        </w:rPr>
        <w:t>Chalder</w:t>
      </w:r>
      <w:proofErr w:type="spellEnd"/>
      <w:r w:rsidRPr="4024292E">
        <w:rPr>
          <w:rFonts w:eastAsia="Arial"/>
          <w:lang w:eastAsia="en-GB"/>
        </w:rPr>
        <w:t xml:space="preserve"> fatigue, physical and mental).  We collapsed variable categories for the regression analysis, to reduce the number of independent variables, and entered these into separate multiple linear regression models for each dependent variable. Only independent variables significantly associated with the outcomes in the univariate analysis were entered into the regression models. </w:t>
      </w:r>
      <w:proofErr w:type="spellStart"/>
      <w:r w:rsidRPr="4024292E">
        <w:rPr>
          <w:rFonts w:eastAsia="Arial"/>
          <w:lang w:eastAsia="en-GB"/>
        </w:rPr>
        <w:t>Multicollinearity</w:t>
      </w:r>
      <w:proofErr w:type="spellEnd"/>
      <w:r w:rsidRPr="4024292E">
        <w:rPr>
          <w:rFonts w:eastAsia="Arial"/>
          <w:lang w:eastAsia="en-GB"/>
        </w:rPr>
        <w:t xml:space="preserve"> was assessed using correlation analysis, and no independent variables were removed on this basis.  </w:t>
      </w:r>
    </w:p>
    <w:p w14:paraId="05F69450" w14:textId="77777777" w:rsidR="00991847" w:rsidRDefault="00991847" w:rsidP="594CCC0A">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360" w:lineRule="auto"/>
        <w:jc w:val="both"/>
        <w:rPr>
          <w:rFonts w:eastAsia="Arial"/>
          <w:lang w:eastAsia="en-GB"/>
        </w:rPr>
      </w:pPr>
    </w:p>
    <w:p w14:paraId="33A205AB" w14:textId="77777777" w:rsidR="00664BBC" w:rsidRPr="00664BBC" w:rsidRDefault="00664BBC" w:rsidP="00F543C7">
      <w:pPr>
        <w:spacing w:line="360" w:lineRule="auto"/>
        <w:jc w:val="both"/>
        <w:rPr>
          <w:rFonts w:eastAsia="Times New Roman" w:cstheme="minorHAnsi"/>
          <w:u w:val="single"/>
          <w:lang w:eastAsia="en-GB"/>
        </w:rPr>
      </w:pPr>
      <w:r w:rsidRPr="00664BBC">
        <w:rPr>
          <w:rFonts w:eastAsia="Times New Roman" w:cstheme="minorHAnsi"/>
          <w:u w:val="single"/>
          <w:lang w:eastAsia="en-GB"/>
        </w:rPr>
        <w:t xml:space="preserve">Ethical approval </w:t>
      </w:r>
    </w:p>
    <w:p w14:paraId="69C042A4" w14:textId="722825A2" w:rsidR="00664BBC" w:rsidRPr="00664BBC" w:rsidRDefault="4024292E" w:rsidP="4C19B7E2">
      <w:pPr>
        <w:spacing w:line="360" w:lineRule="auto"/>
        <w:jc w:val="both"/>
        <w:rPr>
          <w:rFonts w:eastAsia="Times New Roman"/>
          <w:lang w:eastAsia="en-GB"/>
        </w:rPr>
      </w:pPr>
      <w:r w:rsidRPr="4024292E">
        <w:rPr>
          <w:rFonts w:eastAsia="Times New Roman"/>
          <w:lang w:eastAsia="en-GB"/>
        </w:rPr>
        <w:t xml:space="preserve">The survey included participant information at the start of the survey tool; consent was inferred from completion of survey.  We signposted mental health follow up in case any participants became inadvertently distressed by answering questions.  We anonymised all data collected, removing any identifiable information prior to analysis.  The </w:t>
      </w:r>
      <w:r w:rsidR="000B2C46">
        <w:rPr>
          <w:rFonts w:eastAsia="Times New Roman"/>
          <w:lang w:eastAsia="en-GB"/>
        </w:rPr>
        <w:t>School of Health and Life Sciences</w:t>
      </w:r>
      <w:r w:rsidR="00BC3597">
        <w:rPr>
          <w:rFonts w:eastAsia="Times New Roman"/>
          <w:lang w:eastAsia="en-GB"/>
        </w:rPr>
        <w:t xml:space="preserve"> </w:t>
      </w:r>
      <w:r w:rsidRPr="4024292E">
        <w:rPr>
          <w:rFonts w:eastAsia="Times New Roman"/>
          <w:lang w:eastAsia="en-GB"/>
        </w:rPr>
        <w:t xml:space="preserve">committee at </w:t>
      </w:r>
      <w:r w:rsidR="000B2C46">
        <w:rPr>
          <w:rFonts w:eastAsia="Times New Roman"/>
          <w:lang w:eastAsia="en-GB"/>
        </w:rPr>
        <w:t>Glasgow Caledonian University</w:t>
      </w:r>
      <w:r w:rsidRPr="4024292E">
        <w:rPr>
          <w:rFonts w:eastAsia="Times New Roman"/>
          <w:lang w:eastAsia="en-GB"/>
        </w:rPr>
        <w:t xml:space="preserve"> (HLS/NCH/19/036) approved the study. </w:t>
      </w:r>
    </w:p>
    <w:p w14:paraId="0FC97F66" w14:textId="77777777" w:rsidR="008D30D4" w:rsidRPr="00664BBC" w:rsidRDefault="008D30D4" w:rsidP="00592239">
      <w:pPr>
        <w:jc w:val="both"/>
        <w:rPr>
          <w:rFonts w:eastAsia="Times New Roman" w:cstheme="minorHAnsi"/>
          <w:lang w:eastAsia="en-GB"/>
        </w:rPr>
      </w:pPr>
    </w:p>
    <w:p w14:paraId="40291C29" w14:textId="77777777" w:rsidR="002F2CE0" w:rsidRDefault="002F2CE0">
      <w:pPr>
        <w:rPr>
          <w:rFonts w:eastAsia="Times New Roman" w:cstheme="minorHAnsi"/>
          <w:b/>
          <w:lang w:eastAsia="en-GB"/>
        </w:rPr>
      </w:pPr>
      <w:r>
        <w:rPr>
          <w:rFonts w:eastAsia="Times New Roman" w:cstheme="minorHAnsi"/>
          <w:b/>
          <w:lang w:eastAsia="en-GB"/>
        </w:rPr>
        <w:br w:type="page"/>
      </w:r>
    </w:p>
    <w:p w14:paraId="042A1BE7" w14:textId="77777777" w:rsidR="00664BBC" w:rsidRPr="00664BBC" w:rsidRDefault="00664BBC" w:rsidP="00592239">
      <w:pPr>
        <w:jc w:val="both"/>
        <w:rPr>
          <w:rFonts w:eastAsia="Times New Roman" w:cstheme="minorHAnsi"/>
          <w:b/>
          <w:lang w:eastAsia="en-GB"/>
        </w:rPr>
      </w:pPr>
      <w:r w:rsidRPr="00664BBC">
        <w:rPr>
          <w:rFonts w:eastAsia="Times New Roman" w:cstheme="minorHAnsi"/>
          <w:b/>
          <w:lang w:eastAsia="en-GB"/>
        </w:rPr>
        <w:lastRenderedPageBreak/>
        <w:t>Results</w:t>
      </w:r>
    </w:p>
    <w:p w14:paraId="5E7D1993" w14:textId="03D90A85" w:rsidR="00822445" w:rsidRDefault="4024292E" w:rsidP="24D43A9E">
      <w:pPr>
        <w:spacing w:line="360" w:lineRule="auto"/>
        <w:jc w:val="both"/>
        <w:rPr>
          <w:rFonts w:eastAsia="Times New Roman"/>
          <w:lang w:eastAsia="en-GB"/>
        </w:rPr>
      </w:pPr>
      <w:r w:rsidRPr="4024292E">
        <w:rPr>
          <w:rFonts w:eastAsia="Times New Roman"/>
          <w:lang w:eastAsia="en-GB"/>
        </w:rPr>
        <w:t xml:space="preserve">We received 161 responses for the survey, predominately from women (86%), aged over 35 (82.6%). In total, 95% (153/161) of respondents classed themselves as white; only a small sample of other ethnic groups completed the survey.   Respondents were from all countries in the UK, with the majority from England (66%, 107/161).  Just under 63% (101/161) usually worked in an acute setting.   Most participants were Agenda for Change </w:t>
      </w:r>
      <w:r w:rsidRPr="00057289">
        <w:rPr>
          <w:rFonts w:eastAsia="Times New Roman"/>
          <w:lang w:eastAsia="en-GB"/>
        </w:rPr>
        <w:t xml:space="preserve">Band 7 </w:t>
      </w:r>
      <w:r w:rsidR="0037729F" w:rsidRPr="00057289">
        <w:rPr>
          <w:rFonts w:eastAsia="Times New Roman"/>
          <w:lang w:eastAsia="en-GB"/>
        </w:rPr>
        <w:t xml:space="preserve">(Advanced Nurse / Nurse Practitioner) </w:t>
      </w:r>
      <w:r w:rsidRPr="00057289">
        <w:rPr>
          <w:rFonts w:eastAsia="Times New Roman"/>
          <w:lang w:eastAsia="en-GB"/>
        </w:rPr>
        <w:t>or above (58.9%, 95</w:t>
      </w:r>
      <w:r w:rsidRPr="4024292E">
        <w:rPr>
          <w:rFonts w:eastAsia="Times New Roman"/>
          <w:lang w:eastAsia="en-GB"/>
        </w:rPr>
        <w:t xml:space="preserve">/161) and were more than twenty years post qualified (52.2%) (Table 1).  Nearly 17% (27/161) reported having had COVID-19; an additional 12.4% (20/161) suspected having had COVID-19 but did not have the infection confirmed as testing was not then available. </w:t>
      </w:r>
    </w:p>
    <w:p w14:paraId="004B0023" w14:textId="199659F6" w:rsidR="00A075A8" w:rsidRPr="004B7F7C" w:rsidRDefault="0095548B" w:rsidP="4C19B7E2">
      <w:pPr>
        <w:spacing w:line="360" w:lineRule="auto"/>
        <w:jc w:val="both"/>
        <w:rPr>
          <w:rFonts w:eastAsia="Times New Roman"/>
          <w:u w:val="single"/>
          <w:lang w:eastAsia="en-GB"/>
        </w:rPr>
      </w:pPr>
      <w:r w:rsidRPr="689DBCEB">
        <w:rPr>
          <w:rFonts w:eastAsia="Times New Roman"/>
          <w:u w:val="single"/>
          <w:lang w:eastAsia="en-GB"/>
        </w:rPr>
        <w:t>Fatigue, a</w:t>
      </w:r>
      <w:r w:rsidR="00A075A8" w:rsidRPr="689DBCEB">
        <w:rPr>
          <w:rFonts w:eastAsia="Times New Roman"/>
          <w:u w:val="single"/>
          <w:lang w:eastAsia="en-GB"/>
        </w:rPr>
        <w:t>nxiety, depression</w:t>
      </w:r>
      <w:r w:rsidRPr="689DBCEB">
        <w:rPr>
          <w:rFonts w:eastAsia="Times New Roman"/>
          <w:u w:val="single"/>
          <w:lang w:eastAsia="en-GB"/>
        </w:rPr>
        <w:t xml:space="preserve"> and </w:t>
      </w:r>
      <w:r w:rsidR="00A075A8" w:rsidRPr="689DBCEB">
        <w:rPr>
          <w:rFonts w:eastAsia="Times New Roman"/>
          <w:u w:val="single"/>
          <w:lang w:eastAsia="en-GB"/>
        </w:rPr>
        <w:t xml:space="preserve">resilience scores </w:t>
      </w:r>
    </w:p>
    <w:p w14:paraId="7877E3F6" w14:textId="659F8577" w:rsidR="00A075A8" w:rsidRPr="00057289" w:rsidRDefault="007B08FF" w:rsidP="4C19B7E2">
      <w:pPr>
        <w:spacing w:line="360" w:lineRule="auto"/>
        <w:jc w:val="both"/>
        <w:rPr>
          <w:rFonts w:eastAsia="Times New Roman"/>
          <w:lang w:eastAsia="en-GB"/>
        </w:rPr>
      </w:pPr>
      <w:r w:rsidRPr="689DBCEB">
        <w:rPr>
          <w:rFonts w:eastAsia="Times New Roman"/>
          <w:lang w:eastAsia="en-GB"/>
        </w:rPr>
        <w:t xml:space="preserve">The mean overall </w:t>
      </w:r>
      <w:proofErr w:type="spellStart"/>
      <w:r w:rsidRPr="689DBCEB">
        <w:rPr>
          <w:rFonts w:eastAsia="Times New Roman"/>
          <w:lang w:eastAsia="en-GB"/>
        </w:rPr>
        <w:t>Chalder</w:t>
      </w:r>
      <w:proofErr w:type="spellEnd"/>
      <w:r w:rsidRPr="689DBCEB">
        <w:rPr>
          <w:rFonts w:eastAsia="Times New Roman"/>
          <w:lang w:eastAsia="en-GB"/>
        </w:rPr>
        <w:t xml:space="preserve"> fatigue score was 15.87±5.94, with a score of 10.29±4.04 for </w:t>
      </w:r>
      <w:r w:rsidRPr="689DBCEB">
        <w:rPr>
          <w:rFonts w:eastAsia="Times New Roman"/>
          <w:i/>
          <w:iCs/>
          <w:lang w:eastAsia="en-GB"/>
        </w:rPr>
        <w:t>physical fatigue</w:t>
      </w:r>
      <w:r w:rsidRPr="689DBCEB">
        <w:rPr>
          <w:rFonts w:eastAsia="Times New Roman"/>
          <w:lang w:eastAsia="en-GB"/>
        </w:rPr>
        <w:t xml:space="preserve"> and 5.54±2.44 for </w:t>
      </w:r>
      <w:r w:rsidRPr="689DBCEB">
        <w:rPr>
          <w:rFonts w:eastAsia="Times New Roman"/>
          <w:i/>
          <w:iCs/>
          <w:lang w:eastAsia="en-GB"/>
        </w:rPr>
        <w:t>mental</w:t>
      </w:r>
      <w:r w:rsidRPr="689DBCEB">
        <w:rPr>
          <w:rFonts w:eastAsia="Times New Roman"/>
          <w:lang w:eastAsia="en-GB"/>
        </w:rPr>
        <w:t xml:space="preserve"> </w:t>
      </w:r>
      <w:r w:rsidRPr="00057289">
        <w:rPr>
          <w:rFonts w:eastAsia="Times New Roman"/>
          <w:i/>
          <w:iCs/>
          <w:lang w:eastAsia="en-GB"/>
        </w:rPr>
        <w:t>fatigue</w:t>
      </w:r>
      <w:r w:rsidRPr="00057289">
        <w:rPr>
          <w:rFonts w:eastAsia="Times New Roman"/>
          <w:lang w:eastAsia="en-GB"/>
        </w:rPr>
        <w:t xml:space="preserve">. </w:t>
      </w:r>
      <w:r w:rsidR="00294DBD" w:rsidRPr="00057289">
        <w:rPr>
          <w:rFonts w:eastAsia="Times New Roman"/>
          <w:lang w:eastAsia="en-GB"/>
        </w:rPr>
        <w:t>Those without fatigue would score 11/33, indicating that they had fatigue ‘no more than usual’.</w:t>
      </w:r>
      <w:r w:rsidRPr="00057289">
        <w:rPr>
          <w:rFonts w:eastAsia="Times New Roman"/>
          <w:lang w:eastAsia="en-GB"/>
        </w:rPr>
        <w:t xml:space="preserve"> The total fatigue scores were higher than those found in </w:t>
      </w:r>
      <w:r w:rsidR="00B024A8" w:rsidRPr="00057289">
        <w:rPr>
          <w:rFonts w:eastAsia="Times New Roman"/>
          <w:lang w:eastAsia="en-GB"/>
        </w:rPr>
        <w:t>community</w:t>
      </w:r>
      <w:r w:rsidR="00494DF4" w:rsidRPr="00057289">
        <w:rPr>
          <w:rFonts w:eastAsia="Times New Roman"/>
          <w:lang w:eastAsia="en-GB"/>
        </w:rPr>
        <w:t xml:space="preserve"> studies</w:t>
      </w:r>
      <w:r w:rsidR="00A17E7C" w:rsidRPr="00057289">
        <w:rPr>
          <w:rFonts w:eastAsia="Times New Roman"/>
          <w:lang w:eastAsia="en-GB"/>
        </w:rPr>
        <w:t xml:space="preserve"> and </w:t>
      </w:r>
      <w:r w:rsidR="00494DF4" w:rsidRPr="00057289">
        <w:rPr>
          <w:rFonts w:eastAsia="Times New Roman"/>
          <w:lang w:eastAsia="en-GB"/>
        </w:rPr>
        <w:t xml:space="preserve">studies investigating the </w:t>
      </w:r>
      <w:r w:rsidRPr="00057289">
        <w:rPr>
          <w:rFonts w:eastAsia="Times New Roman"/>
          <w:lang w:eastAsia="en-GB"/>
        </w:rPr>
        <w:t>general population</w:t>
      </w:r>
      <w:r w:rsidR="00306CD7" w:rsidRPr="00057289">
        <w:rPr>
          <w:rFonts w:eastAsia="Times New Roman"/>
          <w:lang w:eastAsia="en-GB"/>
        </w:rPr>
        <w:t xml:space="preserve"> </w:t>
      </w:r>
      <w:r w:rsidRPr="00057289">
        <w:rPr>
          <w:rFonts w:eastAsia="Times New Roman"/>
          <w:lang w:eastAsia="en-GB"/>
        </w:rPr>
        <w:fldChar w:fldCharType="begin" w:fldLock="1"/>
      </w:r>
      <w:r w:rsidRPr="00057289">
        <w:rPr>
          <w:rFonts w:eastAsia="Times New Roman"/>
          <w:lang w:eastAsia="en-GB"/>
        </w:rPr>
        <w:instrText>ADDIN CSL_CITATION {"citationItems":[{"id":"ITEM-1","itemData":{"DOI":"10.1016/J.JPSYCHORES.2009.10.007","ISSN":"0022-3999","PMID":"20630259","abstract":"Objective: The Chalder Fatigue Scale (CFQ) is a widely used instrument to assess fatigue in both clinical and nonclinical settings. Psychometric properties of the scale and discriminative abilities were examined. Methods: A total of 361 patients with CFS and 1615 individuals in the community were assessed with the CFQ. Principal component analysis (PCA) was used to explore the structure of the scale. Receiver-operating characteristic curve (ROC) was used to investigate the discriminative properties. Results: Two components, physical and mental fatigue, were identified in the CFS patient group and in the general population samples. Area under the curve for ROC was .91. The fatigue scale effectively discriminates, at high scores, between CFS patients and the general population. Conclusion: Physical and mental fatigue are clearly separable components of fatigue. The CFQ can discriminate reliably between clinical and nonclinical conditions. © 2010 Elsevier Inc.","author":[{"dropping-particle":"","family":"Cella","given":"Matteo","non-dropping-particle":"","parse-names":false,"suffix":""},{"dropping-particle":"","family":"Chalder","given":"Trudie","non-dropping-particle":"","parse-names":false,"suffix":""}],"container-title":"Journal of Psychosomatic Research","id":"ITEM-1","issue":"1","issued":{"date-parts":[["2010","7","1"]]},"page":"17-22","publisher":"Elsevier","title":"Measuring fatigue in clinical and community settings","type":"article-journal","volume":"69"},"uris":["http://www.mendeley.com/documents/?uuid=67c3b6e0-00b5-3c13-b294-7cd6ceb85ce1"]},{"id":"ITEM-2","itemData":{"DOI":"10.1016/S0022-3999(97)00291-2","ISSN":"0022-3999","abstract":"Population norms for interpretation of fatigue measurements have been lacking, and the sociodemographic associations of fatigue are poorly documented. A random sample of 3500 Norwegians. aged 19-80 years, was therefore investigated. A mailed questionnaire included the fatigue questionnaire (11 items) in which the sum score of the responses (each scored 0, 1, 2, 3) is designated as total fatigue (TF). Sixty-seven percent of those receiving the questionnaire responded. Women (TF mean = 12.6) were more fatigued than men (TF mean = 11.9), and 11.4% reported substantial fatigue lasting 6 months or longer. TF and age were weakly correlated (men: r = 0.17; women: r = 0.09). No firm associations between fatigue and social variables were found. Disabled and subjects reporting health problems were more fatigued than subjects at work or in good health. Fatigue is highly prevalent in somatic and psychiatric disorders, but is often neglected. This national representative sample provides age- and gender-specific norms that will allow for comparisons and interpretations of fatigue scores in future studies.","author":[{"dropping-particle":"","family":"Loge","given":"Jon Håvard","non-dropping-particle":"","parse-names":false,"suffix":""},{"dropping-particle":"","family":"Ekeberg","given":"Øivind","non-dropping-particle":"","parse-names":false,"suffix":""},{"dropping-particle":"","family":"Kaasa","given":"Stein","non-dropping-particle":"","parse-names":false,"suffix":""}],"container-title":"Journal of Psychosomatic Research","id":"ITEM-2","issue":"1","issued":{"date-parts":[["1998","7","1"]]},"page":"53-65","publisher":"Elsevier","title":"Fatigue in the general norwegian population: Normative data and associations","type":"article-journal","volume":"45"},"uris":["http://www.mendeley.com/documents/?uuid=aad5e318-d105-3f51-ba66-15f0cb344fa0"]}],"mendeley":{"formattedCitation":"(Loge &lt;i&gt;et al.&lt;/i&gt;, 1998; Cella and Chalder, 2010)","plainTextFormattedCitation":"(Loge et al., 1998; Cella and Chalder, 2010)","previouslyFormattedCitation":"(Loge &lt;i&gt;et al.&lt;/i&gt;, 1998; Cella and Chalder, 2010)"},"properties":{"noteIndex":0},"schema":"https://github.com/citation-style-language/schema/raw/master/csl-citation.json"}</w:instrText>
      </w:r>
      <w:r w:rsidRPr="00057289">
        <w:rPr>
          <w:rFonts w:eastAsia="Times New Roman"/>
          <w:lang w:eastAsia="en-GB"/>
        </w:rPr>
        <w:fldChar w:fldCharType="separate"/>
      </w:r>
      <w:r w:rsidR="00306CD7" w:rsidRPr="00057289">
        <w:rPr>
          <w:rFonts w:eastAsia="Times New Roman"/>
          <w:noProof/>
          <w:lang w:eastAsia="en-GB"/>
        </w:rPr>
        <w:t xml:space="preserve">(Loge </w:t>
      </w:r>
      <w:r w:rsidR="00306CD7" w:rsidRPr="00057289">
        <w:rPr>
          <w:rFonts w:eastAsia="Times New Roman"/>
          <w:i/>
          <w:iCs/>
          <w:noProof/>
          <w:lang w:eastAsia="en-GB"/>
        </w:rPr>
        <w:t>et al.</w:t>
      </w:r>
      <w:r w:rsidR="00306CD7" w:rsidRPr="00057289">
        <w:rPr>
          <w:rFonts w:eastAsia="Times New Roman"/>
          <w:noProof/>
          <w:lang w:eastAsia="en-GB"/>
        </w:rPr>
        <w:t>, 1998; Cella and Chalder, 2010)</w:t>
      </w:r>
      <w:r w:rsidRPr="00057289">
        <w:rPr>
          <w:rFonts w:eastAsia="Times New Roman"/>
          <w:lang w:eastAsia="en-GB"/>
        </w:rPr>
        <w:fldChar w:fldCharType="end"/>
      </w:r>
      <w:r w:rsidRPr="00057289">
        <w:rPr>
          <w:rFonts w:eastAsia="Times New Roman"/>
          <w:lang w:eastAsia="en-GB"/>
        </w:rPr>
        <w:t xml:space="preserve">.  </w:t>
      </w:r>
      <w:r w:rsidR="00A075A8" w:rsidRPr="00057289">
        <w:rPr>
          <w:rFonts w:eastAsia="Times New Roman"/>
          <w:lang w:eastAsia="en-GB"/>
        </w:rPr>
        <w:t>The median score for anxiety (GAD-7) was 4 (range 0-21), representing minimal anxiety</w:t>
      </w:r>
      <w:r w:rsidR="00A075A8" w:rsidRPr="00057289">
        <w:rPr>
          <w:rFonts w:eastAsia="Times New Roman" w:cs="Times New Roman"/>
          <w:lang w:eastAsia="en-GB"/>
        </w:rPr>
        <w:t xml:space="preserve"> (</w:t>
      </w:r>
      <w:r w:rsidR="00A075A8" w:rsidRPr="689DBCEB">
        <w:rPr>
          <w:rFonts w:eastAsia="Times New Roman" w:cs="Times New Roman"/>
          <w:lang w:eastAsia="en-GB"/>
        </w:rPr>
        <w:t>0-4 minimal, 5-9 mild, 10-15 moderate and 15-21 severe anxiety).</w:t>
      </w:r>
      <w:r w:rsidR="00A075A8" w:rsidRPr="689DBCEB">
        <w:rPr>
          <w:rFonts w:ascii="Times New Roman" w:eastAsia="Times New Roman" w:hAnsi="Times New Roman" w:cs="Times New Roman"/>
          <w:sz w:val="24"/>
          <w:szCs w:val="24"/>
          <w:lang w:eastAsia="en-GB"/>
        </w:rPr>
        <w:t xml:space="preserve"> </w:t>
      </w:r>
      <w:r w:rsidR="00A075A8" w:rsidRPr="689DBCEB">
        <w:rPr>
          <w:rFonts w:eastAsia="Times New Roman"/>
          <w:lang w:eastAsia="en-GB"/>
        </w:rPr>
        <w:t xml:space="preserve">Frequencies show that </w:t>
      </w:r>
      <w:r w:rsidR="1826192A" w:rsidRPr="689DBCEB">
        <w:rPr>
          <w:rFonts w:eastAsia="Times New Roman"/>
          <w:lang w:eastAsia="en-GB"/>
        </w:rPr>
        <w:t>most</w:t>
      </w:r>
      <w:r w:rsidR="00A075A8" w:rsidRPr="689DBCEB">
        <w:rPr>
          <w:rFonts w:eastAsia="Times New Roman"/>
          <w:lang w:eastAsia="en-GB"/>
        </w:rPr>
        <w:t xml:space="preserve"> nurses, 51.6% (83/161) experienced minimal anxiety, 24.8% (40/159) experienced mild anxiety and 22.4% (36/161) experienced moderate severe to severe anxiety (Table 1).   Scores were similar for depression, median scores were 5 (range 0, 26), indicating mild depression (0-4 none to minimal, 4-9 mild, 10-14 moderate, 15-19 moderately severe, and 20-27 severe depression).  The largest proportion (49.0%, 79/161), experienced none to minimal depression symptoms, 29.2% (47/161) had mild symptoms and 21.1% (34/161) experiencing moderate to severe symptoms (Table 1).   The median score for resilience was 80.7 (range 21, 98), only 19.6% (31/158) had resilience at </w:t>
      </w:r>
      <w:r w:rsidR="00A075A8" w:rsidRPr="00057289">
        <w:rPr>
          <w:rFonts w:eastAsia="Times New Roman"/>
          <w:lang w:eastAsia="en-GB"/>
        </w:rPr>
        <w:t>the low end of the scale and below, 80.3% (127/158) had a moderate or moderately high resilience score.</w:t>
      </w:r>
      <w:r w:rsidR="00A075A8" w:rsidRPr="00057289">
        <w:rPr>
          <w:rFonts w:ascii="Times New Roman" w:eastAsia="Times New Roman" w:hAnsi="Times New Roman" w:cs="Times New Roman"/>
          <w:sz w:val="24"/>
          <w:szCs w:val="24"/>
          <w:lang w:eastAsia="en-GB"/>
        </w:rPr>
        <w:t xml:space="preserve"> </w:t>
      </w:r>
      <w:r w:rsidR="00D629C1" w:rsidRPr="00057289">
        <w:rPr>
          <w:rFonts w:eastAsia="Times New Roman" w:cstheme="minorHAnsi"/>
          <w:lang w:eastAsia="en-GB"/>
        </w:rPr>
        <w:t>Other studies have shown median scores of between 70-72 for young adolescents</w:t>
      </w:r>
      <w:r w:rsidR="005A212E" w:rsidRPr="00057289">
        <w:rPr>
          <w:rFonts w:eastAsia="Times New Roman" w:cstheme="minorHAnsi"/>
          <w:lang w:eastAsia="en-GB"/>
        </w:rPr>
        <w:t xml:space="preserve"> (</w:t>
      </w:r>
      <w:r w:rsidR="00284F77" w:rsidRPr="00057289">
        <w:rPr>
          <w:rFonts w:eastAsia="Times New Roman" w:cstheme="minorHAnsi"/>
          <w:lang w:eastAsia="en-GB"/>
        </w:rPr>
        <w:t>median 71 [min 14, max 97</w:t>
      </w:r>
      <w:r w:rsidR="0035692A" w:rsidRPr="00057289">
        <w:rPr>
          <w:rFonts w:eastAsia="Times New Roman" w:cstheme="minorHAnsi"/>
          <w:lang w:eastAsia="en-GB"/>
        </w:rPr>
        <w:t>] n=400)</w:t>
      </w:r>
      <w:r w:rsidR="00D629C1" w:rsidRPr="00057289">
        <w:rPr>
          <w:rFonts w:eastAsia="Times New Roman" w:cstheme="minorHAnsi"/>
          <w:lang w:eastAsia="en-GB"/>
        </w:rPr>
        <w:t>, young adolescents with special needs</w:t>
      </w:r>
      <w:r w:rsidR="0035692A" w:rsidRPr="00057289">
        <w:rPr>
          <w:rFonts w:eastAsia="Times New Roman" w:cstheme="minorHAnsi"/>
          <w:lang w:eastAsia="en-GB"/>
        </w:rPr>
        <w:t xml:space="preserve"> (median 73 [min17, max,98] n=656)</w:t>
      </w:r>
      <w:r w:rsidR="005A212E" w:rsidRPr="00057289">
        <w:rPr>
          <w:rFonts w:eastAsia="Times New Roman" w:cstheme="minorHAnsi"/>
          <w:lang w:eastAsia="en-GB"/>
        </w:rPr>
        <w:t xml:space="preserve"> and students </w:t>
      </w:r>
      <w:r w:rsidR="00284F77" w:rsidRPr="00057289">
        <w:rPr>
          <w:rFonts w:eastAsia="Times New Roman" w:cstheme="minorHAnsi"/>
          <w:lang w:eastAsia="en-GB"/>
        </w:rPr>
        <w:t>(median 73 [min 14, max 98] n=1659)</w:t>
      </w:r>
      <w:r w:rsidR="00101157" w:rsidRPr="00057289">
        <w:rPr>
          <w:rFonts w:eastAsia="Times New Roman" w:cstheme="minorHAnsi"/>
          <w:lang w:eastAsia="en-GB"/>
        </w:rPr>
        <w:fldChar w:fldCharType="begin" w:fldLock="1"/>
      </w:r>
      <w:r w:rsidR="00F44FB8" w:rsidRPr="00057289">
        <w:rPr>
          <w:rFonts w:eastAsia="Times New Roman" w:cstheme="minorHAnsi"/>
          <w:lang w:eastAsia="en-GB"/>
        </w:rPr>
        <w:instrText>ADDIN CSL_CITATION {"citationItems":[{"id":"ITEM-1","itemData":{"author":[{"dropping-particle":"","family":"Surzykiewicz","given":"Janusz","non-dropping-particle":"","parse-names":false,"suffix":""},{"dropping-particle":"","family":"Konaszewski","given":"Karol","non-dropping-particle":"","parse-names":false,"suffix":""},{"dropping-particle":"","family":"Wagnild","given":"Gail","non-dropping-particle":"","parse-names":false,"suffix":""}],"container-title":"Front. Psychol.","id":"ITEM-1","issued":{"date-parts":[["2019"]]},"title":"Polish Version of the Resilience Scale (RS-14): A Validity and Reliability Study in Three Samples","type":"article-journal"},"uris":["http://www.mendeley.com/documents/?uuid=c527bac8-ee19-4094-9f92-41223822c8c8"]}],"mendeley":{"formattedCitation":"(Surzykiewicz &lt;i&gt;et al.&lt;/i&gt;, 2019)","plainTextFormattedCitation":"(Surzykiewicz et al., 2019)","previouslyFormattedCitation":"(Surzykiewicz &lt;i&gt;et al.&lt;/i&gt;, 2019)"},"properties":{"noteIndex":0},"schema":"https://github.com/citation-style-language/schema/raw/master/csl-citation.json"}</w:instrText>
      </w:r>
      <w:r w:rsidR="00101157" w:rsidRPr="00057289">
        <w:rPr>
          <w:rFonts w:eastAsia="Times New Roman" w:cstheme="minorHAnsi"/>
          <w:lang w:eastAsia="en-GB"/>
        </w:rPr>
        <w:fldChar w:fldCharType="separate"/>
      </w:r>
      <w:r w:rsidR="00101157" w:rsidRPr="00057289">
        <w:rPr>
          <w:rFonts w:eastAsia="Times New Roman" w:cstheme="minorHAnsi"/>
          <w:noProof/>
          <w:lang w:eastAsia="en-GB"/>
        </w:rPr>
        <w:t xml:space="preserve">(Surzykiewicz </w:t>
      </w:r>
      <w:r w:rsidR="00101157" w:rsidRPr="00057289">
        <w:rPr>
          <w:rFonts w:eastAsia="Times New Roman" w:cstheme="minorHAnsi"/>
          <w:i/>
          <w:noProof/>
          <w:lang w:eastAsia="en-GB"/>
        </w:rPr>
        <w:t>et al.</w:t>
      </w:r>
      <w:r w:rsidR="00101157" w:rsidRPr="00057289">
        <w:rPr>
          <w:rFonts w:eastAsia="Times New Roman" w:cstheme="minorHAnsi"/>
          <w:noProof/>
          <w:lang w:eastAsia="en-GB"/>
        </w:rPr>
        <w:t>, 2019)</w:t>
      </w:r>
      <w:r w:rsidR="00101157" w:rsidRPr="00057289">
        <w:rPr>
          <w:rFonts w:eastAsia="Times New Roman" w:cstheme="minorHAnsi"/>
          <w:lang w:eastAsia="en-GB"/>
        </w:rPr>
        <w:fldChar w:fldCharType="end"/>
      </w:r>
      <w:r w:rsidR="00284F77" w:rsidRPr="00057289">
        <w:rPr>
          <w:rFonts w:eastAsia="Times New Roman" w:cstheme="minorHAnsi"/>
          <w:lang w:eastAsia="en-GB"/>
        </w:rPr>
        <w:t>.</w:t>
      </w:r>
      <w:r w:rsidR="00284F77" w:rsidRPr="00057289">
        <w:rPr>
          <w:rFonts w:ascii="Times New Roman" w:eastAsia="Times New Roman" w:hAnsi="Times New Roman" w:cs="Times New Roman"/>
          <w:sz w:val="24"/>
          <w:szCs w:val="24"/>
          <w:lang w:eastAsia="en-GB"/>
        </w:rPr>
        <w:t xml:space="preserve">  </w:t>
      </w:r>
      <w:r w:rsidR="00A075A8" w:rsidRPr="00057289">
        <w:rPr>
          <w:rFonts w:eastAsia="Times New Roman"/>
          <w:lang w:eastAsia="en-GB"/>
        </w:rPr>
        <w:t>Higher resilience was significantly associated with lower anxiety (</w:t>
      </w:r>
      <w:r w:rsidR="00A075A8" w:rsidRPr="00057289">
        <w:rPr>
          <w:rFonts w:ascii="Symbol" w:eastAsia="Symbol" w:hAnsi="Symbol"/>
          <w:lang w:eastAsia="en-GB"/>
        </w:rPr>
        <w:t></w:t>
      </w:r>
      <w:r w:rsidR="00A075A8" w:rsidRPr="00057289">
        <w:rPr>
          <w:rFonts w:eastAsia="Times New Roman"/>
          <w:lang w:eastAsia="en-GB"/>
        </w:rPr>
        <w:t xml:space="preserve"> </w:t>
      </w:r>
      <w:r w:rsidR="00A075A8" w:rsidRPr="00057289">
        <w:rPr>
          <w:rFonts w:eastAsia="Times New Roman"/>
          <w:vertAlign w:val="superscript"/>
          <w:lang w:eastAsia="en-GB"/>
        </w:rPr>
        <w:t>2</w:t>
      </w:r>
      <w:r w:rsidR="00A075A8" w:rsidRPr="00057289">
        <w:rPr>
          <w:rFonts w:eastAsia="Times New Roman"/>
          <w:lang w:eastAsia="en-GB"/>
        </w:rPr>
        <w:t xml:space="preserve"> p=0.002) and lower depression scores (</w:t>
      </w:r>
      <w:r w:rsidR="00A075A8" w:rsidRPr="00057289">
        <w:rPr>
          <w:rFonts w:ascii="Symbol" w:eastAsia="Symbol" w:hAnsi="Symbol"/>
          <w:lang w:eastAsia="en-GB"/>
        </w:rPr>
        <w:t></w:t>
      </w:r>
      <w:r w:rsidR="00A075A8" w:rsidRPr="00057289">
        <w:rPr>
          <w:rFonts w:eastAsia="Times New Roman"/>
          <w:lang w:eastAsia="en-GB"/>
        </w:rPr>
        <w:t xml:space="preserve"> </w:t>
      </w:r>
      <w:r w:rsidR="00A075A8" w:rsidRPr="00057289">
        <w:rPr>
          <w:rFonts w:eastAsia="Times New Roman"/>
          <w:vertAlign w:val="superscript"/>
          <w:lang w:eastAsia="en-GB"/>
        </w:rPr>
        <w:t>2</w:t>
      </w:r>
      <w:r w:rsidR="00A075A8" w:rsidRPr="00057289">
        <w:rPr>
          <w:rFonts w:eastAsia="Times New Roman"/>
          <w:lang w:eastAsia="en-GB"/>
        </w:rPr>
        <w:t xml:space="preserve"> p&lt;0.001).  Lower anxiety scores were significantly associated with lower depression scores (</w:t>
      </w:r>
      <w:r w:rsidR="00A075A8" w:rsidRPr="00057289">
        <w:rPr>
          <w:rFonts w:ascii="Symbol" w:eastAsia="Symbol" w:hAnsi="Symbol"/>
          <w:lang w:eastAsia="en-GB"/>
        </w:rPr>
        <w:t></w:t>
      </w:r>
      <w:r w:rsidR="00A075A8" w:rsidRPr="00057289">
        <w:rPr>
          <w:rFonts w:eastAsia="Times New Roman"/>
          <w:lang w:eastAsia="en-GB"/>
        </w:rPr>
        <w:t xml:space="preserve"> </w:t>
      </w:r>
      <w:r w:rsidR="00A075A8" w:rsidRPr="00057289">
        <w:rPr>
          <w:rFonts w:eastAsia="Times New Roman"/>
          <w:vertAlign w:val="superscript"/>
          <w:lang w:eastAsia="en-GB"/>
        </w:rPr>
        <w:t>2</w:t>
      </w:r>
      <w:r w:rsidR="00A075A8" w:rsidRPr="00057289">
        <w:rPr>
          <w:rFonts w:eastAsia="Times New Roman"/>
          <w:lang w:eastAsia="en-GB"/>
        </w:rPr>
        <w:t xml:space="preserve"> p&lt;0.001).  </w:t>
      </w:r>
      <w:r w:rsidR="009D04C2" w:rsidRPr="00057289">
        <w:rPr>
          <w:rFonts w:eastAsia="Times New Roman"/>
          <w:lang w:eastAsia="en-GB"/>
        </w:rPr>
        <w:t>As can be seen in table 2, h</w:t>
      </w:r>
      <w:r w:rsidR="00A075A8" w:rsidRPr="00057289">
        <w:rPr>
          <w:rFonts w:eastAsia="Times New Roman"/>
          <w:lang w:eastAsia="en-GB"/>
        </w:rPr>
        <w:t>igher</w:t>
      </w:r>
      <w:r w:rsidR="00775CA5" w:rsidRPr="00057289">
        <w:rPr>
          <w:rFonts w:eastAsia="Times New Roman"/>
          <w:lang w:eastAsia="en-GB"/>
        </w:rPr>
        <w:t xml:space="preserve"> median</w:t>
      </w:r>
      <w:r w:rsidR="009D04C2" w:rsidRPr="00057289">
        <w:rPr>
          <w:rFonts w:eastAsia="Times New Roman"/>
          <w:lang w:eastAsia="en-GB"/>
        </w:rPr>
        <w:t xml:space="preserve"> </w:t>
      </w:r>
      <w:proofErr w:type="spellStart"/>
      <w:r w:rsidR="00A075A8" w:rsidRPr="00057289">
        <w:rPr>
          <w:rFonts w:eastAsia="Times New Roman"/>
          <w:lang w:eastAsia="en-GB"/>
        </w:rPr>
        <w:t>Chalder</w:t>
      </w:r>
      <w:proofErr w:type="spellEnd"/>
      <w:r w:rsidR="00A075A8" w:rsidRPr="00057289">
        <w:rPr>
          <w:rFonts w:eastAsia="Times New Roman"/>
          <w:lang w:eastAsia="en-GB"/>
        </w:rPr>
        <w:t xml:space="preserve"> fatigue scores for both domains and total scores were associated with lower resilience (all p&lt;0.01) and higher levels (&gt;10) of both anxiety and depression (all p&lt;0.005). </w:t>
      </w:r>
    </w:p>
    <w:p w14:paraId="33D008E9" w14:textId="4E4D4536" w:rsidR="00896D60" w:rsidRDefault="00896D60" w:rsidP="4C19B7E2">
      <w:pPr>
        <w:spacing w:line="360" w:lineRule="auto"/>
        <w:jc w:val="both"/>
        <w:rPr>
          <w:rFonts w:eastAsia="Times New Roman"/>
          <w:color w:val="FF0000"/>
          <w:lang w:eastAsia="en-GB"/>
        </w:rPr>
      </w:pPr>
    </w:p>
    <w:p w14:paraId="0564FCB1" w14:textId="77777777" w:rsidR="00896D60" w:rsidRDefault="00896D60" w:rsidP="4C19B7E2">
      <w:pPr>
        <w:spacing w:line="360" w:lineRule="auto"/>
        <w:jc w:val="both"/>
        <w:rPr>
          <w:rFonts w:eastAsia="Times New Roman"/>
          <w:lang w:eastAsia="en-GB"/>
        </w:rPr>
      </w:pPr>
    </w:p>
    <w:p w14:paraId="2A713D32" w14:textId="77777777" w:rsidR="00A075A8" w:rsidRPr="00664BBC" w:rsidRDefault="00A075A8" w:rsidP="4C19B7E2">
      <w:pPr>
        <w:spacing w:line="360" w:lineRule="auto"/>
        <w:jc w:val="both"/>
        <w:rPr>
          <w:rFonts w:eastAsia="Times New Roman"/>
          <w:u w:val="single"/>
          <w:lang w:eastAsia="en-GB"/>
        </w:rPr>
      </w:pPr>
      <w:r w:rsidRPr="4C19B7E2">
        <w:rPr>
          <w:rFonts w:eastAsia="Times New Roman"/>
          <w:u w:val="single"/>
          <w:lang w:eastAsia="en-GB"/>
        </w:rPr>
        <w:lastRenderedPageBreak/>
        <w:t>Regression analysis</w:t>
      </w:r>
    </w:p>
    <w:p w14:paraId="55455F22" w14:textId="324A97EC" w:rsidR="00A075A8" w:rsidRPr="00664BBC" w:rsidRDefault="4024292E" w:rsidP="00A075A8">
      <w:pPr>
        <w:spacing w:line="360" w:lineRule="auto"/>
        <w:jc w:val="both"/>
        <w:rPr>
          <w:rFonts w:eastAsia="Times New Roman"/>
          <w:lang w:eastAsia="en-GB"/>
        </w:rPr>
      </w:pPr>
      <w:r w:rsidRPr="4024292E">
        <w:rPr>
          <w:rFonts w:eastAsia="Times New Roman"/>
          <w:lang w:eastAsia="en-GB"/>
        </w:rPr>
        <w:t xml:space="preserve">Several variables were identified as potentially significantly important (Table 2) in influencing fatigue scores including age, years qualified, time off work, keeping up with training, changes to patient safety, leaving nursing, preparedness for next wave, positive career changes, resilience, anxiety and depression scores. Each of these was entered into a multiple linear regression with the outcome fatigue measures. The sample size was appropriate for multiple linear regression analysis [12] The results of the multiple linear regression models are shown in Table 3.  All significant variables (cut-off p&lt;0.05) were entered into linear regression models for fatigue (physical and mental domains and total score).  </w:t>
      </w:r>
    </w:p>
    <w:p w14:paraId="615F8F7D" w14:textId="33DC3128" w:rsidR="00A075A8" w:rsidRDefault="002D12F6" w:rsidP="4C19B7E2">
      <w:pPr>
        <w:spacing w:line="360" w:lineRule="auto"/>
        <w:jc w:val="both"/>
        <w:rPr>
          <w:rFonts w:eastAsia="Times New Roman"/>
          <w:b/>
          <w:bCs/>
          <w:lang w:eastAsia="en-GB"/>
        </w:rPr>
      </w:pPr>
      <w:r>
        <w:rPr>
          <w:rFonts w:eastAsia="Times New Roman"/>
          <w:b/>
          <w:bCs/>
          <w:lang w:eastAsia="en-GB"/>
        </w:rPr>
        <w:t xml:space="preserve">Model 1 </w:t>
      </w:r>
      <w:proofErr w:type="spellStart"/>
      <w:r w:rsidR="00A075A8" w:rsidRPr="4C19B7E2">
        <w:rPr>
          <w:rFonts w:eastAsia="Times New Roman"/>
          <w:b/>
          <w:bCs/>
          <w:lang w:eastAsia="en-GB"/>
        </w:rPr>
        <w:t>Chalder</w:t>
      </w:r>
      <w:proofErr w:type="spellEnd"/>
      <w:r w:rsidR="00A075A8" w:rsidRPr="4C19B7E2">
        <w:rPr>
          <w:rFonts w:eastAsia="Times New Roman"/>
          <w:b/>
          <w:bCs/>
          <w:lang w:eastAsia="en-GB"/>
        </w:rPr>
        <w:t xml:space="preserve"> physical fatigue score</w:t>
      </w:r>
    </w:p>
    <w:p w14:paraId="2A109D15" w14:textId="77777777" w:rsidR="00A075A8" w:rsidRDefault="00A075A8" w:rsidP="4C19B7E2">
      <w:pPr>
        <w:spacing w:line="360" w:lineRule="auto"/>
        <w:jc w:val="both"/>
        <w:rPr>
          <w:rFonts w:eastAsia="Times New Roman"/>
          <w:lang w:eastAsia="en-GB"/>
        </w:rPr>
      </w:pPr>
      <w:r w:rsidRPr="4C19B7E2">
        <w:rPr>
          <w:rFonts w:eastAsia="Times New Roman"/>
          <w:lang w:eastAsia="en-GB"/>
        </w:rPr>
        <w:t xml:space="preserve">As can be seen in Table 3, the independent variables explained 42% of the variance in physical fatigue. Lower levels of physical fatigue were significantly associated with being able to keep up with training requirements (p&lt;0.05), and higher level of physical fatigue associated with levels of anxiety and depression above the recommended thresholds (p&lt;0.05 and p&lt;.001 respectively). </w:t>
      </w:r>
    </w:p>
    <w:p w14:paraId="5A66ECF8" w14:textId="77777777" w:rsidR="00A075A8" w:rsidRPr="00663467" w:rsidRDefault="00A075A8" w:rsidP="4C19B7E2">
      <w:pPr>
        <w:spacing w:line="360" w:lineRule="auto"/>
        <w:jc w:val="both"/>
        <w:rPr>
          <w:rFonts w:eastAsia="Times New Roman"/>
          <w:lang w:eastAsia="en-GB"/>
        </w:rPr>
      </w:pPr>
    </w:p>
    <w:p w14:paraId="399DC4BB" w14:textId="36748E35" w:rsidR="00A075A8" w:rsidRDefault="002D12F6" w:rsidP="4C19B7E2">
      <w:pPr>
        <w:spacing w:line="360" w:lineRule="auto"/>
        <w:jc w:val="both"/>
        <w:rPr>
          <w:rFonts w:eastAsia="Times New Roman"/>
          <w:b/>
          <w:bCs/>
          <w:lang w:eastAsia="en-GB"/>
        </w:rPr>
      </w:pPr>
      <w:r>
        <w:rPr>
          <w:rFonts w:eastAsia="Times New Roman"/>
          <w:b/>
          <w:bCs/>
          <w:lang w:eastAsia="en-GB"/>
        </w:rPr>
        <w:t xml:space="preserve">Model 2 </w:t>
      </w:r>
      <w:proofErr w:type="spellStart"/>
      <w:r w:rsidR="00A075A8" w:rsidRPr="4C19B7E2">
        <w:rPr>
          <w:rFonts w:eastAsia="Times New Roman"/>
          <w:b/>
          <w:bCs/>
          <w:lang w:eastAsia="en-GB"/>
        </w:rPr>
        <w:t>Chalder</w:t>
      </w:r>
      <w:proofErr w:type="spellEnd"/>
      <w:r w:rsidR="00A075A8" w:rsidRPr="4C19B7E2">
        <w:rPr>
          <w:rFonts w:eastAsia="Times New Roman"/>
          <w:b/>
          <w:bCs/>
          <w:lang w:eastAsia="en-GB"/>
        </w:rPr>
        <w:t xml:space="preserve"> mental fatigue score</w:t>
      </w:r>
    </w:p>
    <w:p w14:paraId="7490FD37" w14:textId="73E2D14E" w:rsidR="00A075A8" w:rsidRDefault="4024292E" w:rsidP="4C19B7E2">
      <w:pPr>
        <w:spacing w:line="360" w:lineRule="auto"/>
        <w:jc w:val="both"/>
        <w:rPr>
          <w:rFonts w:eastAsia="Times New Roman"/>
          <w:lang w:eastAsia="en-GB"/>
        </w:rPr>
      </w:pPr>
      <w:r w:rsidRPr="4024292E">
        <w:rPr>
          <w:rFonts w:eastAsia="Times New Roman"/>
          <w:lang w:eastAsia="en-GB"/>
        </w:rPr>
        <w:t>The independent variables explained 31% of the variance in mental fatigue. Surprisingly, mental fatigue scores were significantly higher among those who felt their career had been positively impacted by the pandemic (p&lt;0.05), and, less surprisingly, by those who scored above the recommended threshold for depression (p&lt;.001)</w:t>
      </w:r>
    </w:p>
    <w:p w14:paraId="794F2B87" w14:textId="1E7644A2" w:rsidR="00A075A8" w:rsidRDefault="002D12F6" w:rsidP="4C19B7E2">
      <w:pPr>
        <w:spacing w:line="360" w:lineRule="auto"/>
        <w:jc w:val="both"/>
        <w:rPr>
          <w:rFonts w:eastAsia="Times New Roman"/>
          <w:b/>
          <w:bCs/>
          <w:lang w:eastAsia="en-GB"/>
        </w:rPr>
      </w:pPr>
      <w:r>
        <w:rPr>
          <w:rFonts w:eastAsia="Times New Roman"/>
          <w:b/>
          <w:bCs/>
          <w:lang w:eastAsia="en-GB"/>
        </w:rPr>
        <w:t xml:space="preserve">Model 3 </w:t>
      </w:r>
      <w:proofErr w:type="spellStart"/>
      <w:r w:rsidR="00A075A8" w:rsidRPr="4C19B7E2">
        <w:rPr>
          <w:rFonts w:eastAsia="Times New Roman"/>
          <w:b/>
          <w:bCs/>
          <w:lang w:eastAsia="en-GB"/>
        </w:rPr>
        <w:t>Chalder</w:t>
      </w:r>
      <w:proofErr w:type="spellEnd"/>
      <w:r w:rsidR="00A075A8" w:rsidRPr="4C19B7E2">
        <w:rPr>
          <w:rFonts w:eastAsia="Times New Roman"/>
          <w:b/>
          <w:bCs/>
          <w:lang w:eastAsia="en-GB"/>
        </w:rPr>
        <w:t xml:space="preserve"> total fatigue score</w:t>
      </w:r>
    </w:p>
    <w:p w14:paraId="6D45C051" w14:textId="77777777" w:rsidR="00A075A8" w:rsidRDefault="00A075A8" w:rsidP="4C19B7E2">
      <w:pPr>
        <w:spacing w:line="360" w:lineRule="auto"/>
        <w:jc w:val="both"/>
        <w:rPr>
          <w:rFonts w:eastAsia="Times New Roman"/>
          <w:lang w:eastAsia="en-GB"/>
        </w:rPr>
      </w:pPr>
      <w:r w:rsidRPr="4C19B7E2">
        <w:rPr>
          <w:rFonts w:eastAsia="Times New Roman"/>
          <w:lang w:eastAsia="en-GB"/>
        </w:rPr>
        <w:t xml:space="preserve">Finally, the independent variables explained 43% of the variance in total fatigue score. Lower levels of total fatigue were significantly associated with being able to keep up with training requirements (p&lt;0.05), while higher total fatigue was associated with levels of anxiety above the recommended threshold (p&lt;0.05), and levels of depression above the recommended threshold (p&lt;0.001). </w:t>
      </w:r>
    </w:p>
    <w:p w14:paraId="27EFE162" w14:textId="77777777" w:rsidR="00A075A8" w:rsidRDefault="00A075A8" w:rsidP="4C19B7E2">
      <w:pPr>
        <w:spacing w:line="360" w:lineRule="auto"/>
        <w:jc w:val="both"/>
        <w:rPr>
          <w:rFonts w:eastAsia="Times New Roman"/>
          <w:b/>
          <w:bCs/>
          <w:lang w:eastAsia="en-GB"/>
        </w:rPr>
      </w:pPr>
    </w:p>
    <w:p w14:paraId="38A62D1E" w14:textId="77777777" w:rsidR="00A075A8" w:rsidRDefault="00A075A8" w:rsidP="40B9AEF9">
      <w:pPr>
        <w:jc w:val="both"/>
        <w:rPr>
          <w:rFonts w:eastAsia="Times New Roman"/>
          <w:b/>
          <w:bCs/>
          <w:lang w:eastAsia="en-GB"/>
        </w:rPr>
      </w:pPr>
      <w:r w:rsidRPr="40B9AEF9">
        <w:rPr>
          <w:rFonts w:eastAsia="Times New Roman"/>
          <w:b/>
          <w:bCs/>
          <w:lang w:eastAsia="en-GB"/>
        </w:rPr>
        <w:br w:type="page"/>
      </w:r>
    </w:p>
    <w:p w14:paraId="5A1D9A6F" w14:textId="77777777" w:rsidR="00822445" w:rsidRPr="00822445" w:rsidRDefault="005777C9" w:rsidP="005D2029">
      <w:pPr>
        <w:spacing w:line="360" w:lineRule="auto"/>
        <w:jc w:val="both"/>
        <w:rPr>
          <w:rFonts w:eastAsia="Times New Roman" w:cstheme="minorHAnsi"/>
          <w:u w:val="single"/>
          <w:lang w:eastAsia="en-GB"/>
        </w:rPr>
      </w:pPr>
      <w:r>
        <w:rPr>
          <w:rFonts w:eastAsia="Times New Roman" w:cstheme="minorHAnsi"/>
          <w:u w:val="single"/>
          <w:lang w:eastAsia="en-GB"/>
        </w:rPr>
        <w:lastRenderedPageBreak/>
        <w:t>Professional development</w:t>
      </w:r>
    </w:p>
    <w:p w14:paraId="3CBA798E" w14:textId="099651DD" w:rsidR="003A6532" w:rsidRDefault="4024292E" w:rsidP="4C19B7E2">
      <w:pPr>
        <w:spacing w:line="360" w:lineRule="auto"/>
        <w:jc w:val="both"/>
        <w:rPr>
          <w:rFonts w:eastAsia="Times New Roman"/>
          <w:lang w:eastAsia="en-GB"/>
        </w:rPr>
      </w:pPr>
      <w:r w:rsidRPr="4024292E">
        <w:rPr>
          <w:rFonts w:eastAsia="Times New Roman"/>
          <w:lang w:eastAsia="en-GB"/>
        </w:rPr>
        <w:t xml:space="preserve">A small proportion of respondents reported that they had time off work due to work related stress (5%, 8/161) during the pandemic; most were able to keep up with training requirements during the pandemic (51.6%, 93/161).   Most felt reasonably confident about being adequately prepared for another peak of COVID-19 cases (mean score 7.30 ±2.13; 1 = not adequately prepared; 10 = completely prepared). A small proportion of respondents felt that the pandemic had positively affected their career prospects (16%, 26/161); most felt there had been no change (70.1% 113/161). Just over a quarter (25.5%, 41/161) reported that they had considered leaving nursing because of the pandemic. </w:t>
      </w:r>
    </w:p>
    <w:p w14:paraId="58D5FF45" w14:textId="77777777" w:rsidR="004C55CB" w:rsidRDefault="004C55CB" w:rsidP="009C5E29">
      <w:pPr>
        <w:spacing w:line="360" w:lineRule="auto"/>
        <w:jc w:val="both"/>
        <w:rPr>
          <w:rFonts w:eastAsia="Times New Roman" w:cstheme="minorHAnsi"/>
          <w:u w:val="single"/>
          <w:lang w:eastAsia="en-GB"/>
        </w:rPr>
      </w:pPr>
    </w:p>
    <w:p w14:paraId="24AEED3C" w14:textId="77777777" w:rsidR="004B7F7C" w:rsidRPr="00551401" w:rsidRDefault="00E61A80" w:rsidP="00CB23B8">
      <w:pPr>
        <w:spacing w:line="360" w:lineRule="auto"/>
        <w:jc w:val="both"/>
        <w:rPr>
          <w:rFonts w:eastAsia="Times New Roman" w:cstheme="minorHAnsi"/>
          <w:u w:val="single"/>
          <w:lang w:eastAsia="en-GB"/>
        </w:rPr>
      </w:pPr>
      <w:r>
        <w:rPr>
          <w:rFonts w:eastAsia="Times New Roman" w:cstheme="minorHAnsi"/>
          <w:u w:val="single"/>
          <w:lang w:eastAsia="en-GB"/>
        </w:rPr>
        <w:t xml:space="preserve">Clinical care, </w:t>
      </w:r>
      <w:r w:rsidR="00FD3332">
        <w:rPr>
          <w:rFonts w:eastAsia="Times New Roman" w:cstheme="minorHAnsi"/>
          <w:u w:val="single"/>
          <w:lang w:eastAsia="en-GB"/>
        </w:rPr>
        <w:t>safety,</w:t>
      </w:r>
      <w:r>
        <w:rPr>
          <w:rFonts w:eastAsia="Times New Roman" w:cstheme="minorHAnsi"/>
          <w:u w:val="single"/>
          <w:lang w:eastAsia="en-GB"/>
        </w:rPr>
        <w:t xml:space="preserve"> and risk</w:t>
      </w:r>
      <w:r w:rsidR="00551401" w:rsidRPr="00551401">
        <w:rPr>
          <w:rFonts w:eastAsia="Times New Roman" w:cstheme="minorHAnsi"/>
          <w:u w:val="single"/>
          <w:lang w:eastAsia="en-GB"/>
        </w:rPr>
        <w:t xml:space="preserve"> </w:t>
      </w:r>
    </w:p>
    <w:p w14:paraId="65CFD13D" w14:textId="77777777" w:rsidR="00767C3F" w:rsidRDefault="00F929AB" w:rsidP="00CB23B8">
      <w:pPr>
        <w:spacing w:line="360" w:lineRule="auto"/>
        <w:jc w:val="both"/>
        <w:rPr>
          <w:rFonts w:eastAsia="Times New Roman" w:cstheme="minorHAnsi"/>
          <w:lang w:eastAsia="en-GB"/>
        </w:rPr>
      </w:pPr>
      <w:r w:rsidRPr="0064189C">
        <w:rPr>
          <w:rFonts w:eastAsia="Times New Roman" w:cstheme="minorHAnsi"/>
          <w:lang w:eastAsia="en-GB"/>
        </w:rPr>
        <w:t xml:space="preserve">Most stated that they had experienced positive emotional </w:t>
      </w:r>
      <w:r w:rsidR="00EC577D">
        <w:rPr>
          <w:rFonts w:eastAsia="Times New Roman" w:cstheme="minorHAnsi"/>
          <w:lang w:eastAsia="en-GB"/>
        </w:rPr>
        <w:t>interactions</w:t>
      </w:r>
      <w:r w:rsidR="00EC577D" w:rsidRPr="0064189C">
        <w:rPr>
          <w:rFonts w:eastAsia="Times New Roman" w:cstheme="minorHAnsi"/>
          <w:lang w:eastAsia="en-GB"/>
        </w:rPr>
        <w:t xml:space="preserve"> </w:t>
      </w:r>
      <w:r w:rsidRPr="0064189C">
        <w:rPr>
          <w:rFonts w:eastAsia="Times New Roman" w:cstheme="minorHAnsi"/>
          <w:lang w:eastAsia="en-GB"/>
        </w:rPr>
        <w:t>from patients since the start of the pandemic (85.8%, 139/161)</w:t>
      </w:r>
      <w:r w:rsidR="008D06B5">
        <w:rPr>
          <w:rFonts w:eastAsia="Times New Roman" w:cstheme="minorHAnsi"/>
          <w:lang w:eastAsia="en-GB"/>
        </w:rPr>
        <w:t xml:space="preserve">. </w:t>
      </w:r>
      <w:r w:rsidRPr="0064189C">
        <w:rPr>
          <w:rFonts w:eastAsia="Times New Roman" w:cstheme="minorHAnsi"/>
          <w:lang w:eastAsia="en-GB"/>
        </w:rPr>
        <w:t xml:space="preserve"> </w:t>
      </w:r>
      <w:r w:rsidR="00AB6AF3">
        <w:rPr>
          <w:rFonts w:eastAsia="Times New Roman" w:cstheme="minorHAnsi"/>
          <w:lang w:eastAsia="en-GB"/>
        </w:rPr>
        <w:t>Examples of positive emotional responses such as</w:t>
      </w:r>
      <w:r w:rsidR="00767C3F">
        <w:rPr>
          <w:rFonts w:eastAsia="Times New Roman" w:cstheme="minorHAnsi"/>
          <w:lang w:eastAsia="en-GB"/>
        </w:rPr>
        <w:t>:</w:t>
      </w:r>
    </w:p>
    <w:p w14:paraId="709B0512" w14:textId="77777777" w:rsidR="00767C3F" w:rsidRDefault="00AB6AF3" w:rsidP="00CB23B8">
      <w:pPr>
        <w:spacing w:line="360" w:lineRule="auto"/>
        <w:jc w:val="both"/>
        <w:rPr>
          <w:rFonts w:eastAsia="Times New Roman" w:cstheme="minorHAnsi"/>
          <w:lang w:eastAsia="en-GB"/>
        </w:rPr>
      </w:pPr>
      <w:r>
        <w:rPr>
          <w:rFonts w:eastAsia="Times New Roman" w:cstheme="minorHAnsi"/>
          <w:lang w:eastAsia="en-GB"/>
        </w:rPr>
        <w:t xml:space="preserve"> “</w:t>
      </w:r>
      <w:r w:rsidRPr="00AB6AF3">
        <w:rPr>
          <w:rFonts w:eastAsia="Times New Roman" w:cstheme="minorHAnsi"/>
          <w:i/>
          <w:lang w:eastAsia="en-GB"/>
        </w:rPr>
        <w:t xml:space="preserve">In </w:t>
      </w:r>
      <w:r w:rsidR="00767C3F">
        <w:rPr>
          <w:rFonts w:eastAsia="Times New Roman" w:cstheme="minorHAnsi"/>
          <w:i/>
          <w:lang w:eastAsia="en-GB"/>
        </w:rPr>
        <w:t xml:space="preserve">the </w:t>
      </w:r>
      <w:r w:rsidRPr="00AB6AF3">
        <w:rPr>
          <w:rFonts w:eastAsia="Times New Roman" w:cstheme="minorHAnsi"/>
          <w:i/>
          <w:lang w:eastAsia="en-GB"/>
        </w:rPr>
        <w:t>1st lock down, lots of</w:t>
      </w:r>
      <w:r w:rsidR="00EC577D">
        <w:rPr>
          <w:rFonts w:eastAsia="Times New Roman" w:cstheme="minorHAnsi"/>
          <w:i/>
          <w:lang w:eastAsia="en-GB"/>
        </w:rPr>
        <w:t xml:space="preserve"> </w:t>
      </w:r>
      <w:r w:rsidRPr="00AB6AF3">
        <w:rPr>
          <w:rFonts w:eastAsia="Times New Roman" w:cstheme="minorHAnsi"/>
          <w:i/>
          <w:lang w:eastAsia="en-GB"/>
        </w:rPr>
        <w:t>encouraging messages from patients, thankful we remained open</w:t>
      </w:r>
      <w:r w:rsidR="00CB23B8">
        <w:rPr>
          <w:rFonts w:eastAsia="Times New Roman" w:cstheme="minorHAnsi"/>
          <w:i/>
          <w:lang w:eastAsia="en-GB"/>
        </w:rPr>
        <w:t>.</w:t>
      </w:r>
      <w:r>
        <w:rPr>
          <w:rFonts w:eastAsia="Times New Roman" w:cstheme="minorHAnsi"/>
          <w:lang w:eastAsia="en-GB"/>
        </w:rPr>
        <w:t xml:space="preserve">” </w:t>
      </w:r>
      <w:r w:rsidR="001C303D">
        <w:rPr>
          <w:rFonts w:eastAsia="Times New Roman" w:cstheme="minorHAnsi"/>
          <w:lang w:eastAsia="en-GB"/>
        </w:rPr>
        <w:t>[R28]</w:t>
      </w:r>
    </w:p>
    <w:p w14:paraId="061E83AC" w14:textId="23F92309" w:rsidR="00767C3F" w:rsidRDefault="6375884C" w:rsidP="40B9AEF9">
      <w:pPr>
        <w:spacing w:line="360" w:lineRule="auto"/>
        <w:jc w:val="both"/>
        <w:rPr>
          <w:rFonts w:eastAsia="Times New Roman"/>
          <w:lang w:eastAsia="en-GB"/>
        </w:rPr>
      </w:pPr>
      <w:r w:rsidRPr="689DBCEB">
        <w:rPr>
          <w:rFonts w:eastAsia="Times New Roman"/>
          <w:lang w:eastAsia="en-GB"/>
        </w:rPr>
        <w:t>Nurses also reported negative emotional responses from patients (69.8% 113/161) for example:</w:t>
      </w:r>
    </w:p>
    <w:p w14:paraId="5BAE01F9" w14:textId="77777777" w:rsidR="00AB6AF3" w:rsidRDefault="00AB6AF3" w:rsidP="40B9AEF9">
      <w:pPr>
        <w:spacing w:line="240" w:lineRule="auto"/>
        <w:jc w:val="both"/>
        <w:rPr>
          <w:rFonts w:eastAsia="Times New Roman"/>
          <w:i/>
          <w:iCs/>
          <w:lang w:eastAsia="en-GB"/>
        </w:rPr>
      </w:pPr>
      <w:r w:rsidRPr="40B9AEF9">
        <w:rPr>
          <w:rFonts w:eastAsia="Times New Roman"/>
          <w:lang w:eastAsia="en-GB"/>
        </w:rPr>
        <w:t xml:space="preserve"> “</w:t>
      </w:r>
      <w:r w:rsidRPr="40B9AEF9">
        <w:rPr>
          <w:rFonts w:eastAsia="Times New Roman"/>
          <w:i/>
          <w:iCs/>
          <w:lang w:eastAsia="en-GB"/>
        </w:rPr>
        <w:t>Anger</w:t>
      </w:r>
      <w:r w:rsidR="00D83707" w:rsidRPr="40B9AEF9">
        <w:rPr>
          <w:rFonts w:eastAsia="Times New Roman"/>
          <w:i/>
          <w:iCs/>
          <w:lang w:eastAsia="en-GB"/>
        </w:rPr>
        <w:t>,</w:t>
      </w:r>
      <w:r w:rsidRPr="40B9AEF9">
        <w:rPr>
          <w:rFonts w:eastAsia="Times New Roman"/>
          <w:i/>
          <w:iCs/>
          <w:lang w:eastAsia="en-GB"/>
        </w:rPr>
        <w:t xml:space="preserve"> frustration and fear and anxiety all relating to concerns re </w:t>
      </w:r>
      <w:proofErr w:type="spellStart"/>
      <w:r w:rsidRPr="40B9AEF9">
        <w:rPr>
          <w:rFonts w:eastAsia="Times New Roman"/>
          <w:i/>
          <w:iCs/>
          <w:lang w:eastAsia="en-GB"/>
        </w:rPr>
        <w:t>covid</w:t>
      </w:r>
      <w:proofErr w:type="spellEnd"/>
      <w:r w:rsidRPr="40B9AEF9">
        <w:rPr>
          <w:rFonts w:eastAsia="Times New Roman"/>
          <w:i/>
          <w:iCs/>
          <w:lang w:eastAsia="en-GB"/>
        </w:rPr>
        <w:t xml:space="preserve">” </w:t>
      </w:r>
      <w:r w:rsidRPr="40B9AEF9">
        <w:rPr>
          <w:rFonts w:eastAsia="Times New Roman"/>
          <w:lang w:eastAsia="en-GB"/>
        </w:rPr>
        <w:t>and</w:t>
      </w:r>
      <w:r w:rsidRPr="40B9AEF9">
        <w:rPr>
          <w:rFonts w:eastAsia="Times New Roman"/>
          <w:i/>
          <w:iCs/>
          <w:lang w:eastAsia="en-GB"/>
        </w:rPr>
        <w:t xml:space="preserve"> </w:t>
      </w:r>
      <w:r w:rsidRPr="40B9AEF9">
        <w:rPr>
          <w:rFonts w:eastAsia="Times New Roman"/>
          <w:lang w:eastAsia="en-GB"/>
        </w:rPr>
        <w:t>“</w:t>
      </w:r>
      <w:r w:rsidRPr="40B9AEF9">
        <w:rPr>
          <w:rFonts w:eastAsia="Times New Roman"/>
          <w:i/>
          <w:iCs/>
          <w:lang w:eastAsia="en-GB"/>
        </w:rPr>
        <w:t>Anger that you don't have staffing levels to meet their needs”</w:t>
      </w:r>
      <w:r w:rsidR="001C303D" w:rsidRPr="40B9AEF9">
        <w:rPr>
          <w:rFonts w:eastAsia="Times New Roman"/>
          <w:i/>
          <w:iCs/>
          <w:lang w:eastAsia="en-GB"/>
        </w:rPr>
        <w:t xml:space="preserve"> </w:t>
      </w:r>
      <w:r w:rsidR="001C303D" w:rsidRPr="40B9AEF9">
        <w:rPr>
          <w:rFonts w:eastAsia="Times New Roman"/>
          <w:lang w:eastAsia="en-GB"/>
        </w:rPr>
        <w:t>[R</w:t>
      </w:r>
      <w:r w:rsidR="004B6DD1" w:rsidRPr="40B9AEF9">
        <w:rPr>
          <w:rFonts w:eastAsia="Times New Roman"/>
          <w:lang w:eastAsia="en-GB"/>
        </w:rPr>
        <w:t>18]</w:t>
      </w:r>
    </w:p>
    <w:p w14:paraId="3D8E98E8" w14:textId="006178F5" w:rsidR="00024AEA" w:rsidRDefault="7A1E0154" w:rsidP="40B9AEF9">
      <w:pPr>
        <w:spacing w:line="360" w:lineRule="auto"/>
        <w:jc w:val="both"/>
        <w:rPr>
          <w:rFonts w:eastAsia="Times New Roman"/>
          <w:lang w:eastAsia="en-GB"/>
        </w:rPr>
      </w:pPr>
      <w:r w:rsidRPr="594CCC0A">
        <w:rPr>
          <w:rFonts w:eastAsia="Times New Roman"/>
          <w:lang w:eastAsia="en-GB"/>
        </w:rPr>
        <w:t xml:space="preserve">The </w:t>
      </w:r>
      <w:r w:rsidR="00D83707" w:rsidRPr="594CCC0A">
        <w:rPr>
          <w:rFonts w:eastAsia="Times New Roman"/>
          <w:lang w:eastAsia="en-GB"/>
        </w:rPr>
        <w:t>majority of p</w:t>
      </w:r>
      <w:r w:rsidR="00097577" w:rsidRPr="594CCC0A">
        <w:rPr>
          <w:rFonts w:eastAsia="Times New Roman"/>
          <w:lang w:eastAsia="en-GB"/>
        </w:rPr>
        <w:t xml:space="preserve">articipants thought </w:t>
      </w:r>
      <w:r w:rsidR="00D83707" w:rsidRPr="594CCC0A">
        <w:rPr>
          <w:rFonts w:eastAsia="Times New Roman"/>
          <w:lang w:eastAsia="en-GB"/>
        </w:rPr>
        <w:t xml:space="preserve">that patient safety had been negatively affected by </w:t>
      </w:r>
      <w:r w:rsidR="00097577" w:rsidRPr="594CCC0A">
        <w:rPr>
          <w:rFonts w:eastAsia="Times New Roman"/>
          <w:lang w:eastAsia="en-GB"/>
        </w:rPr>
        <w:t>the pandemic</w:t>
      </w:r>
      <w:r w:rsidR="008F4960" w:rsidRPr="594CCC0A">
        <w:rPr>
          <w:rFonts w:eastAsia="Times New Roman"/>
          <w:lang w:eastAsia="en-GB"/>
        </w:rPr>
        <w:t xml:space="preserve"> (73.9%, 119/161)</w:t>
      </w:r>
      <w:r w:rsidR="00024AEA" w:rsidRPr="594CCC0A">
        <w:rPr>
          <w:rFonts w:eastAsia="Times New Roman"/>
          <w:lang w:eastAsia="en-GB"/>
        </w:rPr>
        <w:t>:</w:t>
      </w:r>
    </w:p>
    <w:p w14:paraId="228CC1E4" w14:textId="77777777" w:rsidR="00024AEA" w:rsidRPr="00024AEA" w:rsidRDefault="00024AEA" w:rsidP="009B7BD6">
      <w:pPr>
        <w:spacing w:line="240" w:lineRule="auto"/>
        <w:jc w:val="both"/>
        <w:rPr>
          <w:rFonts w:eastAsia="Times New Roman" w:cstheme="minorHAnsi"/>
          <w:i/>
          <w:lang w:eastAsia="en-GB"/>
        </w:rPr>
      </w:pPr>
      <w:r w:rsidRPr="00024AEA">
        <w:rPr>
          <w:rFonts w:eastAsia="Times New Roman" w:cstheme="minorHAnsi"/>
          <w:i/>
          <w:lang w:eastAsia="en-GB"/>
        </w:rPr>
        <w:t>“Barriers in providing same level of patient care due to patient isolation and increased PPE use required.”</w:t>
      </w:r>
      <w:r w:rsidR="009156F8">
        <w:rPr>
          <w:rFonts w:eastAsia="Times New Roman" w:cstheme="minorHAnsi"/>
          <w:i/>
          <w:lang w:eastAsia="en-GB"/>
        </w:rPr>
        <w:t xml:space="preserve"> </w:t>
      </w:r>
      <w:r w:rsidR="009156F8" w:rsidRPr="009156F8">
        <w:rPr>
          <w:rFonts w:eastAsia="Times New Roman" w:cstheme="minorHAnsi"/>
          <w:lang w:eastAsia="en-GB"/>
        </w:rPr>
        <w:t>[R8]</w:t>
      </w:r>
    </w:p>
    <w:p w14:paraId="0CF717DB" w14:textId="77777777" w:rsidR="00024AEA" w:rsidRPr="00024AEA" w:rsidRDefault="00024AEA" w:rsidP="009B7BD6">
      <w:pPr>
        <w:spacing w:line="240" w:lineRule="auto"/>
        <w:jc w:val="both"/>
        <w:rPr>
          <w:rFonts w:eastAsia="Times New Roman" w:cstheme="minorHAnsi"/>
          <w:i/>
          <w:lang w:eastAsia="en-GB"/>
        </w:rPr>
      </w:pPr>
      <w:r w:rsidRPr="00024AEA">
        <w:rPr>
          <w:rFonts w:eastAsia="Times New Roman" w:cstheme="minorHAnsi"/>
          <w:i/>
          <w:lang w:eastAsia="en-GB"/>
        </w:rPr>
        <w:t>“All areas are affected but increased pressure resulting in pressured decisions which I believe impact patient care”</w:t>
      </w:r>
      <w:r w:rsidR="00452503">
        <w:rPr>
          <w:rFonts w:eastAsia="Times New Roman" w:cstheme="minorHAnsi"/>
          <w:i/>
          <w:lang w:eastAsia="en-GB"/>
        </w:rPr>
        <w:t xml:space="preserve"> </w:t>
      </w:r>
      <w:r w:rsidR="00452503" w:rsidRPr="00452503">
        <w:rPr>
          <w:rFonts w:eastAsia="Times New Roman" w:cstheme="minorHAnsi"/>
          <w:lang w:eastAsia="en-GB"/>
        </w:rPr>
        <w:t>[R111]</w:t>
      </w:r>
    </w:p>
    <w:p w14:paraId="7E5ADFBB" w14:textId="6894FB49" w:rsidR="008D30D4" w:rsidRPr="00024AEA" w:rsidRDefault="00024AEA" w:rsidP="594CCC0A">
      <w:pPr>
        <w:spacing w:line="240" w:lineRule="auto"/>
        <w:jc w:val="both"/>
        <w:rPr>
          <w:rFonts w:eastAsia="Times New Roman"/>
          <w:i/>
          <w:iCs/>
          <w:lang w:eastAsia="en-GB"/>
        </w:rPr>
      </w:pPr>
      <w:r w:rsidRPr="594CCC0A">
        <w:rPr>
          <w:rFonts w:eastAsia="Times New Roman"/>
          <w:i/>
          <w:iCs/>
          <w:lang w:eastAsia="en-GB"/>
        </w:rPr>
        <w:t xml:space="preserve">“Due to staff and ward </w:t>
      </w:r>
      <w:r w:rsidR="506467F7" w:rsidRPr="594CCC0A">
        <w:rPr>
          <w:rFonts w:eastAsia="Times New Roman"/>
          <w:i/>
          <w:iCs/>
          <w:lang w:eastAsia="en-GB"/>
        </w:rPr>
        <w:t>movements,</w:t>
      </w:r>
      <w:r w:rsidRPr="594CCC0A">
        <w:rPr>
          <w:rFonts w:eastAsia="Times New Roman"/>
          <w:i/>
          <w:iCs/>
          <w:lang w:eastAsia="en-GB"/>
        </w:rPr>
        <w:t xml:space="preserve"> I feel skill mix has been inadequate at times in regards to patient safety</w:t>
      </w:r>
      <w:r w:rsidR="008D30D4" w:rsidRPr="594CCC0A">
        <w:rPr>
          <w:rFonts w:eastAsia="Times New Roman"/>
          <w:i/>
          <w:iCs/>
          <w:lang w:eastAsia="en-GB"/>
        </w:rPr>
        <w:t>”.</w:t>
      </w:r>
      <w:r w:rsidR="00810DE0" w:rsidRPr="594CCC0A">
        <w:rPr>
          <w:rFonts w:eastAsia="Times New Roman"/>
          <w:i/>
          <w:iCs/>
          <w:lang w:eastAsia="en-GB"/>
        </w:rPr>
        <w:t xml:space="preserve"> </w:t>
      </w:r>
      <w:r w:rsidR="00810DE0" w:rsidRPr="594CCC0A">
        <w:rPr>
          <w:rFonts w:eastAsia="Times New Roman"/>
          <w:lang w:eastAsia="en-GB"/>
        </w:rPr>
        <w:t>[R34]</w:t>
      </w:r>
    </w:p>
    <w:p w14:paraId="7F460B75" w14:textId="77777777" w:rsidR="001B140A" w:rsidRDefault="008D30D4" w:rsidP="00CB23B8">
      <w:pPr>
        <w:spacing w:line="360" w:lineRule="auto"/>
        <w:jc w:val="both"/>
        <w:rPr>
          <w:rFonts w:eastAsia="Times New Roman" w:cstheme="minorHAnsi"/>
          <w:lang w:eastAsia="en-GB"/>
        </w:rPr>
      </w:pPr>
      <w:r>
        <w:rPr>
          <w:rFonts w:eastAsia="Times New Roman" w:cstheme="minorHAnsi"/>
          <w:lang w:eastAsia="en-GB"/>
        </w:rPr>
        <w:t>Just over</w:t>
      </w:r>
      <w:r w:rsidR="00097577">
        <w:rPr>
          <w:rFonts w:eastAsia="Times New Roman" w:cstheme="minorHAnsi"/>
          <w:lang w:eastAsia="en-GB"/>
        </w:rPr>
        <w:t xml:space="preserve"> half thought the quality of care </w:t>
      </w:r>
      <w:r>
        <w:rPr>
          <w:rFonts w:eastAsia="Times New Roman" w:cstheme="minorHAnsi"/>
          <w:lang w:eastAsia="en-GB"/>
        </w:rPr>
        <w:t xml:space="preserve">did not </w:t>
      </w:r>
      <w:r w:rsidR="005777C9">
        <w:rPr>
          <w:rFonts w:eastAsia="Times New Roman" w:cstheme="minorHAnsi"/>
          <w:lang w:eastAsia="en-GB"/>
        </w:rPr>
        <w:t>me</w:t>
      </w:r>
      <w:r>
        <w:rPr>
          <w:rFonts w:eastAsia="Times New Roman" w:cstheme="minorHAnsi"/>
          <w:lang w:eastAsia="en-GB"/>
        </w:rPr>
        <w:t>e</w:t>
      </w:r>
      <w:r w:rsidR="005777C9">
        <w:rPr>
          <w:rFonts w:eastAsia="Times New Roman" w:cstheme="minorHAnsi"/>
          <w:lang w:eastAsia="en-GB"/>
        </w:rPr>
        <w:t>t the same standards a</w:t>
      </w:r>
      <w:r w:rsidR="00097577">
        <w:rPr>
          <w:rFonts w:eastAsia="Times New Roman" w:cstheme="minorHAnsi"/>
          <w:lang w:eastAsia="en-GB"/>
        </w:rPr>
        <w:t>s pre-pandemic</w:t>
      </w:r>
      <w:r w:rsidR="005777C9">
        <w:rPr>
          <w:rFonts w:eastAsia="Times New Roman" w:cstheme="minorHAnsi"/>
          <w:lang w:eastAsia="en-GB"/>
        </w:rPr>
        <w:t xml:space="preserve"> levels</w:t>
      </w:r>
      <w:r w:rsidR="00097577">
        <w:rPr>
          <w:rFonts w:eastAsia="Times New Roman" w:cstheme="minorHAnsi"/>
          <w:lang w:eastAsia="en-GB"/>
        </w:rPr>
        <w:t xml:space="preserve"> (</w:t>
      </w:r>
      <w:r>
        <w:rPr>
          <w:rFonts w:eastAsia="Times New Roman" w:cstheme="minorHAnsi"/>
          <w:lang w:eastAsia="en-GB"/>
        </w:rPr>
        <w:t>50.3</w:t>
      </w:r>
      <w:r w:rsidR="00097577">
        <w:rPr>
          <w:rFonts w:eastAsia="Times New Roman" w:cstheme="minorHAnsi"/>
          <w:lang w:eastAsia="en-GB"/>
        </w:rPr>
        <w:t>%</w:t>
      </w:r>
      <w:r w:rsidR="00B9530F">
        <w:rPr>
          <w:rFonts w:eastAsia="Times New Roman" w:cstheme="minorHAnsi"/>
          <w:lang w:eastAsia="en-GB"/>
        </w:rPr>
        <w:t>, 8</w:t>
      </w:r>
      <w:r>
        <w:rPr>
          <w:rFonts w:eastAsia="Times New Roman" w:cstheme="minorHAnsi"/>
          <w:lang w:eastAsia="en-GB"/>
        </w:rPr>
        <w:t>1</w:t>
      </w:r>
      <w:r w:rsidR="00B9530F">
        <w:rPr>
          <w:rFonts w:eastAsia="Times New Roman" w:cstheme="minorHAnsi"/>
          <w:lang w:eastAsia="en-GB"/>
        </w:rPr>
        <w:t>/161</w:t>
      </w:r>
      <w:r w:rsidR="00097577">
        <w:rPr>
          <w:rFonts w:eastAsia="Times New Roman" w:cstheme="minorHAnsi"/>
          <w:lang w:eastAsia="en-GB"/>
        </w:rPr>
        <w:t>)</w:t>
      </w:r>
      <w:r w:rsidR="00725244">
        <w:rPr>
          <w:rFonts w:eastAsia="Times New Roman" w:cstheme="minorHAnsi"/>
          <w:lang w:eastAsia="en-GB"/>
        </w:rPr>
        <w:t>:</w:t>
      </w:r>
      <w:r w:rsidR="008E5F81">
        <w:rPr>
          <w:rFonts w:eastAsia="Times New Roman" w:cstheme="minorHAnsi"/>
          <w:lang w:eastAsia="en-GB"/>
        </w:rPr>
        <w:t xml:space="preserve"> </w:t>
      </w:r>
    </w:p>
    <w:p w14:paraId="3D327187" w14:textId="77777777" w:rsidR="00576000" w:rsidRPr="00C24D82" w:rsidRDefault="00725244" w:rsidP="00CB23B8">
      <w:pPr>
        <w:spacing w:line="360" w:lineRule="auto"/>
        <w:jc w:val="both"/>
        <w:rPr>
          <w:rFonts w:eastAsia="Times New Roman" w:cstheme="minorHAnsi"/>
          <w:i/>
          <w:lang w:eastAsia="en-GB"/>
        </w:rPr>
      </w:pPr>
      <w:r w:rsidRPr="00C24D82">
        <w:rPr>
          <w:rFonts w:eastAsia="Times New Roman" w:cstheme="minorHAnsi"/>
          <w:i/>
          <w:lang w:eastAsia="en-GB"/>
        </w:rPr>
        <w:t>“</w:t>
      </w:r>
      <w:r w:rsidR="00024AEA" w:rsidRPr="00C24D82">
        <w:rPr>
          <w:rFonts w:eastAsia="Times New Roman" w:cstheme="minorHAnsi"/>
          <w:i/>
          <w:lang w:eastAsia="en-GB"/>
        </w:rPr>
        <w:t>Clinical basics yes but</w:t>
      </w:r>
      <w:r w:rsidRPr="00C24D82">
        <w:rPr>
          <w:rFonts w:eastAsia="Times New Roman" w:cstheme="minorHAnsi"/>
          <w:i/>
          <w:lang w:eastAsia="en-GB"/>
        </w:rPr>
        <w:t xml:space="preserve"> </w:t>
      </w:r>
      <w:r w:rsidR="00024AEA" w:rsidRPr="00C24D82">
        <w:rPr>
          <w:rFonts w:eastAsia="Times New Roman" w:cstheme="minorHAnsi"/>
          <w:i/>
          <w:lang w:eastAsia="en-GB"/>
        </w:rPr>
        <w:t>trying to achieve excellent</w:t>
      </w:r>
      <w:r w:rsidRPr="00C24D82">
        <w:rPr>
          <w:rFonts w:eastAsia="Times New Roman" w:cstheme="minorHAnsi"/>
          <w:i/>
          <w:lang w:eastAsia="en-GB"/>
        </w:rPr>
        <w:t xml:space="preserve"> </w:t>
      </w:r>
      <w:r w:rsidR="00024AEA" w:rsidRPr="00C24D82">
        <w:rPr>
          <w:rFonts w:eastAsia="Times New Roman" w:cstheme="minorHAnsi"/>
          <w:i/>
          <w:lang w:eastAsia="en-GB"/>
        </w:rPr>
        <w:t>care has been difficult</w:t>
      </w:r>
      <w:r w:rsidRPr="00C24D82">
        <w:rPr>
          <w:rFonts w:eastAsia="Times New Roman" w:cstheme="minorHAnsi"/>
          <w:i/>
          <w:lang w:eastAsia="en-GB"/>
        </w:rPr>
        <w:t>”</w:t>
      </w:r>
    </w:p>
    <w:p w14:paraId="533A22C8" w14:textId="77777777" w:rsidR="00C24D82" w:rsidRDefault="00725244" w:rsidP="009B7BD6">
      <w:pPr>
        <w:spacing w:line="240" w:lineRule="auto"/>
        <w:jc w:val="both"/>
      </w:pPr>
      <w:r w:rsidRPr="00C24D82">
        <w:rPr>
          <w:rFonts w:eastAsia="Times New Roman" w:cstheme="minorHAnsi"/>
          <w:i/>
          <w:lang w:eastAsia="en-GB"/>
        </w:rPr>
        <w:t>“Conditions hard</w:t>
      </w:r>
      <w:r w:rsidR="008D30D4">
        <w:rPr>
          <w:rFonts w:eastAsia="Times New Roman" w:cstheme="minorHAnsi"/>
          <w:i/>
          <w:lang w:eastAsia="en-GB"/>
        </w:rPr>
        <w:t>,</w:t>
      </w:r>
      <w:r w:rsidRPr="00C24D82">
        <w:rPr>
          <w:rFonts w:eastAsia="Times New Roman" w:cstheme="minorHAnsi"/>
          <w:i/>
          <w:lang w:eastAsia="en-GB"/>
        </w:rPr>
        <w:t xml:space="preserve"> PPE difficult to work in. Fewer </w:t>
      </w:r>
      <w:proofErr w:type="gramStart"/>
      <w:r w:rsidRPr="00C24D82">
        <w:rPr>
          <w:rFonts w:eastAsia="Times New Roman" w:cstheme="minorHAnsi"/>
          <w:i/>
          <w:lang w:eastAsia="en-GB"/>
        </w:rPr>
        <w:t>nurses</w:t>
      </w:r>
      <w:proofErr w:type="gramEnd"/>
      <w:r w:rsidRPr="00C24D82">
        <w:rPr>
          <w:rFonts w:eastAsia="Times New Roman" w:cstheme="minorHAnsi"/>
          <w:i/>
          <w:lang w:eastAsia="en-GB"/>
        </w:rPr>
        <w:t xml:space="preserve"> lots of sickness. Workforce tired psychologically exhausted. Still trying hard</w:t>
      </w:r>
      <w:r w:rsidR="009B7BD6">
        <w:t>.</w:t>
      </w:r>
      <w:r w:rsidRPr="00C24D82">
        <w:rPr>
          <w:rFonts w:eastAsia="Times New Roman" w:cstheme="minorHAnsi"/>
          <w:i/>
          <w:lang w:eastAsia="en-GB"/>
        </w:rPr>
        <w:t>”</w:t>
      </w:r>
      <w:r w:rsidR="00C24D82" w:rsidRPr="00C24D82">
        <w:t xml:space="preserve"> </w:t>
      </w:r>
      <w:r w:rsidR="00810DE0">
        <w:t>[R40]</w:t>
      </w:r>
    </w:p>
    <w:p w14:paraId="78552B38" w14:textId="06BB23BA" w:rsidR="008D30D4" w:rsidRDefault="00A075A8" w:rsidP="00CB23B8">
      <w:pPr>
        <w:spacing w:line="360" w:lineRule="auto"/>
        <w:jc w:val="both"/>
      </w:pPr>
      <w:r>
        <w:t>There was one exception where a</w:t>
      </w:r>
      <w:r w:rsidR="00D83707">
        <w:t xml:space="preserve"> nurse commented that the pandemic may, paradoxically, have improved care</w:t>
      </w:r>
      <w:r w:rsidR="008D30D4">
        <w:t>:</w:t>
      </w:r>
    </w:p>
    <w:p w14:paraId="7667F801" w14:textId="13F99D45" w:rsidR="00725244" w:rsidRPr="00C24D82" w:rsidRDefault="4024292E" w:rsidP="4024292E">
      <w:pPr>
        <w:spacing w:line="240" w:lineRule="auto"/>
        <w:jc w:val="both"/>
        <w:rPr>
          <w:rFonts w:eastAsia="Times New Roman"/>
          <w:i/>
          <w:iCs/>
          <w:lang w:eastAsia="en-GB"/>
        </w:rPr>
      </w:pPr>
      <w:r>
        <w:lastRenderedPageBreak/>
        <w:t>“</w:t>
      </w:r>
      <w:r w:rsidRPr="4024292E">
        <w:rPr>
          <w:rFonts w:eastAsia="Times New Roman"/>
          <w:i/>
          <w:iCs/>
          <w:lang w:eastAsia="en-GB"/>
        </w:rPr>
        <w:t>All staff are going above and beyond. There has not been a lack of care, if anything there has been improvements to the patient’s care with new MDT ways of working.” [R93]</w:t>
      </w:r>
    </w:p>
    <w:p w14:paraId="0DA23787" w14:textId="00C293BD" w:rsidR="00497DB0" w:rsidRDefault="4024292E" w:rsidP="4024292E">
      <w:pPr>
        <w:spacing w:line="360" w:lineRule="auto"/>
        <w:jc w:val="both"/>
        <w:rPr>
          <w:rFonts w:eastAsia="Times New Roman"/>
          <w:lang w:eastAsia="en-GB"/>
        </w:rPr>
      </w:pPr>
      <w:r w:rsidRPr="4024292E">
        <w:rPr>
          <w:rFonts w:eastAsia="Times New Roman"/>
          <w:lang w:eastAsia="en-GB"/>
        </w:rPr>
        <w:t xml:space="preserve"> Just over half (54%, 87/161) thought patients were satisfied with the care they had received, one respondent wrote:</w:t>
      </w:r>
    </w:p>
    <w:p w14:paraId="2338DE95" w14:textId="77777777" w:rsidR="00BD7DCC" w:rsidRPr="00497DB0" w:rsidRDefault="4024292E" w:rsidP="4024292E">
      <w:pPr>
        <w:spacing w:line="240" w:lineRule="auto"/>
        <w:jc w:val="both"/>
        <w:rPr>
          <w:rFonts w:eastAsia="Times New Roman"/>
          <w:i/>
          <w:iCs/>
          <w:lang w:eastAsia="en-GB"/>
        </w:rPr>
      </w:pPr>
      <w:r w:rsidRPr="4024292E">
        <w:rPr>
          <w:rFonts w:eastAsia="Times New Roman"/>
          <w:i/>
          <w:iCs/>
          <w:lang w:eastAsia="en-GB"/>
        </w:rPr>
        <w:t xml:space="preserve"> “I think there will be arguments for both! I think people do see how hard we’re working under very difficult and strenuous circumstances but there will be people that will be unsatisfied with the care we are able to give.” </w:t>
      </w:r>
      <w:r w:rsidRPr="4024292E">
        <w:rPr>
          <w:rFonts w:eastAsia="Times New Roman"/>
          <w:lang w:eastAsia="en-GB"/>
        </w:rPr>
        <w:t>[R150]</w:t>
      </w:r>
    </w:p>
    <w:p w14:paraId="57BFB7DE" w14:textId="77777777" w:rsidR="00551401" w:rsidRPr="004B7F7C" w:rsidRDefault="008E5F81" w:rsidP="00CB23B8">
      <w:pPr>
        <w:spacing w:line="360" w:lineRule="auto"/>
        <w:jc w:val="both"/>
        <w:rPr>
          <w:rFonts w:eastAsia="Times New Roman" w:cstheme="minorHAnsi"/>
          <w:lang w:eastAsia="en-GB"/>
        </w:rPr>
      </w:pPr>
      <w:r w:rsidRPr="008F4960">
        <w:rPr>
          <w:rFonts w:eastAsia="Times New Roman" w:cstheme="minorHAnsi"/>
          <w:lang w:eastAsia="en-GB"/>
        </w:rPr>
        <w:t>Just over fifty percent (50.9%, 82/161) reported that there were plans to redeploy staff in their organisation over the winter period.</w:t>
      </w:r>
    </w:p>
    <w:p w14:paraId="4FD2F598" w14:textId="7852B736" w:rsidR="009B7BD6" w:rsidRDefault="009B7BD6" w:rsidP="40B9AEF9">
      <w:pPr>
        <w:spacing w:line="360" w:lineRule="auto"/>
        <w:jc w:val="both"/>
        <w:rPr>
          <w:rFonts w:eastAsia="Times New Roman"/>
          <w:u w:val="single"/>
          <w:lang w:eastAsia="en-GB"/>
        </w:rPr>
      </w:pPr>
    </w:p>
    <w:p w14:paraId="0EE6148E" w14:textId="571229A7" w:rsidR="00664BBC" w:rsidRPr="00664BBC" w:rsidRDefault="00664BBC" w:rsidP="40B9AEF9">
      <w:pPr>
        <w:spacing w:line="360" w:lineRule="auto"/>
        <w:jc w:val="both"/>
        <w:rPr>
          <w:rFonts w:eastAsia="Times New Roman"/>
          <w:b/>
          <w:bCs/>
          <w:lang w:eastAsia="en-GB"/>
        </w:rPr>
      </w:pPr>
      <w:r w:rsidRPr="40B9AEF9">
        <w:rPr>
          <w:rFonts w:eastAsia="Times New Roman"/>
          <w:b/>
          <w:bCs/>
          <w:lang w:eastAsia="en-GB"/>
        </w:rPr>
        <w:br w:type="page"/>
      </w:r>
      <w:r w:rsidRPr="40B9AEF9">
        <w:rPr>
          <w:rFonts w:eastAsia="Times New Roman"/>
          <w:b/>
          <w:bCs/>
          <w:lang w:eastAsia="en-GB"/>
        </w:rPr>
        <w:lastRenderedPageBreak/>
        <w:t xml:space="preserve">Discussion </w:t>
      </w:r>
    </w:p>
    <w:p w14:paraId="2BAF41B0" w14:textId="499B6F33" w:rsidR="00653B8D" w:rsidRDefault="00664BBC" w:rsidP="24D43A9E">
      <w:pPr>
        <w:spacing w:line="360" w:lineRule="auto"/>
        <w:jc w:val="both"/>
        <w:rPr>
          <w:rFonts w:eastAsia="Times New Roman"/>
          <w:lang w:eastAsia="en-GB"/>
        </w:rPr>
      </w:pPr>
      <w:r w:rsidRPr="594CCC0A">
        <w:rPr>
          <w:rFonts w:eastAsia="Times New Roman"/>
          <w:lang w:eastAsia="en-GB"/>
        </w:rPr>
        <w:t>This study set out to</w:t>
      </w:r>
      <w:r w:rsidR="00976BF9" w:rsidRPr="594CCC0A">
        <w:rPr>
          <w:rFonts w:eastAsia="Times New Roman"/>
          <w:lang w:eastAsia="en-GB"/>
        </w:rPr>
        <w:t xml:space="preserve"> </w:t>
      </w:r>
      <w:r w:rsidR="0075669E" w:rsidRPr="594CCC0A">
        <w:rPr>
          <w:rFonts w:eastAsia="Times New Roman"/>
          <w:lang w:eastAsia="en-GB"/>
        </w:rPr>
        <w:t xml:space="preserve">identify and characterise the experiences of nurses working in respiratory settings, specifically focusing </w:t>
      </w:r>
      <w:r w:rsidR="00B935FD" w:rsidRPr="594CCC0A">
        <w:rPr>
          <w:rFonts w:eastAsia="Times New Roman"/>
          <w:lang w:eastAsia="en-GB"/>
        </w:rPr>
        <w:t xml:space="preserve">fatigue </w:t>
      </w:r>
      <w:r w:rsidR="00B935FD">
        <w:rPr>
          <w:rFonts w:eastAsia="Times New Roman"/>
          <w:lang w:eastAsia="en-GB"/>
        </w:rPr>
        <w:t>and the influence of</w:t>
      </w:r>
      <w:r w:rsidR="0075669E" w:rsidRPr="594CCC0A">
        <w:rPr>
          <w:rFonts w:eastAsia="Times New Roman"/>
          <w:lang w:eastAsia="en-GB"/>
        </w:rPr>
        <w:t xml:space="preserve"> </w:t>
      </w:r>
      <w:r w:rsidR="00976BF9" w:rsidRPr="594CCC0A">
        <w:rPr>
          <w:rFonts w:eastAsia="Times New Roman"/>
          <w:lang w:eastAsia="en-GB"/>
        </w:rPr>
        <w:t>anxiety, depression</w:t>
      </w:r>
      <w:r w:rsidR="00B935FD">
        <w:rPr>
          <w:rFonts w:eastAsia="Times New Roman"/>
          <w:lang w:eastAsia="en-GB"/>
        </w:rPr>
        <w:t xml:space="preserve"> and</w:t>
      </w:r>
      <w:r w:rsidR="00663467" w:rsidRPr="594CCC0A">
        <w:rPr>
          <w:rFonts w:eastAsia="Times New Roman"/>
          <w:lang w:eastAsia="en-GB"/>
        </w:rPr>
        <w:t xml:space="preserve"> </w:t>
      </w:r>
      <w:r w:rsidR="00D7426C" w:rsidRPr="594CCC0A">
        <w:rPr>
          <w:rFonts w:eastAsia="Times New Roman"/>
          <w:lang w:eastAsia="en-GB"/>
        </w:rPr>
        <w:t>resilience</w:t>
      </w:r>
      <w:r w:rsidR="00B935FD">
        <w:rPr>
          <w:rFonts w:eastAsia="Times New Roman"/>
          <w:lang w:eastAsia="en-GB"/>
        </w:rPr>
        <w:t xml:space="preserve"> over winter 2020.</w:t>
      </w:r>
      <w:r w:rsidR="00CF01F4" w:rsidRPr="594CCC0A">
        <w:rPr>
          <w:rFonts w:eastAsia="Times New Roman"/>
          <w:lang w:eastAsia="en-GB"/>
        </w:rPr>
        <w:t xml:space="preserve"> </w:t>
      </w:r>
      <w:r w:rsidR="00976BF9" w:rsidRPr="594CCC0A">
        <w:rPr>
          <w:rFonts w:eastAsia="Times New Roman"/>
          <w:lang w:eastAsia="en-GB"/>
        </w:rPr>
        <w:t xml:space="preserve">Our previous </w:t>
      </w:r>
      <w:r w:rsidR="00CC6B4B" w:rsidRPr="594CCC0A">
        <w:rPr>
          <w:rFonts w:eastAsia="Times New Roman"/>
          <w:lang w:eastAsia="en-GB"/>
        </w:rPr>
        <w:t>study</w:t>
      </w:r>
      <w:r w:rsidR="00976BF9" w:rsidRPr="594CCC0A">
        <w:rPr>
          <w:rFonts w:eastAsia="Times New Roman"/>
          <w:lang w:eastAsia="en-GB"/>
        </w:rPr>
        <w:t xml:space="preserve"> showed significant levels of </w:t>
      </w:r>
      <w:r w:rsidR="00325CD8" w:rsidRPr="594CCC0A">
        <w:rPr>
          <w:rFonts w:eastAsia="Times New Roman"/>
          <w:lang w:eastAsia="en-GB"/>
        </w:rPr>
        <w:t xml:space="preserve">clinically </w:t>
      </w:r>
      <w:r w:rsidR="0048714C" w:rsidRPr="594CCC0A">
        <w:rPr>
          <w:rFonts w:eastAsia="Times New Roman"/>
          <w:lang w:eastAsia="en-GB"/>
        </w:rPr>
        <w:t>relevant</w:t>
      </w:r>
      <w:r w:rsidR="00325CD8" w:rsidRPr="594CCC0A">
        <w:rPr>
          <w:rFonts w:eastAsia="Times New Roman"/>
          <w:lang w:eastAsia="en-GB"/>
        </w:rPr>
        <w:t xml:space="preserve"> </w:t>
      </w:r>
      <w:r w:rsidR="00976BF9" w:rsidRPr="594CCC0A">
        <w:rPr>
          <w:rFonts w:eastAsia="Times New Roman"/>
          <w:lang w:eastAsia="en-GB"/>
        </w:rPr>
        <w:t>anxiety and depression in</w:t>
      </w:r>
      <w:r w:rsidR="00325CD8" w:rsidRPr="594CCC0A">
        <w:rPr>
          <w:rFonts w:eastAsia="Times New Roman"/>
          <w:lang w:eastAsia="en-GB"/>
        </w:rPr>
        <w:t xml:space="preserve"> nurses working in respiratory clinical areas </w:t>
      </w:r>
      <w:r w:rsidR="00653B8D" w:rsidRPr="594CCC0A">
        <w:rPr>
          <w:rFonts w:eastAsia="Times New Roman"/>
          <w:lang w:eastAsia="en-GB"/>
        </w:rPr>
        <w:t>during the first wave of the pandemic</w:t>
      </w:r>
      <w:r w:rsidR="00325CD8" w:rsidRPr="594CCC0A">
        <w:rPr>
          <w:rFonts w:eastAsia="Times New Roman"/>
          <w:lang w:eastAsia="en-GB"/>
        </w:rPr>
        <w:t xml:space="preserve"> </w:t>
      </w:r>
      <w:r w:rsidRPr="594CCC0A">
        <w:rPr>
          <w:rFonts w:eastAsia="Times New Roman"/>
          <w:lang w:eastAsia="en-GB"/>
        </w:rPr>
        <w:fldChar w:fldCharType="begin" w:fldLock="1"/>
      </w:r>
      <w:r w:rsidRPr="594CCC0A">
        <w:rPr>
          <w:rFonts w:eastAsia="Times New Roman"/>
          <w:lang w:eastAsia="en-GB"/>
        </w:rPr>
        <w:instrText>ADDIN CSL_CITATION {"citationItems":[{"id":"ITEM-1","itemData":{"DOI":"10.1016/j.rmed.2020.106219","ISSN":"15323064","abstract":"Background: The delivery of healthcare during the COVID pandemic has had a significant impact on front line staff. Nurses who work with respiratory patients have been at the forefront of the pandemic response. Lessons can be learnt from these nurses’ experiences in order to support these nurses during the existing pandemic and retain and mobilise this skilled workforce for future pandemics. Methods: This study explores UK nurses’ experiences of working in a respiratory environment during the COVID-19 pandemic. An e-survey was distributed via professional respiratory societies; the survey included a resilience scale, the GAD7 (anxiety) and the PHQ9 (depression) tools. Demographic data was collected on age, gender, ethnicity, nursing experience and background, clinical role in the pandemic, and home-life and work balance. Results: Two hundred and fifty-five responses were received for the survey, predominately women (89%, 226/255), aged over 35 (79%, 202/255). Nearly 21% (40/191) experiencing moderate to severe or severe symptoms of anxiety. Similar levels are seen for depression (17.2%, 31/181). 18.9% (34/180) had a low or very low resilience score. Regression analysis showed that for both depression and anxiety variables, age and years of qualification provided the best model fit. Younger nurses with less experience have higher levels of anxiety and depression and had lower resilience. Conclusion: This cohort experienced significant levels of anxiety and depression, with moderate to high levels of resilience. Support mechanisms and interventions need to be put in place to support all nurses during pandemic outbreaks, particularly younger or less experienced staff.","author":[{"dropping-particle":"","family":"Roberts","given":"N. J.","non-dropping-particle":"","parse-names":false,"suffix":""},{"dropping-particle":"","family":"McAloney-Kocaman","given":"K.","non-dropping-particle":"","parse-names":false,"suffix":""},{"dropping-particle":"","family":"Lippiett","given":"K.","non-dropping-particle":"","parse-names":false,"suffix":""},{"dropping-particle":"","family":"Ray","given":"E.","non-dropping-particle":"","parse-names":false,"suffix":""},{"dropping-particle":"","family":"Welch","given":"L.","non-dropping-particle":"","parse-names":false,"suffix":""},{"dropping-particle":"","family":"Kelly","given":"C.","non-dropping-particle":"","parse-names":false,"suffix":""}],"container-title":"Respiratory Medicine","id":"ITEM-1","issued":{"date-parts":[["2021","1","1"]]},"page":"106219","publisher":"W.B. Saunders Ltd","title":"Levels of resilience, anxiety and depression in nurses working in respiratory clinical areas during the COVID pandemic","type":"article-journal","volume":"176"},"uris":["http://www.mendeley.com/documents/?uuid=141488f9-e93a-3b17-9d0e-2b69d8d3219b"]}],"mendeley":{"formattedCitation":"(N. J. Roberts &lt;i&gt;et al.&lt;/i&gt;, 2021)","manualFormatting":"(Roberts et al., 2021)","plainTextFormattedCitation":"(N. J. Roberts et al., 2021)","previouslyFormattedCitation":"(N. J. Roberts &lt;i&gt;et al.&lt;/i&gt;, 2021)"},"properties":{"noteIndex":0},"schema":"https://github.com/citation-style-language/schema/raw/master/csl-citation.json"}</w:instrText>
      </w:r>
      <w:r w:rsidRPr="594CCC0A">
        <w:rPr>
          <w:rFonts w:eastAsia="Times New Roman"/>
          <w:lang w:eastAsia="en-GB"/>
        </w:rPr>
        <w:fldChar w:fldCharType="separate"/>
      </w:r>
      <w:r w:rsidR="00325CD8" w:rsidRPr="594CCC0A">
        <w:rPr>
          <w:rFonts w:eastAsia="Times New Roman"/>
          <w:noProof/>
          <w:lang w:eastAsia="en-GB"/>
        </w:rPr>
        <w:t xml:space="preserve">(Roberts </w:t>
      </w:r>
      <w:r w:rsidR="00325CD8" w:rsidRPr="594CCC0A">
        <w:rPr>
          <w:rFonts w:eastAsia="Times New Roman"/>
          <w:i/>
          <w:iCs/>
          <w:noProof/>
          <w:lang w:eastAsia="en-GB"/>
        </w:rPr>
        <w:t>et al.</w:t>
      </w:r>
      <w:r w:rsidR="00325CD8" w:rsidRPr="594CCC0A">
        <w:rPr>
          <w:rFonts w:eastAsia="Times New Roman"/>
          <w:noProof/>
          <w:lang w:eastAsia="en-GB"/>
        </w:rPr>
        <w:t>, 2021)</w:t>
      </w:r>
      <w:r w:rsidRPr="594CCC0A">
        <w:rPr>
          <w:rFonts w:eastAsia="Times New Roman"/>
          <w:lang w:eastAsia="en-GB"/>
        </w:rPr>
        <w:fldChar w:fldCharType="end"/>
      </w:r>
      <w:r w:rsidR="008F7F8E" w:rsidRPr="594CCC0A">
        <w:rPr>
          <w:rFonts w:eastAsia="Times New Roman"/>
          <w:lang w:eastAsia="en-GB"/>
        </w:rPr>
        <w:t xml:space="preserve">. </w:t>
      </w:r>
      <w:r w:rsidR="56CAFE5B" w:rsidRPr="594CCC0A">
        <w:rPr>
          <w:rFonts w:eastAsia="Times New Roman"/>
          <w:lang w:eastAsia="en-GB"/>
        </w:rPr>
        <w:t xml:space="preserve"> </w:t>
      </w:r>
      <w:r w:rsidR="008F7F8E" w:rsidRPr="594CCC0A">
        <w:rPr>
          <w:rFonts w:eastAsia="Times New Roman"/>
          <w:lang w:eastAsia="en-GB"/>
        </w:rPr>
        <w:t xml:space="preserve"> In this study,</w:t>
      </w:r>
      <w:r w:rsidR="00DE2EC9" w:rsidRPr="594CCC0A">
        <w:rPr>
          <w:rFonts w:eastAsia="Times New Roman"/>
          <w:lang w:eastAsia="en-GB"/>
        </w:rPr>
        <w:t xml:space="preserve"> </w:t>
      </w:r>
      <w:r w:rsidR="00663467" w:rsidRPr="594CCC0A">
        <w:rPr>
          <w:rFonts w:eastAsia="Times New Roman"/>
          <w:lang w:eastAsia="en-GB"/>
        </w:rPr>
        <w:t>a</w:t>
      </w:r>
      <w:r w:rsidR="00AC325F" w:rsidRPr="594CCC0A">
        <w:rPr>
          <w:rFonts w:eastAsia="Times New Roman"/>
          <w:lang w:eastAsia="en-GB"/>
        </w:rPr>
        <w:t xml:space="preserve">nxiety scores were broadly </w:t>
      </w:r>
      <w:r w:rsidR="008F7F8E" w:rsidRPr="594CCC0A">
        <w:rPr>
          <w:rFonts w:eastAsia="Times New Roman"/>
          <w:lang w:eastAsia="en-GB"/>
        </w:rPr>
        <w:t xml:space="preserve">the same as </w:t>
      </w:r>
      <w:r w:rsidR="00B0460C" w:rsidRPr="594CCC0A">
        <w:rPr>
          <w:rFonts w:eastAsia="Times New Roman"/>
          <w:lang w:eastAsia="en-GB"/>
        </w:rPr>
        <w:t>our previous study</w:t>
      </w:r>
      <w:r w:rsidR="00C926E4" w:rsidRPr="594CCC0A">
        <w:rPr>
          <w:rFonts w:eastAsia="Times New Roman"/>
          <w:lang w:eastAsia="en-GB"/>
        </w:rPr>
        <w:t xml:space="preserve"> </w:t>
      </w:r>
      <w:r w:rsidR="00AC325F" w:rsidRPr="594CCC0A">
        <w:rPr>
          <w:rFonts w:eastAsia="Times New Roman"/>
          <w:lang w:eastAsia="en-GB"/>
        </w:rPr>
        <w:t>(</w:t>
      </w:r>
      <w:r w:rsidR="00FB474C" w:rsidRPr="594CCC0A">
        <w:rPr>
          <w:rFonts w:eastAsia="Times New Roman"/>
          <w:lang w:eastAsia="en-GB"/>
        </w:rPr>
        <w:t xml:space="preserve">moderate-severe anxiety </w:t>
      </w:r>
      <w:r w:rsidR="003A3D96" w:rsidRPr="594CCC0A">
        <w:rPr>
          <w:rFonts w:eastAsia="Times New Roman"/>
          <w:lang w:eastAsia="en-GB"/>
        </w:rPr>
        <w:t xml:space="preserve">21% </w:t>
      </w:r>
      <w:r w:rsidR="00653B8D" w:rsidRPr="594CCC0A">
        <w:rPr>
          <w:rFonts w:eastAsia="Times New Roman"/>
          <w:lang w:eastAsia="en-GB"/>
        </w:rPr>
        <w:t>[</w:t>
      </w:r>
      <w:r w:rsidR="00AC325F" w:rsidRPr="594CCC0A">
        <w:rPr>
          <w:rFonts w:eastAsia="Times New Roman"/>
          <w:lang w:eastAsia="en-GB"/>
        </w:rPr>
        <w:t>40/</w:t>
      </w:r>
      <w:r w:rsidR="00CD2B0A" w:rsidRPr="594CCC0A">
        <w:rPr>
          <w:rFonts w:eastAsia="Times New Roman"/>
          <w:lang w:eastAsia="en-GB"/>
        </w:rPr>
        <w:t>191</w:t>
      </w:r>
      <w:r w:rsidR="00653B8D" w:rsidRPr="594CCC0A">
        <w:rPr>
          <w:rFonts w:eastAsia="Times New Roman"/>
          <w:lang w:eastAsia="en-GB"/>
        </w:rPr>
        <w:t xml:space="preserve">, </w:t>
      </w:r>
      <w:r w:rsidR="003A3D96" w:rsidRPr="594CCC0A">
        <w:rPr>
          <w:rFonts w:eastAsia="Times New Roman"/>
          <w:lang w:eastAsia="en-GB"/>
        </w:rPr>
        <w:t>1</w:t>
      </w:r>
      <w:r w:rsidR="003A3D96" w:rsidRPr="594CCC0A">
        <w:rPr>
          <w:rFonts w:eastAsia="Times New Roman"/>
          <w:vertAlign w:val="superscript"/>
          <w:lang w:eastAsia="en-GB"/>
        </w:rPr>
        <w:t>st</w:t>
      </w:r>
      <w:r w:rsidR="003A3D96" w:rsidRPr="594CCC0A">
        <w:rPr>
          <w:rFonts w:eastAsia="Times New Roman"/>
          <w:lang w:eastAsia="en-GB"/>
        </w:rPr>
        <w:t xml:space="preserve"> survey]</w:t>
      </w:r>
      <w:r w:rsidR="00653B8D" w:rsidRPr="594CCC0A">
        <w:rPr>
          <w:rFonts w:eastAsia="Times New Roman"/>
          <w:lang w:eastAsia="en-GB"/>
        </w:rPr>
        <w:t xml:space="preserve"> versus</w:t>
      </w:r>
      <w:r w:rsidR="00CD2B0A" w:rsidRPr="594CCC0A">
        <w:rPr>
          <w:rFonts w:eastAsia="Times New Roman"/>
          <w:lang w:eastAsia="en-GB"/>
        </w:rPr>
        <w:t xml:space="preserve"> </w:t>
      </w:r>
      <w:r w:rsidR="003A3D96" w:rsidRPr="594CCC0A">
        <w:rPr>
          <w:rFonts w:eastAsia="Times New Roman"/>
          <w:lang w:eastAsia="en-GB"/>
        </w:rPr>
        <w:t>22.8%</w:t>
      </w:r>
      <w:r w:rsidR="00501F3A" w:rsidRPr="594CCC0A">
        <w:rPr>
          <w:rFonts w:eastAsia="Times New Roman"/>
          <w:lang w:eastAsia="en-GB"/>
        </w:rPr>
        <w:t xml:space="preserve"> </w:t>
      </w:r>
      <w:r w:rsidR="00653B8D" w:rsidRPr="594CCC0A">
        <w:rPr>
          <w:rFonts w:eastAsia="Times New Roman"/>
          <w:lang w:eastAsia="en-GB"/>
        </w:rPr>
        <w:t>[</w:t>
      </w:r>
      <w:r w:rsidR="00455686" w:rsidRPr="594CCC0A">
        <w:rPr>
          <w:rFonts w:eastAsia="Times New Roman"/>
          <w:lang w:eastAsia="en-GB"/>
        </w:rPr>
        <w:t>36/158</w:t>
      </w:r>
      <w:r w:rsidR="00653B8D" w:rsidRPr="594CCC0A">
        <w:rPr>
          <w:rFonts w:eastAsia="Times New Roman"/>
          <w:lang w:eastAsia="en-GB"/>
        </w:rPr>
        <w:t xml:space="preserve">, </w:t>
      </w:r>
      <w:r w:rsidR="003A3D96" w:rsidRPr="594CCC0A">
        <w:rPr>
          <w:rFonts w:eastAsia="Times New Roman"/>
          <w:lang w:eastAsia="en-GB"/>
        </w:rPr>
        <w:t>2</w:t>
      </w:r>
      <w:r w:rsidR="003A3D96" w:rsidRPr="594CCC0A">
        <w:rPr>
          <w:rFonts w:eastAsia="Times New Roman"/>
          <w:vertAlign w:val="superscript"/>
          <w:lang w:eastAsia="en-GB"/>
        </w:rPr>
        <w:t>nd</w:t>
      </w:r>
      <w:r w:rsidR="003A3D96" w:rsidRPr="594CCC0A">
        <w:rPr>
          <w:rFonts w:eastAsia="Times New Roman"/>
          <w:lang w:eastAsia="en-GB"/>
        </w:rPr>
        <w:t xml:space="preserve"> survey])</w:t>
      </w:r>
      <w:r w:rsidR="00B0460C" w:rsidRPr="594CCC0A">
        <w:rPr>
          <w:rFonts w:eastAsia="Times New Roman"/>
          <w:lang w:eastAsia="en-GB"/>
        </w:rPr>
        <w:t>. D</w:t>
      </w:r>
      <w:r w:rsidR="00455686" w:rsidRPr="594CCC0A">
        <w:rPr>
          <w:rFonts w:eastAsia="Times New Roman"/>
          <w:lang w:eastAsia="en-GB"/>
        </w:rPr>
        <w:t>epression scores</w:t>
      </w:r>
      <w:r w:rsidR="008F7F8E" w:rsidRPr="594CCC0A">
        <w:rPr>
          <w:rFonts w:eastAsia="Times New Roman"/>
          <w:lang w:eastAsia="en-GB"/>
        </w:rPr>
        <w:t xml:space="preserve"> were</w:t>
      </w:r>
      <w:r w:rsidR="00B55AC7" w:rsidRPr="594CCC0A">
        <w:rPr>
          <w:rFonts w:eastAsia="Times New Roman"/>
          <w:lang w:eastAsia="en-GB"/>
        </w:rPr>
        <w:t xml:space="preserve"> </w:t>
      </w:r>
      <w:r w:rsidR="00180500">
        <w:rPr>
          <w:rFonts w:eastAsia="Times New Roman"/>
          <w:lang w:eastAsia="en-GB"/>
        </w:rPr>
        <w:t xml:space="preserve">slightly </w:t>
      </w:r>
      <w:r w:rsidR="00B55AC7" w:rsidRPr="594CCC0A">
        <w:rPr>
          <w:rFonts w:eastAsia="Times New Roman"/>
          <w:lang w:eastAsia="en-GB"/>
        </w:rPr>
        <w:t>higher</w:t>
      </w:r>
      <w:r w:rsidR="008F7F8E" w:rsidRPr="594CCC0A">
        <w:rPr>
          <w:rFonts w:eastAsia="Times New Roman"/>
          <w:lang w:eastAsia="en-GB"/>
        </w:rPr>
        <w:t xml:space="preserve"> </w:t>
      </w:r>
      <w:r w:rsidR="00501F3A" w:rsidRPr="594CCC0A">
        <w:rPr>
          <w:rFonts w:eastAsia="Times New Roman"/>
          <w:lang w:eastAsia="en-GB"/>
        </w:rPr>
        <w:t xml:space="preserve">(moderate-severe depression 17.2% </w:t>
      </w:r>
      <w:r w:rsidR="00653B8D" w:rsidRPr="594CCC0A">
        <w:rPr>
          <w:rFonts w:eastAsia="Times New Roman"/>
          <w:lang w:eastAsia="en-GB"/>
        </w:rPr>
        <w:t>[</w:t>
      </w:r>
      <w:r w:rsidR="00501F3A" w:rsidRPr="594CCC0A">
        <w:rPr>
          <w:rFonts w:eastAsia="Times New Roman"/>
          <w:lang w:eastAsia="en-GB"/>
        </w:rPr>
        <w:t>31/181</w:t>
      </w:r>
      <w:r w:rsidR="00653B8D" w:rsidRPr="594CCC0A">
        <w:rPr>
          <w:rFonts w:eastAsia="Times New Roman"/>
          <w:lang w:eastAsia="en-GB"/>
        </w:rPr>
        <w:t xml:space="preserve">, </w:t>
      </w:r>
      <w:r w:rsidR="00501F3A" w:rsidRPr="594CCC0A">
        <w:rPr>
          <w:rFonts w:eastAsia="Times New Roman"/>
          <w:lang w:eastAsia="en-GB"/>
        </w:rPr>
        <w:t>1</w:t>
      </w:r>
      <w:r w:rsidR="00501F3A" w:rsidRPr="594CCC0A">
        <w:rPr>
          <w:rFonts w:eastAsia="Times New Roman"/>
          <w:vertAlign w:val="superscript"/>
          <w:lang w:eastAsia="en-GB"/>
        </w:rPr>
        <w:t>st</w:t>
      </w:r>
      <w:r w:rsidR="00501F3A" w:rsidRPr="594CCC0A">
        <w:rPr>
          <w:rFonts w:eastAsia="Times New Roman"/>
          <w:lang w:eastAsia="en-GB"/>
        </w:rPr>
        <w:t xml:space="preserve"> survey]</w:t>
      </w:r>
      <w:r w:rsidR="00653B8D" w:rsidRPr="594CCC0A">
        <w:rPr>
          <w:rFonts w:eastAsia="Times New Roman"/>
          <w:lang w:eastAsia="en-GB"/>
        </w:rPr>
        <w:t xml:space="preserve"> versus</w:t>
      </w:r>
      <w:r w:rsidR="00501F3A" w:rsidRPr="594CCC0A">
        <w:rPr>
          <w:rFonts w:eastAsia="Times New Roman"/>
          <w:lang w:eastAsia="en-GB"/>
        </w:rPr>
        <w:t xml:space="preserve"> 21.3% [34/160</w:t>
      </w:r>
      <w:r w:rsidR="00653B8D" w:rsidRPr="594CCC0A">
        <w:rPr>
          <w:rFonts w:eastAsia="Times New Roman"/>
          <w:lang w:eastAsia="en-GB"/>
        </w:rPr>
        <w:t>,</w:t>
      </w:r>
      <w:r w:rsidR="00501F3A" w:rsidRPr="594CCC0A">
        <w:rPr>
          <w:rFonts w:eastAsia="Times New Roman"/>
          <w:lang w:eastAsia="en-GB"/>
        </w:rPr>
        <w:t xml:space="preserve"> 2</w:t>
      </w:r>
      <w:r w:rsidR="00501F3A" w:rsidRPr="594CCC0A">
        <w:rPr>
          <w:rFonts w:eastAsia="Times New Roman"/>
          <w:vertAlign w:val="superscript"/>
          <w:lang w:eastAsia="en-GB"/>
        </w:rPr>
        <w:t>nd</w:t>
      </w:r>
      <w:r w:rsidR="00501F3A" w:rsidRPr="594CCC0A">
        <w:rPr>
          <w:rFonts w:eastAsia="Times New Roman"/>
          <w:lang w:eastAsia="en-GB"/>
        </w:rPr>
        <w:t xml:space="preserve"> survey])</w:t>
      </w:r>
      <w:r w:rsidR="008F7F8E" w:rsidRPr="594CCC0A">
        <w:rPr>
          <w:rFonts w:eastAsia="Times New Roman"/>
          <w:lang w:eastAsia="en-GB"/>
        </w:rPr>
        <w:t xml:space="preserve">. </w:t>
      </w:r>
      <w:r w:rsidR="00917DC2" w:rsidRPr="594CCC0A">
        <w:rPr>
          <w:rFonts w:eastAsia="Times New Roman"/>
          <w:lang w:eastAsia="en-GB"/>
        </w:rPr>
        <w:t xml:space="preserve">  This is </w:t>
      </w:r>
      <w:r w:rsidR="007E3C8C" w:rsidRPr="594CCC0A">
        <w:rPr>
          <w:rFonts w:eastAsia="Times New Roman"/>
          <w:lang w:eastAsia="en-GB"/>
        </w:rPr>
        <w:t xml:space="preserve">slightly lower than the </w:t>
      </w:r>
      <w:r w:rsidR="00A86DA9" w:rsidRPr="594CCC0A">
        <w:rPr>
          <w:rFonts w:eastAsia="Times New Roman"/>
          <w:lang w:eastAsia="en-GB"/>
        </w:rPr>
        <w:t xml:space="preserve">reported 33% </w:t>
      </w:r>
      <w:r w:rsidR="005D2029" w:rsidRPr="594CCC0A">
        <w:rPr>
          <w:rFonts w:eastAsia="Times New Roman"/>
          <w:lang w:eastAsia="en-GB"/>
        </w:rPr>
        <w:t>(n= 2600)</w:t>
      </w:r>
      <w:r w:rsidR="7F23C343" w:rsidRPr="594CCC0A">
        <w:rPr>
          <w:rFonts w:eastAsia="Times New Roman"/>
          <w:lang w:eastAsia="en-GB"/>
        </w:rPr>
        <w:t xml:space="preserve"> </w:t>
      </w:r>
      <w:r w:rsidR="00A86DA9" w:rsidRPr="594CCC0A">
        <w:rPr>
          <w:rFonts w:eastAsia="Times New Roman"/>
          <w:lang w:eastAsia="en-GB"/>
        </w:rPr>
        <w:t>of</w:t>
      </w:r>
      <w:r w:rsidR="00917DC2" w:rsidRPr="594CCC0A">
        <w:rPr>
          <w:rFonts w:eastAsia="Times New Roman"/>
          <w:lang w:eastAsia="en-GB"/>
        </w:rPr>
        <w:t xml:space="preserve"> </w:t>
      </w:r>
      <w:r w:rsidR="00A86DA9" w:rsidRPr="594CCC0A">
        <w:rPr>
          <w:rFonts w:eastAsia="Times New Roman"/>
          <w:lang w:eastAsia="en-GB"/>
        </w:rPr>
        <w:t xml:space="preserve">respondents reported experiencing severe or extremely severe depression, </w:t>
      </w:r>
      <w:r w:rsidR="0F094D29" w:rsidRPr="594CCC0A">
        <w:rPr>
          <w:rFonts w:eastAsia="Times New Roman"/>
          <w:lang w:eastAsia="en-GB"/>
        </w:rPr>
        <w:t>anxiety,</w:t>
      </w:r>
      <w:r w:rsidR="00A86DA9" w:rsidRPr="594CCC0A">
        <w:rPr>
          <w:rFonts w:eastAsia="Times New Roman"/>
          <w:lang w:eastAsia="en-GB"/>
        </w:rPr>
        <w:t xml:space="preserve"> or stress in </w:t>
      </w:r>
      <w:r w:rsidR="00BB7346" w:rsidRPr="594CCC0A">
        <w:rPr>
          <w:rFonts w:eastAsia="Times New Roman"/>
          <w:lang w:eastAsia="en-GB"/>
        </w:rPr>
        <w:t>a recent survey of UK nurses and midwives’ concerns during the COVID-19 pandemic</w:t>
      </w:r>
      <w:r w:rsidR="00A86DA9" w:rsidRPr="594CCC0A">
        <w:rPr>
          <w:rFonts w:eastAsia="Times New Roman"/>
          <w:lang w:eastAsia="en-GB"/>
        </w:rPr>
        <w:t xml:space="preserve"> study</w:t>
      </w:r>
      <w:r w:rsidR="5CB8DA69" w:rsidRPr="594CCC0A">
        <w:rPr>
          <w:rFonts w:eastAsia="Times New Roman"/>
          <w:lang w:eastAsia="en-GB"/>
        </w:rPr>
        <w:t xml:space="preserve"> </w:t>
      </w:r>
      <w:r w:rsidRPr="594CCC0A">
        <w:rPr>
          <w:rFonts w:eastAsia="Times New Roman"/>
          <w:lang w:eastAsia="en-GB"/>
        </w:rPr>
        <w:fldChar w:fldCharType="begin" w:fldLock="1"/>
      </w:r>
      <w:r w:rsidRPr="594CCC0A">
        <w:rPr>
          <w:rFonts w:eastAsia="Times New Roman"/>
          <w:lang w:eastAsia="en-GB"/>
        </w:rPr>
        <w:instrText>ADDIN CSL_CITATION {"citationItems":[{"id":"ITEM-1","itemData":{"URL":"https://www.nursingtimes.net/news/coronavirus/uk-nurses-feel-unprepared-for-covid-19-peak-finds-new-survey-21-04-2020/","accessed":{"date-parts":[["2021","9","30"]]},"author":[{"dropping-particle":"","family":"Mitchell","given":"Gemma","non-dropping-particle":"","parse-names":false,"suffix":""}],"container-title":"Nursing Times","id":"ITEM-1","issued":{"date-parts":[["2020"]]},"title":"Third of nurses experiencing 'severe' mental health issues due to Covid-19 | Nursing Times","type":"webpage"},"uris":["http://www.mendeley.com/documents/?uuid=68470ef9-edf7-3d3c-9fa8-f45ba095c841"]}],"mendeley":{"formattedCitation":"(Mitchell, 2020)","plainTextFormattedCitation":"(Mitchell, 2020)","previouslyFormattedCitation":"(Mitchell, 2020)"},"properties":{"noteIndex":0},"schema":"https://github.com/citation-style-language/schema/raw/master/csl-citation.json"}</w:instrText>
      </w:r>
      <w:r w:rsidRPr="594CCC0A">
        <w:rPr>
          <w:rFonts w:eastAsia="Times New Roman"/>
          <w:lang w:eastAsia="en-GB"/>
        </w:rPr>
        <w:fldChar w:fldCharType="separate"/>
      </w:r>
      <w:r w:rsidR="005D2029" w:rsidRPr="594CCC0A">
        <w:rPr>
          <w:rFonts w:eastAsia="Times New Roman"/>
          <w:noProof/>
          <w:lang w:eastAsia="en-GB"/>
        </w:rPr>
        <w:t>(Mitchell, 2020)</w:t>
      </w:r>
      <w:r w:rsidRPr="594CCC0A">
        <w:rPr>
          <w:rFonts w:eastAsia="Times New Roman"/>
          <w:lang w:eastAsia="en-GB"/>
        </w:rPr>
        <w:fldChar w:fldCharType="end"/>
      </w:r>
      <w:r w:rsidR="00A86DA9" w:rsidRPr="594CCC0A">
        <w:rPr>
          <w:rFonts w:eastAsia="Times New Roman"/>
          <w:lang w:eastAsia="en-GB"/>
        </w:rPr>
        <w:t>.</w:t>
      </w:r>
    </w:p>
    <w:p w14:paraId="7D77B5F4" w14:textId="20722BEA" w:rsidR="00D87013" w:rsidRDefault="3C834372" w:rsidP="4024292E">
      <w:pPr>
        <w:spacing w:line="360" w:lineRule="auto"/>
        <w:jc w:val="both"/>
        <w:rPr>
          <w:rFonts w:eastAsia="Times New Roman"/>
          <w:lang w:eastAsia="en-GB"/>
        </w:rPr>
      </w:pPr>
      <w:r w:rsidRPr="3C834372">
        <w:rPr>
          <w:rFonts w:eastAsia="Times New Roman"/>
          <w:lang w:eastAsia="en-GB"/>
        </w:rPr>
        <w:t xml:space="preserve">For health care professionals, psychological distress caused by work pressure, resulting in anxiety and depression, is not unexpected. Data from the UK during the pandemic has shown an increase in the level of anxiety and depression in the general population overall, compared to previous years, due to uncertainty, isolation, and lack of access to mental health services </w:t>
      </w:r>
      <w:r w:rsidR="4024292E" w:rsidRPr="3C834372">
        <w:rPr>
          <w:rFonts w:eastAsia="Times New Roman"/>
          <w:lang w:eastAsia="en-GB"/>
        </w:rPr>
        <w:fldChar w:fldCharType="begin" w:fldLock="1"/>
      </w:r>
      <w:r w:rsidR="4024292E" w:rsidRPr="3C834372">
        <w:rPr>
          <w:rFonts w:eastAsia="Times New Roman"/>
          <w:lang w:eastAsia="en-GB"/>
        </w:rPr>
        <w:instrText>ADDIN CSL_CITATION {"citationItems":[{"id":"ITEM-1","itemData":{"DOI":"10.1136/BMJOPEN-2020-040620","ISSN":"2044-6055","PMID":"32933965","abstract":"Objectives Previous pandemics have resulted in significant consequences for mental health. Here, we report the mental health sequelae of the COVID-19 pandemic in a UK cohort and examine modifiable and non-modifiable explanatory factors associated with mental health outcomes. We focus on the first wave of data collection, which examined short-term consequences for mental health, as reported during the first 4–6 weeks of social distancing measures being introduced.\n\nDesign Cross-sectional online survey.\n\nSetting Community cohort study.\n\nParticipants N=3097 adults aged ≥18 years were recruited through a mainstream and social media campaign between 3 April 2020 and 30 April 2020. The cohort was predominantly female (n=2618); mean age 44 years; 10% (n=296) from minority ethnic groups; 50% (n=1559) described themselves as key workers and 20% (n=649) identified as having clinical risk factors putting them at increased risk of COVID-19.\n\nMain outcome measures Depression, anxiety and stress scores.\n\nResults Mean scores for depression (![Formula][1]&lt;/img&gt; =7.69, SD=6.0), stress (![Formula][2]&lt;/img&gt; =6.48, SD=3.3) and anxiety (![Formula][3]&lt;/img&gt; = 6.48, SD=3.3) significantly exceeded population norms (all p&lt;0.0001). Analysis of non-modifiable factors hypothesised to be associated with mental health outcomes indicated that being younger, female and in a recognised COVID-19 risk group were associated with increased stress, anxiety and depression, with the final multivariable models accounting for 7%–14% of variance. When adding modifiable factors, significant independent effects emerged for positive mood, perceived loneliness and worry about getting COVID-19 for all outcomes, with the final multivariable models accounting for 54%–57% of total variance.\n\nConclusions Increased psychological morbidity was evident in this UK sample and found to be more common in younger people, women and in individuals who identified as being in recognised COVID-19 risk groups. Public health and mental health interventions able to ameliorate perceptions of risk of COVID-19, worry about COVID-19 loneliness and boost positive mood may be effective.\n\n [1]: /embed/mml-math-1.gif\n [2]: /embed/mml-math-2.gif\n [3]: /embed/mml-math-3.gif","author":[{"dropping-particle":"","family":"Jia","given":"Ru","non-dropping-particle":"","parse-names":false,"suffix":""},{"dropping-particle":"","family":"Ayling","given":"Kieran","non-dropping-particle":"","parse-names":false,"suffix":""},{"dropping-particle":"","family":"Chalder","given":"Trudie","non-dropping-particle":"","parse-names":false,"suffix":""},{"dropping-particle":"","family":"Massey","given":"Adam","non-dropping-particle":"","parse-names":false,"suffix":""},{"dropping-particle":"","family":"Broadbent","given":"Elizabeth","non-dropping-particle":"","parse-names":false,"suffix":""},{"dropping-particle":"","family":"Coupland","given":"Carol","non-dropping-particle":"","parse-names":false,"suffix":""},{"dropping-particle":"","family":"Vedhara","given":"Kavita","non-dropping-particle":"","parse-names":false,"suffix":""}],"container-title":"BMJ Open","id":"ITEM-1","issue":"9","issued":{"date-parts":[["2020","9","1"]]},"page":"e040620","publisher":"British Medical Journal Publishing Group","title":"Mental health in the UK during the COVID-19 pandemic: cross-sectional analyses from a community cohort study","type":"article-journal","volume":"10"},"uris":["http://www.mendeley.com/documents/?uuid=5b170aac-924e-3c00-b466-f7cc01fced65"]}],"mendeley":{"formattedCitation":"(Jia &lt;i&gt;et al.&lt;/i&gt;, 2020)","plainTextFormattedCitation":"(Jia et al., 2020)","previouslyFormattedCitation":"(Jia &lt;i&gt;et al.&lt;/i&gt;, 2020)"},"properties":{"noteIndex":0},"schema":"https://github.com/citation-style-language/schema/raw/master/csl-citation.json"}</w:instrText>
      </w:r>
      <w:r w:rsidR="4024292E" w:rsidRPr="3C834372">
        <w:rPr>
          <w:rFonts w:eastAsia="Times New Roman"/>
          <w:lang w:eastAsia="en-GB"/>
        </w:rPr>
        <w:fldChar w:fldCharType="separate"/>
      </w:r>
      <w:r w:rsidRPr="3C834372">
        <w:rPr>
          <w:rFonts w:eastAsia="Times New Roman"/>
          <w:noProof/>
          <w:lang w:eastAsia="en-GB"/>
        </w:rPr>
        <w:t xml:space="preserve">(Jia </w:t>
      </w:r>
      <w:r w:rsidRPr="3C834372">
        <w:rPr>
          <w:rFonts w:eastAsia="Times New Roman"/>
          <w:i/>
          <w:iCs/>
          <w:noProof/>
          <w:lang w:eastAsia="en-GB"/>
        </w:rPr>
        <w:t>et al.</w:t>
      </w:r>
      <w:r w:rsidRPr="3C834372">
        <w:rPr>
          <w:rFonts w:eastAsia="Times New Roman"/>
          <w:noProof/>
          <w:lang w:eastAsia="en-GB"/>
        </w:rPr>
        <w:t>, 2020)</w:t>
      </w:r>
      <w:r w:rsidR="4024292E" w:rsidRPr="3C834372">
        <w:rPr>
          <w:rFonts w:eastAsia="Times New Roman"/>
          <w:lang w:eastAsia="en-GB"/>
        </w:rPr>
        <w:fldChar w:fldCharType="end"/>
      </w:r>
      <w:r w:rsidRPr="3C834372">
        <w:rPr>
          <w:rFonts w:eastAsia="Times New Roman"/>
          <w:lang w:eastAsia="en-GB"/>
        </w:rPr>
        <w:t xml:space="preserve">. A large survey of healthcare professionals across eight European countries found higher levels of clinically significant anxiety and depression among nurses and doctors, during the pandemic particularly in the UK and France, compared to participants from non-medical occupations </w:t>
      </w:r>
      <w:r w:rsidR="4024292E" w:rsidRPr="3C834372">
        <w:rPr>
          <w:rFonts w:eastAsia="Times New Roman"/>
          <w:lang w:eastAsia="en-GB"/>
        </w:rPr>
        <w:fldChar w:fldCharType="begin" w:fldLock="1"/>
      </w:r>
      <w:r w:rsidR="4024292E" w:rsidRPr="3C834372">
        <w:rPr>
          <w:rFonts w:eastAsia="Times New Roman"/>
          <w:lang w:eastAsia="en-GB"/>
        </w:rPr>
        <w:instrText>ADDIN CSL_CITATION {"citationItems":[{"id":"ITEM-1","itemData":{"DOI":"10.2196/24983","ISSN":"14388871","PMID":"33411670","abstract":"Background: The death toll of COVID-19 topped 170,000 in Europe by the end of May 2020. COVID-19 has caused an immense psychological burden on the population, especially among doctors and nurses who are faced with high infection risks and increased workload.\nObjective: The aim of this study was to compare the mental health of medical professionals with nonmedical professionals in different European countries during the COVID-19 pandemic. We hypothesized that medical professionals, particularly those exposed to COVID-19 at work, would have higher levels of depression, anxiety, and stress. We also aimed to determine their main stressors and most frequently used coping strategies during the crisis.\nMethods: A cross-sectional online survey was conducted during peak COVID-19 months in 8 European countries. The questionnaire included demographic data and inquired whether the participants were exposed to COVID-19 at work or not. Mental health was assessed via the Depression Anxiety Stress Scales32 (23.53)–21 (DASS-21). A 12-item checklist on preferred coping strategies and another 23-item questionnaire on major stressors were completed by medical professionals.\nResults: The sample (N=609) consisted of 189 doctors, 165 nurses, and 255 nonmedical professionals. Participants from France and the United Kingdom reported experiencing severe/extremely severe depression, anxiety, and stress more often compared to those from the other countries. Nonmedical professionals had significantly higher scores for depression and anxiety. Among medical professionals, no significant link was reported between direct contact with patients with COVID-19 at work and anxiety, depression, or stress. “Uncertainty about when the epidemic will be under control” caused the most amount of stress for health care professionals while “taking protective measures” was the most frequently used coping strategy among all participants.\nConclusions: COVID-19 poses a major challenge to the mental health of working professionals as a considerable proportion of our participants showed high values for depression, anxiety, and stress. Even though medical professionals exhibited less mental stress than nonmedical professionals, sufficient help should be offered to all occupational groups with an emphasis on effective coping strategies.","author":[{"dropping-particle":"","family":"Hummel","given":"Svenja","non-dropping-particle":"","parse-names":false,"suffix":""},{"dropping-particle":"","family":"Oetjen","given":"Neele","non-dropping-particle":"","parse-names":false,"suffix":""},{"dropping-particle":"","family":"Du","given":"Junfeng","non-dropping-particle":"","parse-names":false,"suffix":""},{"dropping-particle":"","family":"Posenato","given":"Elisabetta","non-dropping-particle":"","parse-names":false,"suffix":""},{"dropping-particle":"","family":"Almeida","given":"Rosa Maria Resende","non-dropping-particle":"De","parse-names":false,"suffix":""},{"dropping-particle":"","family":"Losada","given":"Raquel","non-dropping-particle":"","parse-names":false,"suffix":""},{"dropping-particle":"","family":"Ribeiro","given":"Oscar","non-dropping-particle":"","parse-names":false,"suffix":""},{"dropping-particle":"","family":"Frisardi","given":"Vincenza","non-dropping-particle":"","parse-names":false,"suffix":""},{"dropping-particle":"","family":"Hopper","given":"Louise","non-dropping-particle":"","parse-names":false,"suffix":""},{"dropping-particle":"","family":"Rashid","given":"Asarnusch","non-dropping-particle":"","parse-names":false,"suffix":""},{"dropping-particle":"","family":"Nasser","given":"Habib","non-dropping-particle":"","parse-names":false,"suffix":""},{"dropping-particle":"","family":"König","given":"Alexandra","non-dropping-particle":"","parse-names":false,"suffix":""},{"dropping-particle":"","family":"Rudofsky","given":"Gottfried","non-dropping-particle":"","parse-names":false,"suffix":""},{"dropping-particle":"","family":"Weidt","given":"Steffi","non-dropping-particle":"","parse-names":false,"suffix":""},{"dropping-particle":"","family":"Zafar","given":"Ali","non-dropping-particle":"","parse-names":false,"suffix":""},{"dropping-particle":"","family":"Gronewold","given":"Nadine","non-dropping-particle":"","parse-names":false,"suffix":""},{"dropping-particle":"","family":"Mayer","given":"Gwendolyn","non-dropping-particle":"","parse-names":false,"suffix":""},{"dropping-particle":"","family":"Schultz","given":"Jobst Hendrik","non-dropping-particle":"","parse-names":false,"suffix":""}],"container-title":"J Med Internet Res 2021;23(1):e24983 https://www.jmir.org/2021/1/e24983","id":"ITEM-1","issue":"1","issued":{"date-parts":[["2021","1","18"]]},"page":"e24983","publisher":"Journal of Medical Internet Research","title":"Mental Health Among Medical Professionals During the COVID-19 Pandemic in Eight European Countries: Cross-sectional Survey Study","type":"article-journal","volume":"23"},"uris":["http://www.mendeley.com/documents/?uuid=9e6e862a-c8ca-3e57-a5de-b6907735b681"]}],"mendeley":{"formattedCitation":"(Hummel &lt;i&gt;et al.&lt;/i&gt;, 2021)","plainTextFormattedCitation":"(Hummel et al., 2021)","previouslyFormattedCitation":"(Hummel &lt;i&gt;et al.&lt;/i&gt;, 2021)"},"properties":{"noteIndex":0},"schema":"https://github.com/citation-style-language/schema/raw/master/csl-citation.json"}</w:instrText>
      </w:r>
      <w:r w:rsidR="4024292E" w:rsidRPr="3C834372">
        <w:rPr>
          <w:rFonts w:eastAsia="Times New Roman"/>
          <w:lang w:eastAsia="en-GB"/>
        </w:rPr>
        <w:fldChar w:fldCharType="separate"/>
      </w:r>
      <w:r w:rsidRPr="3C834372">
        <w:rPr>
          <w:rFonts w:eastAsia="Times New Roman"/>
          <w:noProof/>
          <w:lang w:eastAsia="en-GB"/>
        </w:rPr>
        <w:t xml:space="preserve">(Hummel </w:t>
      </w:r>
      <w:r w:rsidRPr="3C834372">
        <w:rPr>
          <w:rFonts w:eastAsia="Times New Roman"/>
          <w:i/>
          <w:iCs/>
          <w:noProof/>
          <w:lang w:eastAsia="en-GB"/>
        </w:rPr>
        <w:t>et al.</w:t>
      </w:r>
      <w:r w:rsidRPr="3C834372">
        <w:rPr>
          <w:rFonts w:eastAsia="Times New Roman"/>
          <w:noProof/>
          <w:lang w:eastAsia="en-GB"/>
        </w:rPr>
        <w:t>, 2021)</w:t>
      </w:r>
      <w:r w:rsidR="4024292E" w:rsidRPr="3C834372">
        <w:rPr>
          <w:rFonts w:eastAsia="Times New Roman"/>
          <w:lang w:eastAsia="en-GB"/>
        </w:rPr>
        <w:fldChar w:fldCharType="end"/>
      </w:r>
      <w:r w:rsidRPr="3C834372">
        <w:rPr>
          <w:rFonts w:eastAsia="Times New Roman"/>
          <w:lang w:eastAsia="en-GB"/>
        </w:rPr>
        <w:t xml:space="preserve">.  If psychological distress persists, in the form of anxiety and depression, this may lead to long term effects, poor resilience levels, fatigue and burnout resulting in an increase in sickness levels and effects to overall health which would impact finite NHS resources </w:t>
      </w:r>
      <w:r w:rsidR="4024292E" w:rsidRPr="3C834372">
        <w:rPr>
          <w:rFonts w:eastAsia="Times New Roman"/>
          <w:lang w:eastAsia="en-GB"/>
        </w:rPr>
        <w:fldChar w:fldCharType="begin" w:fldLock="1"/>
      </w:r>
      <w:r w:rsidR="4024292E" w:rsidRPr="3C834372">
        <w:rPr>
          <w:rFonts w:eastAsia="Times New Roman"/>
          <w:lang w:eastAsia="en-GB"/>
        </w:rPr>
        <w:instrText>ADDIN CSL_CITATION {"citationItems":[{"id":"ITEM-1","itemData":{"DOI":"10.1136/EBNURS-2021-103438","ISSN":"1367-6539","PMID":"34697078","abstract":"Commentary on: Galanis P, Varka I, Fragkou D, et al . Nurses’ burnout and associated risk factors during the COVID-19 pandemic: a systematic review and meta-analysis. J Adv Nurs . 2021. doi:10.1111/jan.14839.\n\n\n\nLiterature has consistently presented that health professionals experience higher level of work-related stress and multiple psychological stressors leading to burnout. …","author":[{"dropping-particle":"","family":"Ghassemi","given":"Akhtar Ebrahimi","non-dropping-particle":"","parse-names":false,"suffix":""}],"container-title":"Evidence-Based Nursing","id":"ITEM-1","issued":{"date-parts":[["2021","10","25"]]},"page":"ebnurs-2021-103438","publisher":"Royal College of Nursing","title":"Burnout in nurses during the COVID-19 pandemic: the rising need for development of evidence-based risk assessment and supportive interventions","type":"article-journal"},"uris":["http://www.mendeley.com/documents/?uuid=edd1a443-6040-3a50-9721-827f1aecc006"]},{"id":"ITEM-2","itemData":{"DOI":"10.12968/BJON.2017.26.19.1070","ISSN":"09660461","PMID":"29068736","abstract":"The number of nurses considering leaving the profession has continued to rise, and in many areas there is a nursing shortfall. For many of those leaving the profession, the decision results from wo...","author":[{"dropping-particle":"","family":"Elliott","given":"Chris","non-dropping-particle":"","parse-names":false,"suffix":""}],"container-title":"https://doi.org/10.12968/bjon.2017.26.19.1070","id":"ITEM-2","issue":"19","issued":{"date-parts":[["2017","10","25"]]},"page":"1070-1077","publisher":" MA Healthcare London ","title":"Emotional labour: learning from the past, understanding the present","type":"article-journal","volume":"26"},"uris":["http://www.mendeley.com/documents/?uuid=da49f529-3257-3db0-9198-586be78655c8"]}],"mendeley":{"formattedCitation":"(Elliott, 2017; Ghassemi, 2021)","plainTextFormattedCitation":"(Elliott, 2017; Ghassemi, 2021)","previouslyFormattedCitation":"(Elliott, 2017; Ghassemi, 2021)"},"properties":{"noteIndex":0},"schema":"https://github.com/citation-style-language/schema/raw/master/csl-citation.json"}</w:instrText>
      </w:r>
      <w:r w:rsidR="4024292E" w:rsidRPr="3C834372">
        <w:rPr>
          <w:rFonts w:eastAsia="Times New Roman"/>
          <w:lang w:eastAsia="en-GB"/>
        </w:rPr>
        <w:fldChar w:fldCharType="separate"/>
      </w:r>
      <w:r w:rsidRPr="3C834372">
        <w:rPr>
          <w:rFonts w:eastAsia="Times New Roman"/>
          <w:noProof/>
          <w:lang w:eastAsia="en-GB"/>
        </w:rPr>
        <w:t>(Elliott, 2017; Ghassemi, 2021)</w:t>
      </w:r>
      <w:r w:rsidR="4024292E" w:rsidRPr="3C834372">
        <w:rPr>
          <w:rFonts w:eastAsia="Times New Roman"/>
          <w:lang w:eastAsia="en-GB"/>
        </w:rPr>
        <w:fldChar w:fldCharType="end"/>
      </w:r>
      <w:r w:rsidRPr="3C834372">
        <w:rPr>
          <w:rFonts w:eastAsia="Times New Roman"/>
          <w:lang w:eastAsia="en-GB"/>
        </w:rPr>
        <w:t xml:space="preserve">. For the health service this could be detrimental in terms of safe staffing levels and long-term recruitment and retention as, whilst there has been a surge in applications to study nursing, experienced and highly qualified nurses may leave the NHS sooner than they had planned because of burnout </w:t>
      </w:r>
      <w:r w:rsidR="4024292E" w:rsidRPr="3C834372">
        <w:rPr>
          <w:rFonts w:eastAsia="Times New Roman"/>
          <w:lang w:eastAsia="en-GB"/>
        </w:rPr>
        <w:fldChar w:fldCharType="begin" w:fldLock="1"/>
      </w:r>
      <w:r w:rsidR="4024292E" w:rsidRPr="3C834372">
        <w:rPr>
          <w:rFonts w:eastAsia="Times New Roman"/>
          <w:lang w:eastAsia="en-GB"/>
        </w:rPr>
        <w:instrText>ADDIN CSL_CITATION {"citationItems":[{"id":"ITEM-1","itemData":{"URL":"https://www.rcn.org.uk/news-and-events/press-releases/Sharp increase in nursing staff thinking of leaving profession reveals RCN research","accessed":{"date-parts":[["2021","9","30"]]},"author":[{"dropping-particle":"","family":"RCN","given":"","non-dropping-particle":"","parse-names":false,"suffix":""}],"container-title":"RCN","id":"ITEM-1","issued":{"date-parts":[["2021"]]},"title":"Sharp increase in nursing staff thinking of leaving profession, reveals RCN research | Royal College of Nursing","type":"webpage"},"uris":["http://www.mendeley.com/documents/?uuid=68980961-f902-3a2d-a64d-3db0f5e21566"]}],"mendeley":{"formattedCitation":"(RCN, 2021)","plainTextFormattedCitation":"(RCN, 2021)","previouslyFormattedCitation":"(RCN, 2021)"},"properties":{"noteIndex":0},"schema":"https://github.com/citation-style-language/schema/raw/master/csl-citation.json"}</w:instrText>
      </w:r>
      <w:r w:rsidR="4024292E" w:rsidRPr="3C834372">
        <w:rPr>
          <w:rFonts w:eastAsia="Times New Roman"/>
          <w:lang w:eastAsia="en-GB"/>
        </w:rPr>
        <w:fldChar w:fldCharType="separate"/>
      </w:r>
      <w:r w:rsidRPr="3C834372">
        <w:rPr>
          <w:rFonts w:eastAsia="Times New Roman"/>
          <w:noProof/>
          <w:lang w:eastAsia="en-GB"/>
        </w:rPr>
        <w:t>(RCN, 2021)</w:t>
      </w:r>
      <w:r w:rsidR="4024292E" w:rsidRPr="3C834372">
        <w:rPr>
          <w:rFonts w:eastAsia="Times New Roman"/>
          <w:lang w:eastAsia="en-GB"/>
        </w:rPr>
        <w:fldChar w:fldCharType="end"/>
      </w:r>
      <w:r w:rsidRPr="3C834372">
        <w:rPr>
          <w:rFonts w:eastAsia="Times New Roman"/>
          <w:lang w:eastAsia="en-GB"/>
        </w:rPr>
        <w:t xml:space="preserve">. In this study, worryingly a quarter of respondents were considering leaving the NHS and most nurses expressed concerns over the quality of clinical care and safety; this is not unique to the UK </w:t>
      </w:r>
      <w:r w:rsidR="4024292E" w:rsidRPr="3C834372">
        <w:rPr>
          <w:rFonts w:eastAsia="Times New Roman"/>
          <w:lang w:eastAsia="en-GB"/>
        </w:rPr>
        <w:fldChar w:fldCharType="begin" w:fldLock="1"/>
      </w:r>
      <w:r w:rsidR="4024292E" w:rsidRPr="3C834372">
        <w:rPr>
          <w:rFonts w:eastAsia="Times New Roman"/>
          <w:lang w:eastAsia="en-GB"/>
        </w:rPr>
        <w:instrText>ADDIN CSL_CITATION {"citationItems":[{"id":"ITEM-1","itemData":{"DOI":"10.1016/J.MNL.2015.01.001","ISSN":"1541-4612","abstract":"In the United States, as well as globally, a nursing shortage is highly expected within the next decade and will continue to be a major problem affecting healthcare delivery in the years to come. Baby boomers presently dominate the registered nurse (RN) workforce, accounting for 40% of actively working RNs who will soon be entering retirement. In 2011, nursing schools were unable to accept 60,000 qualified applicants as a result of budgetary constraints and insufficient numbers of faculty, clinical preceptors, and clinical sites. Although the United States has previously experienced nursing shortages, projections estimate that this RN shortage will likely surpass 500,000 RNs by the year 2025 and will persist for the long term. It is forecasted that the shortage will affect the delivery of healthcare directly, as well as the quality of patient care. Factors thought to be contributing to the anticipated shortage include the increasing number of individuals insured through the Affordable Care Act, the healthcare demands from the elderly population, and the retiring baby-boomer RN workforce. According to 2013 data from the Bureau of Labor Statistics, it is anticipated that by 2020, there will be a need for 1.05 million RNs in the United States. The projected nursing shortage is a concern beyond the United States, expanding internationally to other developed nations.","author":[{"dropping-particle":"","family":"Gellasch","given":"Patricia","non-dropping-particle":"","parse-names":false,"suffix":""}],"container-title":"Nurse Leader","id":"ITEM-1","issue":"5","issued":{"date-parts":[["2015","10","1"]]},"page":"63-68","publisher":"Mosby","title":"The Driving Forces Behind Nurses Leaving the Profession","type":"article-journal","volume":"13"},"uris":["http://www.mendeley.com/documents/?uuid=abc07fe1-d714-3d2c-b61d-846aa466b174"]}],"mendeley":{"formattedCitation":"(Gellasch, 2015)","plainTextFormattedCitation":"(Gellasch, 2015)","previouslyFormattedCitation":"(Gellasch, 2015)"},"properties":{"noteIndex":0},"schema":"https://github.com/citation-style-language/schema/raw/master/csl-citation.json"}</w:instrText>
      </w:r>
      <w:r w:rsidR="4024292E" w:rsidRPr="3C834372">
        <w:rPr>
          <w:rFonts w:eastAsia="Times New Roman"/>
          <w:lang w:eastAsia="en-GB"/>
        </w:rPr>
        <w:fldChar w:fldCharType="separate"/>
      </w:r>
      <w:r w:rsidRPr="3C834372">
        <w:rPr>
          <w:rFonts w:eastAsia="Times New Roman"/>
          <w:noProof/>
          <w:lang w:eastAsia="en-GB"/>
        </w:rPr>
        <w:t>(Gellasch, 2015)</w:t>
      </w:r>
      <w:r w:rsidR="4024292E" w:rsidRPr="3C834372">
        <w:rPr>
          <w:rFonts w:eastAsia="Times New Roman"/>
          <w:lang w:eastAsia="en-GB"/>
        </w:rPr>
        <w:fldChar w:fldCharType="end"/>
      </w:r>
      <w:r w:rsidRPr="3C834372">
        <w:rPr>
          <w:rFonts w:eastAsia="Times New Roman"/>
          <w:lang w:eastAsia="en-GB"/>
        </w:rPr>
        <w:t xml:space="preserve">. Being able to maintain standards, with effective leadership, good teamwork and adequate resources is an important aspect for job satisfaction in nursing and, if not present, leads to nurses feeling demoralised and dissatisfied </w:t>
      </w:r>
      <w:r w:rsidR="4024292E" w:rsidRPr="3C834372">
        <w:rPr>
          <w:rFonts w:eastAsia="Times New Roman"/>
          <w:lang w:eastAsia="en-GB"/>
        </w:rPr>
        <w:fldChar w:fldCharType="begin" w:fldLock="1"/>
      </w:r>
      <w:r w:rsidR="4024292E" w:rsidRPr="3C834372">
        <w:rPr>
          <w:rFonts w:eastAsia="Times New Roman"/>
          <w:lang w:eastAsia="en-GB"/>
        </w:rPr>
        <w:instrText>ADDIN CSL_CITATION {"citationItems":[{"id":"ITEM-1","itemData":{"DOI":"10.1186/S12912-020-00481-3/FIGURES/1","ISSN":"14726955","abstract":"Background: A lower recruitment and high turnover rate of registered nurses have resulted in a global shortage of nurses. In the UK, prior to the COVID-19 epidemic, nurses' intention to leave rates were between 30 and 50% suggesting a high level of job dissatisfaction. Methods: In this study, we analysed data from a cross-sectional mixed-methods survey developed by the Royal College of Nursing and administered to the nursing workforce across all four UK nations, to explore the levels of dissatisfaction and demoralisation- one of the predictors of nurses' intention to leave. We carried out logistic regression analysis on available data in order to determine what impacts job dissatisfaction. Results: In total, 1742 nurses responded to questions about working conditions on their last shift. We found that nearly two-thirds of respondents were demoralised. Nurses were five times more likely (OR 5.08, 95% CI: 3.82-6.60) to feel demoralised if they reported missed care. A perceived lack of support had nearly the same impact on the level of demoralisation (OR 4.8, 95% CI: 3.67-6.38). These findings were reflected in the qualitative findings where RNs reported how staffing issues and failures in leadership, left them feeling disempowered and demoralised. Conclusion: A large proportion of nurses reported feeling dissatisfied and demoralised. In order to reduce the negative impact of dissatisfaction and improve retention, more research needs to investigate the relationship dynamics within healthcare teams and how the burden experienced by RNs when unsupported by managers impacts on their ability to provide safe, good-quality care. These findings predate the current Covid-19 pandemic outbreak which may have had a further detrimental effect on job satisfaction in the UK and other nation's nursing workforce.","author":[{"dropping-particle":"","family":"Senek","given":"Michaela","non-dropping-particle":"","parse-names":false,"suffix":""},{"dropping-particle":"","family":"Robertson","given":"Steven","non-dropping-particle":"","parse-names":false,"suffix":""},{"dropping-particle":"","family":"Ryan","given":"Tony","non-dropping-particle":"","parse-names":false,"suffix":""},{"dropping-particle":"","family":"King","given":"Rachel","non-dropping-particle":"","parse-names":false,"suffix":""},{"dropping-particle":"","family":"Wood","given":"Emily","non-dropping-particle":"","parse-names":false,"suffix":""},{"dropping-particle":"","family":"Taylor","given":"Bethany","non-dropping-particle":"","parse-names":false,"suffix":""},{"dropping-particle":"","family":"Tod","given":"Angela","non-dropping-particle":"","parse-names":false,"suffix":""}],"container-title":"BMC Nursing","id":"ITEM-1","issue":"1","issued":{"date-parts":[["2020","9","18"]]},"page":"1-10","publisher":"BioMed Central Ltd","title":"Determinants of nurse job dissatisfaction - findings from a cross-sectional survey analysis in the UK","type":"article-journal","volume":"19"},"uris":["http://www.mendeley.com/documents/?uuid=7fbdffb2-d2f8-33be-a86c-abe5801d51b6"]}],"mendeley":{"formattedCitation":"(Senek &lt;i&gt;et al.&lt;/i&gt;, 2020)","plainTextFormattedCitation":"(Senek et al., 2020)","previouslyFormattedCitation":"(Senek &lt;i&gt;et al.&lt;/i&gt;, 2020)"},"properties":{"noteIndex":0},"schema":"https://github.com/citation-style-language/schema/raw/master/csl-citation.json"}</w:instrText>
      </w:r>
      <w:r w:rsidR="4024292E" w:rsidRPr="3C834372">
        <w:rPr>
          <w:rFonts w:eastAsia="Times New Roman"/>
          <w:lang w:eastAsia="en-GB"/>
        </w:rPr>
        <w:fldChar w:fldCharType="separate"/>
      </w:r>
      <w:r w:rsidRPr="3C834372">
        <w:rPr>
          <w:rFonts w:eastAsia="Times New Roman"/>
          <w:noProof/>
          <w:lang w:eastAsia="en-GB"/>
        </w:rPr>
        <w:t xml:space="preserve">(Senek </w:t>
      </w:r>
      <w:r w:rsidRPr="3C834372">
        <w:rPr>
          <w:rFonts w:eastAsia="Times New Roman"/>
          <w:i/>
          <w:iCs/>
          <w:noProof/>
          <w:lang w:eastAsia="en-GB"/>
        </w:rPr>
        <w:t>et al.</w:t>
      </w:r>
      <w:r w:rsidRPr="3C834372">
        <w:rPr>
          <w:rFonts w:eastAsia="Times New Roman"/>
          <w:noProof/>
          <w:lang w:eastAsia="en-GB"/>
        </w:rPr>
        <w:t>, 2020)</w:t>
      </w:r>
      <w:r w:rsidR="4024292E" w:rsidRPr="3C834372">
        <w:rPr>
          <w:rFonts w:eastAsia="Times New Roman"/>
          <w:lang w:eastAsia="en-GB"/>
        </w:rPr>
        <w:fldChar w:fldCharType="end"/>
      </w:r>
      <w:r w:rsidRPr="3C834372">
        <w:rPr>
          <w:rFonts w:eastAsia="Times New Roman"/>
          <w:lang w:eastAsia="en-GB"/>
        </w:rPr>
        <w:t>.</w:t>
      </w:r>
    </w:p>
    <w:p w14:paraId="748C5A9B" w14:textId="737E3B60" w:rsidR="00653B8D" w:rsidRDefault="005A26D1" w:rsidP="7BF89CF4">
      <w:pPr>
        <w:spacing w:line="360" w:lineRule="auto"/>
        <w:jc w:val="both"/>
        <w:rPr>
          <w:rFonts w:eastAsia="Times New Roman"/>
          <w:lang w:eastAsia="en-GB"/>
        </w:rPr>
      </w:pPr>
      <w:r w:rsidRPr="594CCC0A">
        <w:rPr>
          <w:rFonts w:eastAsia="Times New Roman"/>
          <w:lang w:eastAsia="en-GB"/>
        </w:rPr>
        <w:t xml:space="preserve">Despite reported anxiety and depression, </w:t>
      </w:r>
      <w:r w:rsidR="00363F33" w:rsidRPr="594CCC0A">
        <w:rPr>
          <w:rFonts w:eastAsia="Times New Roman"/>
          <w:lang w:eastAsia="en-GB"/>
        </w:rPr>
        <w:t xml:space="preserve">few nurses in the current study took time off work with stress and their </w:t>
      </w:r>
      <w:r w:rsidRPr="594CCC0A">
        <w:rPr>
          <w:rFonts w:eastAsia="Times New Roman"/>
          <w:lang w:eastAsia="en-GB"/>
        </w:rPr>
        <w:t xml:space="preserve">resilience scores remained moderate to high in both our surveys </w:t>
      </w:r>
      <w:r w:rsidR="00BF115E" w:rsidRPr="594CCC0A">
        <w:rPr>
          <w:rFonts w:eastAsia="Times New Roman"/>
          <w:lang w:eastAsia="en-GB"/>
        </w:rPr>
        <w:t xml:space="preserve">(moderate to high </w:t>
      </w:r>
      <w:r w:rsidR="00085A44" w:rsidRPr="594CCC0A">
        <w:rPr>
          <w:rFonts w:eastAsia="Times New Roman"/>
          <w:lang w:eastAsia="en-GB"/>
        </w:rPr>
        <w:t xml:space="preserve">146/180, 81.1%; </w:t>
      </w:r>
      <w:r w:rsidR="00BF115E" w:rsidRPr="594CCC0A">
        <w:rPr>
          <w:rFonts w:eastAsia="Times New Roman"/>
          <w:lang w:eastAsia="en-GB"/>
        </w:rPr>
        <w:t>127/158, 80.4%</w:t>
      </w:r>
      <w:r w:rsidR="005B5655" w:rsidRPr="594CCC0A">
        <w:rPr>
          <w:rFonts w:eastAsia="Times New Roman"/>
          <w:lang w:eastAsia="en-GB"/>
        </w:rPr>
        <w:t>)</w:t>
      </w:r>
      <w:r w:rsidR="00354B32" w:rsidRPr="594CCC0A">
        <w:rPr>
          <w:rFonts w:eastAsia="Times New Roman"/>
          <w:lang w:eastAsia="en-GB"/>
        </w:rPr>
        <w:t xml:space="preserve">. Overall median resilience scores were moderate (score 82, min-14, max-98) meaning individuals may possess some of the characteristics of resilience but </w:t>
      </w:r>
      <w:r w:rsidR="4F39CBFD" w:rsidRPr="594CCC0A">
        <w:rPr>
          <w:rFonts w:eastAsia="Times New Roman"/>
          <w:lang w:eastAsia="en-GB"/>
        </w:rPr>
        <w:t>this need</w:t>
      </w:r>
      <w:r w:rsidR="00354B32" w:rsidRPr="594CCC0A">
        <w:rPr>
          <w:rFonts w:eastAsia="Times New Roman"/>
          <w:lang w:eastAsia="en-GB"/>
        </w:rPr>
        <w:t xml:space="preserve"> strengthening </w:t>
      </w:r>
      <w:r w:rsidRPr="594CCC0A">
        <w:rPr>
          <w:rFonts w:eastAsia="Times New Roman"/>
          <w:lang w:eastAsia="en-GB"/>
        </w:rPr>
        <w:fldChar w:fldCharType="begin" w:fldLock="1"/>
      </w:r>
      <w:r w:rsidRPr="594CCC0A">
        <w:rPr>
          <w:rFonts w:eastAsia="Times New Roman"/>
          <w:lang w:eastAsia="en-GB"/>
        </w:rPr>
        <w:instrText>ADDIN CSL_CITATION {"citationItems":[{"id":"ITEM-1","itemData":{"URL":"https://eprovide.mapi-trust.org/instruments/resilience-scale-14-items","accessed":{"date-parts":[["2020","7","2"]]},"author":[{"dropping-particle":"","family":"Wagnild","given":"GM","non-dropping-particle":"","parse-names":false,"suffix":""}],"id":"ITEM-1","issued":{"date-parts":[["2009"]]},"title":"RS14 - Resilience Scale 14-items","type":"webpage"},"uris":["http://www.mendeley.com/documents/?uuid=7cee402a-be94-36b3-ade0-65061619591b"]}],"mendeley":{"formattedCitation":"(Wagnild, 2009)","plainTextFormattedCitation":"(Wagnild, 2009)","previouslyFormattedCitation":"(Wagnild, 2009)"},"properties":{"noteIndex":0},"schema":"https://github.com/citation-style-language/schema/raw/master/csl-citation.json"}</w:instrText>
      </w:r>
      <w:r w:rsidRPr="594CCC0A">
        <w:rPr>
          <w:rFonts w:eastAsia="Times New Roman"/>
          <w:lang w:eastAsia="en-GB"/>
        </w:rPr>
        <w:fldChar w:fldCharType="separate"/>
      </w:r>
      <w:r w:rsidR="00354B32" w:rsidRPr="594CCC0A">
        <w:rPr>
          <w:rFonts w:eastAsia="Times New Roman"/>
          <w:noProof/>
          <w:lang w:eastAsia="en-GB"/>
        </w:rPr>
        <w:t>(Wagnild, 2009)</w:t>
      </w:r>
      <w:r w:rsidRPr="594CCC0A">
        <w:rPr>
          <w:rFonts w:eastAsia="Times New Roman"/>
          <w:lang w:eastAsia="en-GB"/>
        </w:rPr>
        <w:fldChar w:fldCharType="end"/>
      </w:r>
      <w:r w:rsidR="00354B32" w:rsidRPr="594CCC0A">
        <w:rPr>
          <w:rFonts w:eastAsia="Times New Roman"/>
          <w:lang w:eastAsia="en-GB"/>
        </w:rPr>
        <w:t xml:space="preserve">. </w:t>
      </w:r>
      <w:r w:rsidR="00300682" w:rsidRPr="594CCC0A">
        <w:rPr>
          <w:rFonts w:eastAsia="Times New Roman"/>
          <w:lang w:eastAsia="en-GB"/>
        </w:rPr>
        <w:t xml:space="preserve">The </w:t>
      </w:r>
      <w:r w:rsidR="005602DC" w:rsidRPr="594CCC0A">
        <w:rPr>
          <w:rFonts w:eastAsia="Times New Roman"/>
          <w:lang w:eastAsia="en-GB"/>
        </w:rPr>
        <w:t xml:space="preserve">authors of the scale identified </w:t>
      </w:r>
      <w:r w:rsidR="00AE5DA4" w:rsidRPr="594CCC0A">
        <w:rPr>
          <w:rFonts w:eastAsia="Times New Roman"/>
          <w:lang w:eastAsia="en-GB"/>
        </w:rPr>
        <w:t>five common</w:t>
      </w:r>
      <w:r w:rsidR="005602DC" w:rsidRPr="594CCC0A">
        <w:rPr>
          <w:rFonts w:eastAsia="Times New Roman"/>
          <w:lang w:eastAsia="en-GB"/>
        </w:rPr>
        <w:t xml:space="preserve"> </w:t>
      </w:r>
      <w:r w:rsidR="00AE5DA4" w:rsidRPr="594CCC0A">
        <w:rPr>
          <w:rFonts w:eastAsia="Times New Roman"/>
          <w:lang w:eastAsia="en-GB"/>
        </w:rPr>
        <w:t xml:space="preserve">components of resilience: equanimity, </w:t>
      </w:r>
      <w:r w:rsidR="00AE5DA4" w:rsidRPr="594CCC0A">
        <w:rPr>
          <w:rFonts w:eastAsia="Times New Roman"/>
          <w:lang w:eastAsia="en-GB"/>
        </w:rPr>
        <w:lastRenderedPageBreak/>
        <w:t>perseverance, self</w:t>
      </w:r>
      <w:r w:rsidR="005602DC" w:rsidRPr="594CCC0A">
        <w:rPr>
          <w:rFonts w:eastAsia="Times New Roman"/>
          <w:lang w:eastAsia="en-GB"/>
        </w:rPr>
        <w:t>-</w:t>
      </w:r>
      <w:r w:rsidR="00AE5DA4" w:rsidRPr="594CCC0A">
        <w:rPr>
          <w:rFonts w:eastAsia="Times New Roman"/>
          <w:lang w:eastAsia="en-GB"/>
        </w:rPr>
        <w:t>reliance,</w:t>
      </w:r>
      <w:r w:rsidR="005602DC" w:rsidRPr="594CCC0A">
        <w:rPr>
          <w:rFonts w:eastAsia="Times New Roman"/>
          <w:lang w:eastAsia="en-GB"/>
        </w:rPr>
        <w:t xml:space="preserve"> </w:t>
      </w:r>
      <w:r w:rsidR="00AE5DA4" w:rsidRPr="594CCC0A">
        <w:rPr>
          <w:rFonts w:eastAsia="Times New Roman"/>
          <w:lang w:eastAsia="en-GB"/>
        </w:rPr>
        <w:t>meaningfulness, and existential aloneness (</w:t>
      </w:r>
      <w:r w:rsidRPr="594CCC0A">
        <w:rPr>
          <w:rFonts w:eastAsia="Times New Roman"/>
          <w:lang w:eastAsia="en-GB"/>
        </w:rPr>
        <w:fldChar w:fldCharType="begin" w:fldLock="1"/>
      </w:r>
      <w:r w:rsidR="00800A0B">
        <w:rPr>
          <w:rFonts w:eastAsia="Times New Roman"/>
          <w:lang w:eastAsia="en-GB"/>
        </w:rPr>
        <w:instrText>ADDIN CSL_CITATION {"citationItems":[{"id":"ITEM-1","itemData":{"author":[{"dropping-particle":"","family":"Wagnild","given":"GM","non-dropping-particle":"","parse-names":false,"suffix":""}],"id":"ITEM-1","issued":{"date-parts":[["2011"]]},"title":"The resilience scale user's guide: For the US English version of the Resilience Scale and the 14-item Resilience Scale (RS-14)","type":"article-journal"},"uris":["http://www.mendeley.com/documents/?uuid=96cd71b3-7d7b-3284-b2ce-ad1ee7d46506"]},{"id":"ITEM-2","itemData":{"ISSN":"1061-3749","PMID":"7850498","abstract":"This study describes the development and initial psychometric evaluation of the 25-item Resilience Scale (RS) in a sample of 810 community-dwelling older adults. Principal components factor analysis of the RS was conducted followed by oblimin rotation indicating that the factor structure represented two factors (Personal Competence and Acceptance of Self and Life). Positive correlations with adaptational outcomes (physical health, morale, and life satisfaction) and a negative correlation with depression supported concurrent validity of the RS. The results of this study support the internal consistency reliability and concurrent validity of the RS as an instrument to measure resilience.","author":[{"dropping-particle":"","family":"Wagnild","given":"GM","non-dropping-particle":"","parse-names":false,"suffix":""},{"dropping-particle":"","family":"Young","given":"HM","non-dropping-particle":"","parse-names":false,"suffix":""}],"container-title":"Journal of nursing measurement","id":"ITEM-2","issue":"2","issued":{"date-parts":[["1993","12"]]},"page":"165-178","publisher":"J Nurs Meas","title":"Development and psychometric evaluation of the Resilience Scale","type":"article-journal","volume":"1"},"uris":["http://www.mendeley.com/documents/?uuid=5d3ff30b-e837-394f-82d5-8a6b0d480222"]}],"mendeley":{"formattedCitation":"(Wagnild and Young, 1993; Wagnild, 2011)","plainTextFormattedCitation":"(Wagnild and Young, 1993; Wagnild, 2011)","previouslyFormattedCitation":"(Wagnild and Young, 1993; Wagnild, 2011)"},"properties":{"noteIndex":0},"schema":"https://github.com/citation-style-language/schema/raw/master/csl-citation.json"}</w:instrText>
      </w:r>
      <w:r w:rsidRPr="594CCC0A">
        <w:rPr>
          <w:rFonts w:eastAsia="Times New Roman"/>
          <w:lang w:eastAsia="en-GB"/>
        </w:rPr>
        <w:fldChar w:fldCharType="separate"/>
      </w:r>
      <w:r w:rsidR="00300682" w:rsidRPr="594CCC0A">
        <w:rPr>
          <w:rFonts w:eastAsia="Times New Roman"/>
          <w:noProof/>
          <w:lang w:eastAsia="en-GB"/>
        </w:rPr>
        <w:t>(Wagnild and Young, 1993; Wagnild, 2011)</w:t>
      </w:r>
      <w:r w:rsidRPr="594CCC0A">
        <w:rPr>
          <w:rFonts w:eastAsia="Times New Roman"/>
          <w:lang w:eastAsia="en-GB"/>
        </w:rPr>
        <w:fldChar w:fldCharType="end"/>
      </w:r>
      <w:r w:rsidR="00AE5DA4" w:rsidRPr="594CCC0A">
        <w:rPr>
          <w:rFonts w:eastAsia="Times New Roman"/>
          <w:lang w:eastAsia="en-GB"/>
        </w:rPr>
        <w:t>.</w:t>
      </w:r>
      <w:r w:rsidR="00354B32" w:rsidRPr="594CCC0A">
        <w:rPr>
          <w:rFonts w:eastAsia="Times New Roman"/>
          <w:lang w:eastAsia="en-GB"/>
        </w:rPr>
        <w:t xml:space="preserve"> </w:t>
      </w:r>
      <w:r w:rsidR="00653B8D" w:rsidRPr="594CCC0A">
        <w:rPr>
          <w:rFonts w:eastAsia="Times New Roman"/>
          <w:lang w:eastAsia="en-GB"/>
        </w:rPr>
        <w:t xml:space="preserve">This may be because most of the participants in our sample were from higher clinical bands and were therefore more experienced and possibly had better resilience, </w:t>
      </w:r>
      <w:r w:rsidR="00354B32" w:rsidRPr="594CCC0A">
        <w:rPr>
          <w:rFonts w:eastAsia="Times New Roman"/>
          <w:lang w:eastAsia="en-GB"/>
        </w:rPr>
        <w:t>very few participants felt that the pandemic had benefitted their career prospects.</w:t>
      </w:r>
    </w:p>
    <w:p w14:paraId="477CEE02" w14:textId="395ABE85" w:rsidR="00653B8D" w:rsidRDefault="4024292E" w:rsidP="4024292E">
      <w:pPr>
        <w:spacing w:line="360" w:lineRule="auto"/>
        <w:jc w:val="both"/>
        <w:rPr>
          <w:rFonts w:eastAsia="Times New Roman"/>
          <w:lang w:eastAsia="en-GB"/>
        </w:rPr>
      </w:pPr>
      <w:r w:rsidRPr="4024292E">
        <w:rPr>
          <w:rFonts w:eastAsia="Times New Roman"/>
          <w:lang w:eastAsia="en-GB"/>
        </w:rPr>
        <w:t>Higher resilience was also significantly associated with lower anxiety (Chi square p=0.002) and lower depression scores (</w:t>
      </w:r>
      <w:r w:rsidRPr="4024292E">
        <w:rPr>
          <w:rFonts w:ascii="Symbol" w:eastAsia="Symbol" w:hAnsi="Symbol"/>
          <w:lang w:eastAsia="en-GB"/>
        </w:rPr>
        <w:t></w:t>
      </w:r>
      <w:r w:rsidRPr="4024292E">
        <w:rPr>
          <w:rFonts w:eastAsia="Times New Roman"/>
          <w:lang w:eastAsia="en-GB"/>
        </w:rPr>
        <w:t xml:space="preserve"> </w:t>
      </w:r>
      <w:r w:rsidRPr="4024292E">
        <w:rPr>
          <w:rFonts w:eastAsia="Times New Roman"/>
          <w:vertAlign w:val="superscript"/>
          <w:lang w:eastAsia="en-GB"/>
        </w:rPr>
        <w:t>2</w:t>
      </w:r>
      <w:r w:rsidRPr="4024292E">
        <w:rPr>
          <w:rFonts w:eastAsia="Times New Roman"/>
          <w:lang w:eastAsia="en-GB"/>
        </w:rPr>
        <w:t xml:space="preserve"> p&lt;0.001). A systematic review of resilience levels in healthcare workers across the world during the COVID-19 pandemic found that nurses had similar levels of resilience in their analysis, although in the USA resilience levels dropped, whilst in China they increased </w:t>
      </w:r>
      <w:r w:rsidR="00653B8D" w:rsidRPr="4024292E">
        <w:rPr>
          <w:rFonts w:eastAsia="Times New Roman"/>
          <w:lang w:eastAsia="en-GB"/>
        </w:rPr>
        <w:fldChar w:fldCharType="begin" w:fldLock="1"/>
      </w:r>
      <w:r w:rsidR="00653B8D" w:rsidRPr="4024292E">
        <w:rPr>
          <w:rFonts w:eastAsia="Times New Roman"/>
          <w:lang w:eastAsia="en-GB"/>
        </w:rPr>
        <w:instrText>ADDIN CSL_CITATION {"citationItems":[{"id":"ITEM-1","itemData":{"DOI":"10.1111/JONM.13395","ISSN":"1365-2834","abstract":"Aim: The purpose of this review was to examine resilience among healthcare workers during the coronavirus-disease-2019 (COVID-19) pandemic. Background: The COVID-19 pandemic has caused an unprecedented strain on healthcare workers internationally. Rising infection rates, inadequate personal protective equipment, and the lack of availability of hospital beds has resulted in further deterioration of the already-fragile mental health of healthcare workers. Resilient workers have lower rates of burnout and improved patient outcomes. Evaluation: PubMed and the Cumulative Index to Nursing and Allied Health Literature databases were searched using the terms resilience, nurse and COVID-19 to identify studies on resilience during the COVID-19 pandemic. Results were organized by outcome measures for comparison. Key Issues: Resilience scores among frontline healthcare workers worldwide during the COVID-19 pandemic in the studies reviewed were overall found to be in the moderate range. Data from the United States showed a decrease in nurse resilience, whereas participants from China had increased resilience compared with pre-pandemic levels. Conclusions: Building resilience in nurses and other healthcare workers can serve as a protective factor against negative outcomes related to the job, including burnout, anxiety and depression, and can improve patient outcomes. Implications for Nursing Management: Strategies for building resilience in healthcare workers are discussed.","author":[{"dropping-particle":"","family":"Baskin MSN","given":"Rachel G","non-dropping-particle":"","parse-names":false,"suffix":""},{"dropping-particle":"","family":"Bartlett","given":"Robin","non-dropping-particle":"","parse-names":false,"suffix":""},{"dropping-particle":"","family":"Rachel Baskin","given":"Correspondence","non-dropping-particle":"","parse-names":false,"suffix":""},{"dropping-particle":"","family":"Louise","given":"M","non-dropping-particle":"","parse-names":false,"suffix":""}],"container-title":"Journal of Nursing Management","id":"ITEM-1","issue":"8","issued":{"date-parts":[["2021","11","1"]]},"page":"2329-2342","publisher":"John Wiley &amp; Sons, Ltd","title":"Healthcare worker resilience during the COVID-19 pandemic: An integrative review","type":"article-journal","volume":"29"},"uris":["http://www.mendeley.com/documents/?uuid=c299e7c3-962d-3490-a5c4-d31671a1fe3a"]}],"mendeley":{"formattedCitation":"(Baskin MSN &lt;i&gt;et al.&lt;/i&gt;, 2021)","manualFormatting":"(Baskin et al., 2021)","plainTextFormattedCitation":"(Baskin MSN et al., 2021)","previouslyFormattedCitation":"(Baskin MSN &lt;i&gt;et al.&lt;/i&gt;, 2021)"},"properties":{"noteIndex":0},"schema":"https://github.com/citation-style-language/schema/raw/master/csl-citation.json"}</w:instrText>
      </w:r>
      <w:r w:rsidR="00653B8D" w:rsidRPr="4024292E">
        <w:rPr>
          <w:rFonts w:eastAsia="Times New Roman"/>
          <w:lang w:eastAsia="en-GB"/>
        </w:rPr>
        <w:fldChar w:fldCharType="separate"/>
      </w:r>
      <w:r w:rsidRPr="4024292E">
        <w:rPr>
          <w:rFonts w:eastAsia="Times New Roman"/>
          <w:noProof/>
          <w:lang w:eastAsia="en-GB"/>
        </w:rPr>
        <w:t xml:space="preserve">(Baskin </w:t>
      </w:r>
      <w:r w:rsidRPr="4024292E">
        <w:rPr>
          <w:rFonts w:eastAsia="Times New Roman"/>
          <w:i/>
          <w:iCs/>
          <w:noProof/>
          <w:lang w:eastAsia="en-GB"/>
        </w:rPr>
        <w:t>et al.</w:t>
      </w:r>
      <w:r w:rsidRPr="4024292E">
        <w:rPr>
          <w:rFonts w:eastAsia="Times New Roman"/>
          <w:noProof/>
          <w:lang w:eastAsia="en-GB"/>
        </w:rPr>
        <w:t>, 2021)</w:t>
      </w:r>
      <w:r w:rsidR="00653B8D" w:rsidRPr="4024292E">
        <w:rPr>
          <w:rFonts w:eastAsia="Times New Roman"/>
          <w:lang w:eastAsia="en-GB"/>
        </w:rPr>
        <w:fldChar w:fldCharType="end"/>
      </w:r>
      <w:r w:rsidRPr="4024292E">
        <w:rPr>
          <w:rFonts w:eastAsia="Times New Roman"/>
          <w:lang w:eastAsia="en-GB"/>
        </w:rPr>
        <w:t>. Differences may be due to governmental approaches in managing the spread of COVID-19, the structure of healthcare systems as well as nurse training and education</w:t>
      </w:r>
      <w:r w:rsidR="00653B8D" w:rsidRPr="4024292E">
        <w:rPr>
          <w:rFonts w:eastAsia="Times New Roman"/>
          <w:lang w:eastAsia="en-GB"/>
        </w:rPr>
        <w:fldChar w:fldCharType="begin" w:fldLock="1"/>
      </w:r>
      <w:r w:rsidR="00653B8D" w:rsidRPr="4024292E">
        <w:rPr>
          <w:rFonts w:eastAsia="Times New Roman"/>
          <w:lang w:eastAsia="en-GB"/>
        </w:rPr>
        <w:instrText>ADDIN CSL_CITATION {"citationItems":[{"id":"ITEM-1","itemData":{"DOI":"10.7748/nm.2020.e1933","ISSN":"20478976","PMID":"32400142","abstract":"Most research on resilience in healthcare systems such as the NHS is based on organisational crises, such as nurse shortages, an ageing workforce and financial restrictions. However, nursing can learn lessons from the past to consider how to become more resilient, particularly considering the 2020 COVID-19 pandemic. This article briefly looks at previous pandemics and disasters that have affected healthcare systems, as well as the 2020 COVID-19 pandemic, and considers how nurse leaders can support staff and show organisational resilience during such emergencies. The article also discusses how nurse leaders can develop their own resilience.","author":[{"dropping-particle":"","family":"Duncan","given":"Deborah","non-dropping-particle":"","parse-names":false,"suffix":""}],"container-title":"Nursing Management","id":"ITEM-1","issue":"3","issued":{"date-parts":[["2020","6","2"]]},"publisher":"RCN Publishing Company Ltd.","title":"What the COVID-19 pandemic tells us about the need to develop resilience in the nursing workforce","type":"article-journal","volume":"27"},"uris":["http://www.mendeley.com/documents/?uuid=4f60f3c7-0b2b-37a1-abb8-bf8d43c10f61"]}],"mendeley":{"formattedCitation":"(Duncan, 2020)","plainTextFormattedCitation":"(Duncan, 2020)","previouslyFormattedCitation":"(Duncan, 2020)"},"properties":{"noteIndex":0},"schema":"https://github.com/citation-style-language/schema/raw/master/csl-citation.json"}</w:instrText>
      </w:r>
      <w:r w:rsidR="00653B8D" w:rsidRPr="4024292E">
        <w:rPr>
          <w:rFonts w:eastAsia="Times New Roman"/>
          <w:lang w:eastAsia="en-GB"/>
        </w:rPr>
        <w:fldChar w:fldCharType="separate"/>
      </w:r>
      <w:r w:rsidRPr="4024292E">
        <w:rPr>
          <w:rFonts w:eastAsia="Times New Roman"/>
          <w:noProof/>
          <w:lang w:eastAsia="en-GB"/>
        </w:rPr>
        <w:t>(Duncan, 2020)</w:t>
      </w:r>
      <w:r w:rsidR="00653B8D" w:rsidRPr="4024292E">
        <w:rPr>
          <w:rFonts w:eastAsia="Times New Roman"/>
          <w:lang w:eastAsia="en-GB"/>
        </w:rPr>
        <w:fldChar w:fldCharType="end"/>
      </w:r>
      <w:r w:rsidRPr="4024292E">
        <w:rPr>
          <w:rFonts w:eastAsia="Times New Roman"/>
          <w:lang w:eastAsia="en-GB"/>
        </w:rPr>
        <w:t xml:space="preserve">. Our findings that higher levels of resilience are associated with lower levels of psychological distress reflect that of other studies of healthcare workers during the pandemic </w:t>
      </w:r>
      <w:r w:rsidR="00653B8D" w:rsidRPr="4024292E">
        <w:rPr>
          <w:rFonts w:eastAsia="Times New Roman"/>
          <w:lang w:eastAsia="en-GB"/>
        </w:rPr>
        <w:fldChar w:fldCharType="begin" w:fldLock="1"/>
      </w:r>
      <w:r w:rsidR="00653B8D" w:rsidRPr="4024292E">
        <w:rPr>
          <w:rFonts w:eastAsia="Times New Roman"/>
          <w:lang w:eastAsia="en-GB"/>
        </w:rPr>
        <w:instrText>ADDIN CSL_CITATION {"citationItems":[{"id":"ITEM-1","itemData":{"DOI":"10.1177/0033294120965477","ISSN":"1558691X","PMID":"33050800","abstract":"The COVID-19 pandemic as a public health issue has spread to the rest of the world. Although the wellbeing and emotional resilience of healthcare professionals are key components of continuing healthcare services during the COVID-19 pandemic, healthcare professionals have been observed in this period to experience serious psychological problems and to be at risk in terms of mental health. Therefore, this study aims to probe psychological resilience of healthcare workers. The findings of this study showed that in order to raise psychological resilience of healthcare professionals working during the COVID-19 pandemic their quality of sleep, positive emotions and life satisfaction need to be enhanced. Psychological resilience levels of healthcare workers in their later years were found to be higher. Doctors constitute the group with the lowest levels of psychological resilience among healthcare workers. The current study is considered to have contributed to the literature in this regard. Primary needs such as sleep which are determinants of quality of life, life satisfaction and psychological resilience should be met.","author":[{"dropping-particle":"","family":"Bozdağ","given":"Faruk","non-dropping-particle":"","parse-names":false,"suffix":""},{"dropping-particle":"","family":"Ergün","given":"Naif","non-dropping-particle":"","parse-names":false,"suffix":""}],"container-title":"Psychological Reports","id":"ITEM-1","issue":"6","issued":{"date-parts":[["2020","10","13"]]},"publisher":"SAGE Publications Inc.","title":"Psychological Resilience of Healthcare Professionals During COVID-19 Pandemic","type":"article-journal","volume":"124"},"uris":["http://www.mendeley.com/documents/?uuid=d9abaafb-1b15-30a7-8030-4e080151ef09"]}],"mendeley":{"formattedCitation":"(Bozdağ and Ergün, 2020)","plainTextFormattedCitation":"(Bozdağ and Ergün, 2020)","previouslyFormattedCitation":"(Bozdağ and Ergün, 2020)"},"properties":{"noteIndex":0},"schema":"https://github.com/citation-style-language/schema/raw/master/csl-citation.json"}</w:instrText>
      </w:r>
      <w:r w:rsidR="00653B8D" w:rsidRPr="4024292E">
        <w:rPr>
          <w:rFonts w:eastAsia="Times New Roman"/>
          <w:lang w:eastAsia="en-GB"/>
        </w:rPr>
        <w:fldChar w:fldCharType="separate"/>
      </w:r>
      <w:r w:rsidRPr="4024292E">
        <w:rPr>
          <w:rFonts w:eastAsia="Times New Roman"/>
          <w:noProof/>
          <w:lang w:eastAsia="en-GB"/>
        </w:rPr>
        <w:t>(Bozdağ and Ergün, 2020)</w:t>
      </w:r>
      <w:r w:rsidR="00653B8D" w:rsidRPr="4024292E">
        <w:rPr>
          <w:rFonts w:eastAsia="Times New Roman"/>
          <w:lang w:eastAsia="en-GB"/>
        </w:rPr>
        <w:fldChar w:fldCharType="end"/>
      </w:r>
      <w:r w:rsidRPr="4024292E">
        <w:rPr>
          <w:rFonts w:eastAsia="Times New Roman"/>
          <w:lang w:eastAsia="en-GB"/>
        </w:rPr>
        <w:t xml:space="preserve">. </w:t>
      </w:r>
      <w:proofErr w:type="spellStart"/>
      <w:r w:rsidRPr="4024292E">
        <w:rPr>
          <w:rFonts w:eastAsia="Times New Roman"/>
          <w:lang w:eastAsia="en-GB"/>
        </w:rPr>
        <w:t>Restubog</w:t>
      </w:r>
      <w:proofErr w:type="spellEnd"/>
      <w:r w:rsidRPr="4024292E">
        <w:rPr>
          <w:rFonts w:eastAsia="Times New Roman"/>
          <w:lang w:eastAsia="en-GB"/>
        </w:rPr>
        <w:t xml:space="preserve"> and colleagues discuss the mental impact of emotional regulation strategies to manage negativity: interacting with family/peers who make you feel good, undertaking things you enjoy and keeping busy</w:t>
      </w:r>
      <w:r w:rsidR="00653B8D" w:rsidRPr="4024292E">
        <w:rPr>
          <w:rFonts w:eastAsia="Times New Roman"/>
          <w:lang w:eastAsia="en-GB"/>
        </w:rPr>
        <w:fldChar w:fldCharType="begin" w:fldLock="1"/>
      </w:r>
      <w:r w:rsidR="00653B8D" w:rsidRPr="4024292E">
        <w:rPr>
          <w:rFonts w:eastAsia="Times New Roman"/>
          <w:lang w:eastAsia="en-GB"/>
        </w:rPr>
        <w:instrText>ADDIN CSL_CITATION {"citationItems":[{"id":"ITEM-1","itemData":{"DOI":"10.1016/J.JVB.2020.103440","ISSN":"0001-8791","PMID":"32390659","abstract":"The COVID-19 pandemic represents a major global health crisis that continues to threaten public health and safety. Although the pandemic is still unfolding, measures to reduce the spread of the virus have spawned significant challenges to people's current work as well as their careers more generally. In this commentary, we discuss the implications of COVID-19 for maintaining one's psychological well-being and employment security, and also managing family and work responsibilities. We also bring forth evidence from the emotion regulation literature to help mitigate the downstream negative consequences of COVID-19 on people's work lives. Finally, we offer several suggestions for future scholarly investigation into how this pandemic impacts vocational behavior.","author":[{"dropping-particle":"","family":"Restubog","given":"Simon Lloyd D.","non-dropping-particle":"","parse-names":false,"suffix":""},{"dropping-particle":"","family":"Ocampo","given":"Anna Carmella G.","non-dropping-particle":"","parse-names":false,"suffix":""},{"dropping-particle":"","family":"Wang","given":"Lu","non-dropping-particle":"","parse-names":false,"suffix":""}],"container-title":"Journal of Vocational Behavior","id":"ITEM-1","issued":{"date-parts":[["2020","6","1"]]},"page":"103440","publisher":"Academic Press","title":"Taking control amidst the chaos: Emotion regulation during the COVID-19 pandemic","type":"article-journal","volume":"119"},"uris":["http://www.mendeley.com/documents/?uuid=cdcdb24f-ab94-36ee-8d8b-2e9e6333ec7b"]}],"mendeley":{"formattedCitation":"(Restubog &lt;i&gt;et al.&lt;/i&gt;, 2020)","plainTextFormattedCitation":"(Restubog et al., 2020)","previouslyFormattedCitation":"(Restubog &lt;i&gt;et al.&lt;/i&gt;, 2020)"},"properties":{"noteIndex":0},"schema":"https://github.com/citation-style-language/schema/raw/master/csl-citation.json"}</w:instrText>
      </w:r>
      <w:r w:rsidR="00653B8D" w:rsidRPr="4024292E">
        <w:rPr>
          <w:rFonts w:eastAsia="Times New Roman"/>
          <w:lang w:eastAsia="en-GB"/>
        </w:rPr>
        <w:fldChar w:fldCharType="separate"/>
      </w:r>
      <w:r w:rsidRPr="4024292E">
        <w:rPr>
          <w:rFonts w:eastAsia="Times New Roman"/>
          <w:noProof/>
          <w:lang w:eastAsia="en-GB"/>
        </w:rPr>
        <w:t xml:space="preserve">(Restubog </w:t>
      </w:r>
      <w:r w:rsidRPr="4024292E">
        <w:rPr>
          <w:rFonts w:eastAsia="Times New Roman"/>
          <w:i/>
          <w:iCs/>
          <w:noProof/>
          <w:lang w:eastAsia="en-GB"/>
        </w:rPr>
        <w:t>et al.</w:t>
      </w:r>
      <w:r w:rsidRPr="4024292E">
        <w:rPr>
          <w:rFonts w:eastAsia="Times New Roman"/>
          <w:noProof/>
          <w:lang w:eastAsia="en-GB"/>
        </w:rPr>
        <w:t>, 2020)</w:t>
      </w:r>
      <w:r w:rsidR="00653B8D" w:rsidRPr="4024292E">
        <w:rPr>
          <w:rFonts w:eastAsia="Times New Roman"/>
          <w:lang w:eastAsia="en-GB"/>
        </w:rPr>
        <w:fldChar w:fldCharType="end"/>
      </w:r>
      <w:r w:rsidRPr="4024292E">
        <w:rPr>
          <w:rFonts w:eastAsia="Times New Roman"/>
          <w:lang w:eastAsia="en-GB"/>
        </w:rPr>
        <w:t xml:space="preserve">. </w:t>
      </w:r>
      <w:proofErr w:type="spellStart"/>
      <w:r w:rsidRPr="4024292E">
        <w:rPr>
          <w:rFonts w:eastAsia="Times New Roman"/>
          <w:lang w:eastAsia="en-GB"/>
        </w:rPr>
        <w:t>Bozdag</w:t>
      </w:r>
      <w:proofErr w:type="spellEnd"/>
      <w:r w:rsidRPr="4024292E">
        <w:rPr>
          <w:rFonts w:eastAsia="Times New Roman"/>
          <w:lang w:eastAsia="en-GB"/>
        </w:rPr>
        <w:t xml:space="preserve"> and </w:t>
      </w:r>
      <w:proofErr w:type="spellStart"/>
      <w:r w:rsidRPr="4024292E">
        <w:rPr>
          <w:rFonts w:eastAsia="Times New Roman"/>
          <w:lang w:eastAsia="en-GB"/>
        </w:rPr>
        <w:t>Ergan</w:t>
      </w:r>
      <w:proofErr w:type="spellEnd"/>
      <w:r w:rsidRPr="4024292E">
        <w:rPr>
          <w:rFonts w:eastAsia="Times New Roman"/>
          <w:lang w:eastAsia="en-GB"/>
        </w:rPr>
        <w:t xml:space="preserve"> (2020) found that protective factors for resilience in health care workers during the pandemic were good sleep, positive emotions, and life satisfaction </w:t>
      </w:r>
      <w:r w:rsidR="00653B8D" w:rsidRPr="4024292E">
        <w:rPr>
          <w:rFonts w:eastAsia="Times New Roman"/>
          <w:lang w:eastAsia="en-GB"/>
        </w:rPr>
        <w:fldChar w:fldCharType="begin" w:fldLock="1"/>
      </w:r>
      <w:r w:rsidR="00653B8D" w:rsidRPr="4024292E">
        <w:rPr>
          <w:rFonts w:eastAsia="Times New Roman"/>
          <w:lang w:eastAsia="en-GB"/>
        </w:rPr>
        <w:instrText>ADDIN CSL_CITATION {"citationItems":[{"id":"ITEM-1","itemData":{"DOI":"10.1177/0033294120965477","ISSN":"1558691X","PMID":"33050800","abstract":"The COVID-19 pandemic as a public health issue has spread to the rest of the world. Although the wellbeing and emotional resilience of healthcare professionals are key components of continuing healthcare services during the COVID-19 pandemic, healthcare professionals have been observed in this period to experience serious psychological problems and to be at risk in terms of mental health. Therefore, this study aims to probe psychological resilience of healthcare workers. The findings of this study showed that in order to raise psychological resilience of healthcare professionals working during the COVID-19 pandemic their quality of sleep, positive emotions and life satisfaction need to be enhanced. Psychological resilience levels of healthcare workers in their later years were found to be higher. Doctors constitute the group with the lowest levels of psychological resilience among healthcare workers. The current study is considered to have contributed to the literature in this regard. Primary needs such as sleep which are determinants of quality of life, life satisfaction and psychological resilience should be met.","author":[{"dropping-particle":"","family":"Bozdağ","given":"Faruk","non-dropping-particle":"","parse-names":false,"suffix":""},{"dropping-particle":"","family":"Ergün","given":"Naif","non-dropping-particle":"","parse-names":false,"suffix":""}],"container-title":"Psychological Reports","id":"ITEM-1","issue":"6","issued":{"date-parts":[["2020","10","13"]]},"publisher":"SAGE Publications Inc.","title":"Psychological Resilience of Healthcare Professionals During COVID-19 Pandemic","type":"article-journal","volume":"124"},"uris":["http://www.mendeley.com/documents/?uuid=d9abaafb-1b15-30a7-8030-4e080151ef09"]}],"mendeley":{"formattedCitation":"(Bozdağ and Ergün, 2020)","plainTextFormattedCitation":"(Bozdağ and Ergün, 2020)","previouslyFormattedCitation":"(Bozdağ and Ergün, 2020)"},"properties":{"noteIndex":0},"schema":"https://github.com/citation-style-language/schema/raw/master/csl-citation.json"}</w:instrText>
      </w:r>
      <w:r w:rsidR="00653B8D" w:rsidRPr="4024292E">
        <w:rPr>
          <w:rFonts w:eastAsia="Times New Roman"/>
          <w:lang w:eastAsia="en-GB"/>
        </w:rPr>
        <w:fldChar w:fldCharType="separate"/>
      </w:r>
      <w:r w:rsidRPr="4024292E">
        <w:rPr>
          <w:rFonts w:eastAsia="Times New Roman"/>
          <w:noProof/>
          <w:lang w:eastAsia="en-GB"/>
        </w:rPr>
        <w:t>(Bozdağ and Ergün, 2020)</w:t>
      </w:r>
      <w:r w:rsidR="00653B8D" w:rsidRPr="4024292E">
        <w:rPr>
          <w:rFonts w:eastAsia="Times New Roman"/>
          <w:lang w:eastAsia="en-GB"/>
        </w:rPr>
        <w:fldChar w:fldCharType="end"/>
      </w:r>
      <w:r w:rsidRPr="4024292E">
        <w:rPr>
          <w:rFonts w:eastAsia="Times New Roman"/>
          <w:lang w:eastAsia="en-GB"/>
        </w:rPr>
        <w:t xml:space="preserve">. Adequate personal resilience can act as a protective factor against more serious long term psychological disturbance and is therefore an important characteristic to possess for nurses working in the NHS during the COVID-19 pandemic (Wesley and Powell, 1989).  </w:t>
      </w:r>
      <w:r w:rsidR="00653B8D" w:rsidRPr="4024292E">
        <w:rPr>
          <w:rFonts w:eastAsia="Times New Roman"/>
          <w:lang w:eastAsia="en-GB"/>
        </w:rPr>
        <w:fldChar w:fldCharType="begin" w:fldLock="1"/>
      </w:r>
      <w:r w:rsidR="00653B8D" w:rsidRPr="4024292E">
        <w:rPr>
          <w:rFonts w:eastAsia="Times New Roman"/>
          <w:lang w:eastAsia="en-GB"/>
        </w:rPr>
        <w:instrText>ADDIN CSL_CITATION {"citationItems":[{"id":"ITEM-1","itemData":{"DOI":"10.1177/0033294120965477","ISSN":"1558691X","PMID":"33050800","abstract":"The COVID-19 pandemic as a public health issue has spread to the rest of the world. Although the wellbeing and emotional resilience of healthcare professionals are key components of continuing healthcare services during the COVID-19 pandemic, healthcare professionals have been observed in this period to experience serious psychological problems and to be at risk in terms of mental health. Therefore, this study aims to probe psychological resilience of healthcare workers. The findings of this study showed that in order to raise psychological resilience of healthcare professionals working during the COVID-19 pandemic their quality of sleep, positive emotions and life satisfaction need to be enhanced. Psychological resilience levels of healthcare workers in their later years were found to be higher. Doctors constitute the group with the lowest levels of psychological resilience among healthcare workers. The current study is considered to have contributed to the literature in this regard. Primary needs such as sleep which are determinants of quality of life, life satisfaction and psychological resilience should be met.","author":[{"dropping-particle":"","family":"Bozdağ","given":"Faruk","non-dropping-particle":"","parse-names":false,"suffix":""},{"dropping-particle":"","family":"Ergün","given":"Naif","non-dropping-particle":"","parse-names":false,"suffix":""}],"container-title":"Psychological Reports","id":"ITEM-1","issue":"6","issued":{"date-parts":[["2020","10","13"]]},"publisher":"SAGE Publications Inc.","title":"Psychological Resilience of Healthcare Professionals During COVID-19 Pandemic","type":"article-journal","volume":"124"},"uris":["http://www.mendeley.com/documents/?uuid=d9abaafb-1b15-30a7-8030-4e080151ef09"]}],"mendeley":{"formattedCitation":"(Bozdağ and Ergün, 2020)","plainTextFormattedCitation":"(Bozdağ and Ergün, 2020)","previouslyFormattedCitation":"(Bozdağ and Ergün, 2020)"},"properties":{"noteIndex":0},"schema":"https://github.com/citation-style-language/schema/raw/master/csl-citation.json"}</w:instrText>
      </w:r>
      <w:r w:rsidR="00653B8D" w:rsidRPr="4024292E">
        <w:rPr>
          <w:rFonts w:eastAsia="Times New Roman"/>
          <w:lang w:eastAsia="en-GB"/>
        </w:rPr>
        <w:fldChar w:fldCharType="separate"/>
      </w:r>
      <w:r w:rsidRPr="4024292E">
        <w:rPr>
          <w:rFonts w:eastAsia="Times New Roman"/>
          <w:noProof/>
          <w:lang w:eastAsia="en-GB"/>
        </w:rPr>
        <w:t>(Bozdağ and Ergün, 2020)</w:t>
      </w:r>
      <w:r w:rsidR="00653B8D" w:rsidRPr="4024292E">
        <w:rPr>
          <w:rFonts w:eastAsia="Times New Roman"/>
          <w:lang w:eastAsia="en-GB"/>
        </w:rPr>
        <w:fldChar w:fldCharType="end"/>
      </w:r>
    </w:p>
    <w:p w14:paraId="1EC3ACC1" w14:textId="18742E79" w:rsidR="00AC325F" w:rsidRPr="00540176" w:rsidRDefault="4BEB3211" w:rsidP="24D43A9E">
      <w:pPr>
        <w:spacing w:line="360" w:lineRule="auto"/>
        <w:jc w:val="both"/>
        <w:rPr>
          <w:rFonts w:eastAsia="Times New Roman"/>
          <w:lang w:eastAsia="en-GB"/>
        </w:rPr>
      </w:pPr>
      <w:r w:rsidRPr="4BEB3211">
        <w:rPr>
          <w:rFonts w:eastAsia="Times New Roman"/>
          <w:lang w:eastAsia="en-GB"/>
        </w:rPr>
        <w:t xml:space="preserve">In this study we found significant levels of physical and mental fatigue in respondents (mean physical fatigue score 10.29 [4.04]; mental fatigue score 5.54 [2.44], total fatigue 15.87 [5.94]).  This is higher than a general population study </w:t>
      </w:r>
      <w:r w:rsidR="00653B8D" w:rsidRPr="4BEB3211">
        <w:rPr>
          <w:rFonts w:eastAsia="Times New Roman"/>
          <w:lang w:eastAsia="en-GB"/>
        </w:rPr>
        <w:fldChar w:fldCharType="begin" w:fldLock="1"/>
      </w:r>
      <w:r w:rsidR="00653B8D" w:rsidRPr="4BEB3211">
        <w:rPr>
          <w:rFonts w:eastAsia="Times New Roman"/>
          <w:lang w:eastAsia="en-GB"/>
        </w:rPr>
        <w:instrText>ADDIN CSL_CITATION {"citationItems":[{"id":"ITEM-1","itemData":{"DOI":"10.1016/S0022-3999(97)00291-2","ISSN":"0022-3999","abstract":"Population norms for interpretation of fatigue measurements have been lacking, and the sociodemographic associations of fatigue are poorly documented. A random sample of 3500 Norwegians. aged 19-80 years, was therefore investigated. A mailed questionnaire included the fatigue questionnaire (11 items) in which the sum score of the responses (each scored 0, 1, 2, 3) is designated as total fatigue (TF). Sixty-seven percent of those receiving the questionnaire responded. Women (TF mean = 12.6) were more fatigued than men (TF mean = 11.9), and 11.4% reported substantial fatigue lasting 6 months or longer. TF and age were weakly correlated (men: r = 0.17; women: r = 0.09). No firm associations between fatigue and social variables were found. Disabled and subjects reporting health problems were more fatigued than subjects at work or in good health. Fatigue is highly prevalent in somatic and psychiatric disorders, but is often neglected. This national representative sample provides age- and gender-specific norms that will allow for comparisons and interpretations of fatigue scores in future studies.","author":[{"dropping-particle":"","family":"Loge","given":"Jon Håvard","non-dropping-particle":"","parse-names":false,"suffix":""},{"dropping-particle":"","family":"Ekeberg","given":"Øivind","non-dropping-particle":"","parse-names":false,"suffix":""},{"dropping-particle":"","family":"Kaasa","given":"Stein","non-dropping-particle":"","parse-names":false,"suffix":""}],"container-title":"Journal of Psychosomatic Research","id":"ITEM-1","issue":"1","issued":{"date-parts":[["1998","7","1"]]},"page":"53-65","publisher":"Elsevier","title":"Fatigue in the general norwegian population: Normative data and associations","type":"article-journal","volume":"45"},"uris":["http://www.mendeley.com/documents/?uuid=aad5e318-d105-3f51-ba66-15f0cb344fa0"]}],"mendeley":{"formattedCitation":"(Loge &lt;i&gt;et al.&lt;/i&gt;, 1998)","plainTextFormattedCitation":"(Loge et al., 1998)","previouslyFormattedCitation":"(Loge &lt;i&gt;et al.&lt;/i&gt;, 1998)"},"properties":{"noteIndex":0},"schema":"https://github.com/citation-style-language/schema/raw/master/csl-citation.json"}</w:instrText>
      </w:r>
      <w:r w:rsidR="00653B8D" w:rsidRPr="4BEB3211">
        <w:rPr>
          <w:rFonts w:eastAsia="Times New Roman"/>
          <w:lang w:eastAsia="en-GB"/>
        </w:rPr>
        <w:fldChar w:fldCharType="separate"/>
      </w:r>
      <w:r w:rsidRPr="4BEB3211">
        <w:rPr>
          <w:rFonts w:eastAsia="Times New Roman"/>
          <w:noProof/>
          <w:lang w:eastAsia="en-GB"/>
        </w:rPr>
        <w:t xml:space="preserve">(Loge </w:t>
      </w:r>
      <w:r w:rsidRPr="4BEB3211">
        <w:rPr>
          <w:rFonts w:eastAsia="Times New Roman"/>
          <w:i/>
          <w:iCs/>
          <w:noProof/>
          <w:lang w:eastAsia="en-GB"/>
        </w:rPr>
        <w:t>et al.</w:t>
      </w:r>
      <w:r w:rsidRPr="4BEB3211">
        <w:rPr>
          <w:rFonts w:eastAsia="Times New Roman"/>
          <w:noProof/>
          <w:lang w:eastAsia="en-GB"/>
        </w:rPr>
        <w:t>, 1998)</w:t>
      </w:r>
      <w:r w:rsidR="00653B8D" w:rsidRPr="4BEB3211">
        <w:rPr>
          <w:rFonts w:eastAsia="Times New Roman"/>
          <w:lang w:eastAsia="en-GB"/>
        </w:rPr>
        <w:fldChar w:fldCharType="end"/>
      </w:r>
      <w:r w:rsidRPr="4BEB3211">
        <w:rPr>
          <w:rFonts w:eastAsia="Times New Roman"/>
          <w:lang w:eastAsia="en-GB"/>
        </w:rPr>
        <w:t xml:space="preserve"> which had total fatigue scores for women of 12.6, and 11.9 for men but comparable to the study looking at fatigue after COVID infection in the general population </w:t>
      </w:r>
      <w:r w:rsidR="00653B8D" w:rsidRPr="4BEB3211">
        <w:rPr>
          <w:rFonts w:eastAsia="Times New Roman"/>
          <w:lang w:eastAsia="en-GB"/>
        </w:rPr>
        <w:fldChar w:fldCharType="begin" w:fldLock="1"/>
      </w:r>
      <w:r w:rsidR="00653B8D" w:rsidRPr="4BEB3211">
        <w:rPr>
          <w:rFonts w:eastAsia="Times New Roman"/>
          <w:lang w:eastAsia="en-GB"/>
        </w:rPr>
        <w:instrText>ADDIN CSL_CITATION {"citationItems":[{"id":"ITEM-1","itemData":{"DOI":"10.1371/JOURNAL.PONE.0240784","ISSN":"1932-6203","abstract":"Fatigue is a common symptom in those presenting with symptomatic COVID-19 infection. However, it is unknown if COVID-19 results in persistent fatigue in those recovered from acute infection. We examined the prevalence of fatigue in individuals recovered from the acute phase of COVID-19 illness using the Chalder Fatigue Score (CFQ-11). We further examined potential predictors of fatigue following COVID-19 infection, evaluating indicators of COVID-19 severity, markers of peripheral immune activation and circulating pro-inflammatory cytokines. Of 128 participants (49.5 ± 15 years; 54% female), more than half reported persistent fatigue (67/128; 52.3%) at median of 10 weeks after initial COVID-19 symptoms. There was no association between COVID-19 severity (need for inpatient admission, supplemental oxygen or critical care) and fatigue following COVID-19. Additionally, there was no association between routine laboratory markers of inflammation and cell turnover (leukocyte, neutrophil or lymphocyte counts, neutrophil-to-lymphocyte ratio, lactate dehydrogenase, C-reactive protein) or pro-inflammatory molecules (IL-6 or sCD25) and fatigue post COVID-19. Female gender and those with a pre-existing diagnosis of depression/anxiety were over-represented in those with fatigue. Our findings demonstrate a significant burden of post-viral fatigue in individuals with previous SARS-CoV-2 infection after the acute phase of COVID-19 illness. This study highlights the importance of assessing those recovering from COVID-19 for symptoms of severe fatigue, irrespective of severity of initial illness, and may identify a group worthy of further study and early intervention.","author":[{"dropping-particle":"","family":"Townsend","given":"Liam","non-dropping-particle":"","parse-names":false,"suffix":""},{"dropping-particle":"","family":"Dyer","given":"Adam H.","non-dropping-particle":"","parse-names":false,"suffix":""},{"dropping-particle":"","family":"Jones","given":"Karen","non-dropping-particle":"","parse-names":false,"suffix":""},{"dropping-particle":"","family":"Dunne","given":"Jean","non-dropping-particle":"","parse-names":false,"suffix":""},{"dropping-particle":"","family":"Mooney","given":"Aoife","non-dropping-particle":"","parse-names":false,"suffix":""},{"dropping-particle":"","family":"Gaffney","given":"Fiona","non-dropping-particle":"","parse-names":false,"suffix":""},{"dropping-particle":"","family":"O'Connor","given":"Laura","non-dropping-particle":"","parse-names":false,"suffix":""},{"dropping-particle":"","family":"Leavy","given":"Deirdre","non-dropping-particle":"","parse-names":false,"suffix":""},{"dropping-particle":"","family":"O'Brien","given":"Kate","non-dropping-particle":"","parse-names":false,"suffix":""},{"dropping-particle":"","family":"Dowds","given":"Joanne","non-dropping-particle":"","parse-names":false,"suffix":""},{"dropping-particle":"","family":"Sugrue","given":"Jamie A.","non-dropping-particle":"","parse-names":false,"suffix":""},{"dropping-particle":"","family":"Hopkins","given":"David","non-dropping-particle":"","parse-names":false,"suffix":""},{"dropping-particle":"","family":"Martin-Loeches","given":"Ignacio","non-dropping-particle":"","parse-names":false,"suffix":""},{"dropping-particle":"","family":"Cheallaigh","given":"Cliona Ni","non-dropping-particle":"","parse-names":false,"suffix":""},{"dropping-particle":"","family":"Nadarajan","given":"Parthiban","non-dropping-particle":"","parse-names":false,"suffix":""},{"dropping-particle":"","family":"McLaughlin","given":"Anne Marie","non-dropping-particle":"","parse-names":false,"suffix":""},{"dropping-particle":"","family":"Bourke","given":"Nollaig M.","non-dropping-particle":"","parse-names":false,"suffix":""},{"dropping-particle":"","family":"Bergin","given":"Colm","non-dropping-particle":"","parse-names":false,"suffix":""},{"dropping-particle":"","family":"O'Farrelly","given":"Cliona","non-dropping-particle":"","parse-names":false,"suffix":""},{"dropping-particle":"","family":"Bannan","given":"Ciaran","non-dropping-particle":"","parse-names":false,"suffix":""},{"dropping-particle":"","family":"Conlon","given":"Niall","non-dropping-particle":"","parse-names":false,"suffix":""}],"container-title":"PLOS ONE","id":"ITEM-1","issue":"11","issued":{"date-parts":[["2020","11","1"]]},"page":"e0240784","publisher":"Public Library of Science","title":"Persistent fatigue following SARS-CoV-2 infection is common and independent of severity of initial infection","type":"article-journal","volume":"15"},"uris":["http://www.mendeley.com/documents/?uuid=b4ce378e-7fff-399a-b969-1811356ff852"]}],"mendeley":{"formattedCitation":"(Townsend &lt;i&gt;et al.&lt;/i&gt;, 2020)","plainTextFormattedCitation":"(Townsend et al., 2020)","previouslyFormattedCitation":"(Townsend &lt;i&gt;et al.&lt;/i&gt;, 2020)"},"properties":{"noteIndex":0},"schema":"https://github.com/citation-style-language/schema/raw/master/csl-citation.json"}</w:instrText>
      </w:r>
      <w:r w:rsidR="00653B8D" w:rsidRPr="4BEB3211">
        <w:rPr>
          <w:rFonts w:eastAsia="Times New Roman"/>
          <w:lang w:eastAsia="en-GB"/>
        </w:rPr>
        <w:fldChar w:fldCharType="separate"/>
      </w:r>
      <w:r w:rsidRPr="4BEB3211">
        <w:rPr>
          <w:rFonts w:eastAsia="Times New Roman"/>
          <w:noProof/>
          <w:lang w:eastAsia="en-GB"/>
        </w:rPr>
        <w:t xml:space="preserve">(Townsend </w:t>
      </w:r>
      <w:r w:rsidRPr="4BEB3211">
        <w:rPr>
          <w:rFonts w:eastAsia="Times New Roman"/>
          <w:i/>
          <w:iCs/>
          <w:noProof/>
          <w:lang w:eastAsia="en-GB"/>
        </w:rPr>
        <w:t>et al.</w:t>
      </w:r>
      <w:r w:rsidRPr="4BEB3211">
        <w:rPr>
          <w:rFonts w:eastAsia="Times New Roman"/>
          <w:noProof/>
          <w:lang w:eastAsia="en-GB"/>
        </w:rPr>
        <w:t>, 2020)</w:t>
      </w:r>
      <w:r w:rsidR="00653B8D" w:rsidRPr="4BEB3211">
        <w:rPr>
          <w:rFonts w:eastAsia="Times New Roman"/>
          <w:lang w:eastAsia="en-GB"/>
        </w:rPr>
        <w:fldChar w:fldCharType="end"/>
      </w:r>
      <w:r w:rsidRPr="4BEB3211">
        <w:rPr>
          <w:rFonts w:eastAsia="Times New Roman"/>
          <w:lang w:eastAsia="en-GB"/>
        </w:rPr>
        <w:t xml:space="preserve">. </w:t>
      </w:r>
    </w:p>
    <w:p w14:paraId="1899E01C" w14:textId="0405DD4A" w:rsidR="00805109" w:rsidRPr="00540176" w:rsidRDefault="4024292E" w:rsidP="24D43A9E">
      <w:pPr>
        <w:spacing w:line="360" w:lineRule="auto"/>
        <w:jc w:val="both"/>
        <w:rPr>
          <w:rFonts w:eastAsia="Times New Roman"/>
          <w:lang w:eastAsia="en-GB"/>
        </w:rPr>
      </w:pPr>
      <w:r w:rsidRPr="4024292E">
        <w:rPr>
          <w:rFonts w:eastAsia="Times New Roman"/>
          <w:lang w:eastAsia="en-GB"/>
        </w:rPr>
        <w:t xml:space="preserve">The results from the regression analyses show that high physical fatigue is associated with not being able to keep up with training requirements.  Higher anxiety and depression scores were also associated with high physical </w:t>
      </w:r>
      <w:proofErr w:type="gramStart"/>
      <w:r w:rsidRPr="4024292E">
        <w:rPr>
          <w:rFonts w:eastAsia="Times New Roman"/>
          <w:lang w:eastAsia="en-GB"/>
        </w:rPr>
        <w:t>fatigue,</w:t>
      </w:r>
      <w:proofErr w:type="gramEnd"/>
      <w:r w:rsidRPr="4024292E">
        <w:rPr>
          <w:rFonts w:eastAsia="Times New Roman"/>
          <w:lang w:eastAsia="en-GB"/>
        </w:rPr>
        <w:t xml:space="preserve"> depression was also significantly associated with greater mental fatigue. For the total fatigue score, being able to complete training needs was protective, however high levels of anxiety or depression were associated with higher scores for total fatigue.  </w:t>
      </w:r>
      <w:proofErr w:type="spellStart"/>
      <w:r w:rsidRPr="4024292E">
        <w:rPr>
          <w:rFonts w:eastAsia="Times New Roman"/>
          <w:lang w:eastAsia="en-GB"/>
        </w:rPr>
        <w:t>Teng</w:t>
      </w:r>
      <w:proofErr w:type="spellEnd"/>
      <w:r w:rsidRPr="4024292E">
        <w:rPr>
          <w:rFonts w:eastAsia="Times New Roman"/>
          <w:lang w:eastAsia="en-GB"/>
        </w:rPr>
        <w:t xml:space="preserve"> et al also found a correlation between fatigue, anxiety and depression </w:t>
      </w:r>
      <w:r w:rsidR="00B43486" w:rsidRPr="4024292E">
        <w:rPr>
          <w:rFonts w:eastAsia="Times New Roman"/>
          <w:lang w:eastAsia="en-GB"/>
        </w:rPr>
        <w:fldChar w:fldCharType="begin" w:fldLock="1"/>
      </w:r>
      <w:r w:rsidR="00B43486" w:rsidRPr="4024292E">
        <w:rPr>
          <w:rFonts w:eastAsia="Times New Roman"/>
          <w:lang w:eastAsia="en-GB"/>
        </w:rPr>
        <w:instrText>ADDIN CSL_CITATION {"citationItems":[{"id":"ITEM-1","itemData":{"DOI":"10.1016/J.JAD.2020.06.032","ISSN":"15732517","PMID":"32734915","author":[{"dropping-particle":"","family":"Teng","given":"Ziwei","non-dropping-particle":"","parse-names":false,"suffix":""},{"dropping-particle":"","family":"Wei","given":"Zirou","non-dropping-particle":"","parse-names":false,"suffix":""},{"dropping-particle":"","family":"Qiu","given":"Yan","non-dropping-particle":"","parse-names":false,"suffix":""},{"dropping-particle":"","family":"Tan","given":"Yuxi","non-dropping-particle":"","parse-names":false,"suffix":""},{"dropping-particle":"","family":"Chen","given":"Jindong","non-dropping-particle":"","parse-names":false,"suffix":""},{"dropping-particle":"","family":"Tang","given":"Hui","non-dropping-particle":"","parse-names":false,"suffix":""},{"dropping-particle":"","family":"Wu","given":"Haishan","non-dropping-particle":"","parse-names":false,"suffix":""},{"dropping-particle":"","family":"Wu","given":"Renrong","non-dropping-particle":"","parse-names":false,"suffix":""},{"dropping-particle":"","family":"Huang","given":"Jing","non-dropping-particle":"","parse-names":false,"suffix":""}],"container-title":"Journal of Affective Disorders","id":"ITEM-1","issued":{"date-parts":[["2020","10","1"]]},"page":"247","publisher":"Elsevier","title":"Psychological status and fatigue of frontline staff two months after the COVID-19 pandemic outbreak in China: A cross-sectional study","type":"article-journal","volume":"275"},"uris":["http://www.mendeley.com/documents/?uuid=fc8849ff-073c-3e60-84e9-db06961a8775"]}],"mendeley":{"formattedCitation":"(Teng &lt;i&gt;et al.&lt;/i&gt;, 2020)","plainTextFormattedCitation":"(Teng et al., 2020)","previouslyFormattedCitation":"(Teng &lt;i&gt;et al.&lt;/i&gt;, 2020)"},"properties":{"noteIndex":0},"schema":"https://github.com/citation-style-language/schema/raw/master/csl-citation.json"}</w:instrText>
      </w:r>
      <w:r w:rsidR="00B43486" w:rsidRPr="4024292E">
        <w:rPr>
          <w:rFonts w:eastAsia="Times New Roman"/>
          <w:lang w:eastAsia="en-GB"/>
        </w:rPr>
        <w:fldChar w:fldCharType="separate"/>
      </w:r>
      <w:r w:rsidRPr="4024292E">
        <w:rPr>
          <w:rFonts w:eastAsia="Times New Roman"/>
          <w:noProof/>
          <w:lang w:eastAsia="en-GB"/>
        </w:rPr>
        <w:t xml:space="preserve">(Teng </w:t>
      </w:r>
      <w:r w:rsidRPr="4024292E">
        <w:rPr>
          <w:rFonts w:eastAsia="Times New Roman"/>
          <w:i/>
          <w:iCs/>
          <w:noProof/>
          <w:lang w:eastAsia="en-GB"/>
        </w:rPr>
        <w:t>et al.</w:t>
      </w:r>
      <w:r w:rsidRPr="4024292E">
        <w:rPr>
          <w:rFonts w:eastAsia="Times New Roman"/>
          <w:noProof/>
          <w:lang w:eastAsia="en-GB"/>
        </w:rPr>
        <w:t>, 2020)</w:t>
      </w:r>
      <w:r w:rsidR="00B43486" w:rsidRPr="4024292E">
        <w:rPr>
          <w:rFonts w:eastAsia="Times New Roman"/>
          <w:lang w:eastAsia="en-GB"/>
        </w:rPr>
        <w:fldChar w:fldCharType="end"/>
      </w:r>
      <w:r w:rsidRPr="4024292E">
        <w:rPr>
          <w:rFonts w:eastAsia="Times New Roman"/>
          <w:lang w:eastAsia="en-GB"/>
        </w:rPr>
        <w:t xml:space="preserve">.  Fatigue and other symptoms are strong predictors of depression </w:t>
      </w:r>
      <w:r w:rsidR="00B43486" w:rsidRPr="4024292E">
        <w:rPr>
          <w:rFonts w:eastAsia="Times New Roman"/>
          <w:lang w:eastAsia="en-GB"/>
        </w:rPr>
        <w:fldChar w:fldCharType="begin" w:fldLock="1"/>
      </w:r>
      <w:r w:rsidR="00B43486" w:rsidRPr="4024292E">
        <w:rPr>
          <w:rFonts w:eastAsia="Times New Roman"/>
          <w:lang w:eastAsia="en-GB"/>
        </w:rPr>
        <w:instrText>ADDIN CSL_CITATION {"citationItems":[{"id":"ITEM-1","itemData":{"DOI":"10.1016/J.COMPPSYCH.2016.08.004","ISSN":"0010-440X","PMID":"27567301","abstract":"Objective Fatigue and depression are highly comorbid phenotypes with partially overlapping symptoms. The main aims of the present study are to: (i) identify the risk of current fatigue and depression; (ii) determine if the depression symptoms experienced by individuals who are fatigued (N = 766) and non-fatigued (N = 1849) are different; and (iii) identify if the fatigue symptoms experienced by depressed (N = 275) and non-depressed (N = 2340) individuals are different, in a community-based sample of Australian twins aged over 50 years. Methods Fatigue and depression symptom profiles and classifications were generated using the Schedule of Fatigue and Anergia (SOFA); the General Health Questionnaire; and the Delusions-Symptoms-States Inventory, States of Anxiety and Depression questionnaires. The association between co-occurring fatigue and depression was assessed using prevalence ratios. Differences in the preponderance of fatigue and depression symptoms were assessed using logistic regression modeling. Results Individuals with either fatigue or depression have an approximately two-fold increased risk for comorbid presentation of both traits, compared to the general population. Logistic regression analysis indicated that fatigued individuals were significantly more likely to report all of the Diagnostic and Statistical Manual of Mental Disorders (DSM) depression symptoms assessed in the study. Similarly, depressed individuals were significantly more likely to report all SOFA fatigue symptoms. Conclusions Fatigue and depression are highly correlated traits within the community. Depression symptomatology and prevalence are significantly increased in fatigued individuals. Fatigue and especially the symptoms of insomnia and poor concentration are strong predictors of depression. Notably, the association between fatigue and depression is independent of their overlapping symptomatology. Therefore, presentation with fatigue, and in particular the symptoms of insomnia and poor concentration, should be considered as warning signs of depression in older adults.","author":[{"dropping-particle":"","family":"Corfield","given":"Elizabeth C.","non-dropping-particle":"","parse-names":false,"suffix":""},{"dropping-particle":"","family":"Martin","given":"Nicholas G.","non-dropping-particle":"","parse-names":false,"suffix":""},{"dropping-particle":"","family":"Nyholt","given":"Dale R.","non-dropping-particle":"","parse-names":false,"suffix":""}],"container-title":"Comprehensive Psychiatry","id":"ITEM-1","issued":{"date-parts":[["2016","11","1"]]},"page":"1-10","publisher":"W.B. Saunders","title":"Co-occurrence and symptomatology of fatigue and depression","type":"article-journal","volume":"71"},"uris":["http://www.mendeley.com/documents/?uuid=453b8362-2385-36f1-8a85-f7bc90a1530c"]}],"mendeley":{"formattedCitation":"(Corfield &lt;i&gt;et al.&lt;/i&gt;, 2016)","plainTextFormattedCitation":"(Corfield et al., 2016)","previouslyFormattedCitation":"(Corfield &lt;i&gt;et al.&lt;/i&gt;, 2016)"},"properties":{"noteIndex":0},"schema":"https://github.com/citation-style-language/schema/raw/master/csl-citation.json"}</w:instrText>
      </w:r>
      <w:r w:rsidR="00B43486" w:rsidRPr="4024292E">
        <w:rPr>
          <w:rFonts w:eastAsia="Times New Roman"/>
          <w:lang w:eastAsia="en-GB"/>
        </w:rPr>
        <w:fldChar w:fldCharType="separate"/>
      </w:r>
      <w:r w:rsidRPr="4024292E">
        <w:rPr>
          <w:rFonts w:eastAsia="Times New Roman"/>
          <w:noProof/>
          <w:lang w:eastAsia="en-GB"/>
        </w:rPr>
        <w:t xml:space="preserve">(Corfield </w:t>
      </w:r>
      <w:r w:rsidRPr="4024292E">
        <w:rPr>
          <w:rFonts w:eastAsia="Times New Roman"/>
          <w:i/>
          <w:iCs/>
          <w:noProof/>
          <w:lang w:eastAsia="en-GB"/>
        </w:rPr>
        <w:t>et al.</w:t>
      </w:r>
      <w:r w:rsidRPr="4024292E">
        <w:rPr>
          <w:rFonts w:eastAsia="Times New Roman"/>
          <w:noProof/>
          <w:lang w:eastAsia="en-GB"/>
        </w:rPr>
        <w:t>, 2016)</w:t>
      </w:r>
      <w:r w:rsidR="00B43486" w:rsidRPr="4024292E">
        <w:rPr>
          <w:rFonts w:eastAsia="Times New Roman"/>
          <w:lang w:eastAsia="en-GB"/>
        </w:rPr>
        <w:fldChar w:fldCharType="end"/>
      </w:r>
      <w:r w:rsidRPr="4024292E">
        <w:rPr>
          <w:rFonts w:eastAsia="Times New Roman"/>
          <w:lang w:eastAsia="en-GB"/>
        </w:rPr>
        <w:t>.</w:t>
      </w:r>
    </w:p>
    <w:p w14:paraId="62373E3A" w14:textId="77777777" w:rsidR="00354B32" w:rsidRPr="00354B32" w:rsidRDefault="00354B32" w:rsidP="0028240B">
      <w:pPr>
        <w:spacing w:line="360" w:lineRule="auto"/>
        <w:jc w:val="both"/>
        <w:rPr>
          <w:rFonts w:eastAsia="Times New Roman" w:cstheme="minorHAnsi"/>
          <w:b/>
          <w:color w:val="00B050"/>
          <w:lang w:eastAsia="en-GB"/>
        </w:rPr>
      </w:pPr>
    </w:p>
    <w:p w14:paraId="7C5B2FC7" w14:textId="77777777" w:rsidR="000F7008" w:rsidRDefault="000F7008" w:rsidP="40B9AEF9">
      <w:pPr>
        <w:jc w:val="both"/>
        <w:rPr>
          <w:rFonts w:eastAsia="Times New Roman"/>
          <w:b/>
          <w:bCs/>
          <w:lang w:eastAsia="en-GB"/>
        </w:rPr>
      </w:pPr>
      <w:r w:rsidRPr="40B9AEF9">
        <w:rPr>
          <w:rFonts w:eastAsia="Times New Roman"/>
          <w:b/>
          <w:bCs/>
          <w:lang w:eastAsia="en-GB"/>
        </w:rPr>
        <w:br w:type="page"/>
      </w:r>
    </w:p>
    <w:p w14:paraId="5144D709" w14:textId="77777777" w:rsidR="00664BBC" w:rsidRPr="00664BBC" w:rsidRDefault="00664BBC" w:rsidP="0019567A">
      <w:pPr>
        <w:spacing w:line="360" w:lineRule="auto"/>
        <w:jc w:val="both"/>
        <w:rPr>
          <w:rFonts w:eastAsia="Times New Roman" w:cstheme="minorHAnsi"/>
          <w:b/>
          <w:lang w:eastAsia="en-GB"/>
        </w:rPr>
      </w:pPr>
      <w:r w:rsidRPr="00664BBC">
        <w:rPr>
          <w:rFonts w:eastAsia="Times New Roman" w:cstheme="minorHAnsi"/>
          <w:b/>
          <w:lang w:eastAsia="en-GB"/>
        </w:rPr>
        <w:lastRenderedPageBreak/>
        <w:t>Strengths and Limitations</w:t>
      </w:r>
    </w:p>
    <w:p w14:paraId="58FA43EB" w14:textId="3EB6E7EA" w:rsidR="00664BBC" w:rsidRPr="00057289" w:rsidRDefault="4024292E" w:rsidP="594CCC0A">
      <w:pPr>
        <w:spacing w:line="360" w:lineRule="auto"/>
        <w:jc w:val="both"/>
        <w:rPr>
          <w:rFonts w:eastAsia="Times New Roman"/>
          <w:lang w:eastAsia="en-GB"/>
        </w:rPr>
      </w:pPr>
      <w:r w:rsidRPr="4024292E">
        <w:rPr>
          <w:rFonts w:eastAsia="Times New Roman"/>
          <w:lang w:eastAsia="en-GB"/>
        </w:rPr>
        <w:t xml:space="preserve">This study was conducted during the second wave of the pandemic in the UK, during a period where nurses were being surveyed by several organisations and research groups about their experiences during the pandemic.  Respondents may have been fatigued by taking part in numerous surveys, explaining the lower recruitment numbers for this study. We sought a convenience sample and recruited through social media platforms and via professional networks for ease, but we may have excluded relevant nursing groups if they were not working because of </w:t>
      </w:r>
      <w:r w:rsidRPr="00057289">
        <w:rPr>
          <w:rFonts w:eastAsia="Times New Roman"/>
          <w:lang w:eastAsia="en-GB"/>
        </w:rPr>
        <w:t xml:space="preserve">sickness, had left the profession, were not a member of a professional society or did not use social media. This study did have similar demographics to the previous study, which may indicate some of the same people took part as we used the same recruitment methods, but the survey was anonymous and unmatched. Both surveys had a high female/Caucasian presence, </w:t>
      </w:r>
      <w:r w:rsidR="000A7C85" w:rsidRPr="00057289">
        <w:rPr>
          <w:rFonts w:eastAsia="Times New Roman"/>
          <w:lang w:eastAsia="en-GB"/>
        </w:rPr>
        <w:t xml:space="preserve">as well as older, more experienced and nurses with a higher job grading </w:t>
      </w:r>
      <w:r w:rsidRPr="00057289">
        <w:rPr>
          <w:rFonts w:eastAsia="Times New Roman"/>
          <w:lang w:eastAsia="en-GB"/>
        </w:rPr>
        <w:t>and therefore may not be as representative as warranted, although this does reflect the demographics of UK respiratory nurses in other studies</w:t>
      </w:r>
      <w:r w:rsidR="00364584" w:rsidRPr="00057289">
        <w:rPr>
          <w:rFonts w:eastAsia="Times New Roman"/>
          <w:lang w:eastAsia="en-GB"/>
        </w:rPr>
        <w:t xml:space="preserve"> </w:t>
      </w:r>
      <w:r w:rsidR="00B651BA" w:rsidRPr="00057289">
        <w:rPr>
          <w:rFonts w:eastAsia="Times New Roman"/>
          <w:lang w:eastAsia="en-GB"/>
        </w:rPr>
        <w:fldChar w:fldCharType="begin" w:fldLock="1"/>
      </w:r>
      <w:r w:rsidR="00B851F9" w:rsidRPr="00057289">
        <w:rPr>
          <w:rFonts w:eastAsia="Times New Roman"/>
          <w:lang w:eastAsia="en-GB"/>
        </w:rPr>
        <w:instrText>ADDIN CSL_CITATION {"citationItems":[{"id":"ITEM-1","itemData":{"DOI":"10.1136/bmjresp-2017-000210","ISSN":"20524439","abstract":"Introduction The National Health Service currently faces significant challenges and must optimise effective workforce planning and management. There are increasing concerns regarding poor workforce planning for respiratory medicine; a greater understanding of the role of respiratory nurse specialists will inform better workforce planning and management. Methods This was a survey study. Two surveys were administered: an organisational-level survey and an individual respiratory nurse survey. Results There were 148 and 457 respondents to the organisational and individual nurse survey, respectively. Four main themes are presented: (1) breadth of service provided; (2) patient care; (3) work environment; and (4) succession planning. The majority of work conducted by respiratory nurse specialists relates to patient care outside the secondary care setting including supporting self-management in the home, supporting patients on home oxygen, providing hospital-at-home services and facilitating early discharge from acute care environments. Yet, most respiratory nursing teams are employed by secondary care trusts and located within acute environments. There was evidence of multidisciplinary working, although integrated care was not prominent in the free-text responses. High workload was reported with one-quarter of nursing teams short-staffed. Respiratory nurses reported working unpaid extra hours and a lack of administrative support that often took them away from providing direct patient care. Nearly half of the present sample either plan to retire or are eligible for retirement within 10 years. Conclusions This survey report provides a current snapshot of the respiratory nurse specialist workforce in the UK. This workforce is an ageing population; the results from this survey can be used to inform succession planning and to ensure a viable respiratory nurse specialist workforce in future.","author":[{"dropping-particle":"","family":"Yorke","given":"Janelle","non-dropping-particle":"","parse-names":false,"suffix":""},{"dropping-particle":"","family":"Prigmore","given":"Sam","non-dropping-particle":"","parse-names":false,"suffix":""},{"dropping-particle":"","family":"Hodson","given":"Matt","non-dropping-particle":"","parse-names":false,"suffix":""},{"dropping-particle":"","family":"Stonham","given":"Carol","non-dropping-particle":"","parse-names":false,"suffix":""},{"dropping-particle":"","family":"Long","given":"Hannah","non-dropping-particle":"","parse-names":false,"suffix":""},{"dropping-particle":"","family":"Bellhouse","given":"Sarah","non-dropping-particle":"","parse-names":false,"suffix":""},{"dropping-particle":"","family":"Fletcher","given":"Monica","non-dropping-particle":"","parse-names":false,"suffix":""},{"dropping-particle":"","family":"Edwards","given":"Sheila","non-dropping-particle":"","parse-names":false,"suffix":""}],"container-title":"BMJ Open Respiratory Research","id":"ITEM-1","issue":"1","issued":{"date-parts":[["2017","7","1"]]},"page":"e000210","publisher":"BMJ Publishing Group","title":"Evaluation of the current landscape of respiratory nurse specialists in the UK: Planning for the future needs of patients","type":"article-journal","volume":"4"},"uris":["http://www.mendeley.com/documents/?uuid=32b1d254-6c27-368d-a8d1-33d3b00a6aa0"]}],"mendeley":{"formattedCitation":"(Yorke &lt;i&gt;et al.&lt;/i&gt;, 2017)","plainTextFormattedCitation":"(Yorke et al., 2017)","previouslyFormattedCitation":"(Yorke &lt;i&gt;et al.&lt;/i&gt;, 2017)"},"properties":{"noteIndex":0},"schema":"https://github.com/citation-style-language/schema/raw/master/csl-citation.json"}</w:instrText>
      </w:r>
      <w:r w:rsidR="00B651BA" w:rsidRPr="00057289">
        <w:rPr>
          <w:rFonts w:eastAsia="Times New Roman"/>
          <w:lang w:eastAsia="en-GB"/>
        </w:rPr>
        <w:fldChar w:fldCharType="separate"/>
      </w:r>
      <w:r w:rsidR="00364584" w:rsidRPr="00057289">
        <w:rPr>
          <w:rFonts w:eastAsia="Times New Roman"/>
          <w:noProof/>
          <w:lang w:eastAsia="en-GB"/>
        </w:rPr>
        <w:t xml:space="preserve">(Yorke </w:t>
      </w:r>
      <w:r w:rsidR="00364584" w:rsidRPr="00057289">
        <w:rPr>
          <w:rFonts w:eastAsia="Times New Roman"/>
          <w:i/>
          <w:noProof/>
          <w:lang w:eastAsia="en-GB"/>
        </w:rPr>
        <w:t>et al.</w:t>
      </w:r>
      <w:r w:rsidR="00364584" w:rsidRPr="00057289">
        <w:rPr>
          <w:rFonts w:eastAsia="Times New Roman"/>
          <w:noProof/>
          <w:lang w:eastAsia="en-GB"/>
        </w:rPr>
        <w:t>, 2017)</w:t>
      </w:r>
      <w:r w:rsidR="00B651BA" w:rsidRPr="00057289">
        <w:rPr>
          <w:rFonts w:eastAsia="Times New Roman"/>
          <w:lang w:eastAsia="en-GB"/>
        </w:rPr>
        <w:fldChar w:fldCharType="end"/>
      </w:r>
      <w:r w:rsidRPr="00057289">
        <w:rPr>
          <w:rFonts w:eastAsia="Times New Roman"/>
          <w:lang w:eastAsia="en-GB"/>
        </w:rPr>
        <w:t xml:space="preserve">. </w:t>
      </w:r>
    </w:p>
    <w:p w14:paraId="140C6B6F" w14:textId="77777777" w:rsidR="00664BBC" w:rsidRPr="00057289" w:rsidRDefault="00664BBC" w:rsidP="009503FE">
      <w:pPr>
        <w:autoSpaceDE w:val="0"/>
        <w:autoSpaceDN w:val="0"/>
        <w:adjustRightInd w:val="0"/>
        <w:spacing w:after="0" w:line="360" w:lineRule="auto"/>
        <w:jc w:val="both"/>
        <w:rPr>
          <w:rFonts w:eastAsia="Times New Roman" w:cstheme="minorHAnsi"/>
          <w:b/>
          <w:bCs/>
          <w:lang w:eastAsia="en-GB"/>
        </w:rPr>
      </w:pPr>
      <w:r w:rsidRPr="00057289">
        <w:rPr>
          <w:rFonts w:eastAsia="Times New Roman" w:cstheme="minorHAnsi"/>
          <w:b/>
          <w:bCs/>
          <w:lang w:eastAsia="en-GB"/>
        </w:rPr>
        <w:t>Conclusions</w:t>
      </w:r>
    </w:p>
    <w:p w14:paraId="3B824BBB" w14:textId="5889DC1C" w:rsidR="0051331B" w:rsidRPr="00057289" w:rsidRDefault="4024292E" w:rsidP="4024292E">
      <w:pPr>
        <w:autoSpaceDE w:val="0"/>
        <w:autoSpaceDN w:val="0"/>
        <w:adjustRightInd w:val="0"/>
        <w:spacing w:after="0" w:line="360" w:lineRule="auto"/>
        <w:jc w:val="both"/>
        <w:rPr>
          <w:rFonts w:eastAsia="Times New Roman"/>
          <w:lang w:eastAsia="en-GB"/>
        </w:rPr>
      </w:pPr>
      <w:r w:rsidRPr="00057289">
        <w:rPr>
          <w:rFonts w:eastAsia="Times New Roman"/>
          <w:lang w:eastAsia="en-GB"/>
        </w:rPr>
        <w:t xml:space="preserve">Nurses make up the highest proportion of </w:t>
      </w:r>
      <w:r w:rsidR="00A03504" w:rsidRPr="00057289">
        <w:rPr>
          <w:rFonts w:eastAsia="Times New Roman"/>
          <w:lang w:eastAsia="en-GB"/>
        </w:rPr>
        <w:t xml:space="preserve">staff in the UK National Health service, </w:t>
      </w:r>
      <w:r w:rsidRPr="00057289">
        <w:rPr>
          <w:rFonts w:eastAsia="Times New Roman"/>
          <w:lang w:eastAsia="en-GB"/>
        </w:rPr>
        <w:t xml:space="preserve">nurse retention is essential to the smooth running of healthcare systems. Employers, including the NHS, need to be more proactive rather than reactive in addressing the mental and physical needs of staff who have been under increased work-related pressure </w:t>
      </w:r>
      <w:r w:rsidR="00367F17" w:rsidRPr="00057289">
        <w:rPr>
          <w:rFonts w:eastAsia="Times New Roman"/>
          <w:lang w:eastAsia="en-GB"/>
        </w:rPr>
        <w:t>since the start of the pandemic.</w:t>
      </w:r>
    </w:p>
    <w:p w14:paraId="6628ED5F" w14:textId="23DEC9F9" w:rsidR="00354B32" w:rsidRDefault="00335A13" w:rsidP="594CCC0A">
      <w:pPr>
        <w:autoSpaceDE w:val="0"/>
        <w:autoSpaceDN w:val="0"/>
        <w:adjustRightInd w:val="0"/>
        <w:spacing w:after="0" w:line="360" w:lineRule="auto"/>
        <w:jc w:val="both"/>
        <w:rPr>
          <w:rFonts w:eastAsia="Times New Roman"/>
          <w:lang w:eastAsia="en-GB"/>
        </w:rPr>
      </w:pPr>
      <w:r w:rsidRPr="00057289">
        <w:rPr>
          <w:rFonts w:eastAsia="Times New Roman"/>
          <w:lang w:eastAsia="en-GB"/>
        </w:rPr>
        <w:t xml:space="preserve">Just over a quarter of respondents reported considering leaving nursing. </w:t>
      </w:r>
      <w:r w:rsidR="3C834372" w:rsidRPr="00057289">
        <w:rPr>
          <w:rFonts w:eastAsia="Times New Roman"/>
          <w:lang w:eastAsia="en-GB"/>
        </w:rPr>
        <w:t xml:space="preserve">To retain nurses, attract staff and reduce sickness levels (which have been high during the pandemic), nurses would benefit from regular mental health check-ups to ensure they are fit to practice and receive the support and </w:t>
      </w:r>
      <w:r w:rsidR="3C834372" w:rsidRPr="3C834372">
        <w:rPr>
          <w:rFonts w:eastAsia="Times New Roman"/>
          <w:lang w:eastAsia="en-GB"/>
        </w:rPr>
        <w:t xml:space="preserve">care they need to function safely and work effectively.  This could involve regular use of assessment tools such as the stress risk assessment tool (ASSET), often used to manage those with existing health conditions in the workplace </w:t>
      </w:r>
      <w:r w:rsidR="4BEB3211" w:rsidRPr="3C834372">
        <w:rPr>
          <w:rFonts w:eastAsia="Times New Roman"/>
          <w:lang w:eastAsia="en-GB"/>
        </w:rPr>
        <w:fldChar w:fldCharType="begin" w:fldLock="1"/>
      </w:r>
      <w:r w:rsidR="4BEB3211" w:rsidRPr="3C834372">
        <w:rPr>
          <w:rFonts w:eastAsia="Times New Roman"/>
          <w:lang w:eastAsia="en-GB"/>
        </w:rPr>
        <w:instrText>ADDIN CSL_CITATION {"citationItems":[{"id":"ITEM-1","itemData":{"DOI":"10.1002/SMI.1010","ISSN":"1532-2998","abstract":"Awareness is increasing that workplace characteristics can directly influence the physical and mental well-being of employees, adversely affecting an organization's overall performance. As the effect of work-related stress on employee health is of particular concern, many companies are looking to develop stress risk assessment programmes. However, the measurement instruments commonly used to examine workplace stressors are long, complex and developed primarily for white-collar workers - making evaluations expensive and potentially inaccurate for most employee groups. An alternative, two-stage, risk assessment process is proposed, whereby a short questionnaire is used initially to screen all employees and then conventional risk assessment tools used to evaluate in detail just those individuals identified as having a potential stress problem. The ASSET questionnaire was developed as a short instrument suitable for the first stage of this process. The three main sections of the questionnaire measure employee perceptions of their job, organizational commitment and employee health. Tests involving 9196 employees in 10 public and private sector organizations within the British Isles found ASSET to be quick and easy to complete, generating a high response rate. It has a small number of reliable factors for ease of interpretation, and has excellent validity. Copyright © 2004 John Wiley &amp; Sons, Ltd.","author":[{"dropping-particle":"","family":"Faragher","given":"E. Brian","non-dropping-particle":"","parse-names":false,"suffix":""},{"dropping-particle":"","family":"Cooper","given":"C. L.","non-dropping-particle":"","parse-names":false,"suffix":""},{"dropping-particle":"","family":"Cartwright","given":"S.","non-dropping-particle":"","parse-names":false,"suffix":""}],"container-title":"Stress and Health","id":"ITEM-1","issue":"4","issued":{"date-parts":[["2004","10","1"]]},"page":"189-201","publisher":"John Wiley &amp; Sons, Ltd","title":"A shortened stress evaluation tool (ASSET)","type":"article-journal","volume":"20"},"uris":["http://www.mendeley.com/documents/?uuid=49ef704a-d3d6-316d-a487-51a75248a813"]}],"mendeley":{"formattedCitation":"(Faragher &lt;i&gt;et al.&lt;/i&gt;, 2004)","plainTextFormattedCitation":"(Faragher et al., 2004)","previouslyFormattedCitation":"(Faragher &lt;i&gt;et al.&lt;/i&gt;, 2004)"},"properties":{"noteIndex":0},"schema":"https://github.com/citation-style-language/schema/raw/master/csl-citation.json"}</w:instrText>
      </w:r>
      <w:r w:rsidR="4BEB3211" w:rsidRPr="3C834372">
        <w:rPr>
          <w:rFonts w:eastAsia="Times New Roman"/>
          <w:lang w:eastAsia="en-GB"/>
        </w:rPr>
        <w:fldChar w:fldCharType="separate"/>
      </w:r>
      <w:r w:rsidR="3C834372" w:rsidRPr="3C834372">
        <w:rPr>
          <w:rFonts w:eastAsia="Times New Roman"/>
          <w:noProof/>
          <w:lang w:eastAsia="en-GB"/>
        </w:rPr>
        <w:t xml:space="preserve">(Faragher </w:t>
      </w:r>
      <w:r w:rsidR="3C834372" w:rsidRPr="3C834372">
        <w:rPr>
          <w:rFonts w:eastAsia="Times New Roman"/>
          <w:i/>
          <w:iCs/>
          <w:noProof/>
          <w:lang w:eastAsia="en-GB"/>
        </w:rPr>
        <w:t>et al.</w:t>
      </w:r>
      <w:r w:rsidR="3C834372" w:rsidRPr="3C834372">
        <w:rPr>
          <w:rFonts w:eastAsia="Times New Roman"/>
          <w:noProof/>
          <w:lang w:eastAsia="en-GB"/>
        </w:rPr>
        <w:t>, 2004)</w:t>
      </w:r>
      <w:r w:rsidR="4BEB3211" w:rsidRPr="3C834372">
        <w:rPr>
          <w:rFonts w:eastAsia="Times New Roman"/>
          <w:lang w:eastAsia="en-GB"/>
        </w:rPr>
        <w:fldChar w:fldCharType="end"/>
      </w:r>
      <w:r w:rsidR="3C834372" w:rsidRPr="3C834372">
        <w:rPr>
          <w:rFonts w:eastAsia="Times New Roman"/>
          <w:lang w:eastAsia="en-GB"/>
        </w:rPr>
        <w:t>.  Resources have been put in place during the pandemic, such as drop-in sessions and telephone support, this needs to continue and be built on.  Nurses identified as needing further</w:t>
      </w:r>
      <w:r w:rsidR="00C5241B">
        <w:rPr>
          <w:rFonts w:eastAsia="Times New Roman"/>
          <w:lang w:eastAsia="en-GB"/>
        </w:rPr>
        <w:t xml:space="preserve"> mental health</w:t>
      </w:r>
      <w:r w:rsidR="3C834372" w:rsidRPr="3C834372">
        <w:rPr>
          <w:rFonts w:eastAsia="Times New Roman"/>
          <w:lang w:eastAsia="en-GB"/>
        </w:rPr>
        <w:t xml:space="preserve"> support could be offered one to one or group sessions to address their specific needs. This could be in the form of counselling, group sessions on resilience or referral to their GP. Future research should assess strategies to improve resilience levels and retention of nurses.  Feedback mechanisms, from staff and patients, to report safety concerns, need to be strengthened, furthermore the NHS needs to be responsive to this feedback. NHS staff have performed extremely well under difficult circumstances, but where improvements can be made these need to be highlighted and actioned upon. </w:t>
      </w:r>
    </w:p>
    <w:p w14:paraId="4B2749A6" w14:textId="286ED684" w:rsidR="0051331B" w:rsidRDefault="4024292E" w:rsidP="40B9AEF9">
      <w:pPr>
        <w:autoSpaceDE w:val="0"/>
        <w:autoSpaceDN w:val="0"/>
        <w:adjustRightInd w:val="0"/>
        <w:spacing w:after="0" w:line="360" w:lineRule="auto"/>
        <w:jc w:val="both"/>
        <w:rPr>
          <w:rFonts w:eastAsia="Times New Roman"/>
          <w:lang w:eastAsia="en-GB"/>
        </w:rPr>
      </w:pPr>
      <w:r w:rsidRPr="4024292E">
        <w:rPr>
          <w:rFonts w:eastAsia="Times New Roman"/>
          <w:lang w:eastAsia="en-GB"/>
        </w:rPr>
        <w:t xml:space="preserve">The repercussions of the pandemic are likely to last for many years and there is concern over future epidemics. We need to support, train and nurture healthcare staff to ensure they stay in their professional </w:t>
      </w:r>
      <w:r w:rsidRPr="4024292E">
        <w:rPr>
          <w:rFonts w:eastAsia="Times New Roman"/>
          <w:lang w:eastAsia="en-GB"/>
        </w:rPr>
        <w:lastRenderedPageBreak/>
        <w:t xml:space="preserve">roles, which in turn will maintain standards and benefit patients and society. Recruitment and retention of nursing staff needs to be a national and international priority. </w:t>
      </w:r>
    </w:p>
    <w:p w14:paraId="3D4153F9" w14:textId="77777777" w:rsidR="0051331B" w:rsidRDefault="0051331B" w:rsidP="00AE5DA4">
      <w:pPr>
        <w:autoSpaceDE w:val="0"/>
        <w:autoSpaceDN w:val="0"/>
        <w:adjustRightInd w:val="0"/>
        <w:spacing w:after="0" w:line="360" w:lineRule="auto"/>
        <w:jc w:val="both"/>
        <w:rPr>
          <w:rFonts w:eastAsia="Times New Roman" w:cstheme="minorHAnsi"/>
          <w:lang w:eastAsia="en-GB"/>
        </w:rPr>
      </w:pPr>
    </w:p>
    <w:p w14:paraId="0E3F5C2A" w14:textId="77777777" w:rsidR="00805109" w:rsidRPr="00354B32" w:rsidRDefault="00536695" w:rsidP="00AE5DA4">
      <w:pPr>
        <w:autoSpaceDE w:val="0"/>
        <w:autoSpaceDN w:val="0"/>
        <w:adjustRightInd w:val="0"/>
        <w:spacing w:after="0" w:line="360" w:lineRule="auto"/>
        <w:jc w:val="both"/>
        <w:rPr>
          <w:b/>
          <w:bCs/>
        </w:rPr>
      </w:pPr>
      <w:r w:rsidRPr="00354B32">
        <w:rPr>
          <w:b/>
          <w:bCs/>
        </w:rPr>
        <w:t>Relevance to clinical practice</w:t>
      </w:r>
    </w:p>
    <w:p w14:paraId="2FBF6F88" w14:textId="77777777" w:rsidR="00F543C7" w:rsidRDefault="00F543C7" w:rsidP="00C87AAC">
      <w:pPr>
        <w:pStyle w:val="CommentText"/>
        <w:jc w:val="both"/>
      </w:pPr>
    </w:p>
    <w:p w14:paraId="5E2677B1" w14:textId="27B7E066" w:rsidR="00C87AAC" w:rsidRPr="00540176" w:rsidRDefault="4024292E" w:rsidP="24D43A9E">
      <w:pPr>
        <w:spacing w:line="360" w:lineRule="auto"/>
        <w:jc w:val="both"/>
        <w:rPr>
          <w:rFonts w:eastAsia="Times New Roman"/>
          <w:lang w:eastAsia="en-GB"/>
        </w:rPr>
      </w:pPr>
      <w:r>
        <w:t>A high proportion of nurses experienced anxiety and depression during the 2</w:t>
      </w:r>
      <w:r w:rsidRPr="4024292E">
        <w:rPr>
          <w:vertAlign w:val="superscript"/>
        </w:rPr>
        <w:t>nd</w:t>
      </w:r>
      <w:r>
        <w:t xml:space="preserve"> wave of COVID in winter 2020. Nurses also experienced higher total fatigue scores compared to the general public. </w:t>
      </w:r>
      <w:r w:rsidRPr="4024292E">
        <w:rPr>
          <w:rFonts w:eastAsia="Times New Roman"/>
          <w:lang w:eastAsia="en-GB"/>
        </w:rPr>
        <w:t xml:space="preserve">Higher anxiety and depression scores were associated with high physical fatigue. Effective interventions need to be implemented into the NHS to help improve provide mental health support and improve conditions in the workplace to reduce the potential for mental ill health and burnout from the impact of the pandemic.  These interventions need to be available for all and be tailored to individuals to fit into </w:t>
      </w:r>
      <w:proofErr w:type="spellStart"/>
      <w:r w:rsidRPr="4024292E">
        <w:rPr>
          <w:rFonts w:eastAsia="Times New Roman"/>
          <w:lang w:eastAsia="en-GB"/>
        </w:rPr>
        <w:t>workplans</w:t>
      </w:r>
      <w:proofErr w:type="spellEnd"/>
      <w:r w:rsidRPr="4024292E">
        <w:rPr>
          <w:rFonts w:eastAsia="Times New Roman"/>
          <w:lang w:eastAsia="en-GB"/>
        </w:rPr>
        <w:t xml:space="preserve"> and shift patterns and provide protected time and support to improve staff mental health and wellbeing.</w:t>
      </w:r>
    </w:p>
    <w:p w14:paraId="229D0846" w14:textId="77777777" w:rsidR="0051331B" w:rsidRDefault="0051331B" w:rsidP="00592239">
      <w:pPr>
        <w:pStyle w:val="CommentText"/>
        <w:jc w:val="both"/>
        <w:rPr>
          <w:rFonts w:asciiTheme="minorHAnsi" w:hAnsiTheme="minorHAnsi"/>
          <w:b/>
          <w:bCs/>
          <w:sz w:val="22"/>
          <w:szCs w:val="22"/>
        </w:rPr>
      </w:pPr>
      <w:r w:rsidRPr="009554B6">
        <w:rPr>
          <w:rFonts w:asciiTheme="minorHAnsi" w:hAnsiTheme="minorHAnsi"/>
          <w:b/>
          <w:bCs/>
          <w:sz w:val="22"/>
          <w:szCs w:val="22"/>
        </w:rPr>
        <w:t>Impact Statement</w:t>
      </w:r>
    </w:p>
    <w:p w14:paraId="7D53203F" w14:textId="77777777" w:rsidR="00592239" w:rsidRPr="009554B6" w:rsidRDefault="00592239" w:rsidP="00592239">
      <w:pPr>
        <w:pStyle w:val="CommentText"/>
        <w:jc w:val="both"/>
        <w:rPr>
          <w:rFonts w:asciiTheme="minorHAnsi" w:hAnsiTheme="minorHAnsi"/>
          <w:b/>
          <w:bCs/>
          <w:sz w:val="22"/>
          <w:szCs w:val="22"/>
        </w:rPr>
      </w:pPr>
    </w:p>
    <w:p w14:paraId="79090147" w14:textId="5B7FD5A9" w:rsidR="006578E9" w:rsidRDefault="4024292E" w:rsidP="4024292E">
      <w:pPr>
        <w:pStyle w:val="CommentText"/>
        <w:numPr>
          <w:ilvl w:val="0"/>
          <w:numId w:val="15"/>
        </w:numPr>
        <w:jc w:val="both"/>
        <w:rPr>
          <w:rFonts w:asciiTheme="minorHAnsi" w:hAnsiTheme="minorHAnsi"/>
          <w:sz w:val="22"/>
          <w:szCs w:val="22"/>
        </w:rPr>
      </w:pPr>
      <w:r w:rsidRPr="4024292E">
        <w:rPr>
          <w:rFonts w:asciiTheme="minorHAnsi" w:hAnsiTheme="minorHAnsi"/>
          <w:sz w:val="22"/>
          <w:szCs w:val="22"/>
        </w:rPr>
        <w:t>Nurses are vital for health systems and their mental and physical wellbeing need to be nurtured and protected.</w:t>
      </w:r>
    </w:p>
    <w:p w14:paraId="5EB0AC13" w14:textId="650AE870" w:rsidR="006E32FD" w:rsidRPr="00354B32" w:rsidRDefault="4024292E" w:rsidP="4024292E">
      <w:pPr>
        <w:pStyle w:val="CommentText"/>
        <w:numPr>
          <w:ilvl w:val="0"/>
          <w:numId w:val="15"/>
        </w:numPr>
        <w:jc w:val="both"/>
        <w:rPr>
          <w:rFonts w:asciiTheme="minorHAnsi" w:eastAsiaTheme="minorEastAsia" w:hAnsiTheme="minorHAnsi" w:cstheme="minorBidi"/>
          <w:sz w:val="22"/>
          <w:szCs w:val="22"/>
        </w:rPr>
      </w:pPr>
      <w:r w:rsidRPr="4024292E">
        <w:rPr>
          <w:rFonts w:asciiTheme="minorHAnsi" w:hAnsiTheme="minorHAnsi"/>
          <w:sz w:val="22"/>
          <w:szCs w:val="22"/>
        </w:rPr>
        <w:t>Nurses and possibly other healthcare professionals are likely to have fatigue levels higher than the general population and it is vital that they are supported to provide safe and effective care for patients.  Appropriate support and interventions need to be implemented to improve the mental health and provide support for staff working in clinical areas.</w:t>
      </w:r>
    </w:p>
    <w:p w14:paraId="3AC64E23" w14:textId="77777777" w:rsidR="0051331B" w:rsidRPr="00354B32" w:rsidRDefault="0051331B" w:rsidP="00592239">
      <w:pPr>
        <w:pStyle w:val="CommentText"/>
        <w:jc w:val="both"/>
        <w:rPr>
          <w:rFonts w:asciiTheme="minorHAnsi" w:hAnsiTheme="minorHAnsi"/>
          <w:sz w:val="22"/>
          <w:szCs w:val="22"/>
        </w:rPr>
      </w:pPr>
    </w:p>
    <w:p w14:paraId="64B06A81" w14:textId="77777777" w:rsidR="0051331B" w:rsidRPr="00354B32" w:rsidRDefault="0051331B" w:rsidP="00592239">
      <w:pPr>
        <w:pStyle w:val="CommentText"/>
        <w:jc w:val="both"/>
        <w:rPr>
          <w:i/>
          <w:iCs/>
        </w:rPr>
      </w:pPr>
    </w:p>
    <w:p w14:paraId="5EF2D63D" w14:textId="3700B829" w:rsidR="00856963" w:rsidRPr="007050E5" w:rsidRDefault="007050E5" w:rsidP="00592239">
      <w:pPr>
        <w:pStyle w:val="CommentText"/>
        <w:jc w:val="both"/>
        <w:rPr>
          <w:rFonts w:asciiTheme="minorHAnsi" w:hAnsiTheme="minorHAnsi" w:cstheme="minorHAnsi"/>
          <w:b/>
        </w:rPr>
      </w:pPr>
      <w:r w:rsidRPr="007050E5">
        <w:rPr>
          <w:rFonts w:asciiTheme="minorHAnsi" w:hAnsiTheme="minorHAnsi" w:cstheme="minorHAnsi"/>
          <w:b/>
        </w:rPr>
        <w:t>What does this paper contribute to the wider global clinical community?</w:t>
      </w:r>
    </w:p>
    <w:p w14:paraId="38EF696D" w14:textId="77777777" w:rsidR="00354B32" w:rsidRPr="00354B32" w:rsidRDefault="00354B32" w:rsidP="00592239">
      <w:pPr>
        <w:jc w:val="both"/>
      </w:pPr>
    </w:p>
    <w:p w14:paraId="3D9A0B91" w14:textId="3F48223A" w:rsidR="4024292E" w:rsidRDefault="4024292E" w:rsidP="4024292E">
      <w:pPr>
        <w:pStyle w:val="ListParagraph"/>
        <w:numPr>
          <w:ilvl w:val="0"/>
          <w:numId w:val="1"/>
        </w:numPr>
        <w:jc w:val="both"/>
        <w:rPr>
          <w:rFonts w:asciiTheme="minorHAnsi" w:eastAsiaTheme="minorEastAsia" w:hAnsiTheme="minorHAnsi" w:cstheme="minorBidi"/>
        </w:rPr>
      </w:pPr>
      <w:r>
        <w:t xml:space="preserve">Although this study is UK-based, its findings resonate with other international studies, </w:t>
      </w:r>
      <w:proofErr w:type="spellStart"/>
      <w:r>
        <w:t>emphasising</w:t>
      </w:r>
      <w:proofErr w:type="spellEnd"/>
      <w:r>
        <w:t xml:space="preserve"> the global importance of understanding the longer-term effect of pandemics on fatigue in healthcare professionals and its impact on anxiety and depression. </w:t>
      </w:r>
    </w:p>
    <w:p w14:paraId="09572218" w14:textId="5E86C092" w:rsidR="4024292E" w:rsidRDefault="4BEB3211" w:rsidP="4024292E">
      <w:pPr>
        <w:pStyle w:val="ListParagraph"/>
        <w:numPr>
          <w:ilvl w:val="0"/>
          <w:numId w:val="1"/>
        </w:numPr>
        <w:jc w:val="both"/>
        <w:rPr>
          <w:rFonts w:asciiTheme="minorHAnsi" w:eastAsiaTheme="minorEastAsia" w:hAnsiTheme="minorHAnsi" w:cstheme="minorBidi"/>
        </w:rPr>
      </w:pPr>
      <w:r>
        <w:t xml:space="preserve">It is essential that the global clinical community considers the impact of pandemics on the mental health and wellbeing of healthcare professionals and puts in place robust systems to support them. </w:t>
      </w:r>
    </w:p>
    <w:p w14:paraId="31EFE8E9" w14:textId="1671A672" w:rsidR="4BEB3211" w:rsidRDefault="4BEB3211" w:rsidP="4BEB3211">
      <w:pPr>
        <w:pStyle w:val="ListParagraph"/>
        <w:numPr>
          <w:ilvl w:val="0"/>
          <w:numId w:val="1"/>
        </w:numPr>
        <w:jc w:val="both"/>
        <w:rPr>
          <w:rFonts w:asciiTheme="minorHAnsi" w:eastAsiaTheme="minorEastAsia" w:hAnsiTheme="minorHAnsi" w:cstheme="minorBidi"/>
          <w:color w:val="000000" w:themeColor="text1"/>
        </w:rPr>
      </w:pPr>
      <w:r w:rsidRPr="4BEB3211">
        <w:rPr>
          <w:color w:val="000000" w:themeColor="text1"/>
        </w:rPr>
        <w:t>Our study found a large proportion of nurses were considering leaving the profession. Global healthcare employers should be alert to the potential impact on retention of experienced nurses and should take proactive measures to recruit, retain and upskill the workforce.</w:t>
      </w:r>
    </w:p>
    <w:p w14:paraId="53AC44B3" w14:textId="77777777" w:rsidR="0019567A" w:rsidRDefault="0019567A">
      <w:pPr>
        <w:rPr>
          <w:rFonts w:eastAsia="Times New Roman" w:cstheme="minorHAnsi"/>
          <w:b/>
          <w:lang w:eastAsia="en-GB"/>
        </w:rPr>
      </w:pPr>
      <w:r>
        <w:rPr>
          <w:rFonts w:eastAsia="Times New Roman" w:cstheme="minorHAnsi"/>
          <w:b/>
          <w:lang w:eastAsia="en-GB"/>
        </w:rPr>
        <w:br w:type="page"/>
      </w:r>
    </w:p>
    <w:p w14:paraId="12D47985" w14:textId="77777777" w:rsidR="00664BBC" w:rsidRDefault="00664BBC" w:rsidP="0019567A">
      <w:pPr>
        <w:rPr>
          <w:rFonts w:eastAsia="Times New Roman" w:cstheme="minorHAnsi"/>
          <w:b/>
          <w:lang w:eastAsia="en-GB"/>
        </w:rPr>
      </w:pPr>
      <w:r w:rsidRPr="00664BBC">
        <w:rPr>
          <w:rFonts w:eastAsia="Times New Roman" w:cstheme="minorHAnsi"/>
          <w:b/>
          <w:lang w:eastAsia="en-GB"/>
        </w:rPr>
        <w:lastRenderedPageBreak/>
        <w:t xml:space="preserve">References </w:t>
      </w:r>
    </w:p>
    <w:p w14:paraId="7C46ABC5" w14:textId="77777777" w:rsidR="00CF0A64" w:rsidRPr="00664BBC" w:rsidRDefault="00CF0A64" w:rsidP="00F44FB8">
      <w:pPr>
        <w:jc w:val="both"/>
        <w:rPr>
          <w:rFonts w:eastAsia="Times New Roman" w:cstheme="minorHAnsi"/>
          <w:b/>
          <w:lang w:eastAsia="en-GB"/>
        </w:rPr>
      </w:pPr>
    </w:p>
    <w:p w14:paraId="79D50451" w14:textId="312C1FD9" w:rsidR="00F44FB8" w:rsidRPr="00F44FB8" w:rsidRDefault="00664BBC" w:rsidP="00F44FB8">
      <w:pPr>
        <w:widowControl w:val="0"/>
        <w:autoSpaceDE w:val="0"/>
        <w:autoSpaceDN w:val="0"/>
        <w:adjustRightInd w:val="0"/>
        <w:spacing w:line="240" w:lineRule="auto"/>
        <w:jc w:val="both"/>
        <w:rPr>
          <w:rFonts w:ascii="Calibri" w:hAnsi="Calibri" w:cs="Calibri"/>
          <w:noProof/>
          <w:szCs w:val="24"/>
        </w:rPr>
      </w:pPr>
      <w:r w:rsidRPr="00664BBC">
        <w:rPr>
          <w:rFonts w:eastAsia="Times New Roman" w:cstheme="minorHAnsi"/>
          <w:lang w:eastAsia="en-GB"/>
        </w:rPr>
        <w:fldChar w:fldCharType="begin" w:fldLock="1"/>
      </w:r>
      <w:r w:rsidRPr="00664BBC">
        <w:rPr>
          <w:rFonts w:eastAsia="Times New Roman" w:cstheme="minorHAnsi"/>
          <w:lang w:eastAsia="en-GB"/>
        </w:rPr>
        <w:instrText xml:space="preserve">ADDIN Mendeley Bibliography CSL_BIBLIOGRAPHY </w:instrText>
      </w:r>
      <w:r w:rsidRPr="00664BBC">
        <w:rPr>
          <w:rFonts w:eastAsia="Times New Roman" w:cstheme="minorHAnsi"/>
          <w:lang w:eastAsia="en-GB"/>
        </w:rPr>
        <w:fldChar w:fldCharType="separate"/>
      </w:r>
      <w:r w:rsidR="00F44FB8" w:rsidRPr="00F44FB8">
        <w:rPr>
          <w:rFonts w:ascii="Calibri" w:hAnsi="Calibri" w:cs="Calibri"/>
          <w:noProof/>
          <w:szCs w:val="24"/>
        </w:rPr>
        <w:t xml:space="preserve">Baskin MSN R G, Bartlett R, Rachel Baskin C and Louise M (2021) Healthcare worker resilience during the COVID-19 pandemic: An integrative review, </w:t>
      </w:r>
      <w:r w:rsidR="00F44FB8" w:rsidRPr="00F44FB8">
        <w:rPr>
          <w:rFonts w:ascii="Calibri" w:hAnsi="Calibri" w:cs="Calibri"/>
          <w:i/>
          <w:iCs/>
          <w:noProof/>
          <w:szCs w:val="24"/>
        </w:rPr>
        <w:t>Journal of Nursing Management</w:t>
      </w:r>
      <w:r w:rsidR="00F44FB8" w:rsidRPr="00F44FB8">
        <w:rPr>
          <w:rFonts w:ascii="Calibri" w:hAnsi="Calibri" w:cs="Calibri"/>
          <w:noProof/>
          <w:szCs w:val="24"/>
        </w:rPr>
        <w:t>, 29(8), pp. 2329–2342.</w:t>
      </w:r>
    </w:p>
    <w:p w14:paraId="7C138711" w14:textId="77777777" w:rsidR="00F44FB8" w:rsidRPr="00F44FB8" w:rsidRDefault="00F44FB8" w:rsidP="00F44FB8">
      <w:pPr>
        <w:widowControl w:val="0"/>
        <w:autoSpaceDE w:val="0"/>
        <w:autoSpaceDN w:val="0"/>
        <w:adjustRightInd w:val="0"/>
        <w:spacing w:line="240" w:lineRule="auto"/>
        <w:jc w:val="both"/>
        <w:rPr>
          <w:rFonts w:ascii="Calibri" w:hAnsi="Calibri" w:cs="Calibri"/>
          <w:noProof/>
          <w:szCs w:val="24"/>
        </w:rPr>
      </w:pPr>
      <w:r w:rsidRPr="00F44FB8">
        <w:rPr>
          <w:rFonts w:ascii="Calibri" w:hAnsi="Calibri" w:cs="Calibri"/>
          <w:noProof/>
          <w:szCs w:val="24"/>
        </w:rPr>
        <w:t xml:space="preserve">Bozdağ F and Ergün N (2020) Psychological Resilience of Healthcare Professionals During COVID-19 Pandemic, </w:t>
      </w:r>
      <w:r w:rsidRPr="00F44FB8">
        <w:rPr>
          <w:rFonts w:ascii="Calibri" w:hAnsi="Calibri" w:cs="Calibri"/>
          <w:i/>
          <w:iCs/>
          <w:noProof/>
          <w:szCs w:val="24"/>
        </w:rPr>
        <w:t>Psychological Reports</w:t>
      </w:r>
      <w:r w:rsidRPr="00F44FB8">
        <w:rPr>
          <w:rFonts w:ascii="Calibri" w:hAnsi="Calibri" w:cs="Calibri"/>
          <w:noProof/>
          <w:szCs w:val="24"/>
        </w:rPr>
        <w:t>, 124(6). doi.org/10.1177/0033294120965477.</w:t>
      </w:r>
    </w:p>
    <w:p w14:paraId="143189E5" w14:textId="77777777" w:rsidR="00F44FB8" w:rsidRPr="00F44FB8" w:rsidRDefault="00F44FB8" w:rsidP="00F44FB8">
      <w:pPr>
        <w:widowControl w:val="0"/>
        <w:autoSpaceDE w:val="0"/>
        <w:autoSpaceDN w:val="0"/>
        <w:adjustRightInd w:val="0"/>
        <w:spacing w:line="240" w:lineRule="auto"/>
        <w:jc w:val="both"/>
        <w:rPr>
          <w:rFonts w:ascii="Calibri" w:hAnsi="Calibri" w:cs="Calibri"/>
          <w:noProof/>
          <w:szCs w:val="24"/>
        </w:rPr>
      </w:pPr>
      <w:r w:rsidRPr="00F44FB8">
        <w:rPr>
          <w:rFonts w:ascii="Calibri" w:hAnsi="Calibri" w:cs="Calibri"/>
          <w:noProof/>
          <w:szCs w:val="24"/>
        </w:rPr>
        <w:t xml:space="preserve">Cella M and Chalder T (2010) Measuring fatigue in clinical and community settings, </w:t>
      </w:r>
      <w:r w:rsidRPr="00F44FB8">
        <w:rPr>
          <w:rFonts w:ascii="Calibri" w:hAnsi="Calibri" w:cs="Calibri"/>
          <w:i/>
          <w:iCs/>
          <w:noProof/>
          <w:szCs w:val="24"/>
        </w:rPr>
        <w:t>Journal of Psychosomatic Research</w:t>
      </w:r>
      <w:r w:rsidRPr="00F44FB8">
        <w:rPr>
          <w:rFonts w:ascii="Calibri" w:hAnsi="Calibri" w:cs="Calibri"/>
          <w:noProof/>
          <w:szCs w:val="24"/>
        </w:rPr>
        <w:t>, 69(1), pp. 17–22.</w:t>
      </w:r>
    </w:p>
    <w:p w14:paraId="4B83CD43" w14:textId="77777777" w:rsidR="00F44FB8" w:rsidRPr="00F44FB8" w:rsidRDefault="00F44FB8" w:rsidP="00F44FB8">
      <w:pPr>
        <w:widowControl w:val="0"/>
        <w:autoSpaceDE w:val="0"/>
        <w:autoSpaceDN w:val="0"/>
        <w:adjustRightInd w:val="0"/>
        <w:spacing w:line="240" w:lineRule="auto"/>
        <w:jc w:val="both"/>
        <w:rPr>
          <w:rFonts w:ascii="Calibri" w:hAnsi="Calibri" w:cs="Calibri"/>
          <w:noProof/>
          <w:szCs w:val="24"/>
        </w:rPr>
      </w:pPr>
      <w:r w:rsidRPr="00F44FB8">
        <w:rPr>
          <w:rFonts w:ascii="Calibri" w:hAnsi="Calibri" w:cs="Calibri"/>
          <w:noProof/>
          <w:szCs w:val="24"/>
        </w:rPr>
        <w:t xml:space="preserve">Chalder T, Berelowitz G, Pawlikowska T, Watts L, Wessely S, Wright D and Wallace E P (1993) Development of a fatigue scale, </w:t>
      </w:r>
      <w:r w:rsidRPr="00F44FB8">
        <w:rPr>
          <w:rFonts w:ascii="Calibri" w:hAnsi="Calibri" w:cs="Calibri"/>
          <w:i/>
          <w:iCs/>
          <w:noProof/>
          <w:szCs w:val="24"/>
        </w:rPr>
        <w:t>Journal of Psychosomatic Research</w:t>
      </w:r>
      <w:r w:rsidRPr="00F44FB8">
        <w:rPr>
          <w:rFonts w:ascii="Calibri" w:hAnsi="Calibri" w:cs="Calibri"/>
          <w:noProof/>
          <w:szCs w:val="24"/>
        </w:rPr>
        <w:t>, 37(2), pp. 147–153.</w:t>
      </w:r>
    </w:p>
    <w:p w14:paraId="1A667097" w14:textId="77777777" w:rsidR="00F44FB8" w:rsidRPr="00F44FB8" w:rsidRDefault="00F44FB8" w:rsidP="00F44FB8">
      <w:pPr>
        <w:widowControl w:val="0"/>
        <w:autoSpaceDE w:val="0"/>
        <w:autoSpaceDN w:val="0"/>
        <w:adjustRightInd w:val="0"/>
        <w:spacing w:line="240" w:lineRule="auto"/>
        <w:jc w:val="both"/>
        <w:rPr>
          <w:rFonts w:ascii="Calibri" w:hAnsi="Calibri" w:cs="Calibri"/>
          <w:noProof/>
          <w:szCs w:val="24"/>
        </w:rPr>
      </w:pPr>
      <w:r w:rsidRPr="00F44FB8">
        <w:rPr>
          <w:rFonts w:ascii="Calibri" w:hAnsi="Calibri" w:cs="Calibri"/>
          <w:noProof/>
          <w:szCs w:val="24"/>
        </w:rPr>
        <w:t xml:space="preserve">Corfield E C, Martin N G and Nyholt D R (2016) Co-occurrence and symptomatology of fatigue and depression, </w:t>
      </w:r>
      <w:r w:rsidRPr="00F44FB8">
        <w:rPr>
          <w:rFonts w:ascii="Calibri" w:hAnsi="Calibri" w:cs="Calibri"/>
          <w:i/>
          <w:iCs/>
          <w:noProof/>
          <w:szCs w:val="24"/>
        </w:rPr>
        <w:t>Comprehensive Psychiatry</w:t>
      </w:r>
      <w:r w:rsidRPr="00F44FB8">
        <w:rPr>
          <w:rFonts w:ascii="Calibri" w:hAnsi="Calibri" w:cs="Calibri"/>
          <w:noProof/>
          <w:szCs w:val="24"/>
        </w:rPr>
        <w:t>, 71, pp. 1–10.</w:t>
      </w:r>
    </w:p>
    <w:p w14:paraId="66F9FDE3" w14:textId="77777777" w:rsidR="00F44FB8" w:rsidRPr="00F44FB8" w:rsidRDefault="00F44FB8" w:rsidP="00F44FB8">
      <w:pPr>
        <w:widowControl w:val="0"/>
        <w:autoSpaceDE w:val="0"/>
        <w:autoSpaceDN w:val="0"/>
        <w:adjustRightInd w:val="0"/>
        <w:spacing w:line="240" w:lineRule="auto"/>
        <w:jc w:val="both"/>
        <w:rPr>
          <w:rFonts w:ascii="Calibri" w:hAnsi="Calibri" w:cs="Calibri"/>
          <w:noProof/>
          <w:szCs w:val="24"/>
        </w:rPr>
      </w:pPr>
      <w:r w:rsidRPr="00F44FB8">
        <w:rPr>
          <w:rFonts w:ascii="Calibri" w:hAnsi="Calibri" w:cs="Calibri"/>
          <w:noProof/>
          <w:szCs w:val="24"/>
        </w:rPr>
        <w:t xml:space="preserve">Dall’Ora C, Ball J, Reinius M and Griffiths P (2020) Burnout in nursing: a theoretical review, </w:t>
      </w:r>
      <w:r w:rsidRPr="00F44FB8">
        <w:rPr>
          <w:rFonts w:ascii="Calibri" w:hAnsi="Calibri" w:cs="Calibri"/>
          <w:i/>
          <w:iCs/>
          <w:noProof/>
          <w:szCs w:val="24"/>
        </w:rPr>
        <w:t>Human Resources for Health 2020 18:1</w:t>
      </w:r>
      <w:r w:rsidRPr="00F44FB8">
        <w:rPr>
          <w:rFonts w:ascii="Calibri" w:hAnsi="Calibri" w:cs="Calibri"/>
          <w:noProof/>
          <w:szCs w:val="24"/>
        </w:rPr>
        <w:t>, 18(1), pp. 1–17.</w:t>
      </w:r>
    </w:p>
    <w:p w14:paraId="1F8DCDAD" w14:textId="77777777" w:rsidR="00F44FB8" w:rsidRPr="00F44FB8" w:rsidRDefault="00F44FB8" w:rsidP="00F44FB8">
      <w:pPr>
        <w:widowControl w:val="0"/>
        <w:autoSpaceDE w:val="0"/>
        <w:autoSpaceDN w:val="0"/>
        <w:adjustRightInd w:val="0"/>
        <w:spacing w:line="240" w:lineRule="auto"/>
        <w:jc w:val="both"/>
        <w:rPr>
          <w:rFonts w:ascii="Calibri" w:hAnsi="Calibri" w:cs="Calibri"/>
          <w:noProof/>
          <w:szCs w:val="24"/>
        </w:rPr>
      </w:pPr>
      <w:r w:rsidRPr="00F44FB8">
        <w:rPr>
          <w:rFonts w:ascii="Calibri" w:hAnsi="Calibri" w:cs="Calibri"/>
          <w:noProof/>
          <w:szCs w:val="24"/>
        </w:rPr>
        <w:t xml:space="preserve">Denning M, Goh E T, Tan B, Kanneganti A, Almonte M, Scott A, Martin G, Clarke J, Sounderajah V, Markar S, Przybylowicz J, Chan Y H, Sia C-H, Chua Y X, Sim K, Lim L, Tan L, Tan M, Sharma V, Ooi S, Beatty J W, Flott K, Mason S, Chidambaram S, Yalamanchili S, Zbikowska G, Fedorowski J, Dykowska G, Wells M, Purkayastha S and Kinross J (2021) Determinants of burnout and other aspects of psychological well-being in healthcare workers during the Covid-19 pandemic: A multinational cross-sectional study, </w:t>
      </w:r>
      <w:r w:rsidRPr="00F44FB8">
        <w:rPr>
          <w:rFonts w:ascii="Calibri" w:hAnsi="Calibri" w:cs="Calibri"/>
          <w:i/>
          <w:iCs/>
          <w:noProof/>
          <w:szCs w:val="24"/>
        </w:rPr>
        <w:t>PLOS ONE</w:t>
      </w:r>
      <w:r w:rsidRPr="00F44FB8">
        <w:rPr>
          <w:rFonts w:ascii="Calibri" w:hAnsi="Calibri" w:cs="Calibri"/>
          <w:noProof/>
          <w:szCs w:val="24"/>
        </w:rPr>
        <w:t>, 16(4), p. e0238666.</w:t>
      </w:r>
    </w:p>
    <w:p w14:paraId="1E182204" w14:textId="77777777" w:rsidR="00F44FB8" w:rsidRPr="00F44FB8" w:rsidRDefault="00F44FB8" w:rsidP="00F44FB8">
      <w:pPr>
        <w:widowControl w:val="0"/>
        <w:autoSpaceDE w:val="0"/>
        <w:autoSpaceDN w:val="0"/>
        <w:adjustRightInd w:val="0"/>
        <w:spacing w:line="240" w:lineRule="auto"/>
        <w:jc w:val="both"/>
        <w:rPr>
          <w:rFonts w:ascii="Calibri" w:hAnsi="Calibri" w:cs="Calibri"/>
          <w:noProof/>
          <w:szCs w:val="24"/>
        </w:rPr>
      </w:pPr>
      <w:r w:rsidRPr="00F44FB8">
        <w:rPr>
          <w:rFonts w:ascii="Calibri" w:hAnsi="Calibri" w:cs="Calibri"/>
          <w:noProof/>
          <w:szCs w:val="24"/>
        </w:rPr>
        <w:t xml:space="preserve">Duncan D (2020) What the COVID-19 pandemic tells us about the need to develop resilience in the nursing workforce, </w:t>
      </w:r>
      <w:r w:rsidRPr="00F44FB8">
        <w:rPr>
          <w:rFonts w:ascii="Calibri" w:hAnsi="Calibri" w:cs="Calibri"/>
          <w:i/>
          <w:iCs/>
          <w:noProof/>
          <w:szCs w:val="24"/>
        </w:rPr>
        <w:t>Nursing Management</w:t>
      </w:r>
      <w:r w:rsidRPr="00F44FB8">
        <w:rPr>
          <w:rFonts w:ascii="Calibri" w:hAnsi="Calibri" w:cs="Calibri"/>
          <w:noProof/>
          <w:szCs w:val="24"/>
        </w:rPr>
        <w:t>, 27(3). doi.org/10.7748/nm.2020.e1933.</w:t>
      </w:r>
    </w:p>
    <w:p w14:paraId="1EDDC7D3" w14:textId="77777777" w:rsidR="00F44FB8" w:rsidRPr="00F44FB8" w:rsidRDefault="00F44FB8" w:rsidP="00F44FB8">
      <w:pPr>
        <w:widowControl w:val="0"/>
        <w:autoSpaceDE w:val="0"/>
        <w:autoSpaceDN w:val="0"/>
        <w:adjustRightInd w:val="0"/>
        <w:spacing w:line="240" w:lineRule="auto"/>
        <w:jc w:val="both"/>
        <w:rPr>
          <w:rFonts w:ascii="Calibri" w:hAnsi="Calibri" w:cs="Calibri"/>
          <w:noProof/>
          <w:szCs w:val="24"/>
        </w:rPr>
      </w:pPr>
      <w:r w:rsidRPr="00F44FB8">
        <w:rPr>
          <w:rFonts w:ascii="Calibri" w:hAnsi="Calibri" w:cs="Calibri"/>
          <w:noProof/>
          <w:szCs w:val="24"/>
        </w:rPr>
        <w:t xml:space="preserve">Elliott C (2017) Emotional labour: learning from the past, understanding the present, </w:t>
      </w:r>
      <w:r w:rsidRPr="00F44FB8">
        <w:rPr>
          <w:rFonts w:ascii="Calibri" w:hAnsi="Calibri" w:cs="Calibri"/>
          <w:i/>
          <w:iCs/>
          <w:noProof/>
          <w:szCs w:val="24"/>
        </w:rPr>
        <w:t>https://doi.org/10.12968/bjon.2017.26.19.1070</w:t>
      </w:r>
      <w:r w:rsidRPr="00F44FB8">
        <w:rPr>
          <w:rFonts w:ascii="Calibri" w:hAnsi="Calibri" w:cs="Calibri"/>
          <w:noProof/>
          <w:szCs w:val="24"/>
        </w:rPr>
        <w:t>, 26(19), pp. 1070–1077.</w:t>
      </w:r>
    </w:p>
    <w:p w14:paraId="3D47B15C" w14:textId="77777777" w:rsidR="00F44FB8" w:rsidRPr="00F44FB8" w:rsidRDefault="00F44FB8" w:rsidP="00F44FB8">
      <w:pPr>
        <w:widowControl w:val="0"/>
        <w:autoSpaceDE w:val="0"/>
        <w:autoSpaceDN w:val="0"/>
        <w:adjustRightInd w:val="0"/>
        <w:spacing w:line="240" w:lineRule="auto"/>
        <w:jc w:val="both"/>
        <w:rPr>
          <w:rFonts w:ascii="Calibri" w:hAnsi="Calibri" w:cs="Calibri"/>
          <w:noProof/>
          <w:szCs w:val="24"/>
        </w:rPr>
      </w:pPr>
      <w:r w:rsidRPr="00F44FB8">
        <w:rPr>
          <w:rFonts w:ascii="Calibri" w:hAnsi="Calibri" w:cs="Calibri"/>
          <w:noProof/>
          <w:szCs w:val="24"/>
        </w:rPr>
        <w:t xml:space="preserve">von Elm E, Altman D, Egger M, Pocock S, Gøtzsche P, Vandenbroucke J and JP (2008) The Strengthening the Reporting of Observational Studies in Epidemiology (STROBE) statement: guidelines for reporting observational studies, </w:t>
      </w:r>
      <w:r w:rsidRPr="00F44FB8">
        <w:rPr>
          <w:rFonts w:ascii="Calibri" w:hAnsi="Calibri" w:cs="Calibri"/>
          <w:i/>
          <w:iCs/>
          <w:noProof/>
          <w:szCs w:val="24"/>
        </w:rPr>
        <w:t>J Clin Epidemiol</w:t>
      </w:r>
      <w:r w:rsidRPr="00F44FB8">
        <w:rPr>
          <w:rFonts w:ascii="Calibri" w:hAnsi="Calibri" w:cs="Calibri"/>
          <w:noProof/>
          <w:szCs w:val="24"/>
        </w:rPr>
        <w:t>, 61(4), pp. 344–9.</w:t>
      </w:r>
    </w:p>
    <w:p w14:paraId="026BE9BF" w14:textId="77777777" w:rsidR="00F44FB8" w:rsidRPr="00F44FB8" w:rsidRDefault="00F44FB8" w:rsidP="00F44FB8">
      <w:pPr>
        <w:widowControl w:val="0"/>
        <w:autoSpaceDE w:val="0"/>
        <w:autoSpaceDN w:val="0"/>
        <w:adjustRightInd w:val="0"/>
        <w:spacing w:line="240" w:lineRule="auto"/>
        <w:jc w:val="both"/>
        <w:rPr>
          <w:rFonts w:ascii="Calibri" w:hAnsi="Calibri" w:cs="Calibri"/>
          <w:noProof/>
          <w:szCs w:val="24"/>
        </w:rPr>
      </w:pPr>
      <w:r w:rsidRPr="00F44FB8">
        <w:rPr>
          <w:rFonts w:ascii="Calibri" w:hAnsi="Calibri" w:cs="Calibri"/>
          <w:noProof/>
          <w:szCs w:val="24"/>
        </w:rPr>
        <w:t xml:space="preserve">Faragher E B, Cooper C L and Cartwright S (2004) A shortened stress evaluation tool (ASSET), </w:t>
      </w:r>
      <w:r w:rsidRPr="00F44FB8">
        <w:rPr>
          <w:rFonts w:ascii="Calibri" w:hAnsi="Calibri" w:cs="Calibri"/>
          <w:i/>
          <w:iCs/>
          <w:noProof/>
          <w:szCs w:val="24"/>
        </w:rPr>
        <w:t>Stress and Health</w:t>
      </w:r>
      <w:r w:rsidRPr="00F44FB8">
        <w:rPr>
          <w:rFonts w:ascii="Calibri" w:hAnsi="Calibri" w:cs="Calibri"/>
          <w:noProof/>
          <w:szCs w:val="24"/>
        </w:rPr>
        <w:t>, 20(4), pp. 189–201.</w:t>
      </w:r>
    </w:p>
    <w:p w14:paraId="00F2F744" w14:textId="77777777" w:rsidR="00F44FB8" w:rsidRPr="00F44FB8" w:rsidRDefault="00F44FB8" w:rsidP="00F44FB8">
      <w:pPr>
        <w:widowControl w:val="0"/>
        <w:autoSpaceDE w:val="0"/>
        <w:autoSpaceDN w:val="0"/>
        <w:adjustRightInd w:val="0"/>
        <w:spacing w:line="240" w:lineRule="auto"/>
        <w:jc w:val="both"/>
        <w:rPr>
          <w:rFonts w:ascii="Calibri" w:hAnsi="Calibri" w:cs="Calibri"/>
          <w:noProof/>
          <w:szCs w:val="24"/>
        </w:rPr>
      </w:pPr>
      <w:r w:rsidRPr="00F44FB8">
        <w:rPr>
          <w:rFonts w:ascii="Calibri" w:hAnsi="Calibri" w:cs="Calibri"/>
          <w:noProof/>
          <w:szCs w:val="24"/>
        </w:rPr>
        <w:t xml:space="preserve">Fernandez R, Lord H, Halcomb E, Moxham L, Middleton R, Alananzeh I and Ellwood L (2020) Implications for COVID-19: A systematic review of nurses’ experiences of working in acute care hospital settings during a respiratory pandemic, </w:t>
      </w:r>
      <w:r w:rsidRPr="00F44FB8">
        <w:rPr>
          <w:rFonts w:ascii="Calibri" w:hAnsi="Calibri" w:cs="Calibri"/>
          <w:i/>
          <w:iCs/>
          <w:noProof/>
          <w:szCs w:val="24"/>
        </w:rPr>
        <w:t>International Journal of Nursing Studies</w:t>
      </w:r>
      <w:r w:rsidRPr="00F44FB8">
        <w:rPr>
          <w:rFonts w:ascii="Calibri" w:hAnsi="Calibri" w:cs="Calibri"/>
          <w:noProof/>
          <w:szCs w:val="24"/>
        </w:rPr>
        <w:t>, 111, p. 103637.</w:t>
      </w:r>
    </w:p>
    <w:p w14:paraId="0404ABFF" w14:textId="77777777" w:rsidR="00F44FB8" w:rsidRPr="00F44FB8" w:rsidRDefault="00F44FB8" w:rsidP="00F44FB8">
      <w:pPr>
        <w:widowControl w:val="0"/>
        <w:autoSpaceDE w:val="0"/>
        <w:autoSpaceDN w:val="0"/>
        <w:adjustRightInd w:val="0"/>
        <w:spacing w:line="240" w:lineRule="auto"/>
        <w:jc w:val="both"/>
        <w:rPr>
          <w:rFonts w:ascii="Calibri" w:hAnsi="Calibri" w:cs="Calibri"/>
          <w:noProof/>
          <w:szCs w:val="24"/>
        </w:rPr>
      </w:pPr>
      <w:r w:rsidRPr="00F44FB8">
        <w:rPr>
          <w:rFonts w:ascii="Calibri" w:hAnsi="Calibri" w:cs="Calibri"/>
          <w:noProof/>
          <w:szCs w:val="24"/>
        </w:rPr>
        <w:t xml:space="preserve">Galanis P, Vraka I, Fragkou D, Bilali A and Kaitelidou D (2021) Nurses’ burnout and associated risk factors during the COVID-19 pandemic: A systematic review and meta-analysis, </w:t>
      </w:r>
      <w:r w:rsidRPr="00F44FB8">
        <w:rPr>
          <w:rFonts w:ascii="Calibri" w:hAnsi="Calibri" w:cs="Calibri"/>
          <w:i/>
          <w:iCs/>
          <w:noProof/>
          <w:szCs w:val="24"/>
        </w:rPr>
        <w:t>Journal of Advanced Nursing</w:t>
      </w:r>
      <w:r w:rsidRPr="00F44FB8">
        <w:rPr>
          <w:rFonts w:ascii="Calibri" w:hAnsi="Calibri" w:cs="Calibri"/>
          <w:noProof/>
          <w:szCs w:val="24"/>
        </w:rPr>
        <w:t>, 77(8), pp. 3286–3302.</w:t>
      </w:r>
    </w:p>
    <w:p w14:paraId="42471A44" w14:textId="77777777" w:rsidR="00F44FB8" w:rsidRPr="00F44FB8" w:rsidRDefault="00F44FB8" w:rsidP="00F44FB8">
      <w:pPr>
        <w:widowControl w:val="0"/>
        <w:autoSpaceDE w:val="0"/>
        <w:autoSpaceDN w:val="0"/>
        <w:adjustRightInd w:val="0"/>
        <w:spacing w:line="240" w:lineRule="auto"/>
        <w:jc w:val="both"/>
        <w:rPr>
          <w:rFonts w:ascii="Calibri" w:hAnsi="Calibri" w:cs="Calibri"/>
          <w:noProof/>
          <w:szCs w:val="24"/>
        </w:rPr>
      </w:pPr>
      <w:r w:rsidRPr="00F44FB8">
        <w:rPr>
          <w:rFonts w:ascii="Calibri" w:hAnsi="Calibri" w:cs="Calibri"/>
          <w:noProof/>
          <w:szCs w:val="24"/>
        </w:rPr>
        <w:t xml:space="preserve">Gellasch P (2015) The Driving Forces Behind Nurses Leaving the Profession, </w:t>
      </w:r>
      <w:r w:rsidRPr="00F44FB8">
        <w:rPr>
          <w:rFonts w:ascii="Calibri" w:hAnsi="Calibri" w:cs="Calibri"/>
          <w:i/>
          <w:iCs/>
          <w:noProof/>
          <w:szCs w:val="24"/>
        </w:rPr>
        <w:t>Nurse Leader</w:t>
      </w:r>
      <w:r w:rsidRPr="00F44FB8">
        <w:rPr>
          <w:rFonts w:ascii="Calibri" w:hAnsi="Calibri" w:cs="Calibri"/>
          <w:noProof/>
          <w:szCs w:val="24"/>
        </w:rPr>
        <w:t>, 13(5), pp. 63–68.</w:t>
      </w:r>
    </w:p>
    <w:p w14:paraId="3CC7781A" w14:textId="77777777" w:rsidR="00F44FB8" w:rsidRPr="00F44FB8" w:rsidRDefault="00F44FB8" w:rsidP="00F44FB8">
      <w:pPr>
        <w:widowControl w:val="0"/>
        <w:autoSpaceDE w:val="0"/>
        <w:autoSpaceDN w:val="0"/>
        <w:adjustRightInd w:val="0"/>
        <w:spacing w:line="240" w:lineRule="auto"/>
        <w:jc w:val="both"/>
        <w:rPr>
          <w:rFonts w:ascii="Calibri" w:hAnsi="Calibri" w:cs="Calibri"/>
          <w:noProof/>
          <w:szCs w:val="24"/>
        </w:rPr>
      </w:pPr>
      <w:r w:rsidRPr="00F44FB8">
        <w:rPr>
          <w:rFonts w:ascii="Calibri" w:hAnsi="Calibri" w:cs="Calibri"/>
          <w:noProof/>
          <w:szCs w:val="24"/>
        </w:rPr>
        <w:t xml:space="preserve">Ghassemi A E (2021) Burnout in nurses during the COVID-19 pandemic: the rising need for development of evidence-based risk assessment and supportive interventions, </w:t>
      </w:r>
      <w:r w:rsidRPr="00F44FB8">
        <w:rPr>
          <w:rFonts w:ascii="Calibri" w:hAnsi="Calibri" w:cs="Calibri"/>
          <w:i/>
          <w:iCs/>
          <w:noProof/>
          <w:szCs w:val="24"/>
        </w:rPr>
        <w:t>Evidence-Based Nursing</w:t>
      </w:r>
      <w:r w:rsidRPr="00F44FB8">
        <w:rPr>
          <w:rFonts w:ascii="Calibri" w:hAnsi="Calibri" w:cs="Calibri"/>
          <w:noProof/>
          <w:szCs w:val="24"/>
        </w:rPr>
        <w:t>, p. ebnurs-2021-103438.</w:t>
      </w:r>
    </w:p>
    <w:p w14:paraId="4B5761D9" w14:textId="77777777" w:rsidR="00F44FB8" w:rsidRPr="00F44FB8" w:rsidRDefault="00F44FB8" w:rsidP="00F44FB8">
      <w:pPr>
        <w:widowControl w:val="0"/>
        <w:autoSpaceDE w:val="0"/>
        <w:autoSpaceDN w:val="0"/>
        <w:adjustRightInd w:val="0"/>
        <w:spacing w:line="240" w:lineRule="auto"/>
        <w:jc w:val="both"/>
        <w:rPr>
          <w:rFonts w:ascii="Calibri" w:hAnsi="Calibri" w:cs="Calibri"/>
          <w:noProof/>
          <w:szCs w:val="24"/>
        </w:rPr>
      </w:pPr>
      <w:r w:rsidRPr="00F44FB8">
        <w:rPr>
          <w:rFonts w:ascii="Calibri" w:hAnsi="Calibri" w:cs="Calibri"/>
          <w:noProof/>
          <w:szCs w:val="24"/>
        </w:rPr>
        <w:t xml:space="preserve">Hou T, Zhang T, Cai W, Song X, Chen A, Deng G and Ni C (2020) Social support and mental health among health care workers during Coronavirus Disease 2019 outbreak: A moderated mediation model, </w:t>
      </w:r>
      <w:r w:rsidRPr="00F44FB8">
        <w:rPr>
          <w:rFonts w:ascii="Calibri" w:hAnsi="Calibri" w:cs="Calibri"/>
          <w:i/>
          <w:iCs/>
          <w:noProof/>
          <w:szCs w:val="24"/>
        </w:rPr>
        <w:t xml:space="preserve">PLOS </w:t>
      </w:r>
      <w:r w:rsidRPr="00F44FB8">
        <w:rPr>
          <w:rFonts w:ascii="Calibri" w:hAnsi="Calibri" w:cs="Calibri"/>
          <w:i/>
          <w:iCs/>
          <w:noProof/>
          <w:szCs w:val="24"/>
        </w:rPr>
        <w:lastRenderedPageBreak/>
        <w:t>ONE</w:t>
      </w:r>
      <w:r w:rsidRPr="00F44FB8">
        <w:rPr>
          <w:rFonts w:ascii="Calibri" w:hAnsi="Calibri" w:cs="Calibri"/>
          <w:noProof/>
          <w:szCs w:val="24"/>
        </w:rPr>
        <w:t>, 15(5), p. e0233831.</w:t>
      </w:r>
    </w:p>
    <w:p w14:paraId="7251AAF4" w14:textId="77777777" w:rsidR="00F44FB8" w:rsidRPr="00F44FB8" w:rsidRDefault="00F44FB8" w:rsidP="00F44FB8">
      <w:pPr>
        <w:widowControl w:val="0"/>
        <w:autoSpaceDE w:val="0"/>
        <w:autoSpaceDN w:val="0"/>
        <w:adjustRightInd w:val="0"/>
        <w:spacing w:line="240" w:lineRule="auto"/>
        <w:jc w:val="both"/>
        <w:rPr>
          <w:rFonts w:ascii="Calibri" w:hAnsi="Calibri" w:cs="Calibri"/>
          <w:noProof/>
          <w:szCs w:val="24"/>
        </w:rPr>
      </w:pPr>
      <w:r w:rsidRPr="00F44FB8">
        <w:rPr>
          <w:rFonts w:ascii="Calibri" w:hAnsi="Calibri" w:cs="Calibri"/>
          <w:noProof/>
          <w:szCs w:val="24"/>
        </w:rPr>
        <w:t xml:space="preserve">Hummel S, Oetjen N, Du J, Posenato E, De Almeida R M R, Losada R, Ribeiro O, Frisardi V, Hopper L, Rashid A, Nasser H, König A, Rudofsky G, Weidt S, Zafar A, Gronewold N, Mayer G and Schultz J H (2021) Mental Health Among Medical Professionals During the COVID-19 Pandemic in Eight European Countries: Cross-sectional Survey Study, </w:t>
      </w:r>
      <w:r w:rsidRPr="00F44FB8">
        <w:rPr>
          <w:rFonts w:ascii="Calibri" w:hAnsi="Calibri" w:cs="Calibri"/>
          <w:i/>
          <w:iCs/>
          <w:noProof/>
          <w:szCs w:val="24"/>
        </w:rPr>
        <w:t>J Med Internet Res 2021;23(1):e24983 https://www.jmir.org/2021/1/e24983</w:t>
      </w:r>
      <w:r w:rsidRPr="00F44FB8">
        <w:rPr>
          <w:rFonts w:ascii="Calibri" w:hAnsi="Calibri" w:cs="Calibri"/>
          <w:noProof/>
          <w:szCs w:val="24"/>
        </w:rPr>
        <w:t>, 23(1), p. e24983.</w:t>
      </w:r>
    </w:p>
    <w:p w14:paraId="42184CC6" w14:textId="77777777" w:rsidR="00F44FB8" w:rsidRPr="00F44FB8" w:rsidRDefault="00F44FB8" w:rsidP="00F44FB8">
      <w:pPr>
        <w:widowControl w:val="0"/>
        <w:autoSpaceDE w:val="0"/>
        <w:autoSpaceDN w:val="0"/>
        <w:adjustRightInd w:val="0"/>
        <w:spacing w:line="240" w:lineRule="auto"/>
        <w:jc w:val="both"/>
        <w:rPr>
          <w:rFonts w:ascii="Calibri" w:hAnsi="Calibri" w:cs="Calibri"/>
          <w:noProof/>
          <w:szCs w:val="24"/>
        </w:rPr>
      </w:pPr>
      <w:r w:rsidRPr="00F44FB8">
        <w:rPr>
          <w:rFonts w:ascii="Calibri" w:hAnsi="Calibri" w:cs="Calibri"/>
          <w:noProof/>
          <w:szCs w:val="24"/>
        </w:rPr>
        <w:t xml:space="preserve">Jia R, Ayling K, Chalder T, Massey A, Broadbent E, Coupland C and Vedhara K (2020) Mental health in the UK during the COVID-19 pandemic: cross-sectional analyses from a community cohort study, </w:t>
      </w:r>
      <w:r w:rsidRPr="00F44FB8">
        <w:rPr>
          <w:rFonts w:ascii="Calibri" w:hAnsi="Calibri" w:cs="Calibri"/>
          <w:i/>
          <w:iCs/>
          <w:noProof/>
          <w:szCs w:val="24"/>
        </w:rPr>
        <w:t>BMJ Open</w:t>
      </w:r>
      <w:r w:rsidRPr="00F44FB8">
        <w:rPr>
          <w:rFonts w:ascii="Calibri" w:hAnsi="Calibri" w:cs="Calibri"/>
          <w:noProof/>
          <w:szCs w:val="24"/>
        </w:rPr>
        <w:t>, 10(9), p. e040620.</w:t>
      </w:r>
    </w:p>
    <w:p w14:paraId="394624C4" w14:textId="77777777" w:rsidR="00F44FB8" w:rsidRPr="00F44FB8" w:rsidRDefault="00F44FB8" w:rsidP="00F44FB8">
      <w:pPr>
        <w:widowControl w:val="0"/>
        <w:autoSpaceDE w:val="0"/>
        <w:autoSpaceDN w:val="0"/>
        <w:adjustRightInd w:val="0"/>
        <w:spacing w:line="240" w:lineRule="auto"/>
        <w:jc w:val="both"/>
        <w:rPr>
          <w:rFonts w:ascii="Calibri" w:hAnsi="Calibri" w:cs="Calibri"/>
          <w:noProof/>
          <w:szCs w:val="24"/>
        </w:rPr>
      </w:pPr>
      <w:r w:rsidRPr="00F44FB8">
        <w:rPr>
          <w:rFonts w:ascii="Calibri" w:hAnsi="Calibri" w:cs="Calibri"/>
          <w:noProof/>
          <w:szCs w:val="24"/>
        </w:rPr>
        <w:t xml:space="preserve">Loge J H, Ekeberg Ø and Kaasa S (1998) Fatigue in the general norwegian population: Normative data and associations, </w:t>
      </w:r>
      <w:r w:rsidRPr="00F44FB8">
        <w:rPr>
          <w:rFonts w:ascii="Calibri" w:hAnsi="Calibri" w:cs="Calibri"/>
          <w:i/>
          <w:iCs/>
          <w:noProof/>
          <w:szCs w:val="24"/>
        </w:rPr>
        <w:t>Journal of Psychosomatic Research</w:t>
      </w:r>
      <w:r w:rsidRPr="00F44FB8">
        <w:rPr>
          <w:rFonts w:ascii="Calibri" w:hAnsi="Calibri" w:cs="Calibri"/>
          <w:noProof/>
          <w:szCs w:val="24"/>
        </w:rPr>
        <w:t>, 45(1), pp. 53–65.</w:t>
      </w:r>
    </w:p>
    <w:p w14:paraId="52FD4F10" w14:textId="77777777" w:rsidR="00F44FB8" w:rsidRPr="00F44FB8" w:rsidRDefault="00F44FB8" w:rsidP="00F44FB8">
      <w:pPr>
        <w:widowControl w:val="0"/>
        <w:autoSpaceDE w:val="0"/>
        <w:autoSpaceDN w:val="0"/>
        <w:adjustRightInd w:val="0"/>
        <w:spacing w:line="240" w:lineRule="auto"/>
        <w:jc w:val="both"/>
        <w:rPr>
          <w:rFonts w:ascii="Calibri" w:hAnsi="Calibri" w:cs="Calibri"/>
          <w:noProof/>
          <w:szCs w:val="24"/>
        </w:rPr>
      </w:pPr>
      <w:r w:rsidRPr="00F44FB8">
        <w:rPr>
          <w:rFonts w:ascii="Calibri" w:hAnsi="Calibri" w:cs="Calibri"/>
          <w:noProof/>
          <w:szCs w:val="24"/>
        </w:rPr>
        <w:t xml:space="preserve">Marsh S (2020) </w:t>
      </w:r>
      <w:r w:rsidRPr="00F44FB8">
        <w:rPr>
          <w:rFonts w:ascii="Calibri" w:hAnsi="Calibri" w:cs="Calibri"/>
          <w:i/>
          <w:iCs/>
          <w:noProof/>
          <w:szCs w:val="24"/>
        </w:rPr>
        <w:t>At least 100 UK healthcare workers have died from coronavirus, figures show | World news | The Guardian</w:t>
      </w:r>
      <w:r w:rsidRPr="00F44FB8">
        <w:rPr>
          <w:rFonts w:ascii="Calibri" w:hAnsi="Calibri" w:cs="Calibri"/>
          <w:noProof/>
          <w:szCs w:val="24"/>
        </w:rPr>
        <w:t xml:space="preserve">, </w:t>
      </w:r>
      <w:r w:rsidRPr="00F44FB8">
        <w:rPr>
          <w:rFonts w:ascii="Calibri" w:hAnsi="Calibri" w:cs="Calibri"/>
          <w:i/>
          <w:iCs/>
          <w:noProof/>
          <w:szCs w:val="24"/>
        </w:rPr>
        <w:t>The Guardian</w:t>
      </w:r>
      <w:r w:rsidRPr="00F44FB8">
        <w:rPr>
          <w:rFonts w:ascii="Calibri" w:hAnsi="Calibri" w:cs="Calibri"/>
          <w:noProof/>
          <w:szCs w:val="24"/>
        </w:rPr>
        <w:t>. Available at: https://www.theguardian.com/world/2020/apr/20/at-least-100-uk-health-workers-have-died-from-coronavirus-figures-show (Accessed 2 July 2020).</w:t>
      </w:r>
    </w:p>
    <w:p w14:paraId="5ACF0D2D" w14:textId="77777777" w:rsidR="00F44FB8" w:rsidRPr="00F44FB8" w:rsidRDefault="00F44FB8" w:rsidP="00F44FB8">
      <w:pPr>
        <w:widowControl w:val="0"/>
        <w:autoSpaceDE w:val="0"/>
        <w:autoSpaceDN w:val="0"/>
        <w:adjustRightInd w:val="0"/>
        <w:spacing w:line="240" w:lineRule="auto"/>
        <w:jc w:val="both"/>
        <w:rPr>
          <w:rFonts w:ascii="Calibri" w:hAnsi="Calibri" w:cs="Calibri"/>
          <w:noProof/>
          <w:szCs w:val="24"/>
        </w:rPr>
      </w:pPr>
      <w:r w:rsidRPr="00F44FB8">
        <w:rPr>
          <w:rFonts w:ascii="Calibri" w:hAnsi="Calibri" w:cs="Calibri"/>
          <w:noProof/>
          <w:szCs w:val="24"/>
        </w:rPr>
        <w:t xml:space="preserve">Maslach C and Leiter M P (2016) Understanding the burnout experience: recent research and its implications for psychiatry, </w:t>
      </w:r>
      <w:r w:rsidRPr="00F44FB8">
        <w:rPr>
          <w:rFonts w:ascii="Calibri" w:hAnsi="Calibri" w:cs="Calibri"/>
          <w:i/>
          <w:iCs/>
          <w:noProof/>
          <w:szCs w:val="24"/>
        </w:rPr>
        <w:t>World Psychiatry</w:t>
      </w:r>
      <w:r w:rsidRPr="00F44FB8">
        <w:rPr>
          <w:rFonts w:ascii="Calibri" w:hAnsi="Calibri" w:cs="Calibri"/>
          <w:noProof/>
          <w:szCs w:val="24"/>
        </w:rPr>
        <w:t>, 15(2), pp. 103–111.</w:t>
      </w:r>
    </w:p>
    <w:p w14:paraId="5439548F" w14:textId="77777777" w:rsidR="00F44FB8" w:rsidRPr="00F44FB8" w:rsidRDefault="00F44FB8" w:rsidP="00F44FB8">
      <w:pPr>
        <w:widowControl w:val="0"/>
        <w:autoSpaceDE w:val="0"/>
        <w:autoSpaceDN w:val="0"/>
        <w:adjustRightInd w:val="0"/>
        <w:spacing w:line="240" w:lineRule="auto"/>
        <w:jc w:val="both"/>
        <w:rPr>
          <w:rFonts w:ascii="Calibri" w:hAnsi="Calibri" w:cs="Calibri"/>
          <w:noProof/>
          <w:szCs w:val="24"/>
        </w:rPr>
      </w:pPr>
      <w:r w:rsidRPr="00F44FB8">
        <w:rPr>
          <w:rFonts w:ascii="Calibri" w:hAnsi="Calibri" w:cs="Calibri"/>
          <w:noProof/>
          <w:szCs w:val="24"/>
        </w:rPr>
        <w:t xml:space="preserve">Mitchell G (2020) </w:t>
      </w:r>
      <w:r w:rsidRPr="00F44FB8">
        <w:rPr>
          <w:rFonts w:ascii="Calibri" w:hAnsi="Calibri" w:cs="Calibri"/>
          <w:i/>
          <w:iCs/>
          <w:noProof/>
          <w:szCs w:val="24"/>
        </w:rPr>
        <w:t>Third of nurses experiencing ‘severe’ mental health issues due to Covid-19 | Nursing Times</w:t>
      </w:r>
      <w:r w:rsidRPr="00F44FB8">
        <w:rPr>
          <w:rFonts w:ascii="Calibri" w:hAnsi="Calibri" w:cs="Calibri"/>
          <w:noProof/>
          <w:szCs w:val="24"/>
        </w:rPr>
        <w:t xml:space="preserve">, </w:t>
      </w:r>
      <w:r w:rsidRPr="00F44FB8">
        <w:rPr>
          <w:rFonts w:ascii="Calibri" w:hAnsi="Calibri" w:cs="Calibri"/>
          <w:i/>
          <w:iCs/>
          <w:noProof/>
          <w:szCs w:val="24"/>
        </w:rPr>
        <w:t>Nursing Times</w:t>
      </w:r>
      <w:r w:rsidRPr="00F44FB8">
        <w:rPr>
          <w:rFonts w:ascii="Calibri" w:hAnsi="Calibri" w:cs="Calibri"/>
          <w:noProof/>
          <w:szCs w:val="24"/>
        </w:rPr>
        <w:t>. Available at: https://www.nursingtimes.net/news/coronavirus/uk-nurses-feel-unprepared-for-covid-19-peak-finds-new-survey-21-04-2020/ (Accessed 30 September 2021).</w:t>
      </w:r>
    </w:p>
    <w:p w14:paraId="366DCA4A" w14:textId="77777777" w:rsidR="00F44FB8" w:rsidRPr="00F44FB8" w:rsidRDefault="00F44FB8" w:rsidP="00F44FB8">
      <w:pPr>
        <w:widowControl w:val="0"/>
        <w:autoSpaceDE w:val="0"/>
        <w:autoSpaceDN w:val="0"/>
        <w:adjustRightInd w:val="0"/>
        <w:spacing w:line="240" w:lineRule="auto"/>
        <w:jc w:val="both"/>
        <w:rPr>
          <w:rFonts w:ascii="Calibri" w:hAnsi="Calibri" w:cs="Calibri"/>
          <w:noProof/>
          <w:szCs w:val="24"/>
        </w:rPr>
      </w:pPr>
      <w:r w:rsidRPr="00F44FB8">
        <w:rPr>
          <w:rFonts w:ascii="Calibri" w:hAnsi="Calibri" w:cs="Calibri"/>
          <w:noProof/>
          <w:szCs w:val="24"/>
        </w:rPr>
        <w:t xml:space="preserve">Moore C and Kolencik J (2020) Acute Depression, Extreme Anxiety, and Prolonged Stress among COVID-19 Frontline Healthcare Workers, </w:t>
      </w:r>
      <w:r w:rsidRPr="00F44FB8">
        <w:rPr>
          <w:rFonts w:ascii="Calibri" w:hAnsi="Calibri" w:cs="Calibri"/>
          <w:i/>
          <w:iCs/>
          <w:noProof/>
          <w:szCs w:val="24"/>
        </w:rPr>
        <w:t>Psychosociological Issues in Human Resource Management</w:t>
      </w:r>
      <w:r w:rsidRPr="00F44FB8">
        <w:rPr>
          <w:rFonts w:ascii="Calibri" w:hAnsi="Calibri" w:cs="Calibri"/>
          <w:noProof/>
          <w:szCs w:val="24"/>
        </w:rPr>
        <w:t>, 8(1), pp. 55–60.</w:t>
      </w:r>
    </w:p>
    <w:p w14:paraId="2CF658A5" w14:textId="77777777" w:rsidR="00F44FB8" w:rsidRPr="00F44FB8" w:rsidRDefault="00F44FB8" w:rsidP="00F44FB8">
      <w:pPr>
        <w:widowControl w:val="0"/>
        <w:autoSpaceDE w:val="0"/>
        <w:autoSpaceDN w:val="0"/>
        <w:adjustRightInd w:val="0"/>
        <w:spacing w:line="240" w:lineRule="auto"/>
        <w:jc w:val="both"/>
        <w:rPr>
          <w:rFonts w:ascii="Calibri" w:hAnsi="Calibri" w:cs="Calibri"/>
          <w:noProof/>
          <w:szCs w:val="24"/>
        </w:rPr>
      </w:pPr>
      <w:r w:rsidRPr="00F44FB8">
        <w:rPr>
          <w:rFonts w:ascii="Calibri" w:hAnsi="Calibri" w:cs="Calibri"/>
          <w:noProof/>
          <w:szCs w:val="24"/>
        </w:rPr>
        <w:t xml:space="preserve">NHS Digital. (2021) </w:t>
      </w:r>
      <w:r w:rsidRPr="00F44FB8">
        <w:rPr>
          <w:rFonts w:ascii="Calibri" w:hAnsi="Calibri" w:cs="Calibri"/>
          <w:i/>
          <w:iCs/>
          <w:noProof/>
          <w:szCs w:val="24"/>
        </w:rPr>
        <w:t>NHS Sickness Absence Rates July 2020 to September 2020, Provisional Statistics</w:t>
      </w:r>
      <w:r w:rsidRPr="00F44FB8">
        <w:rPr>
          <w:rFonts w:ascii="Calibri" w:hAnsi="Calibri" w:cs="Calibri"/>
          <w:noProof/>
          <w:szCs w:val="24"/>
        </w:rPr>
        <w:t xml:space="preserve">, </w:t>
      </w:r>
      <w:r w:rsidRPr="00F44FB8">
        <w:rPr>
          <w:rFonts w:ascii="Calibri" w:hAnsi="Calibri" w:cs="Calibri"/>
          <w:i/>
          <w:iCs/>
          <w:noProof/>
          <w:szCs w:val="24"/>
        </w:rPr>
        <w:t>NHS</w:t>
      </w:r>
      <w:r w:rsidRPr="00F44FB8">
        <w:rPr>
          <w:rFonts w:ascii="Calibri" w:hAnsi="Calibri" w:cs="Calibri"/>
          <w:noProof/>
          <w:szCs w:val="24"/>
        </w:rPr>
        <w:t>. Available at: https://digital.nhs.uk/data-and-information/publications/statistical/nhs-sickness-absence-rates/july-2020-to-september-2020-provisional-statistics#chapter-index (Accessed 26 August 2021).</w:t>
      </w:r>
    </w:p>
    <w:p w14:paraId="01B36AAB" w14:textId="77777777" w:rsidR="00F44FB8" w:rsidRPr="00F44FB8" w:rsidRDefault="00F44FB8" w:rsidP="00F44FB8">
      <w:pPr>
        <w:widowControl w:val="0"/>
        <w:autoSpaceDE w:val="0"/>
        <w:autoSpaceDN w:val="0"/>
        <w:adjustRightInd w:val="0"/>
        <w:spacing w:line="240" w:lineRule="auto"/>
        <w:jc w:val="both"/>
        <w:rPr>
          <w:rFonts w:ascii="Calibri" w:hAnsi="Calibri" w:cs="Calibri"/>
          <w:noProof/>
          <w:szCs w:val="24"/>
        </w:rPr>
      </w:pPr>
      <w:r w:rsidRPr="00F44FB8">
        <w:rPr>
          <w:rFonts w:ascii="Calibri" w:hAnsi="Calibri" w:cs="Calibri"/>
          <w:noProof/>
          <w:szCs w:val="24"/>
        </w:rPr>
        <w:t xml:space="preserve">Pfefferbaum B and North C S (2020) Mental Health and the Covid-19 Pandemic, </w:t>
      </w:r>
      <w:r w:rsidRPr="00F44FB8">
        <w:rPr>
          <w:rFonts w:ascii="Calibri" w:hAnsi="Calibri" w:cs="Calibri"/>
          <w:i/>
          <w:iCs/>
          <w:noProof/>
          <w:szCs w:val="24"/>
        </w:rPr>
        <w:t>https://doi.org/10.1056/NEJMp2008017</w:t>
      </w:r>
      <w:r w:rsidRPr="00F44FB8">
        <w:rPr>
          <w:rFonts w:ascii="Calibri" w:hAnsi="Calibri" w:cs="Calibri"/>
          <w:noProof/>
          <w:szCs w:val="24"/>
        </w:rPr>
        <w:t>, 383(6), pp. 510–512.</w:t>
      </w:r>
    </w:p>
    <w:p w14:paraId="5B0FC27D" w14:textId="77777777" w:rsidR="00F44FB8" w:rsidRPr="00F44FB8" w:rsidRDefault="00F44FB8" w:rsidP="00F44FB8">
      <w:pPr>
        <w:widowControl w:val="0"/>
        <w:autoSpaceDE w:val="0"/>
        <w:autoSpaceDN w:val="0"/>
        <w:adjustRightInd w:val="0"/>
        <w:spacing w:line="240" w:lineRule="auto"/>
        <w:jc w:val="both"/>
        <w:rPr>
          <w:rFonts w:ascii="Calibri" w:hAnsi="Calibri" w:cs="Calibri"/>
          <w:noProof/>
          <w:szCs w:val="24"/>
        </w:rPr>
      </w:pPr>
      <w:r w:rsidRPr="00F44FB8">
        <w:rPr>
          <w:rFonts w:ascii="Calibri" w:hAnsi="Calibri" w:cs="Calibri"/>
          <w:noProof/>
          <w:szCs w:val="24"/>
        </w:rPr>
        <w:t xml:space="preserve">RCN (2021) </w:t>
      </w:r>
      <w:r w:rsidRPr="00F44FB8">
        <w:rPr>
          <w:rFonts w:ascii="Calibri" w:hAnsi="Calibri" w:cs="Calibri"/>
          <w:i/>
          <w:iCs/>
          <w:noProof/>
          <w:szCs w:val="24"/>
        </w:rPr>
        <w:t>Sharp increase in nursing staff thinking of leaving profession, reveals RCN research | Royal College of Nursing</w:t>
      </w:r>
      <w:r w:rsidRPr="00F44FB8">
        <w:rPr>
          <w:rFonts w:ascii="Calibri" w:hAnsi="Calibri" w:cs="Calibri"/>
          <w:noProof/>
          <w:szCs w:val="24"/>
        </w:rPr>
        <w:t xml:space="preserve">, </w:t>
      </w:r>
      <w:r w:rsidRPr="00F44FB8">
        <w:rPr>
          <w:rFonts w:ascii="Calibri" w:hAnsi="Calibri" w:cs="Calibri"/>
          <w:i/>
          <w:iCs/>
          <w:noProof/>
          <w:szCs w:val="24"/>
        </w:rPr>
        <w:t>RCN</w:t>
      </w:r>
      <w:r w:rsidRPr="00F44FB8">
        <w:rPr>
          <w:rFonts w:ascii="Calibri" w:hAnsi="Calibri" w:cs="Calibri"/>
          <w:noProof/>
          <w:szCs w:val="24"/>
        </w:rPr>
        <w:t>. Available at: https://www.rcn.org.uk/news-and-events/press-releases/Sharp increase in nursing staff thinking of leaving profession reveals RCN research (Accessed 30 September 2021).</w:t>
      </w:r>
    </w:p>
    <w:p w14:paraId="06A5213D" w14:textId="77777777" w:rsidR="00F44FB8" w:rsidRPr="00F44FB8" w:rsidRDefault="00F44FB8" w:rsidP="00F44FB8">
      <w:pPr>
        <w:widowControl w:val="0"/>
        <w:autoSpaceDE w:val="0"/>
        <w:autoSpaceDN w:val="0"/>
        <w:adjustRightInd w:val="0"/>
        <w:spacing w:line="240" w:lineRule="auto"/>
        <w:jc w:val="both"/>
        <w:rPr>
          <w:rFonts w:ascii="Calibri" w:hAnsi="Calibri" w:cs="Calibri"/>
          <w:noProof/>
          <w:szCs w:val="24"/>
        </w:rPr>
      </w:pPr>
      <w:r w:rsidRPr="00F44FB8">
        <w:rPr>
          <w:rFonts w:ascii="Calibri" w:hAnsi="Calibri" w:cs="Calibri"/>
          <w:noProof/>
          <w:szCs w:val="24"/>
        </w:rPr>
        <w:t xml:space="preserve">Restubog S L D, Ocampo A C G and Wang L (2020) Taking control amidst the chaos: Emotion regulation during the COVID-19 pandemic, </w:t>
      </w:r>
      <w:r w:rsidRPr="00F44FB8">
        <w:rPr>
          <w:rFonts w:ascii="Calibri" w:hAnsi="Calibri" w:cs="Calibri"/>
          <w:i/>
          <w:iCs/>
          <w:noProof/>
          <w:szCs w:val="24"/>
        </w:rPr>
        <w:t>Journal of Vocational Behavior</w:t>
      </w:r>
      <w:r w:rsidRPr="00F44FB8">
        <w:rPr>
          <w:rFonts w:ascii="Calibri" w:hAnsi="Calibri" w:cs="Calibri"/>
          <w:noProof/>
          <w:szCs w:val="24"/>
        </w:rPr>
        <w:t>, 119, p. 103440.</w:t>
      </w:r>
    </w:p>
    <w:p w14:paraId="07F8D3E4" w14:textId="77777777" w:rsidR="00F44FB8" w:rsidRPr="00F44FB8" w:rsidRDefault="00F44FB8" w:rsidP="00F44FB8">
      <w:pPr>
        <w:widowControl w:val="0"/>
        <w:autoSpaceDE w:val="0"/>
        <w:autoSpaceDN w:val="0"/>
        <w:adjustRightInd w:val="0"/>
        <w:spacing w:line="240" w:lineRule="auto"/>
        <w:jc w:val="both"/>
        <w:rPr>
          <w:rFonts w:ascii="Calibri" w:hAnsi="Calibri" w:cs="Calibri"/>
          <w:noProof/>
          <w:szCs w:val="24"/>
        </w:rPr>
      </w:pPr>
      <w:r w:rsidRPr="00F44FB8">
        <w:rPr>
          <w:rFonts w:ascii="Calibri" w:hAnsi="Calibri" w:cs="Calibri"/>
          <w:noProof/>
          <w:szCs w:val="24"/>
        </w:rPr>
        <w:t xml:space="preserve">Roberts N.J., Kelly C, Lippiett K, Ray E and Welch L (2021) Experiences of nurses caring for respiratory patients during the first wave of the COVID-19 pandemic: an online survey study., </w:t>
      </w:r>
      <w:r w:rsidRPr="00F44FB8">
        <w:rPr>
          <w:rFonts w:ascii="Calibri" w:hAnsi="Calibri" w:cs="Calibri"/>
          <w:i/>
          <w:iCs/>
          <w:noProof/>
          <w:szCs w:val="24"/>
        </w:rPr>
        <w:t>BMJ Open Respiratory Research</w:t>
      </w:r>
      <w:r w:rsidRPr="00F44FB8">
        <w:rPr>
          <w:rFonts w:ascii="Calibri" w:hAnsi="Calibri" w:cs="Calibri"/>
          <w:noProof/>
          <w:szCs w:val="24"/>
        </w:rPr>
        <w:t>, 8(e000987.).</w:t>
      </w:r>
    </w:p>
    <w:p w14:paraId="6FE5842D" w14:textId="77777777" w:rsidR="00F44FB8" w:rsidRPr="00F44FB8" w:rsidRDefault="00F44FB8" w:rsidP="00F44FB8">
      <w:pPr>
        <w:widowControl w:val="0"/>
        <w:autoSpaceDE w:val="0"/>
        <w:autoSpaceDN w:val="0"/>
        <w:adjustRightInd w:val="0"/>
        <w:spacing w:line="240" w:lineRule="auto"/>
        <w:jc w:val="both"/>
        <w:rPr>
          <w:rFonts w:ascii="Calibri" w:hAnsi="Calibri" w:cs="Calibri"/>
          <w:noProof/>
          <w:szCs w:val="24"/>
        </w:rPr>
      </w:pPr>
      <w:r w:rsidRPr="00F44FB8">
        <w:rPr>
          <w:rFonts w:ascii="Calibri" w:hAnsi="Calibri" w:cs="Calibri"/>
          <w:noProof/>
          <w:szCs w:val="24"/>
        </w:rPr>
        <w:t xml:space="preserve">Roberts N J, McAloney-Kocaman K, Lippiett K, Ray E, Welch L and Kelly C (2020) Levels of resilience, anxiety and depression and in nurses working in respiratory clinical areas during the COVID pandemic, </w:t>
      </w:r>
      <w:r w:rsidRPr="00F44FB8">
        <w:rPr>
          <w:rFonts w:ascii="Calibri" w:hAnsi="Calibri" w:cs="Calibri"/>
          <w:i/>
          <w:iCs/>
          <w:noProof/>
          <w:szCs w:val="24"/>
        </w:rPr>
        <w:t>Respiratory Medicine</w:t>
      </w:r>
      <w:r w:rsidRPr="00F44FB8">
        <w:rPr>
          <w:rFonts w:ascii="Calibri" w:hAnsi="Calibri" w:cs="Calibri"/>
          <w:noProof/>
          <w:szCs w:val="24"/>
        </w:rPr>
        <w:t>, 176, p. 106219.</w:t>
      </w:r>
    </w:p>
    <w:p w14:paraId="530CB4F2" w14:textId="77777777" w:rsidR="00F44FB8" w:rsidRPr="00F44FB8" w:rsidRDefault="00F44FB8" w:rsidP="00F44FB8">
      <w:pPr>
        <w:widowControl w:val="0"/>
        <w:autoSpaceDE w:val="0"/>
        <w:autoSpaceDN w:val="0"/>
        <w:adjustRightInd w:val="0"/>
        <w:spacing w:line="240" w:lineRule="auto"/>
        <w:jc w:val="both"/>
        <w:rPr>
          <w:rFonts w:ascii="Calibri" w:hAnsi="Calibri" w:cs="Calibri"/>
          <w:noProof/>
          <w:szCs w:val="24"/>
        </w:rPr>
      </w:pPr>
      <w:r w:rsidRPr="00F44FB8">
        <w:rPr>
          <w:rFonts w:ascii="Calibri" w:hAnsi="Calibri" w:cs="Calibri"/>
          <w:noProof/>
          <w:szCs w:val="24"/>
        </w:rPr>
        <w:t xml:space="preserve">Roberts N. J., McAloney-Kocaman K, Lippiett K, Ray E, Welch L and Kelly C (2021) Levels of resilience, anxiety and depression in nurses working in respiratory clinical areas during the COVID pandemic, </w:t>
      </w:r>
      <w:r w:rsidRPr="00F44FB8">
        <w:rPr>
          <w:rFonts w:ascii="Calibri" w:hAnsi="Calibri" w:cs="Calibri"/>
          <w:i/>
          <w:iCs/>
          <w:noProof/>
          <w:szCs w:val="24"/>
        </w:rPr>
        <w:t>Respiratory Medicine</w:t>
      </w:r>
      <w:r w:rsidRPr="00F44FB8">
        <w:rPr>
          <w:rFonts w:ascii="Calibri" w:hAnsi="Calibri" w:cs="Calibri"/>
          <w:noProof/>
          <w:szCs w:val="24"/>
        </w:rPr>
        <w:t>, 176, p. 106219.</w:t>
      </w:r>
    </w:p>
    <w:p w14:paraId="298698D5" w14:textId="77777777" w:rsidR="00F44FB8" w:rsidRPr="00F44FB8" w:rsidRDefault="00F44FB8" w:rsidP="00F44FB8">
      <w:pPr>
        <w:widowControl w:val="0"/>
        <w:autoSpaceDE w:val="0"/>
        <w:autoSpaceDN w:val="0"/>
        <w:adjustRightInd w:val="0"/>
        <w:spacing w:line="240" w:lineRule="auto"/>
        <w:jc w:val="both"/>
        <w:rPr>
          <w:rFonts w:ascii="Calibri" w:hAnsi="Calibri" w:cs="Calibri"/>
          <w:noProof/>
          <w:szCs w:val="24"/>
        </w:rPr>
      </w:pPr>
      <w:r w:rsidRPr="00F44FB8">
        <w:rPr>
          <w:rFonts w:ascii="Calibri" w:hAnsi="Calibri" w:cs="Calibri"/>
          <w:noProof/>
          <w:szCs w:val="24"/>
        </w:rPr>
        <w:t xml:space="preserve">Sagherian K, Steege L M, Cobb S J and Cho H (2020) Insomnia, fatigue and psychosocial well-being during </w:t>
      </w:r>
      <w:r w:rsidRPr="00F44FB8">
        <w:rPr>
          <w:rFonts w:ascii="Calibri" w:hAnsi="Calibri" w:cs="Calibri"/>
          <w:noProof/>
          <w:szCs w:val="24"/>
        </w:rPr>
        <w:lastRenderedPageBreak/>
        <w:t xml:space="preserve">COVID-19 pandemic: A cross-sectional survey of hospital nursing staff in the United States, </w:t>
      </w:r>
      <w:r w:rsidRPr="00F44FB8">
        <w:rPr>
          <w:rFonts w:ascii="Calibri" w:hAnsi="Calibri" w:cs="Calibri"/>
          <w:i/>
          <w:iCs/>
          <w:noProof/>
          <w:szCs w:val="24"/>
        </w:rPr>
        <w:t>Journal of Clinical Nursing</w:t>
      </w:r>
      <w:r w:rsidRPr="00F44FB8">
        <w:rPr>
          <w:rFonts w:ascii="Calibri" w:hAnsi="Calibri" w:cs="Calibri"/>
          <w:noProof/>
          <w:szCs w:val="24"/>
        </w:rPr>
        <w:t>, 00, pp. 1–14.</w:t>
      </w:r>
    </w:p>
    <w:p w14:paraId="2BA1F2F4" w14:textId="77777777" w:rsidR="00F44FB8" w:rsidRPr="00F44FB8" w:rsidRDefault="00F44FB8" w:rsidP="00F44FB8">
      <w:pPr>
        <w:widowControl w:val="0"/>
        <w:autoSpaceDE w:val="0"/>
        <w:autoSpaceDN w:val="0"/>
        <w:adjustRightInd w:val="0"/>
        <w:spacing w:line="240" w:lineRule="auto"/>
        <w:jc w:val="both"/>
        <w:rPr>
          <w:rFonts w:ascii="Calibri" w:hAnsi="Calibri" w:cs="Calibri"/>
          <w:noProof/>
          <w:szCs w:val="24"/>
        </w:rPr>
      </w:pPr>
      <w:r w:rsidRPr="00F44FB8">
        <w:rPr>
          <w:rFonts w:ascii="Calibri" w:hAnsi="Calibri" w:cs="Calibri"/>
          <w:noProof/>
          <w:szCs w:val="24"/>
        </w:rPr>
        <w:t xml:space="preserve">Senek M, Robertson S, Ryan T, King R, Wood E, Taylor B and Tod A (2020) Determinants of nurse job dissatisfaction - findings from a cross-sectional survey analysis in the UK, </w:t>
      </w:r>
      <w:r w:rsidRPr="00F44FB8">
        <w:rPr>
          <w:rFonts w:ascii="Calibri" w:hAnsi="Calibri" w:cs="Calibri"/>
          <w:i/>
          <w:iCs/>
          <w:noProof/>
          <w:szCs w:val="24"/>
        </w:rPr>
        <w:t>BMC Nursing</w:t>
      </w:r>
      <w:r w:rsidRPr="00F44FB8">
        <w:rPr>
          <w:rFonts w:ascii="Calibri" w:hAnsi="Calibri" w:cs="Calibri"/>
          <w:noProof/>
          <w:szCs w:val="24"/>
        </w:rPr>
        <w:t>, 19(1), pp. 1–10.</w:t>
      </w:r>
    </w:p>
    <w:p w14:paraId="7EF250BB" w14:textId="77777777" w:rsidR="00F44FB8" w:rsidRPr="00F44FB8" w:rsidRDefault="00F44FB8" w:rsidP="00F44FB8">
      <w:pPr>
        <w:widowControl w:val="0"/>
        <w:autoSpaceDE w:val="0"/>
        <w:autoSpaceDN w:val="0"/>
        <w:adjustRightInd w:val="0"/>
        <w:spacing w:line="240" w:lineRule="auto"/>
        <w:jc w:val="both"/>
        <w:rPr>
          <w:rFonts w:ascii="Calibri" w:hAnsi="Calibri" w:cs="Calibri"/>
          <w:noProof/>
          <w:szCs w:val="24"/>
        </w:rPr>
      </w:pPr>
      <w:r w:rsidRPr="00F44FB8">
        <w:rPr>
          <w:rFonts w:ascii="Calibri" w:hAnsi="Calibri" w:cs="Calibri"/>
          <w:noProof/>
          <w:szCs w:val="24"/>
        </w:rPr>
        <w:t xml:space="preserve">Shaw S C K (2020) ‘Hopelessness, helplessness and resilience: The importance of safeguarding our trainees’ mental wellbeing during the COVID-19 pandemic’, </w:t>
      </w:r>
      <w:r w:rsidRPr="00F44FB8">
        <w:rPr>
          <w:rFonts w:ascii="Calibri" w:hAnsi="Calibri" w:cs="Calibri"/>
          <w:i/>
          <w:iCs/>
          <w:noProof/>
          <w:szCs w:val="24"/>
        </w:rPr>
        <w:t>Nurse Education in Practice</w:t>
      </w:r>
      <w:r w:rsidRPr="00F44FB8">
        <w:rPr>
          <w:rFonts w:ascii="Calibri" w:hAnsi="Calibri" w:cs="Calibri"/>
          <w:noProof/>
          <w:szCs w:val="24"/>
        </w:rPr>
        <w:t>. Elsevier Ltd, p. 102780. doi.org/10.1016/j.nepr.2020.102780.</w:t>
      </w:r>
    </w:p>
    <w:p w14:paraId="31100AD3" w14:textId="77777777" w:rsidR="00F44FB8" w:rsidRPr="00F44FB8" w:rsidRDefault="00F44FB8" w:rsidP="00F44FB8">
      <w:pPr>
        <w:widowControl w:val="0"/>
        <w:autoSpaceDE w:val="0"/>
        <w:autoSpaceDN w:val="0"/>
        <w:adjustRightInd w:val="0"/>
        <w:spacing w:line="240" w:lineRule="auto"/>
        <w:jc w:val="both"/>
        <w:rPr>
          <w:rFonts w:ascii="Calibri" w:hAnsi="Calibri" w:cs="Calibri"/>
          <w:noProof/>
          <w:szCs w:val="24"/>
        </w:rPr>
      </w:pPr>
      <w:r w:rsidRPr="00F44FB8">
        <w:rPr>
          <w:rFonts w:ascii="Calibri" w:hAnsi="Calibri" w:cs="Calibri"/>
          <w:noProof/>
          <w:szCs w:val="24"/>
        </w:rPr>
        <w:t xml:space="preserve">Spitzer R L, Kroenke K and Williams J B W (1999) Validation and utility of a self-report version of PRIME-MD: The PHQ Primary Care Study, </w:t>
      </w:r>
      <w:r w:rsidRPr="00F44FB8">
        <w:rPr>
          <w:rFonts w:ascii="Calibri" w:hAnsi="Calibri" w:cs="Calibri"/>
          <w:i/>
          <w:iCs/>
          <w:noProof/>
          <w:szCs w:val="24"/>
        </w:rPr>
        <w:t>Journal of the American Medical Association</w:t>
      </w:r>
      <w:r w:rsidRPr="00F44FB8">
        <w:rPr>
          <w:rFonts w:ascii="Calibri" w:hAnsi="Calibri" w:cs="Calibri"/>
          <w:noProof/>
          <w:szCs w:val="24"/>
        </w:rPr>
        <w:t>, 282(18), pp. 1737–1744.</w:t>
      </w:r>
    </w:p>
    <w:p w14:paraId="4F7C01EA" w14:textId="77777777" w:rsidR="00F44FB8" w:rsidRPr="00F44FB8" w:rsidRDefault="00F44FB8" w:rsidP="00F44FB8">
      <w:pPr>
        <w:widowControl w:val="0"/>
        <w:autoSpaceDE w:val="0"/>
        <w:autoSpaceDN w:val="0"/>
        <w:adjustRightInd w:val="0"/>
        <w:spacing w:line="240" w:lineRule="auto"/>
        <w:jc w:val="both"/>
        <w:rPr>
          <w:rFonts w:ascii="Calibri" w:hAnsi="Calibri" w:cs="Calibri"/>
          <w:noProof/>
          <w:szCs w:val="24"/>
        </w:rPr>
      </w:pPr>
      <w:r w:rsidRPr="00F44FB8">
        <w:rPr>
          <w:rFonts w:ascii="Calibri" w:hAnsi="Calibri" w:cs="Calibri"/>
          <w:noProof/>
          <w:szCs w:val="24"/>
        </w:rPr>
        <w:t xml:space="preserve">Spitzer R L, Kroenke K, Williams J B W and Löwe B (2006) A brief measure for assessing generalized anxiety disorder: The GAD-7, </w:t>
      </w:r>
      <w:r w:rsidRPr="00F44FB8">
        <w:rPr>
          <w:rFonts w:ascii="Calibri" w:hAnsi="Calibri" w:cs="Calibri"/>
          <w:i/>
          <w:iCs/>
          <w:noProof/>
          <w:szCs w:val="24"/>
        </w:rPr>
        <w:t>Archives of Internal Medicine</w:t>
      </w:r>
      <w:r w:rsidRPr="00F44FB8">
        <w:rPr>
          <w:rFonts w:ascii="Calibri" w:hAnsi="Calibri" w:cs="Calibri"/>
          <w:noProof/>
          <w:szCs w:val="24"/>
        </w:rPr>
        <w:t>, 166(10), pp. 1092–1097.</w:t>
      </w:r>
    </w:p>
    <w:p w14:paraId="63624FDD" w14:textId="77777777" w:rsidR="00F44FB8" w:rsidRPr="00F44FB8" w:rsidRDefault="00F44FB8" w:rsidP="00F44FB8">
      <w:pPr>
        <w:widowControl w:val="0"/>
        <w:autoSpaceDE w:val="0"/>
        <w:autoSpaceDN w:val="0"/>
        <w:adjustRightInd w:val="0"/>
        <w:spacing w:line="240" w:lineRule="auto"/>
        <w:jc w:val="both"/>
        <w:rPr>
          <w:rFonts w:ascii="Calibri" w:hAnsi="Calibri" w:cs="Calibri"/>
          <w:noProof/>
          <w:szCs w:val="24"/>
        </w:rPr>
      </w:pPr>
      <w:r w:rsidRPr="00F44FB8">
        <w:rPr>
          <w:rFonts w:ascii="Calibri" w:hAnsi="Calibri" w:cs="Calibri"/>
          <w:noProof/>
          <w:szCs w:val="24"/>
        </w:rPr>
        <w:t xml:space="preserve">Surzykiewicz J, Konaszewski K and Wagnild G (2019) Polish Version of the Resilience Scale (RS-14): A Validity and Reliability Study in Three Samples, </w:t>
      </w:r>
      <w:r w:rsidRPr="00F44FB8">
        <w:rPr>
          <w:rFonts w:ascii="Calibri" w:hAnsi="Calibri" w:cs="Calibri"/>
          <w:i/>
          <w:iCs/>
          <w:noProof/>
          <w:szCs w:val="24"/>
        </w:rPr>
        <w:t>Front. Psychol.</w:t>
      </w:r>
    </w:p>
    <w:p w14:paraId="4D9EB3AA" w14:textId="77777777" w:rsidR="00F44FB8" w:rsidRPr="00F44FB8" w:rsidRDefault="00F44FB8" w:rsidP="00F44FB8">
      <w:pPr>
        <w:widowControl w:val="0"/>
        <w:autoSpaceDE w:val="0"/>
        <w:autoSpaceDN w:val="0"/>
        <w:adjustRightInd w:val="0"/>
        <w:spacing w:line="240" w:lineRule="auto"/>
        <w:jc w:val="both"/>
        <w:rPr>
          <w:rFonts w:ascii="Calibri" w:hAnsi="Calibri" w:cs="Calibri"/>
          <w:noProof/>
          <w:szCs w:val="24"/>
        </w:rPr>
      </w:pPr>
      <w:r w:rsidRPr="00F44FB8">
        <w:rPr>
          <w:rFonts w:ascii="Calibri" w:hAnsi="Calibri" w:cs="Calibri"/>
          <w:noProof/>
          <w:szCs w:val="24"/>
        </w:rPr>
        <w:t xml:space="preserve">Teng Z, Wei Z, Qiu Y, Tan Y, Chen J, Tang H, Wu H, Wu R and Huang J (2020) Psychological status and fatigue of frontline staff two months after the COVID-19 pandemic outbreak in China: A cross-sectional study, </w:t>
      </w:r>
      <w:r w:rsidRPr="00F44FB8">
        <w:rPr>
          <w:rFonts w:ascii="Calibri" w:hAnsi="Calibri" w:cs="Calibri"/>
          <w:i/>
          <w:iCs/>
          <w:noProof/>
          <w:szCs w:val="24"/>
        </w:rPr>
        <w:t>Journal of Affective Disorders</w:t>
      </w:r>
      <w:r w:rsidRPr="00F44FB8">
        <w:rPr>
          <w:rFonts w:ascii="Calibri" w:hAnsi="Calibri" w:cs="Calibri"/>
          <w:noProof/>
          <w:szCs w:val="24"/>
        </w:rPr>
        <w:t>, 275, p. 247.</w:t>
      </w:r>
    </w:p>
    <w:p w14:paraId="5C5F6D8D" w14:textId="77777777" w:rsidR="00F44FB8" w:rsidRPr="00F44FB8" w:rsidRDefault="00F44FB8" w:rsidP="00F44FB8">
      <w:pPr>
        <w:widowControl w:val="0"/>
        <w:autoSpaceDE w:val="0"/>
        <w:autoSpaceDN w:val="0"/>
        <w:adjustRightInd w:val="0"/>
        <w:spacing w:line="240" w:lineRule="auto"/>
        <w:jc w:val="both"/>
        <w:rPr>
          <w:rFonts w:ascii="Calibri" w:hAnsi="Calibri" w:cs="Calibri"/>
          <w:noProof/>
          <w:szCs w:val="24"/>
        </w:rPr>
      </w:pPr>
      <w:r w:rsidRPr="00F44FB8">
        <w:rPr>
          <w:rFonts w:ascii="Calibri" w:hAnsi="Calibri" w:cs="Calibri"/>
          <w:noProof/>
          <w:szCs w:val="24"/>
        </w:rPr>
        <w:t xml:space="preserve">Townsend L, Dyer A H, Jones K, Dunne J, Mooney A, Gaffney F, O’Connor L, Leavy D, O’Brien K, Dowds J, Sugrue J A, Hopkins D, Martin-Loeches I, Cheallaigh C N, Nadarajan P, McLaughlin A M, Bourke N M, Bergin C, O’Farrelly C, Bannan C and Conlon N (2020) Persistent fatigue following SARS-CoV-2 infection is common and independent of severity of initial infection, </w:t>
      </w:r>
      <w:r w:rsidRPr="00F44FB8">
        <w:rPr>
          <w:rFonts w:ascii="Calibri" w:hAnsi="Calibri" w:cs="Calibri"/>
          <w:i/>
          <w:iCs/>
          <w:noProof/>
          <w:szCs w:val="24"/>
        </w:rPr>
        <w:t>PLOS ONE</w:t>
      </w:r>
      <w:r w:rsidRPr="00F44FB8">
        <w:rPr>
          <w:rFonts w:ascii="Calibri" w:hAnsi="Calibri" w:cs="Calibri"/>
          <w:noProof/>
          <w:szCs w:val="24"/>
        </w:rPr>
        <w:t>, 15(11), p. e0240784.</w:t>
      </w:r>
    </w:p>
    <w:p w14:paraId="53FAB089" w14:textId="77777777" w:rsidR="00F44FB8" w:rsidRPr="00F44FB8" w:rsidRDefault="00F44FB8" w:rsidP="00F44FB8">
      <w:pPr>
        <w:widowControl w:val="0"/>
        <w:autoSpaceDE w:val="0"/>
        <w:autoSpaceDN w:val="0"/>
        <w:adjustRightInd w:val="0"/>
        <w:spacing w:line="240" w:lineRule="auto"/>
        <w:jc w:val="both"/>
        <w:rPr>
          <w:rFonts w:ascii="Calibri" w:hAnsi="Calibri" w:cs="Calibri"/>
          <w:noProof/>
          <w:szCs w:val="24"/>
        </w:rPr>
      </w:pPr>
      <w:r w:rsidRPr="00F44FB8">
        <w:rPr>
          <w:rFonts w:ascii="Calibri" w:hAnsi="Calibri" w:cs="Calibri"/>
          <w:noProof/>
          <w:szCs w:val="24"/>
        </w:rPr>
        <w:t xml:space="preserve">Wagnild G (2009) </w:t>
      </w:r>
      <w:r w:rsidRPr="00F44FB8">
        <w:rPr>
          <w:rFonts w:ascii="Calibri" w:hAnsi="Calibri" w:cs="Calibri"/>
          <w:i/>
          <w:iCs/>
          <w:noProof/>
          <w:szCs w:val="24"/>
        </w:rPr>
        <w:t>RS14 - Resilience Scale 14-items</w:t>
      </w:r>
      <w:r w:rsidRPr="00F44FB8">
        <w:rPr>
          <w:rFonts w:ascii="Calibri" w:hAnsi="Calibri" w:cs="Calibri"/>
          <w:noProof/>
          <w:szCs w:val="24"/>
        </w:rPr>
        <w:t>. Available at: https://eprovide.mapi-trust.org/instruments/resilience-scale-14-items (Accessed 2 July 2020).</w:t>
      </w:r>
    </w:p>
    <w:p w14:paraId="53534A57" w14:textId="77777777" w:rsidR="00F44FB8" w:rsidRPr="00F44FB8" w:rsidRDefault="00F44FB8" w:rsidP="00F44FB8">
      <w:pPr>
        <w:widowControl w:val="0"/>
        <w:autoSpaceDE w:val="0"/>
        <w:autoSpaceDN w:val="0"/>
        <w:adjustRightInd w:val="0"/>
        <w:spacing w:line="240" w:lineRule="auto"/>
        <w:jc w:val="both"/>
        <w:rPr>
          <w:rFonts w:ascii="Calibri" w:hAnsi="Calibri" w:cs="Calibri"/>
          <w:noProof/>
          <w:szCs w:val="24"/>
        </w:rPr>
      </w:pPr>
      <w:r w:rsidRPr="00F44FB8">
        <w:rPr>
          <w:rFonts w:ascii="Calibri" w:hAnsi="Calibri" w:cs="Calibri"/>
          <w:noProof/>
          <w:szCs w:val="24"/>
        </w:rPr>
        <w:t>Wagnild G (2011) The resilience scale user’s guide: For the US English version of the Resilience Scale and the 14-item Resilience Scale (RS-14).</w:t>
      </w:r>
    </w:p>
    <w:p w14:paraId="3D57CBE4" w14:textId="77777777" w:rsidR="00F44FB8" w:rsidRPr="00F44FB8" w:rsidRDefault="00F44FB8" w:rsidP="00F44FB8">
      <w:pPr>
        <w:widowControl w:val="0"/>
        <w:autoSpaceDE w:val="0"/>
        <w:autoSpaceDN w:val="0"/>
        <w:adjustRightInd w:val="0"/>
        <w:spacing w:line="240" w:lineRule="auto"/>
        <w:jc w:val="both"/>
        <w:rPr>
          <w:rFonts w:ascii="Calibri" w:hAnsi="Calibri" w:cs="Calibri"/>
          <w:noProof/>
          <w:szCs w:val="24"/>
        </w:rPr>
      </w:pPr>
      <w:r w:rsidRPr="00F44FB8">
        <w:rPr>
          <w:rFonts w:ascii="Calibri" w:hAnsi="Calibri" w:cs="Calibri"/>
          <w:noProof/>
          <w:szCs w:val="24"/>
        </w:rPr>
        <w:t xml:space="preserve">Wagnild G and Young H (1993) Development and psychometric evaluation of the Resilience Scale, </w:t>
      </w:r>
      <w:r w:rsidRPr="00F44FB8">
        <w:rPr>
          <w:rFonts w:ascii="Calibri" w:hAnsi="Calibri" w:cs="Calibri"/>
          <w:i/>
          <w:iCs/>
          <w:noProof/>
          <w:szCs w:val="24"/>
        </w:rPr>
        <w:t>Journal of nursing measurement</w:t>
      </w:r>
      <w:r w:rsidRPr="00F44FB8">
        <w:rPr>
          <w:rFonts w:ascii="Calibri" w:hAnsi="Calibri" w:cs="Calibri"/>
          <w:noProof/>
          <w:szCs w:val="24"/>
        </w:rPr>
        <w:t>, 1(2), pp. 165–178.</w:t>
      </w:r>
    </w:p>
    <w:p w14:paraId="6C35ACF6" w14:textId="77777777" w:rsidR="00F44FB8" w:rsidRPr="00F44FB8" w:rsidRDefault="00F44FB8" w:rsidP="00F44FB8">
      <w:pPr>
        <w:widowControl w:val="0"/>
        <w:autoSpaceDE w:val="0"/>
        <w:autoSpaceDN w:val="0"/>
        <w:adjustRightInd w:val="0"/>
        <w:spacing w:line="240" w:lineRule="auto"/>
        <w:jc w:val="both"/>
        <w:rPr>
          <w:rFonts w:ascii="Calibri" w:hAnsi="Calibri" w:cs="Calibri"/>
          <w:noProof/>
          <w:szCs w:val="24"/>
        </w:rPr>
      </w:pPr>
      <w:r w:rsidRPr="00F44FB8">
        <w:rPr>
          <w:rFonts w:ascii="Calibri" w:hAnsi="Calibri" w:cs="Calibri"/>
          <w:noProof/>
          <w:szCs w:val="24"/>
        </w:rPr>
        <w:t xml:space="preserve">Wanat M, Hoste M, Gobat N, Anastasaki M, Böhmer F, Chlabicz S, Colliers A, Farrell K, Karkana M-N, Kinsman J, Lionis C, Marcinowicz L, Reinhardt K, Skoglund I, Sundvall P-D, Vellinga A, Verheij T J, Goossens H, Butler C C, Velden A van der, Anthierens S and Tonkin-Crine S (2021) Transformation of primary care during the COVID-19 pandemic: experiences of healthcare professionals in eight European countries, </w:t>
      </w:r>
      <w:r w:rsidRPr="00F44FB8">
        <w:rPr>
          <w:rFonts w:ascii="Calibri" w:hAnsi="Calibri" w:cs="Calibri"/>
          <w:i/>
          <w:iCs/>
          <w:noProof/>
          <w:szCs w:val="24"/>
        </w:rPr>
        <w:t>British Journal of General Practice</w:t>
      </w:r>
      <w:r w:rsidRPr="00F44FB8">
        <w:rPr>
          <w:rFonts w:ascii="Calibri" w:hAnsi="Calibri" w:cs="Calibri"/>
          <w:noProof/>
          <w:szCs w:val="24"/>
        </w:rPr>
        <w:t>, 71(709), pp. e634–e642.</w:t>
      </w:r>
    </w:p>
    <w:p w14:paraId="62394FFA" w14:textId="77777777" w:rsidR="00F44FB8" w:rsidRPr="00F44FB8" w:rsidRDefault="00F44FB8" w:rsidP="00F44FB8">
      <w:pPr>
        <w:widowControl w:val="0"/>
        <w:autoSpaceDE w:val="0"/>
        <w:autoSpaceDN w:val="0"/>
        <w:adjustRightInd w:val="0"/>
        <w:spacing w:line="240" w:lineRule="auto"/>
        <w:jc w:val="both"/>
        <w:rPr>
          <w:rFonts w:ascii="Calibri" w:hAnsi="Calibri" w:cs="Calibri"/>
          <w:noProof/>
          <w:szCs w:val="24"/>
        </w:rPr>
      </w:pPr>
      <w:r w:rsidRPr="00F44FB8">
        <w:rPr>
          <w:rFonts w:ascii="Calibri" w:hAnsi="Calibri" w:cs="Calibri"/>
          <w:noProof/>
          <w:szCs w:val="24"/>
        </w:rPr>
        <w:t xml:space="preserve">World Health Organisation. W H (2021) </w:t>
      </w:r>
      <w:r w:rsidRPr="00F44FB8">
        <w:rPr>
          <w:rFonts w:ascii="Calibri" w:hAnsi="Calibri" w:cs="Calibri"/>
          <w:i/>
          <w:iCs/>
          <w:noProof/>
          <w:szCs w:val="24"/>
        </w:rPr>
        <w:t>Weekly operational update on COVID-19 - 23 November 2021</w:t>
      </w:r>
      <w:r w:rsidRPr="00F44FB8">
        <w:rPr>
          <w:rFonts w:ascii="Calibri" w:hAnsi="Calibri" w:cs="Calibri"/>
          <w:noProof/>
          <w:szCs w:val="24"/>
        </w:rPr>
        <w:t xml:space="preserve">, </w:t>
      </w:r>
      <w:r w:rsidRPr="00F44FB8">
        <w:rPr>
          <w:rFonts w:ascii="Calibri" w:hAnsi="Calibri" w:cs="Calibri"/>
          <w:i/>
          <w:iCs/>
          <w:noProof/>
          <w:szCs w:val="24"/>
        </w:rPr>
        <w:t>WHO</w:t>
      </w:r>
      <w:r w:rsidRPr="00F44FB8">
        <w:rPr>
          <w:rFonts w:ascii="Calibri" w:hAnsi="Calibri" w:cs="Calibri"/>
          <w:noProof/>
          <w:szCs w:val="24"/>
        </w:rPr>
        <w:t>. Available at: https://www.who.int/publications/m/item/weekly-operational-update-on-covid-19---23-november-2021 (Accessed 29 November 2021).</w:t>
      </w:r>
    </w:p>
    <w:p w14:paraId="4BBE1857" w14:textId="77777777" w:rsidR="00F44FB8" w:rsidRPr="00F44FB8" w:rsidRDefault="00F44FB8" w:rsidP="00F44FB8">
      <w:pPr>
        <w:widowControl w:val="0"/>
        <w:autoSpaceDE w:val="0"/>
        <w:autoSpaceDN w:val="0"/>
        <w:adjustRightInd w:val="0"/>
        <w:spacing w:line="240" w:lineRule="auto"/>
        <w:jc w:val="both"/>
        <w:rPr>
          <w:rFonts w:ascii="Calibri" w:hAnsi="Calibri" w:cs="Calibri"/>
          <w:noProof/>
          <w:szCs w:val="24"/>
        </w:rPr>
      </w:pPr>
      <w:r w:rsidRPr="00F44FB8">
        <w:rPr>
          <w:rFonts w:ascii="Calibri" w:hAnsi="Calibri" w:cs="Calibri"/>
          <w:noProof/>
          <w:szCs w:val="24"/>
        </w:rPr>
        <w:t xml:space="preserve">Wu P, Liu X, Fang Y, Fan B, Fuller C J, Guan Z, Yao Z, Kong J, Lu J and Litvak I J (2008) Alcohol Abuse/Dependence Symptoms Among Hospital Employees Exposed to a SARS Outbreak, </w:t>
      </w:r>
      <w:r w:rsidRPr="00F44FB8">
        <w:rPr>
          <w:rFonts w:ascii="Calibri" w:hAnsi="Calibri" w:cs="Calibri"/>
          <w:i/>
          <w:iCs/>
          <w:noProof/>
          <w:szCs w:val="24"/>
        </w:rPr>
        <w:t>Alcohol and Alcoholism</w:t>
      </w:r>
      <w:r w:rsidRPr="00F44FB8">
        <w:rPr>
          <w:rFonts w:ascii="Calibri" w:hAnsi="Calibri" w:cs="Calibri"/>
          <w:noProof/>
          <w:szCs w:val="24"/>
        </w:rPr>
        <w:t>, 43(6), pp. 706–712.</w:t>
      </w:r>
    </w:p>
    <w:p w14:paraId="56B8985F" w14:textId="77777777" w:rsidR="00F44FB8" w:rsidRPr="00F44FB8" w:rsidRDefault="00F44FB8" w:rsidP="00F44FB8">
      <w:pPr>
        <w:widowControl w:val="0"/>
        <w:autoSpaceDE w:val="0"/>
        <w:autoSpaceDN w:val="0"/>
        <w:adjustRightInd w:val="0"/>
        <w:spacing w:line="240" w:lineRule="auto"/>
        <w:jc w:val="both"/>
        <w:rPr>
          <w:rFonts w:ascii="Calibri" w:hAnsi="Calibri" w:cs="Calibri"/>
          <w:noProof/>
        </w:rPr>
      </w:pPr>
      <w:r w:rsidRPr="00F44FB8">
        <w:rPr>
          <w:rFonts w:ascii="Calibri" w:hAnsi="Calibri" w:cs="Calibri"/>
          <w:noProof/>
          <w:szCs w:val="24"/>
        </w:rPr>
        <w:t xml:space="preserve">Yorke J, Prigmore S, Hodson M, Stonham C, Long H, Bellhouse S, Fletcher M and Edwards S (2017) Evaluation of the current landscape of respiratory nurse specialists in the UK: Planning for the future needs of patients, </w:t>
      </w:r>
      <w:r w:rsidRPr="00F44FB8">
        <w:rPr>
          <w:rFonts w:ascii="Calibri" w:hAnsi="Calibri" w:cs="Calibri"/>
          <w:i/>
          <w:iCs/>
          <w:noProof/>
          <w:szCs w:val="24"/>
        </w:rPr>
        <w:t>BMJ Open Respiratory Research</w:t>
      </w:r>
      <w:r w:rsidRPr="00F44FB8">
        <w:rPr>
          <w:rFonts w:ascii="Calibri" w:hAnsi="Calibri" w:cs="Calibri"/>
          <w:noProof/>
          <w:szCs w:val="24"/>
        </w:rPr>
        <w:t>, 4(1), p. e000210.</w:t>
      </w:r>
    </w:p>
    <w:p w14:paraId="49799ED1" w14:textId="0B1C87B0" w:rsidR="00664BBC" w:rsidRPr="00664BBC" w:rsidRDefault="00664BBC" w:rsidP="00F44FB8">
      <w:pPr>
        <w:spacing w:before="120" w:after="120"/>
        <w:jc w:val="both"/>
        <w:outlineLvl w:val="0"/>
        <w:rPr>
          <w:rFonts w:eastAsia="Times New Roman" w:cstheme="minorHAnsi"/>
          <w:lang w:eastAsia="en-GB"/>
        </w:rPr>
      </w:pPr>
      <w:r w:rsidRPr="00664BBC">
        <w:rPr>
          <w:rFonts w:eastAsia="Times New Roman" w:cstheme="minorHAnsi"/>
          <w:lang w:eastAsia="en-GB"/>
        </w:rPr>
        <w:fldChar w:fldCharType="end"/>
      </w:r>
      <w:r w:rsidR="00354B32" w:rsidRPr="00A11216">
        <w:rPr>
          <w:rFonts w:eastAsia="Times New Roman" w:cs="Times New Roman"/>
          <w:color w:val="1C1D1E"/>
          <w:kern w:val="36"/>
          <w:lang w:eastAsia="en-GB"/>
        </w:rPr>
        <w:t xml:space="preserve"> </w:t>
      </w:r>
    </w:p>
    <w:p w14:paraId="59CE919D" w14:textId="77777777" w:rsidR="001D16BB" w:rsidRDefault="001D16BB" w:rsidP="002F2CE0">
      <w:pPr>
        <w:jc w:val="both"/>
        <w:rPr>
          <w:rFonts w:eastAsia="Times New Roman" w:cstheme="minorHAnsi"/>
          <w:lang w:eastAsia="en-GB"/>
        </w:rPr>
      </w:pPr>
    </w:p>
    <w:p w14:paraId="64B51E22" w14:textId="77777777" w:rsidR="00092921" w:rsidRDefault="00092921" w:rsidP="002F2CE0">
      <w:pPr>
        <w:jc w:val="both"/>
        <w:rPr>
          <w:rFonts w:eastAsia="Times New Roman" w:cstheme="minorHAnsi"/>
          <w:lang w:eastAsia="en-GB"/>
        </w:rPr>
      </w:pPr>
    </w:p>
    <w:p w14:paraId="3C190414" w14:textId="106D9EF8" w:rsidR="00A3426A" w:rsidRPr="00B509D2" w:rsidRDefault="00B509D2" w:rsidP="0019567A">
      <w:pPr>
        <w:jc w:val="both"/>
        <w:rPr>
          <w:rFonts w:eastAsia="Times New Roman" w:cstheme="minorHAnsi"/>
          <w:lang w:eastAsia="en-GB"/>
        </w:rPr>
      </w:pPr>
      <w:r w:rsidRPr="00B509D2">
        <w:rPr>
          <w:rFonts w:eastAsia="Times New Roman" w:cstheme="minorHAnsi"/>
          <w:lang w:eastAsia="en-GB"/>
        </w:rPr>
        <w:t xml:space="preserve">Table 1 </w:t>
      </w:r>
      <w:r w:rsidR="002F0E15">
        <w:rPr>
          <w:rFonts w:eastAsia="Times New Roman" w:cstheme="minorHAnsi"/>
          <w:lang w:eastAsia="en-GB"/>
        </w:rPr>
        <w:t xml:space="preserve">Demographic characteristics </w:t>
      </w:r>
    </w:p>
    <w:tbl>
      <w:tblPr>
        <w:tblStyle w:val="TableGrid"/>
        <w:tblW w:w="10201" w:type="dxa"/>
        <w:tblLook w:val="04A0" w:firstRow="1" w:lastRow="0" w:firstColumn="1" w:lastColumn="0" w:noHBand="0" w:noVBand="1"/>
      </w:tblPr>
      <w:tblGrid>
        <w:gridCol w:w="8075"/>
        <w:gridCol w:w="2126"/>
      </w:tblGrid>
      <w:tr w:rsidR="00897307" w:rsidRPr="00A66ECE" w14:paraId="0F82B252" w14:textId="77777777" w:rsidTr="0011589E">
        <w:tc>
          <w:tcPr>
            <w:tcW w:w="8075" w:type="dxa"/>
          </w:tcPr>
          <w:p w14:paraId="26BE44B7" w14:textId="77777777" w:rsidR="00897307" w:rsidRPr="00A66ECE" w:rsidRDefault="00897307" w:rsidP="0019567A">
            <w:pPr>
              <w:jc w:val="both"/>
              <w:rPr>
                <w:rFonts w:eastAsia="Times New Roman" w:cstheme="minorHAnsi"/>
                <w:b/>
                <w:sz w:val="18"/>
                <w:szCs w:val="18"/>
                <w:lang w:eastAsia="en-GB"/>
              </w:rPr>
            </w:pPr>
          </w:p>
        </w:tc>
        <w:tc>
          <w:tcPr>
            <w:tcW w:w="2126" w:type="dxa"/>
          </w:tcPr>
          <w:p w14:paraId="6C5EE4F6" w14:textId="77777777" w:rsidR="00897307" w:rsidRPr="00A66ECE" w:rsidRDefault="00897307" w:rsidP="0019567A">
            <w:pPr>
              <w:jc w:val="both"/>
              <w:rPr>
                <w:rFonts w:eastAsia="Times New Roman" w:cstheme="minorHAnsi"/>
                <w:sz w:val="18"/>
                <w:szCs w:val="18"/>
                <w:lang w:eastAsia="en-GB"/>
              </w:rPr>
            </w:pPr>
            <w:r w:rsidRPr="00A66ECE">
              <w:rPr>
                <w:rFonts w:eastAsia="Times New Roman" w:cstheme="minorHAnsi"/>
                <w:sz w:val="18"/>
                <w:szCs w:val="18"/>
                <w:lang w:eastAsia="en-GB"/>
              </w:rPr>
              <w:t>Frequency (%)</w:t>
            </w:r>
          </w:p>
        </w:tc>
      </w:tr>
      <w:tr w:rsidR="00846D12" w:rsidRPr="00A66ECE" w14:paraId="18D8B093" w14:textId="77777777" w:rsidTr="0011589E">
        <w:tc>
          <w:tcPr>
            <w:tcW w:w="8075" w:type="dxa"/>
          </w:tcPr>
          <w:p w14:paraId="16E15DDF" w14:textId="6DACEC15" w:rsidR="00846D12" w:rsidRPr="00A66ECE" w:rsidRDefault="00846D12" w:rsidP="00846D12">
            <w:pPr>
              <w:rPr>
                <w:rFonts w:eastAsia="Times New Roman" w:cstheme="minorHAnsi"/>
                <w:sz w:val="18"/>
                <w:szCs w:val="18"/>
                <w:lang w:eastAsia="en-GB"/>
              </w:rPr>
            </w:pPr>
            <w:r w:rsidRPr="00A66ECE">
              <w:rPr>
                <w:rFonts w:eastAsia="Times New Roman" w:cstheme="minorHAnsi"/>
                <w:sz w:val="18"/>
                <w:szCs w:val="18"/>
                <w:lang w:eastAsia="en-GB"/>
              </w:rPr>
              <w:t>Age (years) (n</w:t>
            </w:r>
            <w:r w:rsidR="009803A9">
              <w:rPr>
                <w:rFonts w:eastAsia="Times New Roman" w:cstheme="minorHAnsi"/>
                <w:sz w:val="18"/>
                <w:szCs w:val="18"/>
                <w:lang w:eastAsia="en-GB"/>
              </w:rPr>
              <w:t>=161)</w:t>
            </w:r>
          </w:p>
          <w:p w14:paraId="5EDAEC6E" w14:textId="77777777" w:rsidR="00846D12" w:rsidRPr="00A66ECE" w:rsidRDefault="00846D12" w:rsidP="00846D12">
            <w:pPr>
              <w:rPr>
                <w:rFonts w:eastAsia="Times New Roman" w:cstheme="minorHAnsi"/>
                <w:sz w:val="18"/>
                <w:szCs w:val="18"/>
                <w:lang w:eastAsia="en-GB"/>
              </w:rPr>
            </w:pPr>
            <w:r w:rsidRPr="00A66ECE">
              <w:rPr>
                <w:rFonts w:eastAsia="Times New Roman" w:cstheme="minorHAnsi"/>
                <w:sz w:val="18"/>
                <w:szCs w:val="18"/>
                <w:lang w:eastAsia="en-GB"/>
              </w:rPr>
              <w:tab/>
              <w:t>Under 35</w:t>
            </w:r>
          </w:p>
          <w:p w14:paraId="581B5B15" w14:textId="0FAD2F8D" w:rsidR="00846D12" w:rsidRPr="00A66ECE" w:rsidRDefault="00846D12" w:rsidP="00846D12">
            <w:pPr>
              <w:jc w:val="both"/>
              <w:rPr>
                <w:rFonts w:eastAsia="Times New Roman" w:cstheme="minorHAnsi"/>
                <w:b/>
                <w:sz w:val="18"/>
                <w:szCs w:val="18"/>
                <w:lang w:eastAsia="en-GB"/>
              </w:rPr>
            </w:pPr>
            <w:r w:rsidRPr="00A66ECE">
              <w:rPr>
                <w:rFonts w:eastAsia="Times New Roman" w:cstheme="minorHAnsi"/>
                <w:sz w:val="18"/>
                <w:szCs w:val="18"/>
                <w:lang w:eastAsia="en-GB"/>
              </w:rPr>
              <w:tab/>
              <w:t xml:space="preserve">Over 35 </w:t>
            </w:r>
          </w:p>
        </w:tc>
        <w:tc>
          <w:tcPr>
            <w:tcW w:w="2126" w:type="dxa"/>
          </w:tcPr>
          <w:p w14:paraId="3701166D" w14:textId="77777777" w:rsidR="00846D12" w:rsidRPr="00A66ECE" w:rsidRDefault="00846D12" w:rsidP="00846D12">
            <w:pPr>
              <w:rPr>
                <w:rFonts w:eastAsia="Times New Roman" w:cstheme="minorHAnsi"/>
                <w:sz w:val="18"/>
                <w:szCs w:val="18"/>
                <w:lang w:eastAsia="en-GB"/>
              </w:rPr>
            </w:pPr>
          </w:p>
          <w:p w14:paraId="3FC61D1B" w14:textId="77777777" w:rsidR="00846D12" w:rsidRPr="00A66ECE" w:rsidRDefault="00846D12" w:rsidP="00846D12">
            <w:pPr>
              <w:rPr>
                <w:rFonts w:eastAsia="Times New Roman" w:cstheme="minorHAnsi"/>
                <w:sz w:val="18"/>
                <w:szCs w:val="18"/>
                <w:lang w:eastAsia="en-GB"/>
              </w:rPr>
            </w:pPr>
            <w:r w:rsidRPr="00A66ECE">
              <w:rPr>
                <w:rFonts w:eastAsia="Times New Roman" w:cstheme="minorHAnsi"/>
                <w:sz w:val="18"/>
                <w:szCs w:val="18"/>
                <w:lang w:eastAsia="en-GB"/>
              </w:rPr>
              <w:t>28</w:t>
            </w:r>
            <w:r w:rsidRPr="00A66ECE">
              <w:rPr>
                <w:rFonts w:eastAsia="Times New Roman" w:cstheme="minorHAnsi"/>
                <w:sz w:val="18"/>
                <w:szCs w:val="18"/>
                <w:lang w:eastAsia="en-GB"/>
              </w:rPr>
              <w:tab/>
              <w:t>(17.3)</w:t>
            </w:r>
          </w:p>
          <w:p w14:paraId="2C822BD7" w14:textId="2E57668F" w:rsidR="00846D12" w:rsidRPr="00A66ECE" w:rsidRDefault="00846D12" w:rsidP="00846D12">
            <w:pPr>
              <w:jc w:val="both"/>
              <w:rPr>
                <w:rFonts w:eastAsia="Times New Roman" w:cstheme="minorHAnsi"/>
                <w:sz w:val="18"/>
                <w:szCs w:val="18"/>
                <w:lang w:eastAsia="en-GB"/>
              </w:rPr>
            </w:pPr>
            <w:r w:rsidRPr="00A66ECE">
              <w:rPr>
                <w:rFonts w:eastAsia="Times New Roman" w:cstheme="minorHAnsi"/>
                <w:sz w:val="18"/>
                <w:szCs w:val="18"/>
                <w:lang w:eastAsia="en-GB"/>
              </w:rPr>
              <w:t>133</w:t>
            </w:r>
            <w:r w:rsidRPr="00A66ECE">
              <w:rPr>
                <w:rFonts w:eastAsia="Times New Roman" w:cstheme="minorHAnsi"/>
                <w:sz w:val="18"/>
                <w:szCs w:val="18"/>
                <w:lang w:eastAsia="en-GB"/>
              </w:rPr>
              <w:tab/>
              <w:t>(82.6)</w:t>
            </w:r>
          </w:p>
        </w:tc>
      </w:tr>
      <w:tr w:rsidR="00846D12" w:rsidRPr="00A66ECE" w14:paraId="3B9E2F50" w14:textId="77777777" w:rsidTr="0011589E">
        <w:tc>
          <w:tcPr>
            <w:tcW w:w="8075" w:type="dxa"/>
          </w:tcPr>
          <w:p w14:paraId="6A0635F1" w14:textId="77777777" w:rsidR="00846D12" w:rsidRPr="00A66ECE" w:rsidRDefault="00846D12" w:rsidP="00846D12">
            <w:pPr>
              <w:rPr>
                <w:rFonts w:eastAsia="Times New Roman" w:cstheme="minorHAnsi"/>
                <w:sz w:val="18"/>
                <w:szCs w:val="18"/>
                <w:lang w:eastAsia="en-GB"/>
              </w:rPr>
            </w:pPr>
            <w:r w:rsidRPr="00A66ECE">
              <w:rPr>
                <w:rFonts w:eastAsia="Times New Roman" w:cstheme="minorHAnsi"/>
                <w:sz w:val="18"/>
                <w:szCs w:val="18"/>
                <w:lang w:eastAsia="en-GB"/>
              </w:rPr>
              <w:t>Years qualified (n=161)</w:t>
            </w:r>
          </w:p>
          <w:p w14:paraId="0B504F06" w14:textId="3EEF669C" w:rsidR="00846D12" w:rsidRPr="00A66ECE" w:rsidRDefault="00846D12" w:rsidP="00846D12">
            <w:pPr>
              <w:rPr>
                <w:rFonts w:eastAsia="Times New Roman" w:cstheme="minorHAnsi"/>
                <w:color w:val="000000"/>
                <w:sz w:val="18"/>
                <w:szCs w:val="18"/>
                <w:u w:color="000000"/>
                <w:lang w:val="en-US" w:eastAsia="en-GB"/>
              </w:rPr>
            </w:pPr>
            <w:r w:rsidRPr="00A66ECE">
              <w:rPr>
                <w:rFonts w:eastAsia="Times New Roman" w:cstheme="minorHAnsi"/>
                <w:color w:val="000000"/>
                <w:sz w:val="18"/>
                <w:szCs w:val="18"/>
                <w:u w:color="000000"/>
                <w:lang w:val="en-US" w:eastAsia="en-GB"/>
              </w:rPr>
              <w:tab/>
              <w:t xml:space="preserve">0-20 </w:t>
            </w:r>
          </w:p>
          <w:p w14:paraId="4BFAA63B" w14:textId="22F43EF2" w:rsidR="00846D12" w:rsidRPr="00A66ECE" w:rsidRDefault="00846D12" w:rsidP="00846D12">
            <w:pPr>
              <w:jc w:val="both"/>
              <w:rPr>
                <w:rFonts w:eastAsia="Times New Roman" w:cstheme="minorHAnsi"/>
                <w:b/>
                <w:sz w:val="18"/>
                <w:szCs w:val="18"/>
                <w:lang w:eastAsia="en-GB"/>
              </w:rPr>
            </w:pPr>
            <w:r w:rsidRPr="00A66ECE">
              <w:rPr>
                <w:rFonts w:eastAsia="Times New Roman" w:cstheme="minorHAnsi"/>
                <w:sz w:val="18"/>
                <w:szCs w:val="18"/>
                <w:lang w:eastAsia="en-GB"/>
              </w:rPr>
              <w:tab/>
              <w:t>20+</w:t>
            </w:r>
          </w:p>
        </w:tc>
        <w:tc>
          <w:tcPr>
            <w:tcW w:w="2126" w:type="dxa"/>
          </w:tcPr>
          <w:p w14:paraId="493F12CA" w14:textId="77777777" w:rsidR="00846D12" w:rsidRPr="00A66ECE" w:rsidRDefault="00846D12" w:rsidP="00846D12">
            <w:pPr>
              <w:rPr>
                <w:rFonts w:eastAsia="Times New Roman" w:cstheme="minorHAnsi"/>
                <w:sz w:val="18"/>
                <w:szCs w:val="18"/>
                <w:lang w:eastAsia="en-GB"/>
              </w:rPr>
            </w:pPr>
          </w:p>
          <w:p w14:paraId="13C0A5C7" w14:textId="77777777" w:rsidR="00846D12" w:rsidRPr="00A66ECE" w:rsidRDefault="00846D12" w:rsidP="00846D12">
            <w:pPr>
              <w:rPr>
                <w:rFonts w:eastAsia="Times New Roman" w:cstheme="minorHAnsi"/>
                <w:sz w:val="18"/>
                <w:szCs w:val="18"/>
                <w:lang w:eastAsia="en-GB"/>
              </w:rPr>
            </w:pPr>
            <w:r w:rsidRPr="00A66ECE">
              <w:rPr>
                <w:rFonts w:eastAsia="Times New Roman" w:cstheme="minorHAnsi"/>
                <w:sz w:val="18"/>
                <w:szCs w:val="18"/>
                <w:lang w:eastAsia="en-GB"/>
              </w:rPr>
              <w:t>77</w:t>
            </w:r>
            <w:r w:rsidRPr="00A66ECE">
              <w:rPr>
                <w:rFonts w:eastAsia="Times New Roman" w:cstheme="minorHAnsi"/>
                <w:sz w:val="18"/>
                <w:szCs w:val="18"/>
                <w:lang w:eastAsia="en-GB"/>
              </w:rPr>
              <w:tab/>
              <w:t>(47.8)</w:t>
            </w:r>
          </w:p>
          <w:p w14:paraId="69C8136D" w14:textId="60A48754" w:rsidR="00846D12" w:rsidRPr="00A66ECE" w:rsidRDefault="00846D12" w:rsidP="00846D12">
            <w:pPr>
              <w:jc w:val="both"/>
              <w:rPr>
                <w:rFonts w:eastAsia="Times New Roman" w:cstheme="minorHAnsi"/>
                <w:sz w:val="18"/>
                <w:szCs w:val="18"/>
                <w:lang w:eastAsia="en-GB"/>
              </w:rPr>
            </w:pPr>
            <w:r w:rsidRPr="00A66ECE">
              <w:rPr>
                <w:rFonts w:eastAsia="Times New Roman" w:cstheme="minorHAnsi"/>
                <w:sz w:val="18"/>
                <w:szCs w:val="18"/>
                <w:lang w:eastAsia="en-GB"/>
              </w:rPr>
              <w:t>84</w:t>
            </w:r>
            <w:r w:rsidRPr="00A66ECE">
              <w:rPr>
                <w:rFonts w:eastAsia="Times New Roman" w:cstheme="minorHAnsi"/>
                <w:sz w:val="18"/>
                <w:szCs w:val="18"/>
                <w:lang w:eastAsia="en-GB"/>
              </w:rPr>
              <w:tab/>
              <w:t>(52.2)</w:t>
            </w:r>
          </w:p>
        </w:tc>
      </w:tr>
      <w:tr w:rsidR="00846D12" w:rsidRPr="00A66ECE" w14:paraId="07132F1C" w14:textId="77777777" w:rsidTr="0011589E">
        <w:tc>
          <w:tcPr>
            <w:tcW w:w="8075" w:type="dxa"/>
          </w:tcPr>
          <w:p w14:paraId="22E878A9" w14:textId="77777777" w:rsidR="00846D12" w:rsidRPr="00A66ECE" w:rsidRDefault="00846D12" w:rsidP="00846D12">
            <w:pPr>
              <w:rPr>
                <w:rFonts w:eastAsia="Times New Roman" w:cstheme="minorHAnsi"/>
                <w:sz w:val="18"/>
                <w:szCs w:val="18"/>
                <w:lang w:eastAsia="en-GB"/>
              </w:rPr>
            </w:pPr>
            <w:r w:rsidRPr="00A66ECE">
              <w:rPr>
                <w:rFonts w:eastAsia="Times New Roman" w:cstheme="minorHAnsi"/>
                <w:sz w:val="18"/>
                <w:szCs w:val="18"/>
                <w:lang w:eastAsia="en-GB"/>
              </w:rPr>
              <w:t>NHS Band (n=161)</w:t>
            </w:r>
          </w:p>
          <w:p w14:paraId="4B69A863" w14:textId="77777777" w:rsidR="00846D12" w:rsidRPr="00A66ECE" w:rsidRDefault="00846D12" w:rsidP="00846D12">
            <w:pPr>
              <w:rPr>
                <w:rFonts w:eastAsia="Times New Roman" w:cstheme="minorHAnsi"/>
                <w:sz w:val="18"/>
                <w:szCs w:val="18"/>
                <w:lang w:eastAsia="en-GB"/>
              </w:rPr>
            </w:pPr>
            <w:r w:rsidRPr="00A66ECE">
              <w:rPr>
                <w:rFonts w:eastAsia="Times New Roman" w:cstheme="minorHAnsi"/>
                <w:sz w:val="18"/>
                <w:szCs w:val="18"/>
                <w:lang w:eastAsia="en-GB"/>
              </w:rPr>
              <w:tab/>
              <w:t>5/6</w:t>
            </w:r>
          </w:p>
          <w:p w14:paraId="3E89ED6C" w14:textId="2F6DB243" w:rsidR="00846D12" w:rsidRPr="00A66ECE" w:rsidRDefault="00846D12" w:rsidP="00846D12">
            <w:pPr>
              <w:jc w:val="both"/>
              <w:rPr>
                <w:rFonts w:eastAsia="Times New Roman" w:cstheme="minorHAnsi"/>
                <w:b/>
                <w:sz w:val="18"/>
                <w:szCs w:val="18"/>
                <w:lang w:eastAsia="en-GB"/>
              </w:rPr>
            </w:pPr>
            <w:r w:rsidRPr="00A66ECE">
              <w:rPr>
                <w:rFonts w:eastAsia="Times New Roman" w:cstheme="minorHAnsi"/>
                <w:sz w:val="18"/>
                <w:szCs w:val="18"/>
                <w:lang w:eastAsia="en-GB"/>
              </w:rPr>
              <w:tab/>
              <w:t>7/8</w:t>
            </w:r>
          </w:p>
        </w:tc>
        <w:tc>
          <w:tcPr>
            <w:tcW w:w="2126" w:type="dxa"/>
          </w:tcPr>
          <w:p w14:paraId="1E5C7515" w14:textId="77777777" w:rsidR="00846D12" w:rsidRPr="00A66ECE" w:rsidRDefault="00846D12" w:rsidP="00846D12">
            <w:pPr>
              <w:rPr>
                <w:rFonts w:eastAsia="Times New Roman" w:cstheme="minorHAnsi"/>
                <w:sz w:val="18"/>
                <w:szCs w:val="18"/>
                <w:lang w:eastAsia="en-GB"/>
              </w:rPr>
            </w:pPr>
          </w:p>
          <w:p w14:paraId="5C0457B5" w14:textId="77777777" w:rsidR="00846D12" w:rsidRPr="00A66ECE" w:rsidRDefault="00846D12" w:rsidP="00846D12">
            <w:pPr>
              <w:rPr>
                <w:rFonts w:eastAsia="Times New Roman" w:cstheme="minorHAnsi"/>
                <w:sz w:val="18"/>
                <w:szCs w:val="18"/>
                <w:lang w:eastAsia="en-GB"/>
              </w:rPr>
            </w:pPr>
            <w:r w:rsidRPr="00A66ECE">
              <w:rPr>
                <w:rFonts w:eastAsia="Times New Roman" w:cstheme="minorHAnsi"/>
                <w:sz w:val="18"/>
                <w:szCs w:val="18"/>
                <w:lang w:eastAsia="en-GB"/>
              </w:rPr>
              <w:t>66</w:t>
            </w:r>
            <w:r w:rsidRPr="00A66ECE">
              <w:rPr>
                <w:rFonts w:eastAsia="Times New Roman" w:cstheme="minorHAnsi"/>
                <w:sz w:val="18"/>
                <w:szCs w:val="18"/>
                <w:lang w:eastAsia="en-GB"/>
              </w:rPr>
              <w:tab/>
              <w:t>(41.0)</w:t>
            </w:r>
          </w:p>
          <w:p w14:paraId="4C662E83" w14:textId="2DA5939F" w:rsidR="00846D12" w:rsidRPr="00A66ECE" w:rsidRDefault="00846D12" w:rsidP="00846D12">
            <w:pPr>
              <w:jc w:val="both"/>
              <w:rPr>
                <w:rFonts w:eastAsia="Times New Roman" w:cstheme="minorHAnsi"/>
                <w:sz w:val="18"/>
                <w:szCs w:val="18"/>
                <w:lang w:eastAsia="en-GB"/>
              </w:rPr>
            </w:pPr>
            <w:r w:rsidRPr="00A66ECE">
              <w:rPr>
                <w:rFonts w:eastAsia="Times New Roman" w:cstheme="minorHAnsi"/>
                <w:sz w:val="18"/>
                <w:szCs w:val="18"/>
                <w:lang w:eastAsia="en-GB"/>
              </w:rPr>
              <w:t>95</w:t>
            </w:r>
            <w:r w:rsidRPr="00A66ECE">
              <w:rPr>
                <w:rFonts w:eastAsia="Times New Roman" w:cstheme="minorHAnsi"/>
                <w:sz w:val="18"/>
                <w:szCs w:val="18"/>
                <w:lang w:eastAsia="en-GB"/>
              </w:rPr>
              <w:tab/>
              <w:t>(58.9)</w:t>
            </w:r>
          </w:p>
        </w:tc>
      </w:tr>
      <w:tr w:rsidR="00846D12" w:rsidRPr="00A66ECE" w14:paraId="77976C76" w14:textId="77777777" w:rsidTr="0011589E">
        <w:tc>
          <w:tcPr>
            <w:tcW w:w="8075" w:type="dxa"/>
          </w:tcPr>
          <w:p w14:paraId="441CFE92" w14:textId="77777777" w:rsidR="00846D12" w:rsidRPr="00A66ECE" w:rsidRDefault="00846D12" w:rsidP="00846D12">
            <w:pPr>
              <w:rPr>
                <w:rFonts w:eastAsia="Times New Roman" w:cstheme="minorHAnsi"/>
                <w:sz w:val="18"/>
                <w:szCs w:val="18"/>
                <w:lang w:eastAsia="en-GB"/>
              </w:rPr>
            </w:pPr>
            <w:r w:rsidRPr="00A66ECE">
              <w:rPr>
                <w:rFonts w:eastAsia="Times New Roman" w:cstheme="minorHAnsi"/>
                <w:sz w:val="18"/>
                <w:szCs w:val="18"/>
                <w:lang w:eastAsia="en-GB"/>
              </w:rPr>
              <w:t>Have you had time off work because of work related stress during the pandemic (n=161)</w:t>
            </w:r>
          </w:p>
          <w:p w14:paraId="275F0FA4" w14:textId="77777777" w:rsidR="00846D12" w:rsidRPr="00A66ECE" w:rsidRDefault="00846D12" w:rsidP="00846D12">
            <w:pPr>
              <w:rPr>
                <w:rFonts w:eastAsia="Times New Roman" w:cstheme="minorHAnsi"/>
                <w:sz w:val="18"/>
                <w:szCs w:val="18"/>
                <w:lang w:eastAsia="en-GB"/>
              </w:rPr>
            </w:pPr>
            <w:r w:rsidRPr="00A66ECE">
              <w:rPr>
                <w:rFonts w:eastAsia="Times New Roman" w:cstheme="minorHAnsi"/>
                <w:sz w:val="18"/>
                <w:szCs w:val="18"/>
                <w:lang w:eastAsia="en-GB"/>
              </w:rPr>
              <w:tab/>
              <w:t xml:space="preserve">Yes </w:t>
            </w:r>
          </w:p>
          <w:p w14:paraId="0602FEA5" w14:textId="04E7CFF0" w:rsidR="00846D12" w:rsidRPr="00A66ECE" w:rsidRDefault="00846D12" w:rsidP="00846D12">
            <w:pPr>
              <w:jc w:val="both"/>
              <w:rPr>
                <w:rFonts w:eastAsia="Times New Roman" w:cstheme="minorHAnsi"/>
                <w:b/>
                <w:sz w:val="18"/>
                <w:szCs w:val="18"/>
                <w:lang w:eastAsia="en-GB"/>
              </w:rPr>
            </w:pPr>
            <w:r w:rsidRPr="00A66ECE">
              <w:rPr>
                <w:rFonts w:eastAsia="Times New Roman" w:cstheme="minorHAnsi"/>
                <w:sz w:val="18"/>
                <w:szCs w:val="18"/>
                <w:lang w:eastAsia="en-GB"/>
              </w:rPr>
              <w:tab/>
              <w:t>No</w:t>
            </w:r>
          </w:p>
        </w:tc>
        <w:tc>
          <w:tcPr>
            <w:tcW w:w="2126" w:type="dxa"/>
          </w:tcPr>
          <w:p w14:paraId="4C20D6FF" w14:textId="77777777" w:rsidR="00846D12" w:rsidRPr="00A66ECE" w:rsidRDefault="00846D12" w:rsidP="00846D12">
            <w:pPr>
              <w:rPr>
                <w:rFonts w:eastAsia="Times New Roman" w:cstheme="minorHAnsi"/>
                <w:sz w:val="18"/>
                <w:szCs w:val="18"/>
                <w:lang w:eastAsia="en-GB"/>
              </w:rPr>
            </w:pPr>
          </w:p>
          <w:p w14:paraId="3CA44915" w14:textId="77777777" w:rsidR="00846D12" w:rsidRPr="00A66ECE" w:rsidRDefault="00846D12" w:rsidP="00846D12">
            <w:pPr>
              <w:rPr>
                <w:rFonts w:eastAsia="Times New Roman" w:cstheme="minorHAnsi"/>
                <w:sz w:val="18"/>
                <w:szCs w:val="18"/>
                <w:lang w:eastAsia="en-GB"/>
              </w:rPr>
            </w:pPr>
            <w:r w:rsidRPr="00A66ECE">
              <w:rPr>
                <w:rFonts w:eastAsia="Times New Roman" w:cstheme="minorHAnsi"/>
                <w:sz w:val="18"/>
                <w:szCs w:val="18"/>
                <w:lang w:eastAsia="en-GB"/>
              </w:rPr>
              <w:t>8</w:t>
            </w:r>
            <w:r w:rsidRPr="00A66ECE">
              <w:rPr>
                <w:rFonts w:eastAsia="Times New Roman" w:cstheme="minorHAnsi"/>
                <w:sz w:val="18"/>
                <w:szCs w:val="18"/>
                <w:lang w:eastAsia="en-GB"/>
              </w:rPr>
              <w:tab/>
              <w:t>(5.0)</w:t>
            </w:r>
          </w:p>
          <w:p w14:paraId="3BEFBFA2" w14:textId="05947DE1" w:rsidR="00846D12" w:rsidRPr="00A66ECE" w:rsidRDefault="00846D12" w:rsidP="00846D12">
            <w:pPr>
              <w:jc w:val="both"/>
              <w:rPr>
                <w:rFonts w:eastAsia="Times New Roman" w:cstheme="minorHAnsi"/>
                <w:sz w:val="18"/>
                <w:szCs w:val="18"/>
                <w:lang w:eastAsia="en-GB"/>
              </w:rPr>
            </w:pPr>
            <w:r w:rsidRPr="00A66ECE">
              <w:rPr>
                <w:rFonts w:eastAsia="Times New Roman" w:cstheme="minorHAnsi"/>
                <w:sz w:val="18"/>
                <w:szCs w:val="18"/>
                <w:lang w:eastAsia="en-GB"/>
              </w:rPr>
              <w:t>153</w:t>
            </w:r>
            <w:r w:rsidRPr="00A66ECE">
              <w:rPr>
                <w:rFonts w:eastAsia="Times New Roman" w:cstheme="minorHAnsi"/>
                <w:sz w:val="18"/>
                <w:szCs w:val="18"/>
                <w:lang w:eastAsia="en-GB"/>
              </w:rPr>
              <w:tab/>
              <w:t>(95.0)</w:t>
            </w:r>
          </w:p>
        </w:tc>
      </w:tr>
      <w:tr w:rsidR="00846D12" w:rsidRPr="00A66ECE" w14:paraId="637EF733" w14:textId="77777777" w:rsidTr="0011589E">
        <w:tc>
          <w:tcPr>
            <w:tcW w:w="8075" w:type="dxa"/>
          </w:tcPr>
          <w:p w14:paraId="2CADCCA6" w14:textId="77777777" w:rsidR="00846D12" w:rsidRPr="00A66ECE" w:rsidRDefault="00846D12" w:rsidP="00846D12">
            <w:pPr>
              <w:rPr>
                <w:rFonts w:eastAsia="Times New Roman" w:cstheme="minorHAnsi"/>
                <w:sz w:val="18"/>
                <w:szCs w:val="18"/>
                <w:lang w:eastAsia="en-GB"/>
              </w:rPr>
            </w:pPr>
            <w:r w:rsidRPr="00A66ECE">
              <w:rPr>
                <w:rFonts w:eastAsia="Times New Roman" w:cstheme="minorHAnsi"/>
                <w:sz w:val="18"/>
                <w:szCs w:val="18"/>
                <w:lang w:eastAsia="en-GB"/>
              </w:rPr>
              <w:t>Were you able to keep up to date with training requirements during the pandemic (n=161)</w:t>
            </w:r>
          </w:p>
          <w:p w14:paraId="2290C0B7" w14:textId="77777777" w:rsidR="00846D12" w:rsidRPr="00A66ECE" w:rsidRDefault="00846D12" w:rsidP="00846D12">
            <w:pPr>
              <w:rPr>
                <w:rFonts w:eastAsia="Times New Roman" w:cstheme="minorHAnsi"/>
                <w:sz w:val="18"/>
                <w:szCs w:val="18"/>
                <w:lang w:eastAsia="en-GB"/>
              </w:rPr>
            </w:pPr>
            <w:r w:rsidRPr="00A66ECE">
              <w:rPr>
                <w:rFonts w:eastAsia="Times New Roman" w:cstheme="minorHAnsi"/>
                <w:sz w:val="18"/>
                <w:szCs w:val="18"/>
                <w:lang w:eastAsia="en-GB"/>
              </w:rPr>
              <w:tab/>
              <w:t>Yes</w:t>
            </w:r>
          </w:p>
          <w:p w14:paraId="0728D711" w14:textId="263E001A" w:rsidR="00846D12" w:rsidRPr="00A66ECE" w:rsidRDefault="00846D12" w:rsidP="00846D12">
            <w:pPr>
              <w:jc w:val="both"/>
              <w:rPr>
                <w:rFonts w:eastAsia="Times New Roman" w:cstheme="minorHAnsi"/>
                <w:b/>
                <w:sz w:val="18"/>
                <w:szCs w:val="18"/>
                <w:lang w:eastAsia="en-GB"/>
              </w:rPr>
            </w:pPr>
            <w:r w:rsidRPr="00A66ECE">
              <w:rPr>
                <w:rFonts w:eastAsia="Times New Roman" w:cstheme="minorHAnsi"/>
                <w:sz w:val="18"/>
                <w:szCs w:val="18"/>
                <w:lang w:eastAsia="en-GB"/>
              </w:rPr>
              <w:tab/>
              <w:t>No</w:t>
            </w:r>
          </w:p>
        </w:tc>
        <w:tc>
          <w:tcPr>
            <w:tcW w:w="2126" w:type="dxa"/>
          </w:tcPr>
          <w:p w14:paraId="3396B432" w14:textId="77777777" w:rsidR="00846D12" w:rsidRPr="00A66ECE" w:rsidRDefault="00846D12" w:rsidP="00846D12">
            <w:pPr>
              <w:rPr>
                <w:rFonts w:eastAsia="Times New Roman" w:cstheme="minorHAnsi"/>
                <w:sz w:val="18"/>
                <w:szCs w:val="18"/>
                <w:lang w:eastAsia="en-GB"/>
              </w:rPr>
            </w:pPr>
          </w:p>
          <w:p w14:paraId="062B6A60" w14:textId="77777777" w:rsidR="00846D12" w:rsidRPr="00A66ECE" w:rsidRDefault="00846D12" w:rsidP="00846D12">
            <w:pPr>
              <w:rPr>
                <w:rFonts w:eastAsia="Times New Roman" w:cstheme="minorHAnsi"/>
                <w:sz w:val="18"/>
                <w:szCs w:val="18"/>
                <w:lang w:eastAsia="en-GB"/>
              </w:rPr>
            </w:pPr>
            <w:r w:rsidRPr="00A66ECE">
              <w:rPr>
                <w:rFonts w:eastAsia="Times New Roman" w:cstheme="minorHAnsi"/>
                <w:sz w:val="18"/>
                <w:szCs w:val="18"/>
                <w:lang w:eastAsia="en-GB"/>
              </w:rPr>
              <w:t>83</w:t>
            </w:r>
            <w:r w:rsidRPr="00A66ECE">
              <w:rPr>
                <w:rFonts w:eastAsia="Times New Roman" w:cstheme="minorHAnsi"/>
                <w:sz w:val="18"/>
                <w:szCs w:val="18"/>
                <w:lang w:eastAsia="en-GB"/>
              </w:rPr>
              <w:tab/>
              <w:t>(51.6)</w:t>
            </w:r>
          </w:p>
          <w:p w14:paraId="44CF65BE" w14:textId="4A9CA204" w:rsidR="00846D12" w:rsidRPr="00A66ECE" w:rsidRDefault="00846D12" w:rsidP="00846D12">
            <w:pPr>
              <w:jc w:val="both"/>
              <w:rPr>
                <w:rFonts w:eastAsia="Times New Roman" w:cstheme="minorHAnsi"/>
                <w:sz w:val="18"/>
                <w:szCs w:val="18"/>
                <w:lang w:eastAsia="en-GB"/>
              </w:rPr>
            </w:pPr>
            <w:r w:rsidRPr="00A66ECE">
              <w:rPr>
                <w:rFonts w:eastAsia="Times New Roman" w:cstheme="minorHAnsi"/>
                <w:sz w:val="18"/>
                <w:szCs w:val="18"/>
                <w:lang w:eastAsia="en-GB"/>
              </w:rPr>
              <w:t>78</w:t>
            </w:r>
            <w:r w:rsidRPr="00A66ECE">
              <w:rPr>
                <w:rFonts w:eastAsia="Times New Roman" w:cstheme="minorHAnsi"/>
                <w:sz w:val="18"/>
                <w:szCs w:val="18"/>
                <w:lang w:eastAsia="en-GB"/>
              </w:rPr>
              <w:tab/>
              <w:t>(48.4)</w:t>
            </w:r>
          </w:p>
        </w:tc>
      </w:tr>
      <w:tr w:rsidR="00846D12" w:rsidRPr="00A66ECE" w14:paraId="607304A6" w14:textId="77777777" w:rsidTr="0011589E">
        <w:tc>
          <w:tcPr>
            <w:tcW w:w="8075" w:type="dxa"/>
          </w:tcPr>
          <w:p w14:paraId="760055AE" w14:textId="77777777" w:rsidR="00846D12" w:rsidRPr="00A66ECE" w:rsidRDefault="00846D12" w:rsidP="00846D12">
            <w:pPr>
              <w:rPr>
                <w:rFonts w:eastAsia="Times New Roman" w:cstheme="minorHAnsi"/>
                <w:sz w:val="18"/>
                <w:szCs w:val="18"/>
                <w:lang w:eastAsia="en-GB"/>
              </w:rPr>
            </w:pPr>
            <w:r w:rsidRPr="00A66ECE">
              <w:rPr>
                <w:rFonts w:eastAsia="Times New Roman" w:cstheme="minorHAnsi"/>
                <w:sz w:val="18"/>
                <w:szCs w:val="18"/>
                <w:lang w:eastAsia="en-GB"/>
              </w:rPr>
              <w:t>Do you feel that there has been changes to patient safety compared to prior to the pandemic? (n=161)</w:t>
            </w:r>
          </w:p>
          <w:p w14:paraId="05E3F970" w14:textId="77777777" w:rsidR="00846D12" w:rsidRPr="00A66ECE" w:rsidRDefault="00846D12" w:rsidP="00846D12">
            <w:pPr>
              <w:rPr>
                <w:rFonts w:eastAsia="Times New Roman" w:cstheme="minorHAnsi"/>
                <w:sz w:val="18"/>
                <w:szCs w:val="18"/>
                <w:lang w:eastAsia="en-GB"/>
              </w:rPr>
            </w:pPr>
            <w:r w:rsidRPr="00A66ECE">
              <w:rPr>
                <w:rFonts w:eastAsia="Times New Roman" w:cstheme="minorHAnsi"/>
                <w:sz w:val="18"/>
                <w:szCs w:val="18"/>
                <w:lang w:eastAsia="en-GB"/>
              </w:rPr>
              <w:tab/>
              <w:t>Yes</w:t>
            </w:r>
          </w:p>
          <w:p w14:paraId="18DE3CD1" w14:textId="15E4EFAB" w:rsidR="00846D12" w:rsidRPr="00A66ECE" w:rsidRDefault="00846D12" w:rsidP="00846D12">
            <w:pPr>
              <w:jc w:val="both"/>
              <w:rPr>
                <w:rFonts w:eastAsia="Times New Roman" w:cstheme="minorHAnsi"/>
                <w:b/>
                <w:sz w:val="18"/>
                <w:szCs w:val="18"/>
                <w:lang w:eastAsia="en-GB"/>
              </w:rPr>
            </w:pPr>
            <w:r w:rsidRPr="00A66ECE">
              <w:rPr>
                <w:rFonts w:eastAsia="Times New Roman" w:cstheme="minorHAnsi"/>
                <w:sz w:val="18"/>
                <w:szCs w:val="18"/>
                <w:lang w:eastAsia="en-GB"/>
              </w:rPr>
              <w:tab/>
              <w:t>No/Not sure</w:t>
            </w:r>
          </w:p>
        </w:tc>
        <w:tc>
          <w:tcPr>
            <w:tcW w:w="2126" w:type="dxa"/>
          </w:tcPr>
          <w:p w14:paraId="0ACB2C85" w14:textId="77777777" w:rsidR="00846D12" w:rsidRPr="00A66ECE" w:rsidRDefault="00846D12" w:rsidP="00846D12">
            <w:pPr>
              <w:rPr>
                <w:rFonts w:eastAsia="Times New Roman" w:cstheme="minorHAnsi"/>
                <w:sz w:val="18"/>
                <w:szCs w:val="18"/>
                <w:lang w:eastAsia="en-GB"/>
              </w:rPr>
            </w:pPr>
          </w:p>
          <w:p w14:paraId="1BB67D5E" w14:textId="77777777" w:rsidR="00846D12" w:rsidRPr="00A66ECE" w:rsidRDefault="00846D12" w:rsidP="00846D12">
            <w:pPr>
              <w:rPr>
                <w:rFonts w:eastAsia="Times New Roman" w:cstheme="minorHAnsi"/>
                <w:sz w:val="18"/>
                <w:szCs w:val="18"/>
                <w:lang w:eastAsia="en-GB"/>
              </w:rPr>
            </w:pPr>
            <w:r w:rsidRPr="00A66ECE">
              <w:rPr>
                <w:rFonts w:eastAsia="Times New Roman" w:cstheme="minorHAnsi"/>
                <w:sz w:val="18"/>
                <w:szCs w:val="18"/>
                <w:lang w:eastAsia="en-GB"/>
              </w:rPr>
              <w:t>119</w:t>
            </w:r>
            <w:r w:rsidRPr="00A66ECE">
              <w:rPr>
                <w:rFonts w:eastAsia="Times New Roman" w:cstheme="minorHAnsi"/>
                <w:sz w:val="18"/>
                <w:szCs w:val="18"/>
                <w:lang w:eastAsia="en-GB"/>
              </w:rPr>
              <w:tab/>
              <w:t>(73.9)</w:t>
            </w:r>
          </w:p>
          <w:p w14:paraId="20CFD6E0" w14:textId="42F4449B" w:rsidR="00846D12" w:rsidRPr="00A66ECE" w:rsidRDefault="00846D12" w:rsidP="00846D12">
            <w:pPr>
              <w:jc w:val="both"/>
              <w:rPr>
                <w:rFonts w:eastAsia="Times New Roman" w:cstheme="minorHAnsi"/>
                <w:sz w:val="18"/>
                <w:szCs w:val="18"/>
                <w:lang w:eastAsia="en-GB"/>
              </w:rPr>
            </w:pPr>
            <w:r w:rsidRPr="00A66ECE">
              <w:rPr>
                <w:rFonts w:eastAsia="Times New Roman" w:cstheme="minorHAnsi"/>
                <w:sz w:val="18"/>
                <w:szCs w:val="18"/>
                <w:lang w:eastAsia="en-GB"/>
              </w:rPr>
              <w:t>42</w:t>
            </w:r>
            <w:r w:rsidRPr="00A66ECE">
              <w:rPr>
                <w:rFonts w:eastAsia="Times New Roman" w:cstheme="minorHAnsi"/>
                <w:sz w:val="18"/>
                <w:szCs w:val="18"/>
                <w:lang w:eastAsia="en-GB"/>
              </w:rPr>
              <w:tab/>
              <w:t>(26.1)</w:t>
            </w:r>
          </w:p>
        </w:tc>
      </w:tr>
      <w:tr w:rsidR="00846D12" w:rsidRPr="00A66ECE" w14:paraId="7566E88F" w14:textId="77777777" w:rsidTr="0011589E">
        <w:tc>
          <w:tcPr>
            <w:tcW w:w="8075" w:type="dxa"/>
          </w:tcPr>
          <w:p w14:paraId="2FF8D6C3" w14:textId="77777777" w:rsidR="00846D12" w:rsidRPr="00A66ECE" w:rsidRDefault="00846D12" w:rsidP="00846D12">
            <w:pPr>
              <w:rPr>
                <w:rFonts w:eastAsia="Times New Roman" w:cstheme="minorHAnsi"/>
                <w:sz w:val="18"/>
                <w:szCs w:val="18"/>
                <w:lang w:eastAsia="en-GB"/>
              </w:rPr>
            </w:pPr>
            <w:r w:rsidRPr="00A66ECE">
              <w:rPr>
                <w:rFonts w:eastAsia="Times New Roman" w:cstheme="minorHAnsi"/>
                <w:sz w:val="18"/>
                <w:szCs w:val="18"/>
                <w:lang w:eastAsia="en-GB"/>
              </w:rPr>
              <w:t>Is the quality of care you give the same as pre-pandemic? (n=161)</w:t>
            </w:r>
          </w:p>
          <w:p w14:paraId="7853B241" w14:textId="77777777" w:rsidR="00846D12" w:rsidRPr="00A66ECE" w:rsidRDefault="00846D12" w:rsidP="00846D12">
            <w:pPr>
              <w:rPr>
                <w:rFonts w:eastAsia="Times New Roman" w:cstheme="minorHAnsi"/>
                <w:sz w:val="18"/>
                <w:szCs w:val="18"/>
                <w:lang w:eastAsia="en-GB"/>
              </w:rPr>
            </w:pPr>
            <w:r w:rsidRPr="00A66ECE">
              <w:rPr>
                <w:rFonts w:eastAsia="Times New Roman" w:cstheme="minorHAnsi"/>
                <w:sz w:val="18"/>
                <w:szCs w:val="18"/>
                <w:lang w:eastAsia="en-GB"/>
              </w:rPr>
              <w:tab/>
              <w:t>Yes</w:t>
            </w:r>
          </w:p>
          <w:p w14:paraId="5F306887" w14:textId="3DEA6964" w:rsidR="00846D12" w:rsidRPr="00A66ECE" w:rsidRDefault="00846D12" w:rsidP="00846D12">
            <w:pPr>
              <w:jc w:val="both"/>
              <w:rPr>
                <w:rFonts w:eastAsia="Times New Roman" w:cstheme="minorHAnsi"/>
                <w:b/>
                <w:sz w:val="18"/>
                <w:szCs w:val="18"/>
                <w:lang w:eastAsia="en-GB"/>
              </w:rPr>
            </w:pPr>
            <w:r w:rsidRPr="00A66ECE">
              <w:rPr>
                <w:rFonts w:eastAsia="Times New Roman" w:cstheme="minorHAnsi"/>
                <w:sz w:val="18"/>
                <w:szCs w:val="18"/>
                <w:lang w:eastAsia="en-GB"/>
              </w:rPr>
              <w:tab/>
              <w:t>No</w:t>
            </w:r>
          </w:p>
        </w:tc>
        <w:tc>
          <w:tcPr>
            <w:tcW w:w="2126" w:type="dxa"/>
          </w:tcPr>
          <w:p w14:paraId="64D9EBE1" w14:textId="77777777" w:rsidR="00846D12" w:rsidRPr="00A66ECE" w:rsidRDefault="00846D12" w:rsidP="00846D12">
            <w:pPr>
              <w:rPr>
                <w:rFonts w:eastAsia="Times New Roman" w:cstheme="minorHAnsi"/>
                <w:sz w:val="18"/>
                <w:szCs w:val="18"/>
                <w:lang w:eastAsia="en-GB"/>
              </w:rPr>
            </w:pPr>
          </w:p>
          <w:p w14:paraId="4F621EF1" w14:textId="77777777" w:rsidR="00846D12" w:rsidRPr="00A66ECE" w:rsidRDefault="00846D12" w:rsidP="00846D12">
            <w:pPr>
              <w:rPr>
                <w:rFonts w:eastAsia="Times New Roman" w:cstheme="minorHAnsi"/>
                <w:sz w:val="18"/>
                <w:szCs w:val="18"/>
                <w:lang w:eastAsia="en-GB"/>
              </w:rPr>
            </w:pPr>
            <w:r w:rsidRPr="00A66ECE">
              <w:rPr>
                <w:rFonts w:eastAsia="Times New Roman" w:cstheme="minorHAnsi"/>
                <w:sz w:val="18"/>
                <w:szCs w:val="18"/>
                <w:lang w:eastAsia="en-GB"/>
              </w:rPr>
              <w:t>80</w:t>
            </w:r>
            <w:r w:rsidRPr="00A66ECE">
              <w:rPr>
                <w:rFonts w:eastAsia="Times New Roman" w:cstheme="minorHAnsi"/>
                <w:sz w:val="18"/>
                <w:szCs w:val="18"/>
                <w:lang w:eastAsia="en-GB"/>
              </w:rPr>
              <w:tab/>
              <w:t>(49.7)</w:t>
            </w:r>
          </w:p>
          <w:p w14:paraId="5F26FA8D" w14:textId="0249D214" w:rsidR="00846D12" w:rsidRPr="00A66ECE" w:rsidRDefault="00846D12" w:rsidP="00846D12">
            <w:pPr>
              <w:jc w:val="both"/>
              <w:rPr>
                <w:rFonts w:eastAsia="Times New Roman" w:cstheme="minorHAnsi"/>
                <w:sz w:val="18"/>
                <w:szCs w:val="18"/>
                <w:lang w:eastAsia="en-GB"/>
              </w:rPr>
            </w:pPr>
            <w:r w:rsidRPr="00A66ECE">
              <w:rPr>
                <w:rFonts w:eastAsia="Times New Roman" w:cstheme="minorHAnsi"/>
                <w:sz w:val="18"/>
                <w:szCs w:val="18"/>
                <w:lang w:eastAsia="en-GB"/>
              </w:rPr>
              <w:t>81</w:t>
            </w:r>
            <w:r w:rsidRPr="00A66ECE">
              <w:rPr>
                <w:rFonts w:eastAsia="Times New Roman" w:cstheme="minorHAnsi"/>
                <w:sz w:val="18"/>
                <w:szCs w:val="18"/>
                <w:lang w:eastAsia="en-GB"/>
              </w:rPr>
              <w:tab/>
              <w:t>(50.3)</w:t>
            </w:r>
          </w:p>
        </w:tc>
      </w:tr>
      <w:tr w:rsidR="00846D12" w:rsidRPr="00A66ECE" w14:paraId="7A553649" w14:textId="77777777" w:rsidTr="0011589E">
        <w:tc>
          <w:tcPr>
            <w:tcW w:w="8075" w:type="dxa"/>
          </w:tcPr>
          <w:p w14:paraId="650D0A87" w14:textId="77777777" w:rsidR="00846D12" w:rsidRPr="00A66ECE" w:rsidRDefault="00846D12" w:rsidP="00846D12">
            <w:pPr>
              <w:rPr>
                <w:rFonts w:eastAsia="Times New Roman" w:cstheme="minorHAnsi"/>
                <w:sz w:val="18"/>
                <w:szCs w:val="18"/>
                <w:lang w:eastAsia="en-GB"/>
              </w:rPr>
            </w:pPr>
            <w:r w:rsidRPr="00A66ECE">
              <w:rPr>
                <w:rFonts w:eastAsia="Times New Roman" w:cstheme="minorHAnsi"/>
                <w:sz w:val="18"/>
                <w:szCs w:val="18"/>
                <w:lang w:eastAsia="en-GB"/>
              </w:rPr>
              <w:t>Do you think patients are satisfied with the care they have received?</w:t>
            </w:r>
          </w:p>
          <w:p w14:paraId="4059BEE7" w14:textId="77777777" w:rsidR="00846D12" w:rsidRPr="00A66ECE" w:rsidRDefault="00846D12" w:rsidP="00846D12">
            <w:pPr>
              <w:rPr>
                <w:rFonts w:eastAsia="Times New Roman" w:cstheme="minorHAnsi"/>
                <w:sz w:val="18"/>
                <w:szCs w:val="18"/>
                <w:lang w:eastAsia="en-GB"/>
              </w:rPr>
            </w:pPr>
            <w:r w:rsidRPr="00A66ECE">
              <w:rPr>
                <w:rFonts w:eastAsia="Times New Roman" w:cstheme="minorHAnsi"/>
                <w:sz w:val="18"/>
                <w:szCs w:val="18"/>
                <w:lang w:eastAsia="en-GB"/>
              </w:rPr>
              <w:tab/>
              <w:t>Yes</w:t>
            </w:r>
          </w:p>
          <w:p w14:paraId="23CF7EEE" w14:textId="4DFD76F0" w:rsidR="00846D12" w:rsidRPr="00A66ECE" w:rsidRDefault="00846D12" w:rsidP="00846D12">
            <w:pPr>
              <w:jc w:val="both"/>
              <w:rPr>
                <w:rFonts w:eastAsia="Times New Roman" w:cstheme="minorHAnsi"/>
                <w:b/>
                <w:sz w:val="18"/>
                <w:szCs w:val="18"/>
                <w:lang w:eastAsia="en-GB"/>
              </w:rPr>
            </w:pPr>
            <w:r w:rsidRPr="00A66ECE">
              <w:rPr>
                <w:rFonts w:eastAsia="Times New Roman" w:cstheme="minorHAnsi"/>
                <w:sz w:val="18"/>
                <w:szCs w:val="18"/>
                <w:lang w:eastAsia="en-GB"/>
              </w:rPr>
              <w:tab/>
              <w:t>No/Not sure</w:t>
            </w:r>
          </w:p>
        </w:tc>
        <w:tc>
          <w:tcPr>
            <w:tcW w:w="2126" w:type="dxa"/>
          </w:tcPr>
          <w:p w14:paraId="226AE025" w14:textId="77777777" w:rsidR="00846D12" w:rsidRPr="00A66ECE" w:rsidRDefault="00846D12" w:rsidP="00846D12">
            <w:pPr>
              <w:rPr>
                <w:rFonts w:eastAsia="Times New Roman" w:cstheme="minorHAnsi"/>
                <w:sz w:val="18"/>
                <w:szCs w:val="18"/>
                <w:lang w:eastAsia="en-GB"/>
              </w:rPr>
            </w:pPr>
          </w:p>
          <w:p w14:paraId="7925BDEF" w14:textId="77777777" w:rsidR="00846D12" w:rsidRPr="00A66ECE" w:rsidRDefault="00846D12" w:rsidP="00846D12">
            <w:pPr>
              <w:rPr>
                <w:rFonts w:eastAsia="Times New Roman" w:cstheme="minorHAnsi"/>
                <w:sz w:val="18"/>
                <w:szCs w:val="18"/>
                <w:lang w:eastAsia="en-GB"/>
              </w:rPr>
            </w:pPr>
            <w:r w:rsidRPr="00A66ECE">
              <w:rPr>
                <w:rFonts w:eastAsia="Times New Roman" w:cstheme="minorHAnsi"/>
                <w:sz w:val="18"/>
                <w:szCs w:val="18"/>
                <w:lang w:eastAsia="en-GB"/>
              </w:rPr>
              <w:t>87</w:t>
            </w:r>
            <w:r w:rsidRPr="00A66ECE">
              <w:rPr>
                <w:rFonts w:eastAsia="Times New Roman" w:cstheme="minorHAnsi"/>
                <w:sz w:val="18"/>
                <w:szCs w:val="18"/>
                <w:lang w:eastAsia="en-GB"/>
              </w:rPr>
              <w:tab/>
              <w:t>(54.0)</w:t>
            </w:r>
          </w:p>
          <w:p w14:paraId="6A45297B" w14:textId="37F47981" w:rsidR="00846D12" w:rsidRPr="00A66ECE" w:rsidRDefault="00846D12" w:rsidP="00846D12">
            <w:pPr>
              <w:jc w:val="both"/>
              <w:rPr>
                <w:rFonts w:eastAsia="Times New Roman" w:cstheme="minorHAnsi"/>
                <w:sz w:val="18"/>
                <w:szCs w:val="18"/>
                <w:lang w:eastAsia="en-GB"/>
              </w:rPr>
            </w:pPr>
            <w:r w:rsidRPr="00A66ECE">
              <w:rPr>
                <w:rFonts w:eastAsia="Times New Roman" w:cstheme="minorHAnsi"/>
                <w:sz w:val="18"/>
                <w:szCs w:val="18"/>
                <w:lang w:eastAsia="en-GB"/>
              </w:rPr>
              <w:t>74</w:t>
            </w:r>
            <w:r w:rsidRPr="00A66ECE">
              <w:rPr>
                <w:rFonts w:eastAsia="Times New Roman" w:cstheme="minorHAnsi"/>
                <w:sz w:val="18"/>
                <w:szCs w:val="18"/>
                <w:lang w:eastAsia="en-GB"/>
              </w:rPr>
              <w:tab/>
              <w:t>(45.9)</w:t>
            </w:r>
          </w:p>
        </w:tc>
      </w:tr>
      <w:tr w:rsidR="00846D12" w:rsidRPr="00A66ECE" w14:paraId="14BD56D1" w14:textId="77777777" w:rsidTr="0011589E">
        <w:tc>
          <w:tcPr>
            <w:tcW w:w="8075" w:type="dxa"/>
          </w:tcPr>
          <w:p w14:paraId="38E6111F" w14:textId="77777777" w:rsidR="00846D12" w:rsidRPr="00A66ECE" w:rsidRDefault="00846D12" w:rsidP="00846D12">
            <w:pPr>
              <w:rPr>
                <w:rFonts w:eastAsia="Times New Roman" w:cstheme="minorHAnsi"/>
                <w:sz w:val="18"/>
                <w:szCs w:val="18"/>
                <w:lang w:eastAsia="en-GB"/>
              </w:rPr>
            </w:pPr>
            <w:r w:rsidRPr="00A66ECE">
              <w:rPr>
                <w:rFonts w:eastAsia="Times New Roman" w:cstheme="minorHAnsi"/>
                <w:sz w:val="18"/>
                <w:szCs w:val="18"/>
                <w:lang w:eastAsia="en-GB"/>
              </w:rPr>
              <w:t xml:space="preserve">Are there plans to redeploy staff in your organisation </w:t>
            </w:r>
          </w:p>
          <w:p w14:paraId="6D2BA222" w14:textId="77777777" w:rsidR="00846D12" w:rsidRPr="00A66ECE" w:rsidRDefault="00846D12" w:rsidP="00846D12">
            <w:pPr>
              <w:rPr>
                <w:rFonts w:eastAsia="Times New Roman" w:cstheme="minorHAnsi"/>
                <w:sz w:val="18"/>
                <w:szCs w:val="18"/>
                <w:lang w:eastAsia="en-GB"/>
              </w:rPr>
            </w:pPr>
            <w:r w:rsidRPr="00A66ECE">
              <w:rPr>
                <w:rFonts w:eastAsia="Times New Roman" w:cstheme="minorHAnsi"/>
                <w:sz w:val="18"/>
                <w:szCs w:val="18"/>
                <w:lang w:eastAsia="en-GB"/>
              </w:rPr>
              <w:tab/>
              <w:t>Yes</w:t>
            </w:r>
          </w:p>
          <w:p w14:paraId="32109039" w14:textId="3DF7E451" w:rsidR="00846D12" w:rsidRPr="00A66ECE" w:rsidRDefault="00846D12" w:rsidP="00846D12">
            <w:pPr>
              <w:jc w:val="both"/>
              <w:rPr>
                <w:rFonts w:eastAsia="Times New Roman" w:cstheme="minorHAnsi"/>
                <w:b/>
                <w:sz w:val="18"/>
                <w:szCs w:val="18"/>
                <w:lang w:eastAsia="en-GB"/>
              </w:rPr>
            </w:pPr>
            <w:r w:rsidRPr="00A66ECE">
              <w:rPr>
                <w:rFonts w:eastAsia="Times New Roman" w:cstheme="minorHAnsi"/>
                <w:sz w:val="18"/>
                <w:szCs w:val="18"/>
                <w:lang w:eastAsia="en-GB"/>
              </w:rPr>
              <w:tab/>
              <w:t>No/Not aware yet</w:t>
            </w:r>
          </w:p>
        </w:tc>
        <w:tc>
          <w:tcPr>
            <w:tcW w:w="2126" w:type="dxa"/>
          </w:tcPr>
          <w:p w14:paraId="69FEDBE7" w14:textId="77777777" w:rsidR="00846D12" w:rsidRPr="00A66ECE" w:rsidRDefault="00846D12" w:rsidP="00846D12">
            <w:pPr>
              <w:rPr>
                <w:rFonts w:eastAsia="Times New Roman" w:cstheme="minorHAnsi"/>
                <w:sz w:val="18"/>
                <w:szCs w:val="18"/>
                <w:lang w:eastAsia="en-GB"/>
              </w:rPr>
            </w:pPr>
          </w:p>
          <w:p w14:paraId="71471D02" w14:textId="77777777" w:rsidR="00846D12" w:rsidRPr="00A66ECE" w:rsidRDefault="00846D12" w:rsidP="00846D12">
            <w:pPr>
              <w:rPr>
                <w:rFonts w:eastAsia="Times New Roman" w:cstheme="minorHAnsi"/>
                <w:sz w:val="18"/>
                <w:szCs w:val="18"/>
                <w:lang w:eastAsia="en-GB"/>
              </w:rPr>
            </w:pPr>
            <w:r w:rsidRPr="00A66ECE">
              <w:rPr>
                <w:rFonts w:eastAsia="Times New Roman" w:cstheme="minorHAnsi"/>
                <w:sz w:val="18"/>
                <w:szCs w:val="18"/>
                <w:lang w:eastAsia="en-GB"/>
              </w:rPr>
              <w:t>82</w:t>
            </w:r>
            <w:r w:rsidRPr="00A66ECE">
              <w:rPr>
                <w:rFonts w:eastAsia="Times New Roman" w:cstheme="minorHAnsi"/>
                <w:sz w:val="18"/>
                <w:szCs w:val="18"/>
                <w:lang w:eastAsia="en-GB"/>
              </w:rPr>
              <w:tab/>
              <w:t>(50.9)</w:t>
            </w:r>
          </w:p>
          <w:p w14:paraId="40799E5E" w14:textId="5030CBBD" w:rsidR="00846D12" w:rsidRPr="00A66ECE" w:rsidRDefault="00846D12" w:rsidP="00846D12">
            <w:pPr>
              <w:jc w:val="both"/>
              <w:rPr>
                <w:rFonts w:eastAsia="Times New Roman" w:cstheme="minorHAnsi"/>
                <w:sz w:val="18"/>
                <w:szCs w:val="18"/>
                <w:lang w:eastAsia="en-GB"/>
              </w:rPr>
            </w:pPr>
            <w:r w:rsidRPr="00A66ECE">
              <w:rPr>
                <w:rFonts w:eastAsia="Times New Roman" w:cstheme="minorHAnsi"/>
                <w:sz w:val="18"/>
                <w:szCs w:val="18"/>
                <w:lang w:eastAsia="en-GB"/>
              </w:rPr>
              <w:t>79</w:t>
            </w:r>
            <w:r w:rsidRPr="00A66ECE">
              <w:rPr>
                <w:rFonts w:eastAsia="Times New Roman" w:cstheme="minorHAnsi"/>
                <w:sz w:val="18"/>
                <w:szCs w:val="18"/>
                <w:lang w:eastAsia="en-GB"/>
              </w:rPr>
              <w:tab/>
              <w:t>(49.1)</w:t>
            </w:r>
          </w:p>
        </w:tc>
      </w:tr>
      <w:tr w:rsidR="00846D12" w:rsidRPr="00A66ECE" w14:paraId="08DC03C7" w14:textId="77777777" w:rsidTr="0011589E">
        <w:tc>
          <w:tcPr>
            <w:tcW w:w="8075" w:type="dxa"/>
          </w:tcPr>
          <w:p w14:paraId="3EB83B29" w14:textId="3FEFD901" w:rsidR="00846D12" w:rsidRPr="00A66ECE" w:rsidRDefault="00846D12" w:rsidP="0011589E">
            <w:pPr>
              <w:rPr>
                <w:rFonts w:eastAsia="Times New Roman" w:cstheme="minorHAnsi"/>
                <w:b/>
                <w:sz w:val="18"/>
                <w:szCs w:val="18"/>
                <w:lang w:eastAsia="en-GB"/>
              </w:rPr>
            </w:pPr>
            <w:r w:rsidRPr="00A66ECE">
              <w:rPr>
                <w:rFonts w:eastAsia="Times New Roman" w:cstheme="minorHAnsi"/>
                <w:sz w:val="18"/>
                <w:szCs w:val="18"/>
                <w:lang w:eastAsia="en-GB"/>
              </w:rPr>
              <w:t>Do you feel adequately prepared for your current clinical role if there is another peak of COVID cases? (mean, SD)</w:t>
            </w:r>
          </w:p>
        </w:tc>
        <w:tc>
          <w:tcPr>
            <w:tcW w:w="2126" w:type="dxa"/>
          </w:tcPr>
          <w:p w14:paraId="3CC26651" w14:textId="6F64E23D" w:rsidR="00846D12" w:rsidRPr="00A66ECE" w:rsidRDefault="00846D12" w:rsidP="0011589E">
            <w:pPr>
              <w:rPr>
                <w:rFonts w:eastAsia="Times New Roman" w:cstheme="minorHAnsi"/>
                <w:sz w:val="18"/>
                <w:szCs w:val="18"/>
                <w:lang w:eastAsia="en-GB"/>
              </w:rPr>
            </w:pPr>
            <w:r w:rsidRPr="00A66ECE">
              <w:rPr>
                <w:rFonts w:eastAsia="Times New Roman" w:cstheme="minorHAnsi"/>
                <w:sz w:val="18"/>
                <w:szCs w:val="18"/>
                <w:lang w:eastAsia="en-GB"/>
              </w:rPr>
              <w:t xml:space="preserve">7.30 </w:t>
            </w:r>
            <w:r w:rsidR="0011589E">
              <w:rPr>
                <w:rFonts w:eastAsia="Times New Roman" w:cstheme="minorHAnsi"/>
                <w:sz w:val="18"/>
                <w:szCs w:val="18"/>
                <w:lang w:eastAsia="en-GB"/>
              </w:rPr>
              <w:tab/>
            </w:r>
            <w:r w:rsidRPr="00A66ECE">
              <w:rPr>
                <w:rFonts w:eastAsia="Times New Roman" w:cstheme="minorHAnsi"/>
                <w:sz w:val="18"/>
                <w:szCs w:val="18"/>
                <w:lang w:eastAsia="en-GB"/>
              </w:rPr>
              <w:t>(2.13)</w:t>
            </w:r>
          </w:p>
        </w:tc>
      </w:tr>
      <w:tr w:rsidR="00846D12" w:rsidRPr="00A66ECE" w14:paraId="1A833FBB" w14:textId="77777777" w:rsidTr="0011589E">
        <w:tc>
          <w:tcPr>
            <w:tcW w:w="8075" w:type="dxa"/>
          </w:tcPr>
          <w:p w14:paraId="7B898E4E" w14:textId="40E55DC3" w:rsidR="00846D12" w:rsidRPr="00A66ECE" w:rsidRDefault="00846D12" w:rsidP="00846D12">
            <w:pPr>
              <w:jc w:val="both"/>
              <w:rPr>
                <w:rFonts w:eastAsia="Times New Roman" w:cstheme="minorHAnsi"/>
                <w:b/>
                <w:sz w:val="18"/>
                <w:szCs w:val="18"/>
                <w:lang w:eastAsia="en-GB"/>
              </w:rPr>
            </w:pPr>
            <w:r w:rsidRPr="00A66ECE">
              <w:rPr>
                <w:rFonts w:eastAsia="Times New Roman" w:cstheme="minorHAnsi"/>
                <w:sz w:val="18"/>
                <w:szCs w:val="18"/>
                <w:lang w:eastAsia="en-GB"/>
              </w:rPr>
              <w:t>Have you considered leaving nursing because of the pandemic? (Yes)</w:t>
            </w:r>
          </w:p>
        </w:tc>
        <w:tc>
          <w:tcPr>
            <w:tcW w:w="2126" w:type="dxa"/>
          </w:tcPr>
          <w:p w14:paraId="67253C32" w14:textId="3A4AEA37" w:rsidR="00846D12" w:rsidRPr="00A66ECE" w:rsidRDefault="00846D12" w:rsidP="00846D12">
            <w:pPr>
              <w:jc w:val="both"/>
              <w:rPr>
                <w:rFonts w:eastAsia="Times New Roman" w:cstheme="minorHAnsi"/>
                <w:sz w:val="18"/>
                <w:szCs w:val="18"/>
                <w:lang w:eastAsia="en-GB"/>
              </w:rPr>
            </w:pPr>
            <w:r w:rsidRPr="00A66ECE">
              <w:rPr>
                <w:rFonts w:eastAsia="Times New Roman" w:cstheme="minorHAnsi"/>
                <w:sz w:val="18"/>
                <w:szCs w:val="18"/>
                <w:lang w:eastAsia="en-GB"/>
              </w:rPr>
              <w:t>41</w:t>
            </w:r>
            <w:r w:rsidRPr="00A66ECE">
              <w:rPr>
                <w:rFonts w:eastAsia="Times New Roman" w:cstheme="minorHAnsi"/>
                <w:sz w:val="18"/>
                <w:szCs w:val="18"/>
                <w:lang w:eastAsia="en-GB"/>
              </w:rPr>
              <w:tab/>
              <w:t>(25.5)</w:t>
            </w:r>
          </w:p>
        </w:tc>
      </w:tr>
      <w:tr w:rsidR="00846D12" w:rsidRPr="00A66ECE" w14:paraId="4BFCA2A5" w14:textId="77777777" w:rsidTr="0011589E">
        <w:tc>
          <w:tcPr>
            <w:tcW w:w="8075" w:type="dxa"/>
          </w:tcPr>
          <w:tbl>
            <w:tblPr>
              <w:tblW w:w="0" w:type="auto"/>
              <w:tblBorders>
                <w:top w:val="nil"/>
                <w:left w:val="nil"/>
                <w:bottom w:val="nil"/>
                <w:right w:val="nil"/>
              </w:tblBorders>
              <w:tblLook w:val="0000" w:firstRow="0" w:lastRow="0" w:firstColumn="0" w:lastColumn="0" w:noHBand="0" w:noVBand="0"/>
            </w:tblPr>
            <w:tblGrid>
              <w:gridCol w:w="3630"/>
            </w:tblGrid>
            <w:tr w:rsidR="00846D12" w:rsidRPr="00A66ECE" w14:paraId="29BFD0F1" w14:textId="77777777" w:rsidTr="00637E41">
              <w:trPr>
                <w:trHeight w:val="386"/>
              </w:trPr>
              <w:tc>
                <w:tcPr>
                  <w:tcW w:w="0" w:type="auto"/>
                </w:tcPr>
                <w:p w14:paraId="67081ACB" w14:textId="77777777" w:rsidR="00846D12" w:rsidRPr="00A66ECE" w:rsidRDefault="00846D12" w:rsidP="00846D12">
                  <w:pPr>
                    <w:spacing w:after="0" w:line="240" w:lineRule="auto"/>
                    <w:rPr>
                      <w:rFonts w:eastAsia="Times New Roman" w:cstheme="minorHAnsi"/>
                      <w:sz w:val="18"/>
                      <w:szCs w:val="18"/>
                      <w:lang w:eastAsia="en-GB"/>
                    </w:rPr>
                  </w:pPr>
                  <w:r w:rsidRPr="00A66ECE">
                    <w:rPr>
                      <w:rFonts w:eastAsia="Times New Roman" w:cstheme="minorHAnsi"/>
                      <w:sz w:val="18"/>
                      <w:szCs w:val="18"/>
                      <w:lang w:eastAsia="en-GB"/>
                    </w:rPr>
                    <w:t xml:space="preserve">Have you had the COVID-19 infection? (n=161) </w:t>
                  </w:r>
                </w:p>
                <w:p w14:paraId="3CF8BD48" w14:textId="77777777" w:rsidR="00846D12" w:rsidRPr="00A66ECE" w:rsidRDefault="00846D12" w:rsidP="00846D12">
                  <w:pPr>
                    <w:spacing w:after="0" w:line="240" w:lineRule="auto"/>
                    <w:rPr>
                      <w:rFonts w:eastAsia="Times New Roman" w:cstheme="minorHAnsi"/>
                      <w:sz w:val="18"/>
                      <w:szCs w:val="18"/>
                      <w:lang w:eastAsia="en-GB"/>
                    </w:rPr>
                  </w:pPr>
                  <w:r w:rsidRPr="00A66ECE">
                    <w:rPr>
                      <w:rFonts w:eastAsia="Times New Roman" w:cstheme="minorHAnsi"/>
                      <w:sz w:val="18"/>
                      <w:szCs w:val="18"/>
                      <w:lang w:eastAsia="en-GB"/>
                    </w:rPr>
                    <w:t xml:space="preserve">Yes </w:t>
                  </w:r>
                </w:p>
                <w:p w14:paraId="2D823D56" w14:textId="77777777" w:rsidR="00846D12" w:rsidRPr="00A66ECE" w:rsidRDefault="00846D12" w:rsidP="00846D12">
                  <w:pPr>
                    <w:spacing w:after="0" w:line="240" w:lineRule="auto"/>
                    <w:rPr>
                      <w:rFonts w:eastAsia="Times New Roman" w:cstheme="minorHAnsi"/>
                      <w:sz w:val="18"/>
                      <w:szCs w:val="18"/>
                      <w:lang w:eastAsia="en-GB"/>
                    </w:rPr>
                  </w:pPr>
                  <w:r w:rsidRPr="00A66ECE">
                    <w:rPr>
                      <w:rFonts w:eastAsia="Times New Roman" w:cstheme="minorHAnsi"/>
                      <w:sz w:val="18"/>
                      <w:szCs w:val="18"/>
                      <w:lang w:eastAsia="en-GB"/>
                    </w:rPr>
                    <w:t xml:space="preserve">No </w:t>
                  </w:r>
                </w:p>
                <w:p w14:paraId="7877DF56" w14:textId="77777777" w:rsidR="00846D12" w:rsidRPr="00A66ECE" w:rsidRDefault="00846D12" w:rsidP="00846D12">
                  <w:pPr>
                    <w:spacing w:after="0" w:line="240" w:lineRule="auto"/>
                    <w:rPr>
                      <w:rFonts w:eastAsia="Times New Roman" w:cstheme="minorHAnsi"/>
                      <w:sz w:val="18"/>
                      <w:szCs w:val="18"/>
                      <w:lang w:eastAsia="en-GB"/>
                    </w:rPr>
                  </w:pPr>
                  <w:r w:rsidRPr="00A66ECE">
                    <w:rPr>
                      <w:rFonts w:eastAsia="Times New Roman" w:cstheme="minorHAnsi"/>
                      <w:sz w:val="18"/>
                      <w:szCs w:val="18"/>
                      <w:lang w:eastAsia="en-GB"/>
                    </w:rPr>
                    <w:t xml:space="preserve">Unconfirmed – testing not available </w:t>
                  </w:r>
                </w:p>
              </w:tc>
            </w:tr>
          </w:tbl>
          <w:p w14:paraId="38309C2F" w14:textId="77777777" w:rsidR="00846D12" w:rsidRPr="00A66ECE" w:rsidRDefault="00846D12" w:rsidP="00846D12">
            <w:pPr>
              <w:jc w:val="both"/>
              <w:rPr>
                <w:rFonts w:eastAsia="Times New Roman" w:cstheme="minorHAnsi"/>
                <w:b/>
                <w:sz w:val="18"/>
                <w:szCs w:val="18"/>
                <w:lang w:eastAsia="en-GB"/>
              </w:rPr>
            </w:pPr>
          </w:p>
        </w:tc>
        <w:tc>
          <w:tcPr>
            <w:tcW w:w="2126" w:type="dxa"/>
          </w:tcPr>
          <w:p w14:paraId="3EBF7A34" w14:textId="77777777" w:rsidR="00846D12" w:rsidRPr="00A66ECE" w:rsidRDefault="00846D12" w:rsidP="00846D12">
            <w:pPr>
              <w:rPr>
                <w:rFonts w:eastAsia="Times New Roman" w:cstheme="minorHAnsi"/>
                <w:sz w:val="18"/>
                <w:szCs w:val="18"/>
                <w:lang w:eastAsia="en-GB"/>
              </w:rPr>
            </w:pPr>
          </w:p>
          <w:p w14:paraId="52BFEFC3" w14:textId="77777777" w:rsidR="00846D12" w:rsidRPr="00A66ECE" w:rsidRDefault="00846D12" w:rsidP="00846D12">
            <w:pPr>
              <w:rPr>
                <w:rFonts w:eastAsia="Times New Roman" w:cstheme="minorHAnsi"/>
                <w:sz w:val="18"/>
                <w:szCs w:val="18"/>
                <w:lang w:eastAsia="en-GB"/>
              </w:rPr>
            </w:pPr>
            <w:r w:rsidRPr="00A66ECE">
              <w:rPr>
                <w:rFonts w:eastAsia="Times New Roman" w:cstheme="minorHAnsi"/>
                <w:sz w:val="18"/>
                <w:szCs w:val="18"/>
                <w:lang w:eastAsia="en-GB"/>
              </w:rPr>
              <w:t xml:space="preserve">27 </w:t>
            </w:r>
            <w:r w:rsidRPr="00A66ECE">
              <w:rPr>
                <w:rFonts w:eastAsia="Times New Roman" w:cstheme="minorHAnsi"/>
                <w:sz w:val="18"/>
                <w:szCs w:val="18"/>
                <w:lang w:eastAsia="en-GB"/>
              </w:rPr>
              <w:tab/>
              <w:t xml:space="preserve">(16.8) </w:t>
            </w:r>
          </w:p>
          <w:p w14:paraId="285DE1A2" w14:textId="77777777" w:rsidR="00846D12" w:rsidRPr="00A66ECE" w:rsidRDefault="00846D12" w:rsidP="00846D12">
            <w:pPr>
              <w:rPr>
                <w:rFonts w:eastAsia="Times New Roman" w:cstheme="minorHAnsi"/>
                <w:sz w:val="18"/>
                <w:szCs w:val="18"/>
                <w:lang w:eastAsia="en-GB"/>
              </w:rPr>
            </w:pPr>
            <w:r w:rsidRPr="00A66ECE">
              <w:rPr>
                <w:rFonts w:eastAsia="Times New Roman" w:cstheme="minorHAnsi"/>
                <w:sz w:val="18"/>
                <w:szCs w:val="18"/>
                <w:lang w:eastAsia="en-GB"/>
              </w:rPr>
              <w:t xml:space="preserve">114 </w:t>
            </w:r>
            <w:r w:rsidRPr="00A66ECE">
              <w:rPr>
                <w:rFonts w:eastAsia="Times New Roman" w:cstheme="minorHAnsi"/>
                <w:sz w:val="18"/>
                <w:szCs w:val="18"/>
                <w:lang w:eastAsia="en-GB"/>
              </w:rPr>
              <w:tab/>
              <w:t xml:space="preserve">(70.8) </w:t>
            </w:r>
          </w:p>
          <w:p w14:paraId="3BE49A34" w14:textId="34A5DCDE" w:rsidR="00846D12" w:rsidRPr="00A66ECE" w:rsidRDefault="00846D12" w:rsidP="00846D12">
            <w:pPr>
              <w:jc w:val="both"/>
              <w:rPr>
                <w:rFonts w:eastAsia="Times New Roman" w:cstheme="minorHAnsi"/>
                <w:sz w:val="18"/>
                <w:szCs w:val="18"/>
                <w:lang w:eastAsia="en-GB"/>
              </w:rPr>
            </w:pPr>
            <w:r w:rsidRPr="00A66ECE">
              <w:rPr>
                <w:rFonts w:eastAsia="Times New Roman" w:cstheme="minorHAnsi"/>
                <w:sz w:val="18"/>
                <w:szCs w:val="18"/>
                <w:lang w:eastAsia="en-GB"/>
              </w:rPr>
              <w:t>20</w:t>
            </w:r>
            <w:r w:rsidRPr="00A66ECE">
              <w:rPr>
                <w:rFonts w:eastAsia="Times New Roman" w:cstheme="minorHAnsi"/>
                <w:sz w:val="18"/>
                <w:szCs w:val="18"/>
                <w:lang w:eastAsia="en-GB"/>
              </w:rPr>
              <w:tab/>
              <w:t>(12.4)</w:t>
            </w:r>
          </w:p>
        </w:tc>
      </w:tr>
      <w:tr w:rsidR="00846D12" w:rsidRPr="00A66ECE" w14:paraId="6FFD9732" w14:textId="77777777" w:rsidTr="0011589E">
        <w:tc>
          <w:tcPr>
            <w:tcW w:w="8075" w:type="dxa"/>
          </w:tcPr>
          <w:p w14:paraId="5A170265" w14:textId="77777777" w:rsidR="00846D12" w:rsidRPr="00A66ECE" w:rsidRDefault="00846D12" w:rsidP="00846D12">
            <w:pPr>
              <w:rPr>
                <w:rFonts w:eastAsia="Times New Roman" w:cstheme="minorHAnsi"/>
                <w:sz w:val="18"/>
                <w:szCs w:val="18"/>
                <w:lang w:eastAsia="en-GB"/>
              </w:rPr>
            </w:pPr>
            <w:r w:rsidRPr="00A66ECE">
              <w:rPr>
                <w:rFonts w:eastAsia="Times New Roman" w:cstheme="minorHAnsi"/>
                <w:sz w:val="18"/>
                <w:szCs w:val="18"/>
                <w:lang w:eastAsia="en-GB"/>
              </w:rPr>
              <w:t xml:space="preserve">Have your career prospects been affected by the </w:t>
            </w:r>
            <w:proofErr w:type="gramStart"/>
            <w:r w:rsidRPr="00A66ECE">
              <w:rPr>
                <w:rFonts w:eastAsia="Times New Roman" w:cstheme="minorHAnsi"/>
                <w:sz w:val="18"/>
                <w:szCs w:val="18"/>
                <w:lang w:eastAsia="en-GB"/>
              </w:rPr>
              <w:t>pandemic</w:t>
            </w:r>
            <w:proofErr w:type="gramEnd"/>
          </w:p>
          <w:p w14:paraId="3FC3BD0D" w14:textId="77777777" w:rsidR="00846D12" w:rsidRPr="00A66ECE" w:rsidRDefault="00846D12" w:rsidP="00846D12">
            <w:pPr>
              <w:rPr>
                <w:rFonts w:eastAsia="Times New Roman" w:cstheme="minorHAnsi"/>
                <w:sz w:val="18"/>
                <w:szCs w:val="18"/>
                <w:lang w:eastAsia="en-GB"/>
              </w:rPr>
            </w:pPr>
            <w:r w:rsidRPr="00A66ECE">
              <w:rPr>
                <w:rFonts w:eastAsia="Times New Roman" w:cstheme="minorHAnsi"/>
                <w:sz w:val="18"/>
                <w:szCs w:val="18"/>
                <w:lang w:eastAsia="en-GB"/>
              </w:rPr>
              <w:t xml:space="preserve">Yes – positively </w:t>
            </w:r>
          </w:p>
          <w:p w14:paraId="533865D3" w14:textId="77777777" w:rsidR="00846D12" w:rsidRPr="00A66ECE" w:rsidRDefault="00846D12" w:rsidP="00846D12">
            <w:pPr>
              <w:rPr>
                <w:rFonts w:eastAsia="Times New Roman" w:cstheme="minorHAnsi"/>
                <w:sz w:val="18"/>
                <w:szCs w:val="18"/>
                <w:lang w:eastAsia="en-GB"/>
              </w:rPr>
            </w:pPr>
            <w:r w:rsidRPr="00A66ECE">
              <w:rPr>
                <w:rFonts w:eastAsia="Times New Roman" w:cstheme="minorHAnsi"/>
                <w:sz w:val="18"/>
                <w:szCs w:val="18"/>
                <w:lang w:eastAsia="en-GB"/>
              </w:rPr>
              <w:t>Yes- negatively</w:t>
            </w:r>
          </w:p>
          <w:p w14:paraId="07F4A107" w14:textId="35A74225" w:rsidR="00846D12" w:rsidRPr="00A66ECE" w:rsidRDefault="00846D12" w:rsidP="00846D12">
            <w:pPr>
              <w:jc w:val="both"/>
              <w:rPr>
                <w:rFonts w:eastAsia="Times New Roman" w:cstheme="minorHAnsi"/>
                <w:b/>
                <w:sz w:val="18"/>
                <w:szCs w:val="18"/>
                <w:lang w:eastAsia="en-GB"/>
              </w:rPr>
            </w:pPr>
            <w:r w:rsidRPr="00A66ECE">
              <w:rPr>
                <w:rFonts w:eastAsia="Times New Roman" w:cstheme="minorHAnsi"/>
                <w:sz w:val="18"/>
                <w:szCs w:val="18"/>
                <w:lang w:eastAsia="en-GB"/>
              </w:rPr>
              <w:t>No – no change</w:t>
            </w:r>
          </w:p>
        </w:tc>
        <w:tc>
          <w:tcPr>
            <w:tcW w:w="2126" w:type="dxa"/>
          </w:tcPr>
          <w:p w14:paraId="6CA14DE5" w14:textId="77777777" w:rsidR="00846D12" w:rsidRPr="00A66ECE" w:rsidRDefault="00846D12" w:rsidP="00846D12">
            <w:pPr>
              <w:rPr>
                <w:rFonts w:eastAsia="Times New Roman" w:cstheme="minorHAnsi"/>
                <w:sz w:val="18"/>
                <w:szCs w:val="18"/>
                <w:lang w:eastAsia="en-GB"/>
              </w:rPr>
            </w:pPr>
          </w:p>
          <w:p w14:paraId="52C88DEC" w14:textId="77777777" w:rsidR="00846D12" w:rsidRPr="00A66ECE" w:rsidRDefault="00846D12" w:rsidP="00846D12">
            <w:pPr>
              <w:rPr>
                <w:rFonts w:eastAsia="Times New Roman" w:cstheme="minorHAnsi"/>
                <w:sz w:val="18"/>
                <w:szCs w:val="18"/>
                <w:lang w:eastAsia="en-GB"/>
              </w:rPr>
            </w:pPr>
            <w:r w:rsidRPr="00A66ECE">
              <w:rPr>
                <w:rFonts w:eastAsia="Times New Roman" w:cstheme="minorHAnsi"/>
                <w:sz w:val="18"/>
                <w:szCs w:val="18"/>
                <w:lang w:eastAsia="en-GB"/>
              </w:rPr>
              <w:t>26</w:t>
            </w:r>
            <w:r w:rsidRPr="00A66ECE">
              <w:rPr>
                <w:rFonts w:eastAsia="Times New Roman" w:cstheme="minorHAnsi"/>
                <w:sz w:val="18"/>
                <w:szCs w:val="18"/>
                <w:lang w:eastAsia="en-GB"/>
              </w:rPr>
              <w:tab/>
              <w:t>(16.0)</w:t>
            </w:r>
          </w:p>
          <w:p w14:paraId="72F968B5" w14:textId="77777777" w:rsidR="00846D12" w:rsidRPr="00A66ECE" w:rsidRDefault="00846D12" w:rsidP="00846D12">
            <w:pPr>
              <w:rPr>
                <w:rFonts w:eastAsia="Times New Roman" w:cstheme="minorHAnsi"/>
                <w:sz w:val="18"/>
                <w:szCs w:val="18"/>
                <w:lang w:eastAsia="en-GB"/>
              </w:rPr>
            </w:pPr>
            <w:r w:rsidRPr="00A66ECE">
              <w:rPr>
                <w:rFonts w:eastAsia="Times New Roman" w:cstheme="minorHAnsi"/>
                <w:sz w:val="18"/>
                <w:szCs w:val="18"/>
                <w:lang w:eastAsia="en-GB"/>
              </w:rPr>
              <w:t>26</w:t>
            </w:r>
            <w:r w:rsidRPr="00A66ECE">
              <w:rPr>
                <w:rFonts w:eastAsia="Times New Roman" w:cstheme="minorHAnsi"/>
                <w:sz w:val="18"/>
                <w:szCs w:val="18"/>
                <w:lang w:eastAsia="en-GB"/>
              </w:rPr>
              <w:tab/>
              <w:t>(16.0)</w:t>
            </w:r>
          </w:p>
          <w:p w14:paraId="4ED22C62" w14:textId="6532CDA8" w:rsidR="00846D12" w:rsidRPr="00A66ECE" w:rsidRDefault="00846D12" w:rsidP="00846D12">
            <w:pPr>
              <w:jc w:val="both"/>
              <w:rPr>
                <w:rFonts w:eastAsia="Times New Roman" w:cstheme="minorHAnsi"/>
                <w:sz w:val="18"/>
                <w:szCs w:val="18"/>
                <w:lang w:eastAsia="en-GB"/>
              </w:rPr>
            </w:pPr>
            <w:r w:rsidRPr="00A66ECE">
              <w:rPr>
                <w:rFonts w:eastAsia="Times New Roman" w:cstheme="minorHAnsi"/>
                <w:sz w:val="18"/>
                <w:szCs w:val="18"/>
                <w:lang w:eastAsia="en-GB"/>
              </w:rPr>
              <w:t>113</w:t>
            </w:r>
            <w:r w:rsidRPr="00A66ECE">
              <w:rPr>
                <w:rFonts w:eastAsia="Times New Roman" w:cstheme="minorHAnsi"/>
                <w:sz w:val="18"/>
                <w:szCs w:val="18"/>
                <w:lang w:eastAsia="en-GB"/>
              </w:rPr>
              <w:tab/>
              <w:t>(70.1)</w:t>
            </w:r>
          </w:p>
        </w:tc>
      </w:tr>
      <w:tr w:rsidR="00846D12" w:rsidRPr="00A66ECE" w14:paraId="6C2D3ECE" w14:textId="77777777" w:rsidTr="0011589E">
        <w:tc>
          <w:tcPr>
            <w:tcW w:w="8075" w:type="dxa"/>
          </w:tcPr>
          <w:p w14:paraId="69088111" w14:textId="77777777" w:rsidR="00846D12" w:rsidRPr="00A66ECE" w:rsidRDefault="00846D12" w:rsidP="00846D12">
            <w:pPr>
              <w:rPr>
                <w:rFonts w:eastAsia="Times New Roman" w:cstheme="minorHAnsi"/>
                <w:sz w:val="18"/>
                <w:szCs w:val="18"/>
                <w:lang w:eastAsia="en-GB"/>
              </w:rPr>
            </w:pPr>
            <w:r w:rsidRPr="00A66ECE">
              <w:rPr>
                <w:rFonts w:eastAsia="Times New Roman" w:cstheme="minorHAnsi"/>
                <w:sz w:val="18"/>
                <w:szCs w:val="18"/>
                <w:lang w:eastAsia="en-GB"/>
              </w:rPr>
              <w:t>Have you experienced any emotional responses from patients since the start of the pandemic (n=</w:t>
            </w:r>
            <w:proofErr w:type="gramStart"/>
            <w:r w:rsidRPr="00A66ECE">
              <w:rPr>
                <w:rFonts w:eastAsia="Times New Roman" w:cstheme="minorHAnsi"/>
                <w:sz w:val="18"/>
                <w:szCs w:val="18"/>
                <w:lang w:eastAsia="en-GB"/>
              </w:rPr>
              <w:t>161)</w:t>
            </w:r>
            <w:proofErr w:type="gramEnd"/>
          </w:p>
          <w:p w14:paraId="064C5D9E" w14:textId="77777777" w:rsidR="00846D12" w:rsidRPr="00A66ECE" w:rsidRDefault="00846D12" w:rsidP="00846D12">
            <w:pPr>
              <w:rPr>
                <w:rFonts w:eastAsia="Times New Roman" w:cstheme="minorHAnsi"/>
                <w:sz w:val="18"/>
                <w:szCs w:val="18"/>
                <w:lang w:eastAsia="en-GB"/>
              </w:rPr>
            </w:pPr>
            <w:r w:rsidRPr="00A66ECE">
              <w:rPr>
                <w:rFonts w:eastAsia="Times New Roman" w:cstheme="minorHAnsi"/>
                <w:sz w:val="18"/>
                <w:szCs w:val="18"/>
                <w:lang w:eastAsia="en-GB"/>
              </w:rPr>
              <w:tab/>
              <w:t>Yes – positive</w:t>
            </w:r>
          </w:p>
          <w:p w14:paraId="6E9E5312" w14:textId="3AB03437" w:rsidR="00846D12" w:rsidRPr="00A66ECE" w:rsidRDefault="00846D12" w:rsidP="00846D12">
            <w:pPr>
              <w:jc w:val="both"/>
              <w:rPr>
                <w:rFonts w:eastAsia="Times New Roman" w:cstheme="minorHAnsi"/>
                <w:b/>
                <w:sz w:val="18"/>
                <w:szCs w:val="18"/>
                <w:lang w:eastAsia="en-GB"/>
              </w:rPr>
            </w:pPr>
            <w:r w:rsidRPr="00A66ECE">
              <w:rPr>
                <w:rFonts w:eastAsia="Times New Roman" w:cstheme="minorHAnsi"/>
                <w:sz w:val="18"/>
                <w:szCs w:val="18"/>
                <w:lang w:eastAsia="en-GB"/>
              </w:rPr>
              <w:tab/>
              <w:t xml:space="preserve">Yes – Negative </w:t>
            </w:r>
          </w:p>
        </w:tc>
        <w:tc>
          <w:tcPr>
            <w:tcW w:w="2126" w:type="dxa"/>
          </w:tcPr>
          <w:p w14:paraId="14CFF634" w14:textId="77777777" w:rsidR="00846D12" w:rsidRPr="00A66ECE" w:rsidRDefault="00846D12" w:rsidP="00846D12">
            <w:pPr>
              <w:rPr>
                <w:rFonts w:eastAsia="Times New Roman" w:cstheme="minorHAnsi"/>
                <w:sz w:val="18"/>
                <w:szCs w:val="18"/>
                <w:lang w:eastAsia="en-GB"/>
              </w:rPr>
            </w:pPr>
          </w:p>
          <w:p w14:paraId="671848F4" w14:textId="77777777" w:rsidR="00846D12" w:rsidRPr="00A66ECE" w:rsidRDefault="00846D12" w:rsidP="00846D12">
            <w:pPr>
              <w:rPr>
                <w:rFonts w:eastAsia="Times New Roman" w:cstheme="minorHAnsi"/>
                <w:sz w:val="18"/>
                <w:szCs w:val="18"/>
                <w:lang w:eastAsia="en-GB"/>
              </w:rPr>
            </w:pPr>
            <w:r w:rsidRPr="00A66ECE">
              <w:rPr>
                <w:rFonts w:eastAsia="Times New Roman" w:cstheme="minorHAnsi"/>
                <w:sz w:val="18"/>
                <w:szCs w:val="18"/>
                <w:lang w:eastAsia="en-GB"/>
              </w:rPr>
              <w:t>139</w:t>
            </w:r>
            <w:r w:rsidRPr="00A66ECE">
              <w:rPr>
                <w:rFonts w:eastAsia="Times New Roman" w:cstheme="minorHAnsi"/>
                <w:sz w:val="18"/>
                <w:szCs w:val="18"/>
                <w:lang w:eastAsia="en-GB"/>
              </w:rPr>
              <w:tab/>
              <w:t>(85.8)</w:t>
            </w:r>
          </w:p>
          <w:p w14:paraId="4AE5C7C2" w14:textId="29B3B77F" w:rsidR="00846D12" w:rsidRPr="00A66ECE" w:rsidRDefault="00846D12" w:rsidP="00846D12">
            <w:pPr>
              <w:jc w:val="both"/>
              <w:rPr>
                <w:rFonts w:eastAsia="Times New Roman" w:cstheme="minorHAnsi"/>
                <w:sz w:val="18"/>
                <w:szCs w:val="18"/>
                <w:lang w:eastAsia="en-GB"/>
              </w:rPr>
            </w:pPr>
            <w:r w:rsidRPr="00A66ECE">
              <w:rPr>
                <w:rFonts w:eastAsia="Times New Roman" w:cstheme="minorHAnsi"/>
                <w:sz w:val="18"/>
                <w:szCs w:val="18"/>
                <w:lang w:eastAsia="en-GB"/>
              </w:rPr>
              <w:t>113</w:t>
            </w:r>
            <w:r w:rsidRPr="00A66ECE">
              <w:rPr>
                <w:rFonts w:eastAsia="Times New Roman" w:cstheme="minorHAnsi"/>
                <w:sz w:val="18"/>
                <w:szCs w:val="18"/>
                <w:lang w:eastAsia="en-GB"/>
              </w:rPr>
              <w:tab/>
              <w:t>(69.8)</w:t>
            </w:r>
            <w:r w:rsidRPr="00A66ECE">
              <w:rPr>
                <w:rFonts w:eastAsia="Times New Roman" w:cstheme="minorHAnsi"/>
                <w:sz w:val="18"/>
                <w:szCs w:val="18"/>
                <w:lang w:eastAsia="en-GB"/>
              </w:rPr>
              <w:tab/>
            </w:r>
          </w:p>
        </w:tc>
      </w:tr>
      <w:tr w:rsidR="00846D12" w:rsidRPr="00A66ECE" w14:paraId="3A77435D" w14:textId="77777777" w:rsidTr="0011589E">
        <w:tc>
          <w:tcPr>
            <w:tcW w:w="8075" w:type="dxa"/>
          </w:tcPr>
          <w:p w14:paraId="23FFBE7F" w14:textId="77777777" w:rsidR="00846D12" w:rsidRPr="00846D12" w:rsidRDefault="00846D12" w:rsidP="00846D12">
            <w:pPr>
              <w:jc w:val="both"/>
              <w:rPr>
                <w:rFonts w:eastAsia="Times New Roman" w:cstheme="minorHAnsi"/>
                <w:b/>
                <w:sz w:val="18"/>
                <w:szCs w:val="18"/>
                <w:lang w:eastAsia="en-GB"/>
              </w:rPr>
            </w:pPr>
            <w:r w:rsidRPr="00846D12">
              <w:rPr>
                <w:rFonts w:eastAsia="Times New Roman" w:cstheme="minorHAnsi"/>
                <w:b/>
                <w:sz w:val="18"/>
                <w:szCs w:val="18"/>
                <w:lang w:eastAsia="en-GB"/>
              </w:rPr>
              <w:t>Resilience (n=158)</w:t>
            </w:r>
          </w:p>
          <w:p w14:paraId="253BC549" w14:textId="77777777" w:rsidR="00846D12" w:rsidRPr="00A66ECE" w:rsidRDefault="00846D12" w:rsidP="00846D12">
            <w:pPr>
              <w:jc w:val="both"/>
              <w:rPr>
                <w:rFonts w:eastAsia="Times New Roman" w:cstheme="minorHAnsi"/>
                <w:sz w:val="18"/>
                <w:szCs w:val="18"/>
                <w:lang w:eastAsia="en-GB"/>
              </w:rPr>
            </w:pPr>
            <w:r w:rsidRPr="00A66ECE">
              <w:rPr>
                <w:rFonts w:eastAsia="Times New Roman" w:cstheme="minorHAnsi"/>
                <w:sz w:val="18"/>
                <w:szCs w:val="18"/>
                <w:lang w:eastAsia="en-GB"/>
              </w:rPr>
              <w:tab/>
              <w:t>Very low</w:t>
            </w:r>
          </w:p>
          <w:p w14:paraId="010C4F60" w14:textId="77777777" w:rsidR="00846D12" w:rsidRPr="00A66ECE" w:rsidRDefault="00846D12" w:rsidP="00846D12">
            <w:pPr>
              <w:jc w:val="both"/>
              <w:rPr>
                <w:rFonts w:eastAsia="Times New Roman" w:cstheme="minorHAnsi"/>
                <w:sz w:val="18"/>
                <w:szCs w:val="18"/>
                <w:lang w:eastAsia="en-GB"/>
              </w:rPr>
            </w:pPr>
            <w:r w:rsidRPr="00A66ECE">
              <w:rPr>
                <w:rFonts w:eastAsia="Times New Roman" w:cstheme="minorHAnsi"/>
                <w:sz w:val="18"/>
                <w:szCs w:val="18"/>
                <w:lang w:eastAsia="en-GB"/>
              </w:rPr>
              <w:tab/>
              <w:t>Low</w:t>
            </w:r>
          </w:p>
          <w:p w14:paraId="504DBEC9" w14:textId="5AB79FFB" w:rsidR="00846D12" w:rsidRPr="00A66ECE" w:rsidRDefault="00846D12" w:rsidP="00846D12">
            <w:pPr>
              <w:jc w:val="both"/>
              <w:rPr>
                <w:rFonts w:eastAsia="Times New Roman" w:cstheme="minorHAnsi"/>
                <w:sz w:val="18"/>
                <w:szCs w:val="18"/>
                <w:lang w:eastAsia="en-GB"/>
              </w:rPr>
            </w:pPr>
            <w:r w:rsidRPr="00A66ECE">
              <w:rPr>
                <w:rFonts w:eastAsia="Times New Roman" w:cstheme="minorHAnsi"/>
                <w:sz w:val="18"/>
                <w:szCs w:val="18"/>
                <w:lang w:eastAsia="en-GB"/>
              </w:rPr>
              <w:tab/>
            </w:r>
            <w:r w:rsidR="00A35E88">
              <w:rPr>
                <w:rFonts w:eastAsia="Times New Roman" w:cstheme="minorHAnsi"/>
                <w:sz w:val="18"/>
                <w:szCs w:val="18"/>
                <w:lang w:eastAsia="en-GB"/>
              </w:rPr>
              <w:t>O</w:t>
            </w:r>
            <w:r w:rsidRPr="00A66ECE">
              <w:rPr>
                <w:rFonts w:eastAsia="Times New Roman" w:cstheme="minorHAnsi"/>
                <w:sz w:val="18"/>
                <w:szCs w:val="18"/>
                <w:lang w:eastAsia="en-GB"/>
              </w:rPr>
              <w:t>n the low end</w:t>
            </w:r>
          </w:p>
          <w:p w14:paraId="519D059A" w14:textId="759A0FD7" w:rsidR="00846D12" w:rsidRPr="00A66ECE" w:rsidRDefault="00846D12" w:rsidP="00846D12">
            <w:pPr>
              <w:jc w:val="both"/>
              <w:rPr>
                <w:rFonts w:eastAsia="Times New Roman" w:cstheme="minorHAnsi"/>
                <w:sz w:val="18"/>
                <w:szCs w:val="18"/>
                <w:lang w:eastAsia="en-GB"/>
              </w:rPr>
            </w:pPr>
            <w:r w:rsidRPr="00A66ECE">
              <w:rPr>
                <w:rFonts w:eastAsia="Times New Roman" w:cstheme="minorHAnsi"/>
                <w:sz w:val="18"/>
                <w:szCs w:val="18"/>
                <w:lang w:eastAsia="en-GB"/>
              </w:rPr>
              <w:tab/>
            </w:r>
            <w:r w:rsidR="00A35E88">
              <w:rPr>
                <w:rFonts w:eastAsia="Times New Roman" w:cstheme="minorHAnsi"/>
                <w:sz w:val="18"/>
                <w:szCs w:val="18"/>
                <w:lang w:eastAsia="en-GB"/>
              </w:rPr>
              <w:t>M</w:t>
            </w:r>
            <w:r w:rsidRPr="00A66ECE">
              <w:rPr>
                <w:rFonts w:eastAsia="Times New Roman" w:cstheme="minorHAnsi"/>
                <w:sz w:val="18"/>
                <w:szCs w:val="18"/>
                <w:lang w:eastAsia="en-GB"/>
              </w:rPr>
              <w:t>oderate</w:t>
            </w:r>
          </w:p>
          <w:p w14:paraId="0FECCF6C" w14:textId="1253B30E" w:rsidR="00846D12" w:rsidRPr="00A66ECE" w:rsidRDefault="00846D12" w:rsidP="00846D12">
            <w:pPr>
              <w:jc w:val="both"/>
              <w:rPr>
                <w:rFonts w:eastAsia="Times New Roman" w:cstheme="minorHAnsi"/>
                <w:sz w:val="18"/>
                <w:szCs w:val="18"/>
                <w:lang w:eastAsia="en-GB"/>
              </w:rPr>
            </w:pPr>
            <w:r w:rsidRPr="00A66ECE">
              <w:rPr>
                <w:rFonts w:eastAsia="Times New Roman" w:cstheme="minorHAnsi"/>
                <w:sz w:val="18"/>
                <w:szCs w:val="18"/>
                <w:lang w:eastAsia="en-GB"/>
              </w:rPr>
              <w:tab/>
            </w:r>
            <w:r w:rsidR="00A35E88">
              <w:rPr>
                <w:rFonts w:eastAsia="Times New Roman" w:cstheme="minorHAnsi"/>
                <w:sz w:val="18"/>
                <w:szCs w:val="18"/>
                <w:lang w:eastAsia="en-GB"/>
              </w:rPr>
              <w:t>M</w:t>
            </w:r>
            <w:r w:rsidRPr="00A66ECE">
              <w:rPr>
                <w:rFonts w:eastAsia="Times New Roman" w:cstheme="minorHAnsi"/>
                <w:sz w:val="18"/>
                <w:szCs w:val="18"/>
                <w:lang w:eastAsia="en-GB"/>
              </w:rPr>
              <w:t>oderately high</w:t>
            </w:r>
          </w:p>
          <w:p w14:paraId="0ADE19FC" w14:textId="77777777" w:rsidR="00846D12" w:rsidRPr="00A66ECE" w:rsidRDefault="00846D12" w:rsidP="00846D12">
            <w:pPr>
              <w:jc w:val="both"/>
              <w:rPr>
                <w:rFonts w:eastAsia="Times New Roman" w:cstheme="minorHAnsi"/>
                <w:sz w:val="18"/>
                <w:szCs w:val="18"/>
                <w:lang w:eastAsia="en-GB"/>
              </w:rPr>
            </w:pPr>
            <w:r w:rsidRPr="00A66ECE">
              <w:rPr>
                <w:rFonts w:eastAsia="Times New Roman" w:cstheme="minorHAnsi"/>
                <w:sz w:val="18"/>
                <w:szCs w:val="18"/>
                <w:lang w:eastAsia="en-GB"/>
              </w:rPr>
              <w:tab/>
              <w:t>High</w:t>
            </w:r>
          </w:p>
          <w:p w14:paraId="22B28A8B" w14:textId="77777777" w:rsidR="00846D12" w:rsidRPr="00A66ECE" w:rsidRDefault="00846D12" w:rsidP="00846D12">
            <w:pPr>
              <w:jc w:val="both"/>
              <w:rPr>
                <w:rFonts w:eastAsia="Times New Roman" w:cstheme="minorHAnsi"/>
                <w:sz w:val="18"/>
                <w:szCs w:val="18"/>
                <w:lang w:eastAsia="en-GB"/>
              </w:rPr>
            </w:pPr>
            <w:r w:rsidRPr="00A66ECE">
              <w:rPr>
                <w:rFonts w:eastAsia="Times New Roman" w:cstheme="minorHAnsi"/>
                <w:sz w:val="18"/>
                <w:szCs w:val="18"/>
                <w:lang w:eastAsia="en-GB"/>
              </w:rPr>
              <w:t>Mean score (SD)</w:t>
            </w:r>
          </w:p>
          <w:p w14:paraId="3679B3B7" w14:textId="77777777" w:rsidR="00846D12" w:rsidRPr="00A66ECE" w:rsidRDefault="00846D12" w:rsidP="00846D12">
            <w:pPr>
              <w:jc w:val="both"/>
              <w:rPr>
                <w:rFonts w:eastAsia="Times New Roman" w:cstheme="minorHAnsi"/>
                <w:sz w:val="18"/>
                <w:szCs w:val="18"/>
                <w:lang w:eastAsia="en-GB"/>
              </w:rPr>
            </w:pPr>
            <w:r w:rsidRPr="00A66ECE">
              <w:rPr>
                <w:rFonts w:eastAsia="Times New Roman" w:cstheme="minorHAnsi"/>
                <w:sz w:val="18"/>
                <w:szCs w:val="18"/>
                <w:lang w:eastAsia="en-GB"/>
              </w:rPr>
              <w:t>Median (Min, Max)</w:t>
            </w:r>
          </w:p>
        </w:tc>
        <w:tc>
          <w:tcPr>
            <w:tcW w:w="2126" w:type="dxa"/>
          </w:tcPr>
          <w:p w14:paraId="75F03650" w14:textId="77777777" w:rsidR="00846D12" w:rsidRPr="00A66ECE" w:rsidRDefault="00846D12" w:rsidP="00846D12">
            <w:pPr>
              <w:jc w:val="both"/>
              <w:rPr>
                <w:rFonts w:eastAsia="Times New Roman" w:cstheme="minorHAnsi"/>
                <w:sz w:val="18"/>
                <w:szCs w:val="18"/>
                <w:lang w:eastAsia="en-GB"/>
              </w:rPr>
            </w:pPr>
          </w:p>
          <w:p w14:paraId="1B609C2B" w14:textId="77777777" w:rsidR="00846D12" w:rsidRPr="00A66ECE" w:rsidRDefault="00846D12" w:rsidP="00846D12">
            <w:pPr>
              <w:ind w:firstLine="59"/>
              <w:contextualSpacing/>
              <w:jc w:val="both"/>
              <w:rPr>
                <w:rFonts w:eastAsia="Times New Roman" w:cstheme="minorHAnsi"/>
                <w:sz w:val="18"/>
                <w:szCs w:val="18"/>
                <w:lang w:eastAsia="en-GB"/>
              </w:rPr>
            </w:pPr>
            <w:r w:rsidRPr="00A66ECE">
              <w:rPr>
                <w:rFonts w:eastAsia="Times New Roman" w:cstheme="minorHAnsi"/>
                <w:sz w:val="18"/>
                <w:szCs w:val="18"/>
                <w:lang w:eastAsia="en-GB"/>
              </w:rPr>
              <w:t>6</w:t>
            </w:r>
            <w:r w:rsidRPr="00A66ECE">
              <w:rPr>
                <w:rFonts w:eastAsia="Times New Roman" w:cstheme="minorHAnsi"/>
                <w:sz w:val="18"/>
                <w:szCs w:val="18"/>
                <w:lang w:eastAsia="en-GB"/>
              </w:rPr>
              <w:tab/>
              <w:t>(3.8)</w:t>
            </w:r>
          </w:p>
          <w:p w14:paraId="6453CFE5" w14:textId="77777777" w:rsidR="00846D12" w:rsidRPr="00A66ECE" w:rsidRDefault="00846D12" w:rsidP="00846D12">
            <w:pPr>
              <w:ind w:firstLine="59"/>
              <w:contextualSpacing/>
              <w:jc w:val="both"/>
              <w:rPr>
                <w:rFonts w:eastAsia="Times New Roman" w:cstheme="minorHAnsi"/>
                <w:sz w:val="18"/>
                <w:szCs w:val="18"/>
                <w:lang w:eastAsia="en-GB"/>
              </w:rPr>
            </w:pPr>
            <w:r w:rsidRPr="00A66ECE">
              <w:rPr>
                <w:rFonts w:eastAsia="Times New Roman" w:cstheme="minorHAnsi"/>
                <w:sz w:val="18"/>
                <w:szCs w:val="18"/>
                <w:lang w:eastAsia="en-GB"/>
              </w:rPr>
              <w:t>4</w:t>
            </w:r>
            <w:r w:rsidRPr="00A66ECE">
              <w:rPr>
                <w:rFonts w:eastAsia="Times New Roman" w:cstheme="minorHAnsi"/>
                <w:sz w:val="18"/>
                <w:szCs w:val="18"/>
                <w:lang w:eastAsia="en-GB"/>
              </w:rPr>
              <w:tab/>
              <w:t>(2.5)</w:t>
            </w:r>
          </w:p>
          <w:p w14:paraId="7E5B7FD2" w14:textId="77777777" w:rsidR="00846D12" w:rsidRPr="00A66ECE" w:rsidRDefault="00846D12" w:rsidP="00846D12">
            <w:pPr>
              <w:ind w:firstLine="59"/>
              <w:contextualSpacing/>
              <w:jc w:val="both"/>
              <w:rPr>
                <w:rFonts w:eastAsia="Times New Roman" w:cstheme="minorHAnsi"/>
                <w:sz w:val="18"/>
                <w:szCs w:val="18"/>
                <w:lang w:eastAsia="en-GB"/>
              </w:rPr>
            </w:pPr>
            <w:r w:rsidRPr="00A66ECE">
              <w:rPr>
                <w:rFonts w:eastAsia="Times New Roman" w:cstheme="minorHAnsi"/>
                <w:sz w:val="18"/>
                <w:szCs w:val="18"/>
                <w:lang w:eastAsia="en-GB"/>
              </w:rPr>
              <w:t>21</w:t>
            </w:r>
            <w:r w:rsidRPr="00A66ECE">
              <w:rPr>
                <w:rFonts w:eastAsia="Times New Roman" w:cstheme="minorHAnsi"/>
                <w:sz w:val="18"/>
                <w:szCs w:val="18"/>
                <w:lang w:eastAsia="en-GB"/>
              </w:rPr>
              <w:tab/>
              <w:t>(13.3)</w:t>
            </w:r>
          </w:p>
          <w:p w14:paraId="17439041" w14:textId="77777777" w:rsidR="00846D12" w:rsidRPr="00A66ECE" w:rsidRDefault="00846D12" w:rsidP="00846D12">
            <w:pPr>
              <w:ind w:firstLine="59"/>
              <w:contextualSpacing/>
              <w:jc w:val="both"/>
              <w:rPr>
                <w:rFonts w:eastAsia="Times New Roman" w:cstheme="minorHAnsi"/>
                <w:sz w:val="18"/>
                <w:szCs w:val="18"/>
                <w:lang w:eastAsia="en-GB"/>
              </w:rPr>
            </w:pPr>
            <w:r w:rsidRPr="00A66ECE">
              <w:rPr>
                <w:rFonts w:eastAsia="Times New Roman" w:cstheme="minorHAnsi"/>
                <w:sz w:val="18"/>
                <w:szCs w:val="18"/>
                <w:lang w:eastAsia="en-GB"/>
              </w:rPr>
              <w:t>42</w:t>
            </w:r>
            <w:r w:rsidRPr="00A66ECE">
              <w:rPr>
                <w:rFonts w:eastAsia="Times New Roman" w:cstheme="minorHAnsi"/>
                <w:sz w:val="18"/>
                <w:szCs w:val="18"/>
                <w:lang w:eastAsia="en-GB"/>
              </w:rPr>
              <w:tab/>
              <w:t>(26.6)</w:t>
            </w:r>
          </w:p>
          <w:p w14:paraId="1601D5EC" w14:textId="77777777" w:rsidR="00846D12" w:rsidRPr="00A66ECE" w:rsidRDefault="00846D12" w:rsidP="00846D12">
            <w:pPr>
              <w:ind w:firstLine="59"/>
              <w:contextualSpacing/>
              <w:jc w:val="both"/>
              <w:rPr>
                <w:rFonts w:eastAsia="Times New Roman" w:cstheme="minorHAnsi"/>
                <w:sz w:val="18"/>
                <w:szCs w:val="18"/>
                <w:lang w:eastAsia="en-GB"/>
              </w:rPr>
            </w:pPr>
            <w:r w:rsidRPr="00A66ECE">
              <w:rPr>
                <w:rFonts w:eastAsia="Times New Roman" w:cstheme="minorHAnsi"/>
                <w:sz w:val="18"/>
                <w:szCs w:val="18"/>
                <w:lang w:eastAsia="en-GB"/>
              </w:rPr>
              <w:t>60</w:t>
            </w:r>
            <w:r w:rsidRPr="00A66ECE">
              <w:rPr>
                <w:rFonts w:eastAsia="Times New Roman" w:cstheme="minorHAnsi"/>
                <w:sz w:val="18"/>
                <w:szCs w:val="18"/>
                <w:lang w:eastAsia="en-GB"/>
              </w:rPr>
              <w:tab/>
              <w:t>(38.0)</w:t>
            </w:r>
          </w:p>
          <w:p w14:paraId="5F787D13" w14:textId="77777777" w:rsidR="00846D12" w:rsidRPr="00A66ECE" w:rsidRDefault="00846D12" w:rsidP="00846D12">
            <w:pPr>
              <w:ind w:firstLine="59"/>
              <w:contextualSpacing/>
              <w:jc w:val="both"/>
              <w:rPr>
                <w:rFonts w:eastAsia="Times New Roman" w:cstheme="minorHAnsi"/>
                <w:sz w:val="18"/>
                <w:szCs w:val="18"/>
                <w:lang w:eastAsia="en-GB"/>
              </w:rPr>
            </w:pPr>
            <w:r w:rsidRPr="00A66ECE">
              <w:rPr>
                <w:rFonts w:eastAsia="Times New Roman" w:cstheme="minorHAnsi"/>
                <w:sz w:val="18"/>
                <w:szCs w:val="18"/>
                <w:lang w:eastAsia="en-GB"/>
              </w:rPr>
              <w:t>25</w:t>
            </w:r>
            <w:r w:rsidRPr="00A66ECE">
              <w:rPr>
                <w:rFonts w:eastAsia="Times New Roman" w:cstheme="minorHAnsi"/>
                <w:sz w:val="18"/>
                <w:szCs w:val="18"/>
                <w:lang w:eastAsia="en-GB"/>
              </w:rPr>
              <w:tab/>
              <w:t>(15.8)</w:t>
            </w:r>
          </w:p>
          <w:p w14:paraId="71E4116A" w14:textId="77777777" w:rsidR="00846D12" w:rsidRPr="00A66ECE" w:rsidRDefault="00846D12" w:rsidP="00846D12">
            <w:pPr>
              <w:ind w:firstLine="59"/>
              <w:contextualSpacing/>
              <w:jc w:val="both"/>
              <w:rPr>
                <w:rFonts w:eastAsia="Times New Roman" w:cstheme="minorHAnsi"/>
                <w:sz w:val="18"/>
                <w:szCs w:val="18"/>
                <w:lang w:eastAsia="en-GB"/>
              </w:rPr>
            </w:pPr>
            <w:r w:rsidRPr="00A66ECE">
              <w:rPr>
                <w:rFonts w:eastAsia="Times New Roman" w:cstheme="minorHAnsi"/>
                <w:sz w:val="18"/>
                <w:szCs w:val="18"/>
                <w:lang w:eastAsia="en-GB"/>
              </w:rPr>
              <w:t xml:space="preserve">80.7 </w:t>
            </w:r>
            <w:r w:rsidRPr="00A66ECE">
              <w:rPr>
                <w:rFonts w:eastAsia="Times New Roman" w:cstheme="minorHAnsi"/>
                <w:sz w:val="18"/>
                <w:szCs w:val="18"/>
                <w:lang w:eastAsia="en-GB"/>
              </w:rPr>
              <w:tab/>
              <w:t>(11.67)</w:t>
            </w:r>
          </w:p>
          <w:p w14:paraId="557D140E" w14:textId="77777777" w:rsidR="00846D12" w:rsidRPr="00A66ECE" w:rsidRDefault="00846D12" w:rsidP="00846D12">
            <w:pPr>
              <w:ind w:firstLine="59"/>
              <w:contextualSpacing/>
              <w:jc w:val="both"/>
              <w:rPr>
                <w:rFonts w:eastAsia="Times New Roman" w:cstheme="minorHAnsi"/>
                <w:sz w:val="18"/>
                <w:szCs w:val="18"/>
                <w:lang w:eastAsia="en-GB"/>
              </w:rPr>
            </w:pPr>
            <w:r w:rsidRPr="00A66ECE">
              <w:rPr>
                <w:rFonts w:eastAsia="Times New Roman" w:cstheme="minorHAnsi"/>
                <w:sz w:val="18"/>
                <w:szCs w:val="18"/>
                <w:lang w:eastAsia="en-GB"/>
              </w:rPr>
              <w:t xml:space="preserve">82.0 </w:t>
            </w:r>
            <w:r w:rsidRPr="00A66ECE">
              <w:rPr>
                <w:rFonts w:eastAsia="Times New Roman" w:cstheme="minorHAnsi"/>
                <w:sz w:val="18"/>
                <w:szCs w:val="18"/>
                <w:lang w:eastAsia="en-GB"/>
              </w:rPr>
              <w:tab/>
              <w:t>(21, 98)</w:t>
            </w:r>
          </w:p>
        </w:tc>
      </w:tr>
      <w:tr w:rsidR="00846D12" w:rsidRPr="00A66ECE" w14:paraId="59D3E09E" w14:textId="77777777" w:rsidTr="0011589E">
        <w:tc>
          <w:tcPr>
            <w:tcW w:w="8075" w:type="dxa"/>
          </w:tcPr>
          <w:p w14:paraId="0C601E4E" w14:textId="77777777" w:rsidR="00846D12" w:rsidRPr="00A66ECE" w:rsidRDefault="00846D12" w:rsidP="00846D12">
            <w:pPr>
              <w:jc w:val="both"/>
              <w:rPr>
                <w:rFonts w:eastAsia="Times New Roman" w:cstheme="minorHAnsi"/>
                <w:b/>
                <w:sz w:val="18"/>
                <w:szCs w:val="18"/>
                <w:lang w:eastAsia="en-GB"/>
              </w:rPr>
            </w:pPr>
            <w:r w:rsidRPr="00A66ECE">
              <w:rPr>
                <w:rFonts w:eastAsia="Times New Roman" w:cstheme="minorHAnsi"/>
                <w:b/>
                <w:sz w:val="18"/>
                <w:szCs w:val="18"/>
                <w:lang w:eastAsia="en-GB"/>
              </w:rPr>
              <w:t>Anxiety (n=159)</w:t>
            </w:r>
          </w:p>
          <w:p w14:paraId="5E774FCE" w14:textId="77777777" w:rsidR="00846D12" w:rsidRPr="00A66ECE" w:rsidRDefault="00846D12" w:rsidP="00846D12">
            <w:pPr>
              <w:jc w:val="both"/>
              <w:rPr>
                <w:rFonts w:eastAsia="Times New Roman" w:cstheme="minorHAnsi"/>
                <w:sz w:val="18"/>
                <w:szCs w:val="18"/>
                <w:lang w:eastAsia="en-GB"/>
              </w:rPr>
            </w:pPr>
            <w:r w:rsidRPr="00A66ECE">
              <w:rPr>
                <w:rFonts w:eastAsia="Times New Roman" w:cstheme="minorHAnsi"/>
                <w:sz w:val="18"/>
                <w:szCs w:val="18"/>
                <w:lang w:eastAsia="en-GB"/>
              </w:rPr>
              <w:tab/>
              <w:t>Minimal anxiety (0-4)</w:t>
            </w:r>
          </w:p>
          <w:p w14:paraId="223D77E4" w14:textId="77777777" w:rsidR="00846D12" w:rsidRPr="00A66ECE" w:rsidRDefault="00846D12" w:rsidP="00846D12">
            <w:pPr>
              <w:jc w:val="both"/>
              <w:rPr>
                <w:rFonts w:eastAsia="Times New Roman" w:cstheme="minorHAnsi"/>
                <w:sz w:val="18"/>
                <w:szCs w:val="18"/>
                <w:lang w:eastAsia="en-GB"/>
              </w:rPr>
            </w:pPr>
            <w:r w:rsidRPr="00A66ECE">
              <w:rPr>
                <w:rFonts w:eastAsia="Times New Roman" w:cstheme="minorHAnsi"/>
                <w:sz w:val="18"/>
                <w:szCs w:val="18"/>
                <w:lang w:eastAsia="en-GB"/>
              </w:rPr>
              <w:tab/>
              <w:t>Mild anxiety (5-9)</w:t>
            </w:r>
          </w:p>
          <w:p w14:paraId="2B2D2871" w14:textId="77777777" w:rsidR="00846D12" w:rsidRPr="00A66ECE" w:rsidRDefault="00846D12" w:rsidP="00846D12">
            <w:pPr>
              <w:jc w:val="both"/>
              <w:rPr>
                <w:rFonts w:eastAsia="Times New Roman" w:cstheme="minorHAnsi"/>
                <w:sz w:val="18"/>
                <w:szCs w:val="18"/>
                <w:lang w:eastAsia="en-GB"/>
              </w:rPr>
            </w:pPr>
            <w:r w:rsidRPr="00A66ECE">
              <w:rPr>
                <w:rFonts w:eastAsia="Times New Roman" w:cstheme="minorHAnsi"/>
                <w:sz w:val="18"/>
                <w:szCs w:val="18"/>
                <w:lang w:eastAsia="en-GB"/>
              </w:rPr>
              <w:tab/>
              <w:t>Moderately severe anxiety (10-14)</w:t>
            </w:r>
          </w:p>
          <w:p w14:paraId="7E753CE1" w14:textId="77777777" w:rsidR="00846D12" w:rsidRPr="00A66ECE" w:rsidRDefault="00846D12" w:rsidP="00846D12">
            <w:pPr>
              <w:jc w:val="both"/>
              <w:rPr>
                <w:rFonts w:eastAsia="Times New Roman" w:cstheme="minorHAnsi"/>
                <w:sz w:val="18"/>
                <w:szCs w:val="18"/>
                <w:lang w:eastAsia="en-GB"/>
              </w:rPr>
            </w:pPr>
            <w:r w:rsidRPr="00A66ECE">
              <w:rPr>
                <w:rFonts w:eastAsia="Times New Roman" w:cstheme="minorHAnsi"/>
                <w:sz w:val="18"/>
                <w:szCs w:val="18"/>
                <w:lang w:eastAsia="en-GB"/>
              </w:rPr>
              <w:tab/>
              <w:t>Severe anxiety (15-21)</w:t>
            </w:r>
          </w:p>
          <w:p w14:paraId="0754F329" w14:textId="77777777" w:rsidR="00846D12" w:rsidRPr="00A66ECE" w:rsidRDefault="00846D12" w:rsidP="00846D12">
            <w:pPr>
              <w:jc w:val="both"/>
              <w:rPr>
                <w:rFonts w:eastAsia="Times New Roman" w:cstheme="minorHAnsi"/>
                <w:sz w:val="18"/>
                <w:szCs w:val="18"/>
                <w:lang w:eastAsia="en-GB"/>
              </w:rPr>
            </w:pPr>
            <w:r w:rsidRPr="00A66ECE">
              <w:rPr>
                <w:rFonts w:eastAsia="Times New Roman" w:cstheme="minorHAnsi"/>
                <w:sz w:val="18"/>
                <w:szCs w:val="18"/>
                <w:lang w:eastAsia="en-GB"/>
              </w:rPr>
              <w:t>Mean Score (SD)</w:t>
            </w:r>
          </w:p>
          <w:p w14:paraId="610129DC" w14:textId="77777777" w:rsidR="00846D12" w:rsidRPr="00A66ECE" w:rsidRDefault="00846D12" w:rsidP="00846D12">
            <w:pPr>
              <w:jc w:val="both"/>
              <w:rPr>
                <w:rFonts w:eastAsia="Times New Roman" w:cstheme="minorHAnsi"/>
                <w:sz w:val="18"/>
                <w:szCs w:val="18"/>
                <w:lang w:eastAsia="en-GB"/>
              </w:rPr>
            </w:pPr>
            <w:r w:rsidRPr="00A66ECE">
              <w:rPr>
                <w:rFonts w:eastAsia="Times New Roman" w:cstheme="minorHAnsi"/>
                <w:sz w:val="18"/>
                <w:szCs w:val="18"/>
                <w:lang w:eastAsia="en-GB"/>
              </w:rPr>
              <w:t>Median (Min, Max)</w:t>
            </w:r>
          </w:p>
        </w:tc>
        <w:tc>
          <w:tcPr>
            <w:tcW w:w="2126" w:type="dxa"/>
          </w:tcPr>
          <w:p w14:paraId="04AFBF15" w14:textId="77777777" w:rsidR="00846D12" w:rsidRPr="00A66ECE" w:rsidRDefault="00846D12" w:rsidP="00846D12">
            <w:pPr>
              <w:jc w:val="both"/>
              <w:rPr>
                <w:rFonts w:eastAsia="Times New Roman" w:cstheme="minorHAnsi"/>
                <w:sz w:val="18"/>
                <w:szCs w:val="18"/>
                <w:lang w:eastAsia="en-GB"/>
              </w:rPr>
            </w:pPr>
          </w:p>
          <w:p w14:paraId="65423A28" w14:textId="77777777" w:rsidR="00846D12" w:rsidRPr="00A66ECE" w:rsidRDefault="00846D12" w:rsidP="00846D12">
            <w:pPr>
              <w:jc w:val="both"/>
              <w:rPr>
                <w:rFonts w:eastAsia="Times New Roman" w:cstheme="minorHAnsi"/>
                <w:sz w:val="18"/>
                <w:szCs w:val="18"/>
                <w:lang w:eastAsia="en-GB"/>
              </w:rPr>
            </w:pPr>
            <w:r w:rsidRPr="00A66ECE">
              <w:rPr>
                <w:rFonts w:eastAsia="Times New Roman" w:cstheme="minorHAnsi"/>
                <w:sz w:val="18"/>
                <w:szCs w:val="18"/>
                <w:lang w:eastAsia="en-GB"/>
              </w:rPr>
              <w:t>83</w:t>
            </w:r>
            <w:r w:rsidRPr="00A66ECE">
              <w:rPr>
                <w:rFonts w:eastAsia="Times New Roman" w:cstheme="minorHAnsi"/>
                <w:sz w:val="18"/>
                <w:szCs w:val="18"/>
                <w:lang w:eastAsia="en-GB"/>
              </w:rPr>
              <w:tab/>
              <w:t>(52.2)</w:t>
            </w:r>
          </w:p>
          <w:p w14:paraId="38BDECD8" w14:textId="77777777" w:rsidR="00846D12" w:rsidRPr="00A66ECE" w:rsidRDefault="00846D12" w:rsidP="00846D12">
            <w:pPr>
              <w:jc w:val="both"/>
              <w:rPr>
                <w:rFonts w:eastAsia="Times New Roman" w:cstheme="minorHAnsi"/>
                <w:sz w:val="18"/>
                <w:szCs w:val="18"/>
                <w:lang w:eastAsia="en-GB"/>
              </w:rPr>
            </w:pPr>
            <w:r w:rsidRPr="00A66ECE">
              <w:rPr>
                <w:rFonts w:eastAsia="Times New Roman" w:cstheme="minorHAnsi"/>
                <w:sz w:val="18"/>
                <w:szCs w:val="18"/>
                <w:lang w:eastAsia="en-GB"/>
              </w:rPr>
              <w:t>40</w:t>
            </w:r>
            <w:r w:rsidRPr="00A66ECE">
              <w:rPr>
                <w:rFonts w:eastAsia="Times New Roman" w:cstheme="minorHAnsi"/>
                <w:sz w:val="18"/>
                <w:szCs w:val="18"/>
                <w:lang w:eastAsia="en-GB"/>
              </w:rPr>
              <w:tab/>
              <w:t>(25.2)</w:t>
            </w:r>
          </w:p>
          <w:p w14:paraId="6933EBEA" w14:textId="77777777" w:rsidR="00846D12" w:rsidRPr="00A66ECE" w:rsidRDefault="00846D12" w:rsidP="00846D12">
            <w:pPr>
              <w:jc w:val="both"/>
              <w:rPr>
                <w:rFonts w:eastAsia="Times New Roman" w:cstheme="minorHAnsi"/>
                <w:sz w:val="18"/>
                <w:szCs w:val="18"/>
                <w:lang w:eastAsia="en-GB"/>
              </w:rPr>
            </w:pPr>
            <w:r w:rsidRPr="00A66ECE">
              <w:rPr>
                <w:rFonts w:eastAsia="Times New Roman" w:cstheme="minorHAnsi"/>
                <w:sz w:val="18"/>
                <w:szCs w:val="18"/>
                <w:lang w:eastAsia="en-GB"/>
              </w:rPr>
              <w:t>17</w:t>
            </w:r>
            <w:r w:rsidRPr="00A66ECE">
              <w:rPr>
                <w:rFonts w:eastAsia="Times New Roman" w:cstheme="minorHAnsi"/>
                <w:sz w:val="18"/>
                <w:szCs w:val="18"/>
                <w:lang w:eastAsia="en-GB"/>
              </w:rPr>
              <w:tab/>
              <w:t>(10.7)</w:t>
            </w:r>
          </w:p>
          <w:p w14:paraId="07EE5ADC" w14:textId="77777777" w:rsidR="00846D12" w:rsidRPr="00A66ECE" w:rsidRDefault="00846D12" w:rsidP="00846D12">
            <w:pPr>
              <w:jc w:val="both"/>
              <w:rPr>
                <w:rFonts w:eastAsia="Times New Roman" w:cstheme="minorHAnsi"/>
                <w:sz w:val="18"/>
                <w:szCs w:val="18"/>
                <w:lang w:eastAsia="en-GB"/>
              </w:rPr>
            </w:pPr>
            <w:r w:rsidRPr="00A66ECE">
              <w:rPr>
                <w:rFonts w:eastAsia="Times New Roman" w:cstheme="minorHAnsi"/>
                <w:sz w:val="18"/>
                <w:szCs w:val="18"/>
                <w:lang w:eastAsia="en-GB"/>
              </w:rPr>
              <w:t>19</w:t>
            </w:r>
            <w:r w:rsidRPr="00A66ECE">
              <w:rPr>
                <w:rFonts w:eastAsia="Times New Roman" w:cstheme="minorHAnsi"/>
                <w:sz w:val="18"/>
                <w:szCs w:val="18"/>
                <w:lang w:eastAsia="en-GB"/>
              </w:rPr>
              <w:tab/>
              <w:t>(12.0)</w:t>
            </w:r>
          </w:p>
          <w:p w14:paraId="1AC8A270" w14:textId="77777777" w:rsidR="00846D12" w:rsidRPr="00A66ECE" w:rsidRDefault="00846D12" w:rsidP="00846D12">
            <w:pPr>
              <w:jc w:val="both"/>
              <w:rPr>
                <w:rFonts w:eastAsia="Times New Roman" w:cstheme="minorHAnsi"/>
                <w:sz w:val="18"/>
                <w:szCs w:val="18"/>
                <w:lang w:eastAsia="en-GB"/>
              </w:rPr>
            </w:pPr>
            <w:r w:rsidRPr="00A66ECE">
              <w:rPr>
                <w:rFonts w:eastAsia="Times New Roman" w:cstheme="minorHAnsi"/>
                <w:sz w:val="18"/>
                <w:szCs w:val="18"/>
                <w:lang w:eastAsia="en-GB"/>
              </w:rPr>
              <w:t>6.16</w:t>
            </w:r>
            <w:r w:rsidRPr="00A66ECE">
              <w:rPr>
                <w:rFonts w:eastAsia="Times New Roman" w:cstheme="minorHAnsi"/>
                <w:sz w:val="18"/>
                <w:szCs w:val="18"/>
                <w:lang w:eastAsia="en-GB"/>
              </w:rPr>
              <w:tab/>
              <w:t>(5.63)</w:t>
            </w:r>
          </w:p>
          <w:p w14:paraId="1E0C52DE" w14:textId="77777777" w:rsidR="00846D12" w:rsidRPr="00A66ECE" w:rsidRDefault="00846D12" w:rsidP="00846D12">
            <w:pPr>
              <w:jc w:val="both"/>
              <w:rPr>
                <w:rFonts w:eastAsia="Times New Roman" w:cstheme="minorHAnsi"/>
                <w:sz w:val="18"/>
                <w:szCs w:val="18"/>
                <w:lang w:eastAsia="en-GB"/>
              </w:rPr>
            </w:pPr>
            <w:r w:rsidRPr="00A66ECE">
              <w:rPr>
                <w:rFonts w:eastAsia="Times New Roman" w:cstheme="minorHAnsi"/>
                <w:sz w:val="18"/>
                <w:szCs w:val="18"/>
                <w:lang w:eastAsia="en-GB"/>
              </w:rPr>
              <w:t>4.0</w:t>
            </w:r>
            <w:r w:rsidRPr="00A66ECE">
              <w:rPr>
                <w:rFonts w:eastAsia="Times New Roman" w:cstheme="minorHAnsi"/>
                <w:sz w:val="18"/>
                <w:szCs w:val="18"/>
                <w:lang w:eastAsia="en-GB"/>
              </w:rPr>
              <w:tab/>
              <w:t>(0, 21)</w:t>
            </w:r>
          </w:p>
        </w:tc>
      </w:tr>
      <w:tr w:rsidR="00846D12" w:rsidRPr="00A66ECE" w14:paraId="148AEFE8" w14:textId="77777777" w:rsidTr="0011589E">
        <w:tc>
          <w:tcPr>
            <w:tcW w:w="8075" w:type="dxa"/>
          </w:tcPr>
          <w:p w14:paraId="305D02AA" w14:textId="77777777" w:rsidR="00846D12" w:rsidRPr="00A66ECE" w:rsidRDefault="00846D12" w:rsidP="00846D12">
            <w:pPr>
              <w:jc w:val="both"/>
              <w:rPr>
                <w:rFonts w:eastAsia="Times New Roman" w:cstheme="minorHAnsi"/>
                <w:b/>
                <w:sz w:val="18"/>
                <w:szCs w:val="18"/>
                <w:lang w:eastAsia="en-GB"/>
              </w:rPr>
            </w:pPr>
            <w:r w:rsidRPr="00A66ECE">
              <w:rPr>
                <w:rFonts w:eastAsia="Times New Roman" w:cstheme="minorHAnsi"/>
                <w:b/>
                <w:sz w:val="18"/>
                <w:szCs w:val="18"/>
                <w:lang w:eastAsia="en-GB"/>
              </w:rPr>
              <w:t>Depression (n=160)</w:t>
            </w:r>
          </w:p>
          <w:p w14:paraId="7B3BF17F" w14:textId="53C9FB57" w:rsidR="00846D12" w:rsidRPr="00A66ECE" w:rsidRDefault="00A35E88" w:rsidP="00846D12">
            <w:pPr>
              <w:jc w:val="both"/>
              <w:rPr>
                <w:rFonts w:eastAsia="Times New Roman" w:cstheme="minorHAnsi"/>
                <w:sz w:val="18"/>
                <w:szCs w:val="18"/>
                <w:lang w:eastAsia="en-GB"/>
              </w:rPr>
            </w:pPr>
            <w:r>
              <w:rPr>
                <w:rFonts w:eastAsia="Times New Roman" w:cstheme="minorHAnsi"/>
                <w:sz w:val="18"/>
                <w:szCs w:val="18"/>
                <w:lang w:eastAsia="en-GB"/>
              </w:rPr>
              <w:lastRenderedPageBreak/>
              <w:tab/>
              <w:t>M</w:t>
            </w:r>
            <w:r w:rsidR="00846D12" w:rsidRPr="00A66ECE">
              <w:rPr>
                <w:rFonts w:eastAsia="Times New Roman" w:cstheme="minorHAnsi"/>
                <w:sz w:val="18"/>
                <w:szCs w:val="18"/>
                <w:lang w:eastAsia="en-GB"/>
              </w:rPr>
              <w:t>inimal depression (0-4)</w:t>
            </w:r>
          </w:p>
          <w:p w14:paraId="45AC88C0" w14:textId="79F4DA9C" w:rsidR="00846D12" w:rsidRPr="00A66ECE" w:rsidRDefault="00A35E88" w:rsidP="00846D12">
            <w:pPr>
              <w:jc w:val="both"/>
              <w:rPr>
                <w:rFonts w:eastAsia="Times New Roman" w:cstheme="minorHAnsi"/>
                <w:sz w:val="18"/>
                <w:szCs w:val="18"/>
                <w:lang w:eastAsia="en-GB"/>
              </w:rPr>
            </w:pPr>
            <w:r>
              <w:rPr>
                <w:rFonts w:eastAsia="Times New Roman" w:cstheme="minorHAnsi"/>
                <w:sz w:val="18"/>
                <w:szCs w:val="18"/>
                <w:lang w:eastAsia="en-GB"/>
              </w:rPr>
              <w:tab/>
              <w:t>M</w:t>
            </w:r>
            <w:r w:rsidR="00226915">
              <w:rPr>
                <w:rFonts w:eastAsia="Times New Roman" w:cstheme="minorHAnsi"/>
                <w:sz w:val="18"/>
                <w:szCs w:val="18"/>
                <w:lang w:eastAsia="en-GB"/>
              </w:rPr>
              <w:t>ild</w:t>
            </w:r>
            <w:r w:rsidR="00846D12" w:rsidRPr="00A66ECE">
              <w:rPr>
                <w:rFonts w:eastAsia="Times New Roman" w:cstheme="minorHAnsi"/>
                <w:sz w:val="18"/>
                <w:szCs w:val="18"/>
                <w:lang w:eastAsia="en-GB"/>
              </w:rPr>
              <w:t xml:space="preserve"> depression (5-9)</w:t>
            </w:r>
          </w:p>
          <w:p w14:paraId="07071215" w14:textId="2FE6A196" w:rsidR="00846D12" w:rsidRPr="00A66ECE" w:rsidRDefault="00A35E88" w:rsidP="00846D12">
            <w:pPr>
              <w:jc w:val="both"/>
              <w:rPr>
                <w:rFonts w:eastAsia="Times New Roman" w:cstheme="minorHAnsi"/>
                <w:sz w:val="18"/>
                <w:szCs w:val="18"/>
                <w:lang w:eastAsia="en-GB"/>
              </w:rPr>
            </w:pPr>
            <w:r>
              <w:rPr>
                <w:rFonts w:eastAsia="Times New Roman" w:cstheme="minorHAnsi"/>
                <w:sz w:val="18"/>
                <w:szCs w:val="18"/>
                <w:lang w:eastAsia="en-GB"/>
              </w:rPr>
              <w:tab/>
              <w:t>M</w:t>
            </w:r>
            <w:r w:rsidR="00846D12" w:rsidRPr="00A66ECE">
              <w:rPr>
                <w:rFonts w:eastAsia="Times New Roman" w:cstheme="minorHAnsi"/>
                <w:sz w:val="18"/>
                <w:szCs w:val="18"/>
                <w:lang w:eastAsia="en-GB"/>
              </w:rPr>
              <w:t>oderate depression (10-14)</w:t>
            </w:r>
          </w:p>
          <w:p w14:paraId="354D6B6C" w14:textId="60AEBEF5" w:rsidR="00846D12" w:rsidRPr="00A66ECE" w:rsidRDefault="00A35E88" w:rsidP="00846D12">
            <w:pPr>
              <w:jc w:val="both"/>
              <w:rPr>
                <w:rFonts w:eastAsia="Times New Roman" w:cstheme="minorHAnsi"/>
                <w:sz w:val="18"/>
                <w:szCs w:val="18"/>
                <w:lang w:eastAsia="en-GB"/>
              </w:rPr>
            </w:pPr>
            <w:r>
              <w:rPr>
                <w:rFonts w:eastAsia="Times New Roman" w:cstheme="minorHAnsi"/>
                <w:sz w:val="18"/>
                <w:szCs w:val="18"/>
                <w:lang w:eastAsia="en-GB"/>
              </w:rPr>
              <w:tab/>
              <w:t>M</w:t>
            </w:r>
            <w:r w:rsidR="00846D12" w:rsidRPr="00A66ECE">
              <w:rPr>
                <w:rFonts w:eastAsia="Times New Roman" w:cstheme="minorHAnsi"/>
                <w:sz w:val="18"/>
                <w:szCs w:val="18"/>
                <w:lang w:eastAsia="en-GB"/>
              </w:rPr>
              <w:t>oderately severe depression (15-19)</w:t>
            </w:r>
          </w:p>
          <w:p w14:paraId="761EE61F" w14:textId="51090087" w:rsidR="00846D12" w:rsidRPr="00A66ECE" w:rsidRDefault="00A35E88" w:rsidP="00846D12">
            <w:pPr>
              <w:jc w:val="both"/>
              <w:rPr>
                <w:rFonts w:eastAsia="Times New Roman" w:cstheme="minorHAnsi"/>
                <w:sz w:val="18"/>
                <w:szCs w:val="18"/>
                <w:lang w:eastAsia="en-GB"/>
              </w:rPr>
            </w:pPr>
            <w:r>
              <w:rPr>
                <w:rFonts w:eastAsia="Times New Roman" w:cstheme="minorHAnsi"/>
                <w:sz w:val="18"/>
                <w:szCs w:val="18"/>
                <w:lang w:eastAsia="en-GB"/>
              </w:rPr>
              <w:tab/>
              <w:t>S</w:t>
            </w:r>
            <w:r w:rsidR="00846D12" w:rsidRPr="00A66ECE">
              <w:rPr>
                <w:rFonts w:eastAsia="Times New Roman" w:cstheme="minorHAnsi"/>
                <w:sz w:val="18"/>
                <w:szCs w:val="18"/>
                <w:lang w:eastAsia="en-GB"/>
              </w:rPr>
              <w:t>evere depression (20-27)</w:t>
            </w:r>
          </w:p>
          <w:p w14:paraId="377509A3" w14:textId="77777777" w:rsidR="00846D12" w:rsidRPr="00A66ECE" w:rsidRDefault="00846D12" w:rsidP="00846D12">
            <w:pPr>
              <w:jc w:val="both"/>
              <w:rPr>
                <w:rFonts w:eastAsia="Times New Roman" w:cstheme="minorHAnsi"/>
                <w:sz w:val="18"/>
                <w:szCs w:val="18"/>
                <w:lang w:eastAsia="en-GB"/>
              </w:rPr>
            </w:pPr>
            <w:r w:rsidRPr="00A66ECE">
              <w:rPr>
                <w:rFonts w:eastAsia="Times New Roman" w:cstheme="minorHAnsi"/>
                <w:sz w:val="18"/>
                <w:szCs w:val="18"/>
                <w:lang w:eastAsia="en-GB"/>
              </w:rPr>
              <w:t>Mean Score (SD)</w:t>
            </w:r>
          </w:p>
          <w:p w14:paraId="1FFF76B4" w14:textId="77777777" w:rsidR="00846D12" w:rsidRPr="00A66ECE" w:rsidRDefault="00846D12" w:rsidP="00846D12">
            <w:pPr>
              <w:jc w:val="both"/>
              <w:rPr>
                <w:rFonts w:eastAsia="Times New Roman" w:cstheme="minorHAnsi"/>
                <w:sz w:val="18"/>
                <w:szCs w:val="18"/>
                <w:lang w:eastAsia="en-GB"/>
              </w:rPr>
            </w:pPr>
            <w:r w:rsidRPr="00A66ECE">
              <w:rPr>
                <w:rFonts w:eastAsia="Times New Roman" w:cstheme="minorHAnsi"/>
                <w:sz w:val="18"/>
                <w:szCs w:val="18"/>
                <w:lang w:eastAsia="en-GB"/>
              </w:rPr>
              <w:t>Median (Min, Max)</w:t>
            </w:r>
          </w:p>
        </w:tc>
        <w:tc>
          <w:tcPr>
            <w:tcW w:w="2126" w:type="dxa"/>
          </w:tcPr>
          <w:p w14:paraId="26798B9E" w14:textId="77777777" w:rsidR="00846D12" w:rsidRPr="00A66ECE" w:rsidRDefault="00846D12" w:rsidP="00846D12">
            <w:pPr>
              <w:jc w:val="both"/>
              <w:rPr>
                <w:rFonts w:eastAsia="Times New Roman" w:cstheme="minorHAnsi"/>
                <w:sz w:val="18"/>
                <w:szCs w:val="18"/>
                <w:lang w:eastAsia="en-GB"/>
              </w:rPr>
            </w:pPr>
          </w:p>
          <w:p w14:paraId="1FEDF708" w14:textId="77777777" w:rsidR="00846D12" w:rsidRPr="00A66ECE" w:rsidRDefault="00846D12" w:rsidP="00846D12">
            <w:pPr>
              <w:jc w:val="both"/>
              <w:rPr>
                <w:rFonts w:eastAsia="Times New Roman" w:cstheme="minorHAnsi"/>
                <w:sz w:val="18"/>
                <w:szCs w:val="18"/>
                <w:lang w:eastAsia="en-GB"/>
              </w:rPr>
            </w:pPr>
            <w:r w:rsidRPr="00A66ECE">
              <w:rPr>
                <w:rFonts w:eastAsia="Times New Roman" w:cstheme="minorHAnsi"/>
                <w:sz w:val="18"/>
                <w:szCs w:val="18"/>
                <w:lang w:eastAsia="en-GB"/>
              </w:rPr>
              <w:lastRenderedPageBreak/>
              <w:t>79</w:t>
            </w:r>
            <w:r w:rsidRPr="00A66ECE">
              <w:rPr>
                <w:rFonts w:eastAsia="Times New Roman" w:cstheme="minorHAnsi"/>
                <w:sz w:val="18"/>
                <w:szCs w:val="18"/>
                <w:lang w:eastAsia="en-GB"/>
              </w:rPr>
              <w:tab/>
              <w:t>(49.4)</w:t>
            </w:r>
          </w:p>
          <w:p w14:paraId="072A9E17" w14:textId="77777777" w:rsidR="00846D12" w:rsidRPr="00A66ECE" w:rsidRDefault="00846D12" w:rsidP="00846D12">
            <w:pPr>
              <w:jc w:val="both"/>
              <w:rPr>
                <w:rFonts w:eastAsia="Times New Roman" w:cstheme="minorHAnsi"/>
                <w:sz w:val="18"/>
                <w:szCs w:val="18"/>
                <w:lang w:eastAsia="en-GB"/>
              </w:rPr>
            </w:pPr>
            <w:r w:rsidRPr="00A66ECE">
              <w:rPr>
                <w:rFonts w:eastAsia="Times New Roman" w:cstheme="minorHAnsi"/>
                <w:sz w:val="18"/>
                <w:szCs w:val="18"/>
                <w:lang w:eastAsia="en-GB"/>
              </w:rPr>
              <w:t>47</w:t>
            </w:r>
            <w:r w:rsidRPr="00A66ECE">
              <w:rPr>
                <w:rFonts w:eastAsia="Times New Roman" w:cstheme="minorHAnsi"/>
                <w:sz w:val="18"/>
                <w:szCs w:val="18"/>
                <w:lang w:eastAsia="en-GB"/>
              </w:rPr>
              <w:tab/>
              <w:t>(29.4)</w:t>
            </w:r>
          </w:p>
          <w:p w14:paraId="08FF83F8" w14:textId="77777777" w:rsidR="00846D12" w:rsidRPr="00A66ECE" w:rsidRDefault="00846D12" w:rsidP="00846D12">
            <w:pPr>
              <w:jc w:val="both"/>
              <w:rPr>
                <w:rFonts w:eastAsia="Times New Roman" w:cstheme="minorHAnsi"/>
                <w:sz w:val="18"/>
                <w:szCs w:val="18"/>
                <w:lang w:eastAsia="en-GB"/>
              </w:rPr>
            </w:pPr>
            <w:r w:rsidRPr="00A66ECE">
              <w:rPr>
                <w:rFonts w:eastAsia="Times New Roman" w:cstheme="minorHAnsi"/>
                <w:sz w:val="18"/>
                <w:szCs w:val="18"/>
                <w:lang w:eastAsia="en-GB"/>
              </w:rPr>
              <w:t>20</w:t>
            </w:r>
            <w:r w:rsidRPr="00A66ECE">
              <w:rPr>
                <w:rFonts w:eastAsia="Times New Roman" w:cstheme="minorHAnsi"/>
                <w:sz w:val="18"/>
                <w:szCs w:val="18"/>
                <w:lang w:eastAsia="en-GB"/>
              </w:rPr>
              <w:tab/>
              <w:t>(12.5)</w:t>
            </w:r>
          </w:p>
          <w:p w14:paraId="4D7669A1" w14:textId="77777777" w:rsidR="00846D12" w:rsidRPr="00A66ECE" w:rsidRDefault="00846D12" w:rsidP="00846D12">
            <w:pPr>
              <w:jc w:val="both"/>
              <w:rPr>
                <w:rFonts w:eastAsia="Times New Roman" w:cstheme="minorHAnsi"/>
                <w:sz w:val="18"/>
                <w:szCs w:val="18"/>
                <w:lang w:eastAsia="en-GB"/>
              </w:rPr>
            </w:pPr>
            <w:r w:rsidRPr="00A66ECE">
              <w:rPr>
                <w:rFonts w:eastAsia="Times New Roman" w:cstheme="minorHAnsi"/>
                <w:sz w:val="18"/>
                <w:szCs w:val="18"/>
                <w:lang w:eastAsia="en-GB"/>
              </w:rPr>
              <w:t>10</w:t>
            </w:r>
            <w:r w:rsidRPr="00A66ECE">
              <w:rPr>
                <w:rFonts w:eastAsia="Times New Roman" w:cstheme="minorHAnsi"/>
                <w:sz w:val="18"/>
                <w:szCs w:val="18"/>
                <w:lang w:eastAsia="en-GB"/>
              </w:rPr>
              <w:tab/>
              <w:t>(6.3)</w:t>
            </w:r>
          </w:p>
          <w:p w14:paraId="52BF2997" w14:textId="77777777" w:rsidR="00846D12" w:rsidRPr="00A66ECE" w:rsidRDefault="00846D12" w:rsidP="00846D12">
            <w:pPr>
              <w:jc w:val="both"/>
              <w:rPr>
                <w:rFonts w:eastAsia="Times New Roman" w:cstheme="minorHAnsi"/>
                <w:sz w:val="18"/>
                <w:szCs w:val="18"/>
                <w:lang w:eastAsia="en-GB"/>
              </w:rPr>
            </w:pPr>
            <w:r w:rsidRPr="00A66ECE">
              <w:rPr>
                <w:rFonts w:eastAsia="Times New Roman" w:cstheme="minorHAnsi"/>
                <w:sz w:val="18"/>
                <w:szCs w:val="18"/>
                <w:lang w:eastAsia="en-GB"/>
              </w:rPr>
              <w:t>4</w:t>
            </w:r>
            <w:r w:rsidRPr="00A66ECE">
              <w:rPr>
                <w:rFonts w:eastAsia="Times New Roman" w:cstheme="minorHAnsi"/>
                <w:sz w:val="18"/>
                <w:szCs w:val="18"/>
                <w:lang w:eastAsia="en-GB"/>
              </w:rPr>
              <w:tab/>
              <w:t>(2.5)</w:t>
            </w:r>
          </w:p>
          <w:p w14:paraId="6F5FD4D8" w14:textId="77777777" w:rsidR="00846D12" w:rsidRPr="00A66ECE" w:rsidRDefault="00846D12" w:rsidP="00846D12">
            <w:pPr>
              <w:jc w:val="both"/>
              <w:rPr>
                <w:rFonts w:eastAsia="Times New Roman" w:cstheme="minorHAnsi"/>
                <w:sz w:val="18"/>
                <w:szCs w:val="18"/>
                <w:lang w:eastAsia="en-GB"/>
              </w:rPr>
            </w:pPr>
            <w:r w:rsidRPr="00A66ECE">
              <w:rPr>
                <w:rFonts w:eastAsia="Times New Roman" w:cstheme="minorHAnsi"/>
                <w:sz w:val="18"/>
                <w:szCs w:val="18"/>
                <w:lang w:eastAsia="en-GB"/>
              </w:rPr>
              <w:t xml:space="preserve">5.87 </w:t>
            </w:r>
            <w:r w:rsidRPr="00A66ECE">
              <w:rPr>
                <w:rFonts w:eastAsia="Times New Roman" w:cstheme="minorHAnsi"/>
                <w:sz w:val="18"/>
                <w:szCs w:val="18"/>
                <w:lang w:eastAsia="en-GB"/>
              </w:rPr>
              <w:tab/>
              <w:t>(5.32)</w:t>
            </w:r>
          </w:p>
          <w:p w14:paraId="4A756405" w14:textId="77777777" w:rsidR="00846D12" w:rsidRPr="00A66ECE" w:rsidRDefault="00846D12" w:rsidP="00846D12">
            <w:pPr>
              <w:jc w:val="both"/>
              <w:rPr>
                <w:rFonts w:eastAsia="Times New Roman" w:cstheme="minorHAnsi"/>
                <w:sz w:val="18"/>
                <w:szCs w:val="18"/>
                <w:lang w:eastAsia="en-GB"/>
              </w:rPr>
            </w:pPr>
            <w:r w:rsidRPr="00A66ECE">
              <w:rPr>
                <w:rFonts w:eastAsia="Times New Roman" w:cstheme="minorHAnsi"/>
                <w:sz w:val="18"/>
                <w:szCs w:val="18"/>
                <w:lang w:eastAsia="en-GB"/>
              </w:rPr>
              <w:t>5.0</w:t>
            </w:r>
            <w:r w:rsidRPr="00A66ECE">
              <w:rPr>
                <w:rFonts w:eastAsia="Times New Roman" w:cstheme="minorHAnsi"/>
                <w:sz w:val="18"/>
                <w:szCs w:val="18"/>
                <w:lang w:eastAsia="en-GB"/>
              </w:rPr>
              <w:tab/>
              <w:t>(0, 26)</w:t>
            </w:r>
          </w:p>
        </w:tc>
      </w:tr>
      <w:tr w:rsidR="00846D12" w:rsidRPr="00A66ECE" w14:paraId="6D1B2249" w14:textId="77777777" w:rsidTr="0011589E">
        <w:tc>
          <w:tcPr>
            <w:tcW w:w="8075" w:type="dxa"/>
          </w:tcPr>
          <w:p w14:paraId="312253D3" w14:textId="77777777" w:rsidR="00846D12" w:rsidRPr="00A66ECE" w:rsidRDefault="00846D12" w:rsidP="00846D12">
            <w:pPr>
              <w:jc w:val="both"/>
              <w:rPr>
                <w:rFonts w:eastAsia="Times New Roman" w:cstheme="minorHAnsi"/>
                <w:b/>
                <w:sz w:val="18"/>
                <w:szCs w:val="18"/>
                <w:lang w:eastAsia="en-GB"/>
              </w:rPr>
            </w:pPr>
            <w:proofErr w:type="spellStart"/>
            <w:r w:rsidRPr="00A66ECE">
              <w:rPr>
                <w:rFonts w:eastAsia="Times New Roman" w:cstheme="minorHAnsi"/>
                <w:b/>
                <w:sz w:val="18"/>
                <w:szCs w:val="18"/>
                <w:lang w:eastAsia="en-GB"/>
              </w:rPr>
              <w:t>Chalder</w:t>
            </w:r>
            <w:proofErr w:type="spellEnd"/>
            <w:r w:rsidRPr="00A66ECE">
              <w:rPr>
                <w:rFonts w:eastAsia="Times New Roman" w:cstheme="minorHAnsi"/>
                <w:b/>
                <w:sz w:val="18"/>
                <w:szCs w:val="18"/>
                <w:lang w:eastAsia="en-GB"/>
              </w:rPr>
              <w:t xml:space="preserve"> fatigue score (Likert) (n=156)</w:t>
            </w:r>
          </w:p>
          <w:p w14:paraId="0CF69681" w14:textId="77777777" w:rsidR="00846D12" w:rsidRPr="00A66ECE" w:rsidRDefault="00846D12" w:rsidP="00846D12">
            <w:pPr>
              <w:jc w:val="both"/>
              <w:rPr>
                <w:rFonts w:eastAsia="Times New Roman" w:cstheme="minorHAnsi"/>
                <w:sz w:val="18"/>
                <w:szCs w:val="18"/>
                <w:lang w:eastAsia="en-GB"/>
              </w:rPr>
            </w:pPr>
            <w:r w:rsidRPr="00A66ECE">
              <w:rPr>
                <w:rFonts w:eastAsia="Times New Roman" w:cstheme="minorHAnsi"/>
                <w:sz w:val="18"/>
                <w:szCs w:val="18"/>
                <w:lang w:eastAsia="en-GB"/>
              </w:rPr>
              <w:tab/>
              <w:t>Physical fatigue (Qu 1-7)</w:t>
            </w:r>
          </w:p>
          <w:p w14:paraId="6AF885F6" w14:textId="77777777" w:rsidR="00846D12" w:rsidRPr="00A66ECE" w:rsidRDefault="00846D12" w:rsidP="00846D12">
            <w:pPr>
              <w:jc w:val="both"/>
              <w:rPr>
                <w:rFonts w:eastAsia="Times New Roman" w:cstheme="minorHAnsi"/>
                <w:sz w:val="18"/>
                <w:szCs w:val="18"/>
                <w:lang w:eastAsia="en-GB"/>
              </w:rPr>
            </w:pPr>
            <w:r w:rsidRPr="00A66ECE">
              <w:rPr>
                <w:rFonts w:eastAsia="Times New Roman" w:cstheme="minorHAnsi"/>
                <w:sz w:val="18"/>
                <w:szCs w:val="18"/>
                <w:lang w:eastAsia="en-GB"/>
              </w:rPr>
              <w:tab/>
              <w:t>Mental fatigue (Qu 8-11)</w:t>
            </w:r>
          </w:p>
          <w:p w14:paraId="14AD30CF" w14:textId="77777777" w:rsidR="00846D12" w:rsidRPr="00A66ECE" w:rsidRDefault="00846D12" w:rsidP="00846D12">
            <w:pPr>
              <w:jc w:val="both"/>
              <w:rPr>
                <w:rFonts w:eastAsia="Times New Roman" w:cstheme="minorHAnsi"/>
                <w:sz w:val="18"/>
                <w:szCs w:val="18"/>
                <w:lang w:eastAsia="en-GB"/>
              </w:rPr>
            </w:pPr>
            <w:r w:rsidRPr="00A66ECE">
              <w:rPr>
                <w:rFonts w:eastAsia="Times New Roman" w:cstheme="minorHAnsi"/>
                <w:sz w:val="18"/>
                <w:szCs w:val="18"/>
                <w:lang w:eastAsia="en-GB"/>
              </w:rPr>
              <w:t>Mean Score (SD)</w:t>
            </w:r>
          </w:p>
          <w:p w14:paraId="53362228" w14:textId="77777777" w:rsidR="00846D12" w:rsidRPr="00A66ECE" w:rsidRDefault="00846D12" w:rsidP="00846D12">
            <w:pPr>
              <w:jc w:val="both"/>
              <w:rPr>
                <w:rFonts w:eastAsia="Times New Roman" w:cstheme="minorHAnsi"/>
                <w:sz w:val="18"/>
                <w:szCs w:val="18"/>
                <w:lang w:eastAsia="en-GB"/>
              </w:rPr>
            </w:pPr>
            <w:r w:rsidRPr="00A66ECE">
              <w:rPr>
                <w:rFonts w:eastAsia="Times New Roman" w:cstheme="minorHAnsi"/>
                <w:sz w:val="18"/>
                <w:szCs w:val="18"/>
                <w:lang w:eastAsia="en-GB"/>
              </w:rPr>
              <w:t>Median (Min, Max)</w:t>
            </w:r>
          </w:p>
        </w:tc>
        <w:tc>
          <w:tcPr>
            <w:tcW w:w="2126" w:type="dxa"/>
          </w:tcPr>
          <w:p w14:paraId="5EC931C5" w14:textId="77777777" w:rsidR="00846D12" w:rsidRPr="00A66ECE" w:rsidRDefault="00846D12" w:rsidP="00846D12">
            <w:pPr>
              <w:jc w:val="both"/>
              <w:rPr>
                <w:rFonts w:eastAsia="Times New Roman" w:cstheme="minorHAnsi"/>
                <w:sz w:val="18"/>
                <w:szCs w:val="18"/>
                <w:lang w:eastAsia="en-GB"/>
              </w:rPr>
            </w:pPr>
          </w:p>
          <w:p w14:paraId="67873937" w14:textId="77777777" w:rsidR="00846D12" w:rsidRPr="00A66ECE" w:rsidRDefault="00846D12" w:rsidP="00846D12">
            <w:pPr>
              <w:jc w:val="both"/>
              <w:rPr>
                <w:rFonts w:eastAsia="Times New Roman" w:cstheme="minorHAnsi"/>
                <w:sz w:val="18"/>
                <w:szCs w:val="18"/>
                <w:lang w:eastAsia="en-GB"/>
              </w:rPr>
            </w:pPr>
            <w:r w:rsidRPr="00A66ECE">
              <w:rPr>
                <w:rFonts w:eastAsia="Times New Roman" w:cstheme="minorHAnsi"/>
                <w:sz w:val="18"/>
                <w:szCs w:val="18"/>
                <w:lang w:eastAsia="en-GB"/>
              </w:rPr>
              <w:t>10.29</w:t>
            </w:r>
            <w:r w:rsidRPr="00A66ECE">
              <w:rPr>
                <w:rFonts w:eastAsia="Times New Roman" w:cstheme="minorHAnsi"/>
                <w:sz w:val="18"/>
                <w:szCs w:val="18"/>
                <w:lang w:eastAsia="en-GB"/>
              </w:rPr>
              <w:tab/>
              <w:t>(4.04)</w:t>
            </w:r>
          </w:p>
          <w:p w14:paraId="49AAED57" w14:textId="77777777" w:rsidR="00846D12" w:rsidRPr="00A66ECE" w:rsidRDefault="00846D12" w:rsidP="00846D12">
            <w:pPr>
              <w:jc w:val="both"/>
              <w:rPr>
                <w:rFonts w:eastAsia="Times New Roman" w:cstheme="minorHAnsi"/>
                <w:sz w:val="18"/>
                <w:szCs w:val="18"/>
                <w:lang w:eastAsia="en-GB"/>
              </w:rPr>
            </w:pPr>
            <w:r w:rsidRPr="00A66ECE">
              <w:rPr>
                <w:rFonts w:eastAsia="Times New Roman" w:cstheme="minorHAnsi"/>
                <w:sz w:val="18"/>
                <w:szCs w:val="18"/>
                <w:lang w:eastAsia="en-GB"/>
              </w:rPr>
              <w:t>5.54</w:t>
            </w:r>
            <w:r w:rsidRPr="00A66ECE">
              <w:rPr>
                <w:rFonts w:eastAsia="Times New Roman" w:cstheme="minorHAnsi"/>
                <w:sz w:val="18"/>
                <w:szCs w:val="18"/>
                <w:lang w:eastAsia="en-GB"/>
              </w:rPr>
              <w:tab/>
              <w:t>(2.44)</w:t>
            </w:r>
          </w:p>
          <w:p w14:paraId="2433EC4E" w14:textId="77777777" w:rsidR="00846D12" w:rsidRPr="00A66ECE" w:rsidRDefault="00846D12" w:rsidP="00846D12">
            <w:pPr>
              <w:jc w:val="both"/>
              <w:rPr>
                <w:rFonts w:eastAsia="Times New Roman" w:cstheme="minorHAnsi"/>
                <w:sz w:val="18"/>
                <w:szCs w:val="18"/>
                <w:lang w:eastAsia="en-GB"/>
              </w:rPr>
            </w:pPr>
            <w:r w:rsidRPr="00A66ECE">
              <w:rPr>
                <w:rFonts w:eastAsia="Times New Roman" w:cstheme="minorHAnsi"/>
                <w:sz w:val="18"/>
                <w:szCs w:val="18"/>
                <w:lang w:eastAsia="en-GB"/>
              </w:rPr>
              <w:t>15.87</w:t>
            </w:r>
            <w:r w:rsidRPr="00A66ECE">
              <w:rPr>
                <w:rFonts w:eastAsia="Times New Roman" w:cstheme="minorHAnsi"/>
                <w:sz w:val="18"/>
                <w:szCs w:val="18"/>
                <w:lang w:eastAsia="en-GB"/>
              </w:rPr>
              <w:tab/>
              <w:t>(5.94)</w:t>
            </w:r>
          </w:p>
          <w:p w14:paraId="76FD43B3" w14:textId="77777777" w:rsidR="00846D12" w:rsidRPr="00A66ECE" w:rsidRDefault="00846D12" w:rsidP="00846D12">
            <w:pPr>
              <w:jc w:val="both"/>
              <w:rPr>
                <w:rFonts w:eastAsia="Times New Roman" w:cstheme="minorHAnsi"/>
                <w:sz w:val="18"/>
                <w:szCs w:val="18"/>
                <w:lang w:eastAsia="en-GB"/>
              </w:rPr>
            </w:pPr>
            <w:r w:rsidRPr="00A66ECE">
              <w:rPr>
                <w:rFonts w:eastAsia="Times New Roman" w:cstheme="minorHAnsi"/>
                <w:sz w:val="18"/>
                <w:szCs w:val="18"/>
                <w:lang w:eastAsia="en-GB"/>
              </w:rPr>
              <w:t>15.0</w:t>
            </w:r>
            <w:r w:rsidRPr="00A66ECE">
              <w:rPr>
                <w:rFonts w:eastAsia="Times New Roman" w:cstheme="minorHAnsi"/>
                <w:sz w:val="18"/>
                <w:szCs w:val="18"/>
                <w:lang w:eastAsia="en-GB"/>
              </w:rPr>
              <w:tab/>
              <w:t>(0, 32)</w:t>
            </w:r>
          </w:p>
        </w:tc>
      </w:tr>
    </w:tbl>
    <w:p w14:paraId="44FF38E4" w14:textId="77777777" w:rsidR="00667CDB" w:rsidRDefault="00667CDB" w:rsidP="0073495A">
      <w:pPr>
        <w:spacing w:after="0" w:line="240" w:lineRule="auto"/>
        <w:jc w:val="both"/>
        <w:rPr>
          <w:rFonts w:ascii="Times New Roman" w:eastAsia="Times New Roman" w:hAnsi="Times New Roman" w:cs="Times New Roman"/>
          <w:sz w:val="24"/>
          <w:szCs w:val="24"/>
          <w:lang w:eastAsia="en-GB"/>
        </w:rPr>
      </w:pPr>
    </w:p>
    <w:p w14:paraId="0E364BBD" w14:textId="77777777" w:rsidR="007C7363" w:rsidRDefault="007C7363" w:rsidP="0073495A">
      <w:pPr>
        <w:ind w:left="284"/>
        <w:jc w:val="both"/>
        <w:rPr>
          <w:rFonts w:cstheme="minorHAnsi"/>
          <w:sz w:val="20"/>
          <w:szCs w:val="20"/>
        </w:rPr>
        <w:sectPr w:rsidR="007C7363" w:rsidSect="007C7363">
          <w:headerReference w:type="default" r:id="rId8"/>
          <w:pgSz w:w="11906" w:h="16838"/>
          <w:pgMar w:top="851" w:right="1440" w:bottom="1440" w:left="1134" w:header="708" w:footer="708" w:gutter="0"/>
          <w:cols w:space="708"/>
          <w:docGrid w:linePitch="360"/>
        </w:sectPr>
      </w:pPr>
    </w:p>
    <w:p w14:paraId="54043B05" w14:textId="77777777" w:rsidR="007C7363" w:rsidRDefault="007C7363" w:rsidP="0073495A">
      <w:pPr>
        <w:jc w:val="both"/>
        <w:rPr>
          <w:rFonts w:cstheme="minorHAnsi"/>
          <w:sz w:val="20"/>
          <w:szCs w:val="20"/>
        </w:rPr>
      </w:pPr>
    </w:p>
    <w:p w14:paraId="415912D9" w14:textId="50AB5F39" w:rsidR="00EA5E2D" w:rsidRDefault="007C7363" w:rsidP="0019567A">
      <w:pPr>
        <w:jc w:val="both"/>
        <w:rPr>
          <w:rFonts w:cstheme="minorHAnsi"/>
          <w:sz w:val="20"/>
          <w:szCs w:val="20"/>
        </w:rPr>
      </w:pPr>
      <w:r>
        <w:rPr>
          <w:rFonts w:cstheme="minorHAnsi"/>
          <w:sz w:val="20"/>
          <w:szCs w:val="20"/>
        </w:rPr>
        <w:t xml:space="preserve">Table </w:t>
      </w:r>
      <w:proofErr w:type="gramStart"/>
      <w:r>
        <w:rPr>
          <w:rFonts w:cstheme="minorHAnsi"/>
          <w:sz w:val="20"/>
          <w:szCs w:val="20"/>
        </w:rPr>
        <w:t>2</w:t>
      </w:r>
      <w:r w:rsidR="00B50EC1">
        <w:rPr>
          <w:rFonts w:cstheme="minorHAnsi"/>
          <w:sz w:val="20"/>
          <w:szCs w:val="20"/>
        </w:rPr>
        <w:t xml:space="preserve"> </w:t>
      </w:r>
      <w:r w:rsidR="005B3383" w:rsidRPr="005B3383">
        <w:rPr>
          <w:rFonts w:eastAsia="Arial"/>
          <w:lang w:eastAsia="en-GB"/>
        </w:rPr>
        <w:t xml:space="preserve"> </w:t>
      </w:r>
      <w:r w:rsidR="005B3383">
        <w:rPr>
          <w:rFonts w:eastAsia="Arial"/>
          <w:lang w:eastAsia="en-GB"/>
        </w:rPr>
        <w:t>U</w:t>
      </w:r>
      <w:r w:rsidR="005B3383" w:rsidRPr="594CCC0A">
        <w:rPr>
          <w:rFonts w:eastAsia="Arial"/>
          <w:lang w:eastAsia="en-GB"/>
        </w:rPr>
        <w:t>nivariate</w:t>
      </w:r>
      <w:proofErr w:type="gramEnd"/>
      <w:r w:rsidR="005B3383" w:rsidRPr="594CCC0A">
        <w:rPr>
          <w:rFonts w:eastAsia="Arial"/>
          <w:lang w:eastAsia="en-GB"/>
        </w:rPr>
        <w:t xml:space="preserve"> </w:t>
      </w:r>
      <w:r w:rsidR="005B3383">
        <w:rPr>
          <w:rFonts w:eastAsia="Arial"/>
          <w:lang w:eastAsia="en-GB"/>
        </w:rPr>
        <w:t>analysis</w:t>
      </w:r>
    </w:p>
    <w:tbl>
      <w:tblPr>
        <w:tblStyle w:val="TableGrid1"/>
        <w:tblpPr w:leftFromText="180" w:rightFromText="180" w:vertAnchor="text" w:horzAnchor="page" w:tblpX="911" w:tblpY="150"/>
        <w:tblW w:w="14034" w:type="dxa"/>
        <w:tblLayout w:type="fixed"/>
        <w:tblLook w:val="04A0" w:firstRow="1" w:lastRow="0" w:firstColumn="1" w:lastColumn="0" w:noHBand="0" w:noVBand="1"/>
      </w:tblPr>
      <w:tblGrid>
        <w:gridCol w:w="3119"/>
        <w:gridCol w:w="2410"/>
        <w:gridCol w:w="1842"/>
        <w:gridCol w:w="709"/>
        <w:gridCol w:w="1843"/>
        <w:gridCol w:w="850"/>
        <w:gridCol w:w="1843"/>
        <w:gridCol w:w="1418"/>
      </w:tblGrid>
      <w:tr w:rsidR="002D28F0" w:rsidRPr="001018E2" w14:paraId="45CA45D4" w14:textId="77777777" w:rsidTr="002D28F0">
        <w:tc>
          <w:tcPr>
            <w:tcW w:w="3119" w:type="dxa"/>
          </w:tcPr>
          <w:p w14:paraId="5B9E5AA5" w14:textId="77777777" w:rsidR="002D28F0" w:rsidRPr="001018E2" w:rsidRDefault="002D28F0" w:rsidP="002D28F0">
            <w:pPr>
              <w:jc w:val="both"/>
              <w:rPr>
                <w:rFonts w:cstheme="minorHAnsi"/>
                <w:sz w:val="20"/>
                <w:szCs w:val="20"/>
              </w:rPr>
            </w:pPr>
          </w:p>
        </w:tc>
        <w:tc>
          <w:tcPr>
            <w:tcW w:w="2410" w:type="dxa"/>
          </w:tcPr>
          <w:p w14:paraId="6508542A" w14:textId="77777777" w:rsidR="002D28F0" w:rsidRPr="001018E2" w:rsidRDefault="002D28F0" w:rsidP="002D28F0">
            <w:pPr>
              <w:jc w:val="both"/>
              <w:rPr>
                <w:rFonts w:cstheme="minorHAnsi"/>
                <w:sz w:val="20"/>
                <w:szCs w:val="20"/>
              </w:rPr>
            </w:pPr>
          </w:p>
        </w:tc>
        <w:tc>
          <w:tcPr>
            <w:tcW w:w="2551" w:type="dxa"/>
            <w:gridSpan w:val="2"/>
          </w:tcPr>
          <w:p w14:paraId="0B91C280" w14:textId="77777777" w:rsidR="002D28F0" w:rsidRPr="001018E2" w:rsidRDefault="002D28F0" w:rsidP="002D28F0">
            <w:pPr>
              <w:jc w:val="both"/>
              <w:rPr>
                <w:rFonts w:cstheme="minorHAnsi"/>
                <w:b/>
                <w:sz w:val="20"/>
                <w:szCs w:val="20"/>
              </w:rPr>
            </w:pPr>
            <w:proofErr w:type="spellStart"/>
            <w:r w:rsidRPr="001018E2">
              <w:rPr>
                <w:rFonts w:cstheme="minorHAnsi"/>
                <w:b/>
                <w:sz w:val="20"/>
                <w:szCs w:val="20"/>
              </w:rPr>
              <w:t>Chalder</w:t>
            </w:r>
            <w:proofErr w:type="spellEnd"/>
            <w:r w:rsidRPr="001018E2">
              <w:rPr>
                <w:rFonts w:cstheme="minorHAnsi"/>
                <w:b/>
                <w:sz w:val="20"/>
                <w:szCs w:val="20"/>
              </w:rPr>
              <w:t xml:space="preserve"> Physical (n=157) </w:t>
            </w:r>
          </w:p>
        </w:tc>
        <w:tc>
          <w:tcPr>
            <w:tcW w:w="2693" w:type="dxa"/>
            <w:gridSpan w:val="2"/>
          </w:tcPr>
          <w:p w14:paraId="71DF69E9" w14:textId="77777777" w:rsidR="002D28F0" w:rsidRPr="001018E2" w:rsidRDefault="002D28F0" w:rsidP="002D28F0">
            <w:pPr>
              <w:jc w:val="both"/>
              <w:rPr>
                <w:rFonts w:cstheme="minorHAnsi"/>
                <w:b/>
                <w:sz w:val="20"/>
                <w:szCs w:val="20"/>
              </w:rPr>
            </w:pPr>
            <w:proofErr w:type="spellStart"/>
            <w:r w:rsidRPr="001018E2">
              <w:rPr>
                <w:rFonts w:cstheme="minorHAnsi"/>
                <w:b/>
                <w:sz w:val="20"/>
                <w:szCs w:val="20"/>
              </w:rPr>
              <w:t>Chalder</w:t>
            </w:r>
            <w:proofErr w:type="spellEnd"/>
            <w:r w:rsidRPr="001018E2">
              <w:rPr>
                <w:rFonts w:cstheme="minorHAnsi"/>
                <w:b/>
                <w:sz w:val="20"/>
                <w:szCs w:val="20"/>
              </w:rPr>
              <w:t xml:space="preserve"> Mental  (n=159)</w:t>
            </w:r>
          </w:p>
        </w:tc>
        <w:tc>
          <w:tcPr>
            <w:tcW w:w="3261" w:type="dxa"/>
            <w:gridSpan w:val="2"/>
          </w:tcPr>
          <w:p w14:paraId="22EEFF71" w14:textId="77777777" w:rsidR="002D28F0" w:rsidRPr="001018E2" w:rsidRDefault="002D28F0" w:rsidP="002D28F0">
            <w:pPr>
              <w:jc w:val="both"/>
              <w:rPr>
                <w:rFonts w:cstheme="minorHAnsi"/>
                <w:b/>
                <w:sz w:val="20"/>
                <w:szCs w:val="20"/>
              </w:rPr>
            </w:pPr>
            <w:proofErr w:type="spellStart"/>
            <w:r w:rsidRPr="001018E2">
              <w:rPr>
                <w:rFonts w:cstheme="minorHAnsi"/>
                <w:b/>
                <w:sz w:val="20"/>
                <w:szCs w:val="20"/>
              </w:rPr>
              <w:t>Chalder</w:t>
            </w:r>
            <w:proofErr w:type="spellEnd"/>
            <w:r w:rsidRPr="001018E2">
              <w:rPr>
                <w:rFonts w:cstheme="minorHAnsi"/>
                <w:b/>
                <w:sz w:val="20"/>
                <w:szCs w:val="20"/>
              </w:rPr>
              <w:t xml:space="preserve"> total fatigue score (n=156)</w:t>
            </w:r>
          </w:p>
        </w:tc>
      </w:tr>
      <w:tr w:rsidR="002D28F0" w:rsidRPr="001018E2" w14:paraId="16BE4186" w14:textId="77777777" w:rsidTr="002D28F0">
        <w:tc>
          <w:tcPr>
            <w:tcW w:w="3119" w:type="dxa"/>
          </w:tcPr>
          <w:p w14:paraId="7BE59D32" w14:textId="77777777" w:rsidR="002D28F0" w:rsidRPr="001018E2" w:rsidRDefault="002D28F0" w:rsidP="002D28F0">
            <w:pPr>
              <w:jc w:val="both"/>
              <w:rPr>
                <w:rFonts w:cstheme="minorHAnsi"/>
                <w:sz w:val="20"/>
                <w:szCs w:val="20"/>
              </w:rPr>
            </w:pPr>
          </w:p>
        </w:tc>
        <w:tc>
          <w:tcPr>
            <w:tcW w:w="2410" w:type="dxa"/>
          </w:tcPr>
          <w:p w14:paraId="32CC766F" w14:textId="77777777" w:rsidR="002D28F0" w:rsidRPr="001018E2" w:rsidRDefault="002D28F0" w:rsidP="002D28F0">
            <w:pPr>
              <w:jc w:val="both"/>
              <w:rPr>
                <w:rFonts w:cstheme="minorHAnsi"/>
                <w:sz w:val="20"/>
                <w:szCs w:val="20"/>
              </w:rPr>
            </w:pPr>
          </w:p>
        </w:tc>
        <w:tc>
          <w:tcPr>
            <w:tcW w:w="1842" w:type="dxa"/>
          </w:tcPr>
          <w:p w14:paraId="68E8501F" w14:textId="77777777" w:rsidR="002D28F0" w:rsidRPr="001018E2" w:rsidRDefault="002D28F0" w:rsidP="002D28F0">
            <w:pPr>
              <w:jc w:val="both"/>
              <w:rPr>
                <w:rFonts w:cstheme="minorHAnsi"/>
                <w:sz w:val="20"/>
                <w:szCs w:val="20"/>
              </w:rPr>
            </w:pPr>
            <w:r>
              <w:rPr>
                <w:rFonts w:cstheme="minorHAnsi"/>
                <w:sz w:val="20"/>
                <w:szCs w:val="20"/>
              </w:rPr>
              <w:t>Median (Min, Max)</w:t>
            </w:r>
          </w:p>
        </w:tc>
        <w:tc>
          <w:tcPr>
            <w:tcW w:w="709" w:type="dxa"/>
          </w:tcPr>
          <w:p w14:paraId="3356A043" w14:textId="77777777" w:rsidR="002D28F0" w:rsidRPr="001018E2" w:rsidRDefault="002D28F0" w:rsidP="002D28F0">
            <w:pPr>
              <w:jc w:val="both"/>
              <w:rPr>
                <w:rFonts w:cstheme="minorHAnsi"/>
                <w:sz w:val="20"/>
                <w:szCs w:val="20"/>
              </w:rPr>
            </w:pPr>
            <w:r w:rsidRPr="001018E2">
              <w:rPr>
                <w:rFonts w:cstheme="minorHAnsi"/>
                <w:sz w:val="20"/>
                <w:szCs w:val="20"/>
              </w:rPr>
              <w:t>Sig</w:t>
            </w:r>
          </w:p>
        </w:tc>
        <w:tc>
          <w:tcPr>
            <w:tcW w:w="1843" w:type="dxa"/>
          </w:tcPr>
          <w:p w14:paraId="1D4EEC81" w14:textId="77777777" w:rsidR="002D28F0" w:rsidRPr="001018E2" w:rsidRDefault="002D28F0" w:rsidP="002D28F0">
            <w:pPr>
              <w:jc w:val="both"/>
              <w:rPr>
                <w:rFonts w:cstheme="minorHAnsi"/>
                <w:sz w:val="20"/>
                <w:szCs w:val="20"/>
              </w:rPr>
            </w:pPr>
            <w:r>
              <w:rPr>
                <w:rFonts w:cstheme="minorHAnsi"/>
                <w:sz w:val="20"/>
                <w:szCs w:val="20"/>
              </w:rPr>
              <w:t>Median (Min, Max)</w:t>
            </w:r>
          </w:p>
        </w:tc>
        <w:tc>
          <w:tcPr>
            <w:tcW w:w="850" w:type="dxa"/>
          </w:tcPr>
          <w:p w14:paraId="77D3D33F" w14:textId="77777777" w:rsidR="002D28F0" w:rsidRPr="001018E2" w:rsidRDefault="002D28F0" w:rsidP="002D28F0">
            <w:pPr>
              <w:jc w:val="both"/>
              <w:rPr>
                <w:rFonts w:cstheme="minorHAnsi"/>
                <w:sz w:val="20"/>
                <w:szCs w:val="20"/>
              </w:rPr>
            </w:pPr>
            <w:r w:rsidRPr="001018E2">
              <w:rPr>
                <w:rFonts w:cstheme="minorHAnsi"/>
                <w:sz w:val="20"/>
                <w:szCs w:val="20"/>
              </w:rPr>
              <w:t>Sig</w:t>
            </w:r>
          </w:p>
        </w:tc>
        <w:tc>
          <w:tcPr>
            <w:tcW w:w="1843" w:type="dxa"/>
          </w:tcPr>
          <w:p w14:paraId="145C158B" w14:textId="77777777" w:rsidR="002D28F0" w:rsidRPr="001018E2" w:rsidRDefault="002D28F0" w:rsidP="002D28F0">
            <w:pPr>
              <w:jc w:val="both"/>
              <w:rPr>
                <w:rFonts w:cstheme="minorHAnsi"/>
                <w:sz w:val="20"/>
                <w:szCs w:val="20"/>
              </w:rPr>
            </w:pPr>
            <w:r>
              <w:rPr>
                <w:rFonts w:cstheme="minorHAnsi"/>
                <w:sz w:val="20"/>
                <w:szCs w:val="20"/>
              </w:rPr>
              <w:t>Median (Min, Max)</w:t>
            </w:r>
          </w:p>
        </w:tc>
        <w:tc>
          <w:tcPr>
            <w:tcW w:w="1418" w:type="dxa"/>
          </w:tcPr>
          <w:p w14:paraId="2BB34080" w14:textId="77777777" w:rsidR="002D28F0" w:rsidRPr="001018E2" w:rsidRDefault="002D28F0" w:rsidP="002D28F0">
            <w:pPr>
              <w:jc w:val="both"/>
              <w:rPr>
                <w:rFonts w:cstheme="minorHAnsi"/>
                <w:sz w:val="20"/>
                <w:szCs w:val="20"/>
              </w:rPr>
            </w:pPr>
            <w:r w:rsidRPr="001018E2">
              <w:rPr>
                <w:rFonts w:cstheme="minorHAnsi"/>
                <w:sz w:val="20"/>
                <w:szCs w:val="20"/>
              </w:rPr>
              <w:t>Sig</w:t>
            </w:r>
          </w:p>
        </w:tc>
      </w:tr>
      <w:tr w:rsidR="002D28F0" w:rsidRPr="001018E2" w14:paraId="5342754A" w14:textId="77777777" w:rsidTr="002D28F0">
        <w:tc>
          <w:tcPr>
            <w:tcW w:w="3119" w:type="dxa"/>
          </w:tcPr>
          <w:p w14:paraId="1BE46F0C" w14:textId="77777777" w:rsidR="002D28F0" w:rsidRPr="001018E2" w:rsidRDefault="002D28F0" w:rsidP="002D28F0">
            <w:pPr>
              <w:jc w:val="both"/>
              <w:rPr>
                <w:rFonts w:cstheme="minorHAnsi"/>
                <w:sz w:val="20"/>
                <w:szCs w:val="20"/>
              </w:rPr>
            </w:pPr>
            <w:r w:rsidRPr="001018E2">
              <w:rPr>
                <w:rFonts w:cstheme="minorHAnsi"/>
                <w:sz w:val="20"/>
                <w:szCs w:val="20"/>
              </w:rPr>
              <w:t xml:space="preserve">Age </w:t>
            </w:r>
          </w:p>
          <w:p w14:paraId="2584F022" w14:textId="77777777" w:rsidR="002D28F0" w:rsidRPr="001018E2" w:rsidRDefault="002D28F0" w:rsidP="002D28F0">
            <w:pPr>
              <w:jc w:val="both"/>
              <w:rPr>
                <w:rFonts w:cstheme="minorHAnsi"/>
                <w:sz w:val="20"/>
                <w:szCs w:val="20"/>
              </w:rPr>
            </w:pPr>
          </w:p>
        </w:tc>
        <w:tc>
          <w:tcPr>
            <w:tcW w:w="2410" w:type="dxa"/>
          </w:tcPr>
          <w:p w14:paraId="77FD1AD8" w14:textId="77777777" w:rsidR="002D28F0" w:rsidRPr="001018E2" w:rsidRDefault="002D28F0" w:rsidP="002D28F0">
            <w:pPr>
              <w:jc w:val="both"/>
              <w:rPr>
                <w:rFonts w:cstheme="minorHAnsi"/>
                <w:sz w:val="20"/>
                <w:szCs w:val="20"/>
              </w:rPr>
            </w:pPr>
            <w:r w:rsidRPr="001018E2">
              <w:rPr>
                <w:rFonts w:cstheme="minorHAnsi"/>
                <w:sz w:val="20"/>
                <w:szCs w:val="20"/>
              </w:rPr>
              <w:t>Under 35</w:t>
            </w:r>
          </w:p>
          <w:p w14:paraId="43FBD026" w14:textId="77777777" w:rsidR="002D28F0" w:rsidRPr="001018E2" w:rsidRDefault="002D28F0" w:rsidP="002D28F0">
            <w:pPr>
              <w:jc w:val="both"/>
              <w:rPr>
                <w:rFonts w:cstheme="minorHAnsi"/>
                <w:sz w:val="20"/>
                <w:szCs w:val="20"/>
              </w:rPr>
            </w:pPr>
            <w:r w:rsidRPr="001018E2">
              <w:rPr>
                <w:rFonts w:cstheme="minorHAnsi"/>
                <w:sz w:val="20"/>
                <w:szCs w:val="20"/>
              </w:rPr>
              <w:t>35+</w:t>
            </w:r>
          </w:p>
        </w:tc>
        <w:tc>
          <w:tcPr>
            <w:tcW w:w="1842" w:type="dxa"/>
          </w:tcPr>
          <w:p w14:paraId="2E6D0910" w14:textId="77777777" w:rsidR="002D28F0" w:rsidRPr="00D5476E" w:rsidRDefault="002D28F0" w:rsidP="002D28F0">
            <w:pPr>
              <w:jc w:val="both"/>
              <w:rPr>
                <w:rFonts w:cstheme="minorHAnsi"/>
                <w:sz w:val="20"/>
                <w:szCs w:val="20"/>
              </w:rPr>
            </w:pPr>
            <w:r>
              <w:rPr>
                <w:rFonts w:cstheme="minorHAnsi"/>
                <w:sz w:val="20"/>
                <w:szCs w:val="20"/>
              </w:rPr>
              <w:t>13.0</w:t>
            </w:r>
            <w:r w:rsidRPr="00D5476E">
              <w:rPr>
                <w:rFonts w:cstheme="minorHAnsi"/>
                <w:sz w:val="20"/>
                <w:szCs w:val="20"/>
              </w:rPr>
              <w:tab/>
              <w:t>(0, 21)</w:t>
            </w:r>
          </w:p>
          <w:p w14:paraId="28017AB0" w14:textId="77777777" w:rsidR="002D28F0" w:rsidRPr="00D5476E" w:rsidRDefault="002D28F0" w:rsidP="002D28F0">
            <w:pPr>
              <w:jc w:val="both"/>
              <w:rPr>
                <w:rFonts w:cstheme="minorHAnsi"/>
                <w:sz w:val="20"/>
                <w:szCs w:val="20"/>
              </w:rPr>
            </w:pPr>
            <w:r w:rsidRPr="00D5476E">
              <w:rPr>
                <w:rFonts w:cstheme="minorHAnsi"/>
                <w:sz w:val="20"/>
                <w:szCs w:val="20"/>
              </w:rPr>
              <w:t>10</w:t>
            </w:r>
            <w:r>
              <w:rPr>
                <w:rFonts w:cstheme="minorHAnsi"/>
                <w:sz w:val="20"/>
                <w:szCs w:val="20"/>
              </w:rPr>
              <w:t>.0</w:t>
            </w:r>
            <w:r w:rsidRPr="00D5476E">
              <w:rPr>
                <w:rFonts w:cstheme="minorHAnsi"/>
                <w:sz w:val="20"/>
                <w:szCs w:val="20"/>
              </w:rPr>
              <w:tab/>
              <w:t>(0, 21)</w:t>
            </w:r>
          </w:p>
        </w:tc>
        <w:tc>
          <w:tcPr>
            <w:tcW w:w="709" w:type="dxa"/>
          </w:tcPr>
          <w:p w14:paraId="5BCC7D8A" w14:textId="77777777" w:rsidR="002D28F0" w:rsidRPr="00D5476E" w:rsidRDefault="002D28F0" w:rsidP="002D28F0">
            <w:pPr>
              <w:jc w:val="both"/>
              <w:rPr>
                <w:rFonts w:cstheme="minorHAnsi"/>
                <w:b/>
                <w:sz w:val="20"/>
                <w:szCs w:val="20"/>
              </w:rPr>
            </w:pPr>
          </w:p>
          <w:p w14:paraId="4EF8FB89" w14:textId="77777777" w:rsidR="002D28F0" w:rsidRPr="00D5476E" w:rsidRDefault="002D28F0" w:rsidP="002D28F0">
            <w:pPr>
              <w:jc w:val="both"/>
              <w:rPr>
                <w:rFonts w:cstheme="minorHAnsi"/>
                <w:b/>
                <w:sz w:val="20"/>
                <w:szCs w:val="20"/>
              </w:rPr>
            </w:pPr>
            <w:r w:rsidRPr="00D5476E">
              <w:rPr>
                <w:rFonts w:cstheme="minorHAnsi"/>
                <w:b/>
                <w:sz w:val="20"/>
                <w:szCs w:val="20"/>
              </w:rPr>
              <w:t>0.005</w:t>
            </w:r>
          </w:p>
        </w:tc>
        <w:tc>
          <w:tcPr>
            <w:tcW w:w="1843" w:type="dxa"/>
          </w:tcPr>
          <w:p w14:paraId="40D69FE5" w14:textId="77777777" w:rsidR="002D28F0" w:rsidRPr="00D5476E" w:rsidRDefault="002D28F0" w:rsidP="002D28F0">
            <w:pPr>
              <w:jc w:val="both"/>
              <w:rPr>
                <w:rFonts w:cstheme="minorHAnsi"/>
                <w:sz w:val="20"/>
                <w:szCs w:val="20"/>
              </w:rPr>
            </w:pPr>
            <w:r w:rsidRPr="00D5476E">
              <w:rPr>
                <w:rFonts w:cstheme="minorHAnsi"/>
                <w:sz w:val="20"/>
                <w:szCs w:val="20"/>
              </w:rPr>
              <w:t>7</w:t>
            </w:r>
            <w:r>
              <w:rPr>
                <w:rFonts w:cstheme="minorHAnsi"/>
                <w:sz w:val="20"/>
                <w:szCs w:val="20"/>
              </w:rPr>
              <w:t>.0</w:t>
            </w:r>
            <w:r w:rsidRPr="00D5476E">
              <w:rPr>
                <w:rFonts w:cstheme="minorHAnsi"/>
                <w:sz w:val="20"/>
                <w:szCs w:val="20"/>
              </w:rPr>
              <w:tab/>
              <w:t>(0, 11)</w:t>
            </w:r>
          </w:p>
          <w:p w14:paraId="04C0E7F7" w14:textId="77777777" w:rsidR="002D28F0" w:rsidRPr="00D5476E" w:rsidRDefault="002D28F0" w:rsidP="002D28F0">
            <w:pPr>
              <w:jc w:val="both"/>
              <w:rPr>
                <w:rFonts w:cstheme="minorHAnsi"/>
                <w:sz w:val="20"/>
                <w:szCs w:val="20"/>
              </w:rPr>
            </w:pPr>
            <w:r w:rsidRPr="00D5476E">
              <w:rPr>
                <w:rFonts w:cstheme="minorHAnsi"/>
                <w:sz w:val="20"/>
                <w:szCs w:val="20"/>
              </w:rPr>
              <w:t>5</w:t>
            </w:r>
            <w:r>
              <w:rPr>
                <w:rFonts w:cstheme="minorHAnsi"/>
                <w:sz w:val="20"/>
                <w:szCs w:val="20"/>
              </w:rPr>
              <w:t>.0</w:t>
            </w:r>
            <w:r w:rsidRPr="00D5476E">
              <w:rPr>
                <w:rFonts w:cstheme="minorHAnsi"/>
                <w:sz w:val="20"/>
                <w:szCs w:val="20"/>
              </w:rPr>
              <w:tab/>
              <w:t>(0, 11)</w:t>
            </w:r>
          </w:p>
        </w:tc>
        <w:tc>
          <w:tcPr>
            <w:tcW w:w="850" w:type="dxa"/>
          </w:tcPr>
          <w:p w14:paraId="778FA50D" w14:textId="77777777" w:rsidR="002D28F0" w:rsidRPr="00D5476E" w:rsidRDefault="002D28F0" w:rsidP="002D28F0">
            <w:pPr>
              <w:jc w:val="both"/>
              <w:rPr>
                <w:rFonts w:cstheme="minorHAnsi"/>
                <w:sz w:val="20"/>
                <w:szCs w:val="20"/>
              </w:rPr>
            </w:pPr>
          </w:p>
          <w:p w14:paraId="5CBBD803" w14:textId="77777777" w:rsidR="002D28F0" w:rsidRPr="00D5476E" w:rsidRDefault="002D28F0" w:rsidP="002D28F0">
            <w:pPr>
              <w:jc w:val="both"/>
              <w:rPr>
                <w:rFonts w:cstheme="minorHAnsi"/>
                <w:b/>
                <w:sz w:val="20"/>
                <w:szCs w:val="20"/>
              </w:rPr>
            </w:pPr>
            <w:r w:rsidRPr="00D5476E">
              <w:rPr>
                <w:rFonts w:cstheme="minorHAnsi"/>
                <w:b/>
                <w:sz w:val="20"/>
                <w:szCs w:val="20"/>
              </w:rPr>
              <w:t>0.004</w:t>
            </w:r>
          </w:p>
        </w:tc>
        <w:tc>
          <w:tcPr>
            <w:tcW w:w="1843" w:type="dxa"/>
          </w:tcPr>
          <w:p w14:paraId="2D5AC155" w14:textId="77777777" w:rsidR="002D28F0" w:rsidRPr="00D5476E" w:rsidRDefault="002D28F0" w:rsidP="002D28F0">
            <w:pPr>
              <w:jc w:val="both"/>
              <w:rPr>
                <w:rFonts w:cstheme="minorHAnsi"/>
                <w:sz w:val="20"/>
                <w:szCs w:val="20"/>
              </w:rPr>
            </w:pPr>
            <w:r w:rsidRPr="00D5476E">
              <w:rPr>
                <w:rFonts w:cstheme="minorHAnsi"/>
                <w:sz w:val="20"/>
                <w:szCs w:val="20"/>
              </w:rPr>
              <w:t>20.5</w:t>
            </w:r>
            <w:r w:rsidRPr="00D5476E">
              <w:rPr>
                <w:rFonts w:cstheme="minorHAnsi"/>
                <w:sz w:val="20"/>
                <w:szCs w:val="20"/>
              </w:rPr>
              <w:tab/>
              <w:t>(1, 32)</w:t>
            </w:r>
          </w:p>
          <w:p w14:paraId="0DB7B658" w14:textId="77777777" w:rsidR="002D28F0" w:rsidRPr="00D5476E" w:rsidRDefault="002D28F0" w:rsidP="002D28F0">
            <w:pPr>
              <w:jc w:val="both"/>
              <w:rPr>
                <w:rFonts w:cstheme="minorHAnsi"/>
                <w:sz w:val="20"/>
                <w:szCs w:val="20"/>
              </w:rPr>
            </w:pPr>
            <w:r w:rsidRPr="00D5476E">
              <w:rPr>
                <w:rFonts w:cstheme="minorHAnsi"/>
                <w:sz w:val="20"/>
                <w:szCs w:val="20"/>
              </w:rPr>
              <w:t>14.0</w:t>
            </w:r>
            <w:r w:rsidRPr="00D5476E">
              <w:rPr>
                <w:rFonts w:cstheme="minorHAnsi"/>
                <w:sz w:val="20"/>
                <w:szCs w:val="20"/>
              </w:rPr>
              <w:tab/>
              <w:t>(0, 32)</w:t>
            </w:r>
          </w:p>
        </w:tc>
        <w:tc>
          <w:tcPr>
            <w:tcW w:w="1418" w:type="dxa"/>
          </w:tcPr>
          <w:p w14:paraId="5BDB06FD" w14:textId="77777777" w:rsidR="002D28F0" w:rsidRPr="009966ED" w:rsidRDefault="002D28F0" w:rsidP="002D28F0">
            <w:pPr>
              <w:jc w:val="both"/>
              <w:rPr>
                <w:rFonts w:cstheme="minorHAnsi"/>
                <w:b/>
                <w:sz w:val="20"/>
                <w:szCs w:val="20"/>
              </w:rPr>
            </w:pPr>
          </w:p>
          <w:p w14:paraId="7CA7FA83" w14:textId="77777777" w:rsidR="002D28F0" w:rsidRPr="009966ED" w:rsidRDefault="002D28F0" w:rsidP="002D28F0">
            <w:pPr>
              <w:jc w:val="both"/>
              <w:rPr>
                <w:rFonts w:cstheme="minorHAnsi"/>
                <w:b/>
                <w:sz w:val="20"/>
                <w:szCs w:val="20"/>
              </w:rPr>
            </w:pPr>
            <w:r w:rsidRPr="009966ED">
              <w:rPr>
                <w:rFonts w:cstheme="minorHAnsi"/>
                <w:b/>
                <w:sz w:val="20"/>
                <w:szCs w:val="20"/>
              </w:rPr>
              <w:t>0.001</w:t>
            </w:r>
          </w:p>
        </w:tc>
      </w:tr>
      <w:tr w:rsidR="002D28F0" w:rsidRPr="001018E2" w14:paraId="7E8589E9" w14:textId="77777777" w:rsidTr="002D28F0">
        <w:tc>
          <w:tcPr>
            <w:tcW w:w="3119" w:type="dxa"/>
          </w:tcPr>
          <w:p w14:paraId="379A81E8" w14:textId="77777777" w:rsidR="002D28F0" w:rsidRPr="001018E2" w:rsidRDefault="002D28F0" w:rsidP="002D28F0">
            <w:pPr>
              <w:jc w:val="both"/>
              <w:rPr>
                <w:rFonts w:cstheme="minorHAnsi"/>
                <w:sz w:val="20"/>
                <w:szCs w:val="20"/>
              </w:rPr>
            </w:pPr>
            <w:r w:rsidRPr="001018E2">
              <w:rPr>
                <w:rFonts w:cstheme="minorHAnsi"/>
                <w:sz w:val="20"/>
                <w:szCs w:val="20"/>
              </w:rPr>
              <w:t>Years Qualified</w:t>
            </w:r>
          </w:p>
        </w:tc>
        <w:tc>
          <w:tcPr>
            <w:tcW w:w="2410" w:type="dxa"/>
          </w:tcPr>
          <w:p w14:paraId="3D767BF2" w14:textId="77777777" w:rsidR="002D28F0" w:rsidRPr="001018E2" w:rsidRDefault="002D28F0" w:rsidP="002D28F0">
            <w:pPr>
              <w:jc w:val="both"/>
              <w:rPr>
                <w:rFonts w:cstheme="minorHAnsi"/>
                <w:sz w:val="20"/>
                <w:szCs w:val="20"/>
              </w:rPr>
            </w:pPr>
            <w:r w:rsidRPr="001018E2">
              <w:rPr>
                <w:rFonts w:cstheme="minorHAnsi"/>
                <w:sz w:val="20"/>
                <w:szCs w:val="20"/>
              </w:rPr>
              <w:t xml:space="preserve">Up to 20 </w:t>
            </w:r>
            <w:proofErr w:type="spellStart"/>
            <w:r w:rsidRPr="001018E2">
              <w:rPr>
                <w:rFonts w:cstheme="minorHAnsi"/>
                <w:sz w:val="20"/>
                <w:szCs w:val="20"/>
              </w:rPr>
              <w:t>yrs</w:t>
            </w:r>
            <w:proofErr w:type="spellEnd"/>
          </w:p>
          <w:p w14:paraId="057DC484" w14:textId="77777777" w:rsidR="002D28F0" w:rsidRPr="001018E2" w:rsidRDefault="002D28F0" w:rsidP="002D28F0">
            <w:pPr>
              <w:jc w:val="both"/>
              <w:rPr>
                <w:rFonts w:cstheme="minorHAnsi"/>
                <w:sz w:val="20"/>
                <w:szCs w:val="20"/>
              </w:rPr>
            </w:pPr>
            <w:r w:rsidRPr="001018E2">
              <w:rPr>
                <w:rFonts w:cstheme="minorHAnsi"/>
                <w:sz w:val="20"/>
                <w:szCs w:val="20"/>
              </w:rPr>
              <w:t>&gt;20 years</w:t>
            </w:r>
          </w:p>
        </w:tc>
        <w:tc>
          <w:tcPr>
            <w:tcW w:w="1842" w:type="dxa"/>
          </w:tcPr>
          <w:p w14:paraId="44E8A803" w14:textId="77777777" w:rsidR="002D28F0" w:rsidRPr="009E1A2F" w:rsidRDefault="002D28F0" w:rsidP="002D28F0">
            <w:pPr>
              <w:jc w:val="both"/>
              <w:rPr>
                <w:rFonts w:cstheme="minorHAnsi"/>
                <w:sz w:val="20"/>
                <w:szCs w:val="20"/>
              </w:rPr>
            </w:pPr>
            <w:r w:rsidRPr="009E1A2F">
              <w:rPr>
                <w:rFonts w:cstheme="minorHAnsi"/>
                <w:sz w:val="20"/>
                <w:szCs w:val="20"/>
              </w:rPr>
              <w:t>11.0</w:t>
            </w:r>
            <w:r w:rsidRPr="009E1A2F">
              <w:rPr>
                <w:rFonts w:cstheme="minorHAnsi"/>
                <w:sz w:val="20"/>
                <w:szCs w:val="20"/>
              </w:rPr>
              <w:tab/>
              <w:t>(0, 21)</w:t>
            </w:r>
          </w:p>
          <w:p w14:paraId="2C824D70" w14:textId="77777777" w:rsidR="002D28F0" w:rsidRPr="009E1A2F" w:rsidRDefault="002D28F0" w:rsidP="002D28F0">
            <w:pPr>
              <w:jc w:val="both"/>
              <w:rPr>
                <w:rFonts w:cstheme="minorHAnsi"/>
                <w:sz w:val="20"/>
                <w:szCs w:val="20"/>
              </w:rPr>
            </w:pPr>
            <w:r w:rsidRPr="009E1A2F">
              <w:rPr>
                <w:rFonts w:cstheme="minorHAnsi"/>
                <w:sz w:val="20"/>
                <w:szCs w:val="20"/>
              </w:rPr>
              <w:t>9.0</w:t>
            </w:r>
            <w:r w:rsidRPr="009E1A2F">
              <w:rPr>
                <w:rFonts w:cstheme="minorHAnsi"/>
                <w:sz w:val="20"/>
                <w:szCs w:val="20"/>
              </w:rPr>
              <w:tab/>
              <w:t>(0, 21)</w:t>
            </w:r>
          </w:p>
        </w:tc>
        <w:tc>
          <w:tcPr>
            <w:tcW w:w="709" w:type="dxa"/>
          </w:tcPr>
          <w:p w14:paraId="1DE18D11" w14:textId="77777777" w:rsidR="002D28F0" w:rsidRPr="009E1A2F" w:rsidRDefault="002D28F0" w:rsidP="002D28F0">
            <w:pPr>
              <w:jc w:val="both"/>
              <w:rPr>
                <w:rFonts w:cstheme="minorHAnsi"/>
                <w:b/>
                <w:sz w:val="20"/>
                <w:szCs w:val="20"/>
              </w:rPr>
            </w:pPr>
          </w:p>
          <w:p w14:paraId="70ED94AC" w14:textId="77777777" w:rsidR="002D28F0" w:rsidRPr="009E1A2F" w:rsidRDefault="002D28F0" w:rsidP="002D28F0">
            <w:pPr>
              <w:jc w:val="both"/>
              <w:rPr>
                <w:rFonts w:cstheme="minorHAnsi"/>
                <w:b/>
                <w:sz w:val="20"/>
                <w:szCs w:val="20"/>
              </w:rPr>
            </w:pPr>
            <w:r w:rsidRPr="009E1A2F">
              <w:rPr>
                <w:rFonts w:cstheme="minorHAnsi"/>
                <w:b/>
                <w:sz w:val="20"/>
                <w:szCs w:val="20"/>
              </w:rPr>
              <w:t>0.046</w:t>
            </w:r>
          </w:p>
        </w:tc>
        <w:tc>
          <w:tcPr>
            <w:tcW w:w="1843" w:type="dxa"/>
          </w:tcPr>
          <w:p w14:paraId="656D7FF8" w14:textId="77777777" w:rsidR="002D28F0" w:rsidRPr="009E1A2F" w:rsidRDefault="002D28F0" w:rsidP="002D28F0">
            <w:pPr>
              <w:jc w:val="both"/>
              <w:rPr>
                <w:rFonts w:cstheme="minorHAnsi"/>
                <w:sz w:val="20"/>
                <w:szCs w:val="20"/>
              </w:rPr>
            </w:pPr>
            <w:r w:rsidRPr="009E1A2F">
              <w:rPr>
                <w:rFonts w:cstheme="minorHAnsi"/>
                <w:sz w:val="20"/>
                <w:szCs w:val="20"/>
              </w:rPr>
              <w:t>6.0</w:t>
            </w:r>
            <w:r w:rsidRPr="009E1A2F">
              <w:rPr>
                <w:rFonts w:cstheme="minorHAnsi"/>
                <w:sz w:val="20"/>
                <w:szCs w:val="20"/>
              </w:rPr>
              <w:tab/>
              <w:t>(0, 11)</w:t>
            </w:r>
          </w:p>
          <w:p w14:paraId="34D3461B" w14:textId="77777777" w:rsidR="002D28F0" w:rsidRPr="009E1A2F" w:rsidRDefault="002D28F0" w:rsidP="002D28F0">
            <w:pPr>
              <w:jc w:val="both"/>
              <w:rPr>
                <w:rFonts w:cstheme="minorHAnsi"/>
                <w:sz w:val="20"/>
                <w:szCs w:val="20"/>
              </w:rPr>
            </w:pPr>
            <w:r w:rsidRPr="009E1A2F">
              <w:rPr>
                <w:rFonts w:cstheme="minorHAnsi"/>
                <w:sz w:val="20"/>
                <w:szCs w:val="20"/>
              </w:rPr>
              <w:t>5.0</w:t>
            </w:r>
            <w:r w:rsidRPr="009E1A2F">
              <w:rPr>
                <w:rFonts w:cstheme="minorHAnsi"/>
                <w:sz w:val="20"/>
                <w:szCs w:val="20"/>
              </w:rPr>
              <w:tab/>
              <w:t>(0, 11)</w:t>
            </w:r>
          </w:p>
        </w:tc>
        <w:tc>
          <w:tcPr>
            <w:tcW w:w="850" w:type="dxa"/>
          </w:tcPr>
          <w:p w14:paraId="28353AB3" w14:textId="77777777" w:rsidR="002D28F0" w:rsidRPr="009E1A2F" w:rsidRDefault="002D28F0" w:rsidP="002D28F0">
            <w:pPr>
              <w:jc w:val="both"/>
              <w:rPr>
                <w:rFonts w:cstheme="minorHAnsi"/>
                <w:sz w:val="20"/>
                <w:szCs w:val="20"/>
              </w:rPr>
            </w:pPr>
          </w:p>
          <w:p w14:paraId="1D19A40B" w14:textId="77777777" w:rsidR="002D28F0" w:rsidRPr="009E1A2F" w:rsidRDefault="002D28F0" w:rsidP="002D28F0">
            <w:pPr>
              <w:jc w:val="both"/>
              <w:rPr>
                <w:rFonts w:cstheme="minorHAnsi"/>
                <w:sz w:val="20"/>
                <w:szCs w:val="20"/>
              </w:rPr>
            </w:pPr>
            <w:r w:rsidRPr="009E1A2F">
              <w:rPr>
                <w:rFonts w:cstheme="minorHAnsi"/>
                <w:sz w:val="20"/>
                <w:szCs w:val="20"/>
              </w:rPr>
              <w:t>0.316</w:t>
            </w:r>
          </w:p>
        </w:tc>
        <w:tc>
          <w:tcPr>
            <w:tcW w:w="1843" w:type="dxa"/>
          </w:tcPr>
          <w:p w14:paraId="7BB70A9E" w14:textId="77777777" w:rsidR="002D28F0" w:rsidRPr="009E1A2F" w:rsidRDefault="002D28F0" w:rsidP="002D28F0">
            <w:pPr>
              <w:jc w:val="both"/>
              <w:rPr>
                <w:rFonts w:cstheme="minorHAnsi"/>
                <w:sz w:val="20"/>
                <w:szCs w:val="20"/>
              </w:rPr>
            </w:pPr>
            <w:r w:rsidRPr="009E1A2F">
              <w:rPr>
                <w:rFonts w:cstheme="minorHAnsi"/>
                <w:sz w:val="20"/>
                <w:szCs w:val="20"/>
              </w:rPr>
              <w:t>17.0</w:t>
            </w:r>
            <w:r w:rsidRPr="009E1A2F">
              <w:rPr>
                <w:rFonts w:cstheme="minorHAnsi"/>
                <w:sz w:val="20"/>
                <w:szCs w:val="20"/>
              </w:rPr>
              <w:tab/>
              <w:t>(0, 32)</w:t>
            </w:r>
          </w:p>
          <w:p w14:paraId="381F3A52" w14:textId="77777777" w:rsidR="002D28F0" w:rsidRPr="009E1A2F" w:rsidRDefault="002D28F0" w:rsidP="002D28F0">
            <w:pPr>
              <w:jc w:val="both"/>
              <w:rPr>
                <w:rFonts w:cstheme="minorHAnsi"/>
                <w:sz w:val="20"/>
                <w:szCs w:val="20"/>
              </w:rPr>
            </w:pPr>
            <w:r w:rsidRPr="009E1A2F">
              <w:rPr>
                <w:rFonts w:cstheme="minorHAnsi"/>
                <w:sz w:val="20"/>
                <w:szCs w:val="20"/>
              </w:rPr>
              <w:t>14.0</w:t>
            </w:r>
            <w:r w:rsidRPr="009E1A2F">
              <w:rPr>
                <w:rFonts w:cstheme="minorHAnsi"/>
                <w:sz w:val="20"/>
                <w:szCs w:val="20"/>
              </w:rPr>
              <w:tab/>
              <w:t>(0, 32)</w:t>
            </w:r>
          </w:p>
        </w:tc>
        <w:tc>
          <w:tcPr>
            <w:tcW w:w="1418" w:type="dxa"/>
          </w:tcPr>
          <w:p w14:paraId="210D3D6C" w14:textId="77777777" w:rsidR="002D28F0" w:rsidRPr="009966ED" w:rsidRDefault="002D28F0" w:rsidP="002D28F0">
            <w:pPr>
              <w:jc w:val="both"/>
              <w:rPr>
                <w:rFonts w:cstheme="minorHAnsi"/>
                <w:b/>
                <w:sz w:val="20"/>
                <w:szCs w:val="20"/>
              </w:rPr>
            </w:pPr>
          </w:p>
          <w:p w14:paraId="13FA25B7" w14:textId="77777777" w:rsidR="002D28F0" w:rsidRPr="009966ED" w:rsidRDefault="002D28F0" w:rsidP="002D28F0">
            <w:pPr>
              <w:jc w:val="both"/>
              <w:rPr>
                <w:rFonts w:cstheme="minorHAnsi"/>
                <w:b/>
                <w:sz w:val="20"/>
                <w:szCs w:val="20"/>
              </w:rPr>
            </w:pPr>
            <w:r w:rsidRPr="009966ED">
              <w:rPr>
                <w:rFonts w:cstheme="minorHAnsi"/>
                <w:b/>
                <w:sz w:val="20"/>
                <w:szCs w:val="20"/>
              </w:rPr>
              <w:t>0.045</w:t>
            </w:r>
          </w:p>
        </w:tc>
      </w:tr>
      <w:tr w:rsidR="002D28F0" w:rsidRPr="001018E2" w14:paraId="41E05A68" w14:textId="77777777" w:rsidTr="002D28F0">
        <w:tc>
          <w:tcPr>
            <w:tcW w:w="3119" w:type="dxa"/>
          </w:tcPr>
          <w:p w14:paraId="6408A4D5" w14:textId="77777777" w:rsidR="002D28F0" w:rsidRPr="001018E2" w:rsidRDefault="002D28F0" w:rsidP="002D28F0">
            <w:pPr>
              <w:jc w:val="both"/>
              <w:rPr>
                <w:rFonts w:cstheme="minorHAnsi"/>
                <w:sz w:val="20"/>
                <w:szCs w:val="20"/>
              </w:rPr>
            </w:pPr>
            <w:r w:rsidRPr="001018E2">
              <w:rPr>
                <w:rFonts w:cstheme="minorHAnsi"/>
                <w:sz w:val="20"/>
                <w:szCs w:val="20"/>
              </w:rPr>
              <w:t>Time off work due to stress</w:t>
            </w:r>
          </w:p>
        </w:tc>
        <w:tc>
          <w:tcPr>
            <w:tcW w:w="2410" w:type="dxa"/>
          </w:tcPr>
          <w:p w14:paraId="3AA85C84" w14:textId="77777777" w:rsidR="002D28F0" w:rsidRPr="001018E2" w:rsidRDefault="002D28F0" w:rsidP="002D28F0">
            <w:pPr>
              <w:jc w:val="both"/>
              <w:rPr>
                <w:rFonts w:cstheme="minorHAnsi"/>
                <w:sz w:val="20"/>
                <w:szCs w:val="20"/>
              </w:rPr>
            </w:pPr>
            <w:r w:rsidRPr="001018E2">
              <w:rPr>
                <w:rFonts w:cstheme="minorHAnsi"/>
                <w:sz w:val="20"/>
                <w:szCs w:val="20"/>
              </w:rPr>
              <w:t>Yes</w:t>
            </w:r>
          </w:p>
          <w:p w14:paraId="67F20553" w14:textId="77777777" w:rsidR="002D28F0" w:rsidRPr="001018E2" w:rsidRDefault="002D28F0" w:rsidP="002D28F0">
            <w:pPr>
              <w:jc w:val="both"/>
              <w:rPr>
                <w:rFonts w:cstheme="minorHAnsi"/>
                <w:sz w:val="20"/>
                <w:szCs w:val="20"/>
              </w:rPr>
            </w:pPr>
            <w:r w:rsidRPr="001018E2">
              <w:rPr>
                <w:rFonts w:cstheme="minorHAnsi"/>
                <w:sz w:val="20"/>
                <w:szCs w:val="20"/>
              </w:rPr>
              <w:t>No</w:t>
            </w:r>
          </w:p>
        </w:tc>
        <w:tc>
          <w:tcPr>
            <w:tcW w:w="1842" w:type="dxa"/>
          </w:tcPr>
          <w:p w14:paraId="4AC32508" w14:textId="77777777" w:rsidR="002D28F0" w:rsidRPr="009E1A2F" w:rsidRDefault="002D28F0" w:rsidP="002D28F0">
            <w:pPr>
              <w:jc w:val="both"/>
              <w:rPr>
                <w:rFonts w:cstheme="minorHAnsi"/>
                <w:sz w:val="20"/>
                <w:szCs w:val="20"/>
              </w:rPr>
            </w:pPr>
            <w:r w:rsidRPr="009E1A2F">
              <w:rPr>
                <w:rFonts w:cstheme="minorHAnsi"/>
                <w:sz w:val="20"/>
                <w:szCs w:val="20"/>
              </w:rPr>
              <w:t>13.5</w:t>
            </w:r>
            <w:r w:rsidRPr="009E1A2F">
              <w:rPr>
                <w:rFonts w:cstheme="minorHAnsi"/>
                <w:sz w:val="20"/>
                <w:szCs w:val="20"/>
              </w:rPr>
              <w:tab/>
              <w:t>(7, 21)</w:t>
            </w:r>
          </w:p>
          <w:p w14:paraId="3B70829E" w14:textId="77777777" w:rsidR="002D28F0" w:rsidRPr="009E1A2F" w:rsidRDefault="002D28F0" w:rsidP="002D28F0">
            <w:pPr>
              <w:jc w:val="both"/>
              <w:rPr>
                <w:rFonts w:cstheme="minorHAnsi"/>
                <w:sz w:val="20"/>
                <w:szCs w:val="20"/>
              </w:rPr>
            </w:pPr>
            <w:r w:rsidRPr="009E1A2F">
              <w:rPr>
                <w:rFonts w:cstheme="minorHAnsi"/>
                <w:sz w:val="20"/>
                <w:szCs w:val="20"/>
              </w:rPr>
              <w:t>10.0</w:t>
            </w:r>
            <w:r w:rsidRPr="009E1A2F">
              <w:rPr>
                <w:rFonts w:cstheme="minorHAnsi"/>
                <w:sz w:val="20"/>
                <w:szCs w:val="20"/>
              </w:rPr>
              <w:tab/>
              <w:t>(0, 21)</w:t>
            </w:r>
          </w:p>
        </w:tc>
        <w:tc>
          <w:tcPr>
            <w:tcW w:w="709" w:type="dxa"/>
          </w:tcPr>
          <w:p w14:paraId="664FB1A6" w14:textId="77777777" w:rsidR="002D28F0" w:rsidRPr="009E1A2F" w:rsidRDefault="002D28F0" w:rsidP="002D28F0">
            <w:pPr>
              <w:jc w:val="both"/>
              <w:rPr>
                <w:rFonts w:cstheme="minorHAnsi"/>
                <w:b/>
                <w:sz w:val="20"/>
                <w:szCs w:val="20"/>
              </w:rPr>
            </w:pPr>
            <w:r w:rsidRPr="009E1A2F">
              <w:rPr>
                <w:rFonts w:cstheme="minorHAnsi"/>
                <w:b/>
                <w:sz w:val="20"/>
                <w:szCs w:val="20"/>
              </w:rPr>
              <w:t>0.009</w:t>
            </w:r>
          </w:p>
        </w:tc>
        <w:tc>
          <w:tcPr>
            <w:tcW w:w="1843" w:type="dxa"/>
          </w:tcPr>
          <w:p w14:paraId="1A5F2DBC" w14:textId="77777777" w:rsidR="002D28F0" w:rsidRPr="009E1A2F" w:rsidRDefault="002D28F0" w:rsidP="002D28F0">
            <w:pPr>
              <w:jc w:val="both"/>
              <w:rPr>
                <w:rFonts w:cstheme="minorHAnsi"/>
                <w:sz w:val="20"/>
                <w:szCs w:val="20"/>
              </w:rPr>
            </w:pPr>
            <w:r w:rsidRPr="009E1A2F">
              <w:rPr>
                <w:rFonts w:cstheme="minorHAnsi"/>
                <w:sz w:val="20"/>
                <w:szCs w:val="20"/>
              </w:rPr>
              <w:t>7.0</w:t>
            </w:r>
            <w:r w:rsidRPr="009E1A2F">
              <w:rPr>
                <w:rFonts w:cstheme="minorHAnsi"/>
                <w:sz w:val="20"/>
                <w:szCs w:val="20"/>
              </w:rPr>
              <w:tab/>
              <w:t>(4, 11)</w:t>
            </w:r>
          </w:p>
          <w:p w14:paraId="506A4582" w14:textId="77777777" w:rsidR="002D28F0" w:rsidRPr="009E1A2F" w:rsidRDefault="002D28F0" w:rsidP="002D28F0">
            <w:pPr>
              <w:jc w:val="both"/>
              <w:rPr>
                <w:rFonts w:cstheme="minorHAnsi"/>
                <w:sz w:val="20"/>
                <w:szCs w:val="20"/>
              </w:rPr>
            </w:pPr>
            <w:r w:rsidRPr="009E1A2F">
              <w:rPr>
                <w:rFonts w:cstheme="minorHAnsi"/>
                <w:sz w:val="20"/>
                <w:szCs w:val="20"/>
              </w:rPr>
              <w:t>5.0</w:t>
            </w:r>
            <w:r w:rsidRPr="009E1A2F">
              <w:rPr>
                <w:rFonts w:cstheme="minorHAnsi"/>
                <w:sz w:val="20"/>
                <w:szCs w:val="20"/>
              </w:rPr>
              <w:tab/>
              <w:t>(0, 11)</w:t>
            </w:r>
          </w:p>
        </w:tc>
        <w:tc>
          <w:tcPr>
            <w:tcW w:w="850" w:type="dxa"/>
          </w:tcPr>
          <w:p w14:paraId="17F97F9E" w14:textId="77777777" w:rsidR="002D28F0" w:rsidRPr="009E1A2F" w:rsidRDefault="002D28F0" w:rsidP="002D28F0">
            <w:pPr>
              <w:jc w:val="both"/>
              <w:rPr>
                <w:rFonts w:cstheme="minorHAnsi"/>
                <w:sz w:val="20"/>
                <w:szCs w:val="20"/>
              </w:rPr>
            </w:pPr>
            <w:r w:rsidRPr="009E1A2F">
              <w:rPr>
                <w:rFonts w:cstheme="minorHAnsi"/>
                <w:sz w:val="20"/>
                <w:szCs w:val="20"/>
              </w:rPr>
              <w:t>0.064</w:t>
            </w:r>
          </w:p>
        </w:tc>
        <w:tc>
          <w:tcPr>
            <w:tcW w:w="1843" w:type="dxa"/>
          </w:tcPr>
          <w:p w14:paraId="59A19FBF" w14:textId="77777777" w:rsidR="002D28F0" w:rsidRPr="009E1A2F" w:rsidRDefault="002D28F0" w:rsidP="002D28F0">
            <w:pPr>
              <w:jc w:val="both"/>
              <w:rPr>
                <w:rFonts w:cstheme="minorHAnsi"/>
                <w:sz w:val="20"/>
                <w:szCs w:val="20"/>
              </w:rPr>
            </w:pPr>
            <w:r w:rsidRPr="009E1A2F">
              <w:rPr>
                <w:rFonts w:cstheme="minorHAnsi"/>
                <w:sz w:val="20"/>
                <w:szCs w:val="20"/>
              </w:rPr>
              <w:t>21.0</w:t>
            </w:r>
            <w:r w:rsidRPr="009E1A2F">
              <w:rPr>
                <w:rFonts w:cstheme="minorHAnsi"/>
                <w:sz w:val="20"/>
                <w:szCs w:val="20"/>
              </w:rPr>
              <w:tab/>
              <w:t>(11, 32)</w:t>
            </w:r>
          </w:p>
          <w:p w14:paraId="287A49F0" w14:textId="77777777" w:rsidR="002D28F0" w:rsidRPr="009E1A2F" w:rsidRDefault="002D28F0" w:rsidP="002D28F0">
            <w:pPr>
              <w:jc w:val="both"/>
              <w:rPr>
                <w:rFonts w:cstheme="minorHAnsi"/>
                <w:sz w:val="20"/>
                <w:szCs w:val="20"/>
              </w:rPr>
            </w:pPr>
            <w:r w:rsidRPr="009E1A2F">
              <w:rPr>
                <w:rFonts w:cstheme="minorHAnsi"/>
                <w:sz w:val="20"/>
                <w:szCs w:val="20"/>
              </w:rPr>
              <w:t>15.0</w:t>
            </w:r>
            <w:r w:rsidRPr="009E1A2F">
              <w:rPr>
                <w:rFonts w:cstheme="minorHAnsi"/>
                <w:sz w:val="20"/>
                <w:szCs w:val="20"/>
              </w:rPr>
              <w:tab/>
              <w:t>(0, 32)</w:t>
            </w:r>
          </w:p>
        </w:tc>
        <w:tc>
          <w:tcPr>
            <w:tcW w:w="1418" w:type="dxa"/>
          </w:tcPr>
          <w:p w14:paraId="76735713" w14:textId="77777777" w:rsidR="002D28F0" w:rsidRPr="009966ED" w:rsidRDefault="002D28F0" w:rsidP="002D28F0">
            <w:pPr>
              <w:jc w:val="both"/>
              <w:rPr>
                <w:rFonts w:cstheme="minorHAnsi"/>
                <w:b/>
                <w:sz w:val="20"/>
                <w:szCs w:val="20"/>
              </w:rPr>
            </w:pPr>
            <w:r w:rsidRPr="009966ED">
              <w:rPr>
                <w:rFonts w:cstheme="minorHAnsi"/>
                <w:b/>
                <w:sz w:val="20"/>
                <w:szCs w:val="20"/>
              </w:rPr>
              <w:t>0.016</w:t>
            </w:r>
          </w:p>
        </w:tc>
      </w:tr>
      <w:tr w:rsidR="002D28F0" w:rsidRPr="001018E2" w14:paraId="03342B71" w14:textId="77777777" w:rsidTr="002D28F0">
        <w:tc>
          <w:tcPr>
            <w:tcW w:w="3119" w:type="dxa"/>
          </w:tcPr>
          <w:p w14:paraId="56F90DD7" w14:textId="77777777" w:rsidR="002D28F0" w:rsidRPr="001018E2" w:rsidRDefault="002D28F0" w:rsidP="002D28F0">
            <w:pPr>
              <w:jc w:val="both"/>
              <w:rPr>
                <w:rFonts w:cstheme="minorHAnsi"/>
                <w:sz w:val="20"/>
                <w:szCs w:val="20"/>
              </w:rPr>
            </w:pPr>
            <w:r w:rsidRPr="001018E2">
              <w:rPr>
                <w:rFonts w:cstheme="minorHAnsi"/>
                <w:sz w:val="20"/>
                <w:szCs w:val="20"/>
              </w:rPr>
              <w:t>Able to keep up with training requirements</w:t>
            </w:r>
          </w:p>
        </w:tc>
        <w:tc>
          <w:tcPr>
            <w:tcW w:w="2410" w:type="dxa"/>
          </w:tcPr>
          <w:p w14:paraId="2B94C494" w14:textId="77777777" w:rsidR="002D28F0" w:rsidRPr="001018E2" w:rsidRDefault="002D28F0" w:rsidP="002D28F0">
            <w:pPr>
              <w:jc w:val="both"/>
              <w:rPr>
                <w:rFonts w:cstheme="minorHAnsi"/>
                <w:sz w:val="20"/>
                <w:szCs w:val="20"/>
              </w:rPr>
            </w:pPr>
            <w:r w:rsidRPr="001018E2">
              <w:rPr>
                <w:rFonts w:cstheme="minorHAnsi"/>
                <w:sz w:val="20"/>
                <w:szCs w:val="20"/>
              </w:rPr>
              <w:t>Yes</w:t>
            </w:r>
          </w:p>
          <w:p w14:paraId="05462295" w14:textId="77777777" w:rsidR="002D28F0" w:rsidRPr="001018E2" w:rsidRDefault="002D28F0" w:rsidP="002D28F0">
            <w:pPr>
              <w:jc w:val="both"/>
              <w:rPr>
                <w:rFonts w:cstheme="minorHAnsi"/>
                <w:sz w:val="20"/>
                <w:szCs w:val="20"/>
              </w:rPr>
            </w:pPr>
            <w:r w:rsidRPr="001018E2">
              <w:rPr>
                <w:rFonts w:cstheme="minorHAnsi"/>
                <w:sz w:val="20"/>
                <w:szCs w:val="20"/>
              </w:rPr>
              <w:t>No</w:t>
            </w:r>
          </w:p>
        </w:tc>
        <w:tc>
          <w:tcPr>
            <w:tcW w:w="1842" w:type="dxa"/>
          </w:tcPr>
          <w:p w14:paraId="6EA9662C" w14:textId="77777777" w:rsidR="002D28F0" w:rsidRPr="00925022" w:rsidRDefault="002D28F0" w:rsidP="002D28F0">
            <w:pPr>
              <w:jc w:val="both"/>
              <w:rPr>
                <w:rFonts w:cstheme="minorHAnsi"/>
                <w:sz w:val="20"/>
                <w:szCs w:val="20"/>
              </w:rPr>
            </w:pPr>
            <w:r w:rsidRPr="00925022">
              <w:rPr>
                <w:rFonts w:cstheme="minorHAnsi"/>
                <w:sz w:val="20"/>
                <w:szCs w:val="20"/>
              </w:rPr>
              <w:t>9.0</w:t>
            </w:r>
            <w:r w:rsidRPr="00925022">
              <w:rPr>
                <w:rFonts w:cstheme="minorHAnsi"/>
                <w:sz w:val="20"/>
                <w:szCs w:val="20"/>
              </w:rPr>
              <w:tab/>
              <w:t>(0, 18)</w:t>
            </w:r>
          </w:p>
          <w:p w14:paraId="73C1A117" w14:textId="77777777" w:rsidR="002D28F0" w:rsidRPr="00925022" w:rsidRDefault="002D28F0" w:rsidP="002D28F0">
            <w:pPr>
              <w:jc w:val="both"/>
              <w:rPr>
                <w:rFonts w:cstheme="minorHAnsi"/>
                <w:sz w:val="20"/>
                <w:szCs w:val="20"/>
              </w:rPr>
            </w:pPr>
            <w:r w:rsidRPr="00925022">
              <w:rPr>
                <w:rFonts w:cstheme="minorHAnsi"/>
                <w:sz w:val="20"/>
                <w:szCs w:val="20"/>
              </w:rPr>
              <w:t>11.0</w:t>
            </w:r>
            <w:r w:rsidRPr="00925022">
              <w:rPr>
                <w:rFonts w:cstheme="minorHAnsi"/>
                <w:sz w:val="20"/>
                <w:szCs w:val="20"/>
              </w:rPr>
              <w:tab/>
              <w:t>(1, 21)</w:t>
            </w:r>
          </w:p>
        </w:tc>
        <w:tc>
          <w:tcPr>
            <w:tcW w:w="709" w:type="dxa"/>
          </w:tcPr>
          <w:p w14:paraId="664DD9FA" w14:textId="77777777" w:rsidR="002D28F0" w:rsidRPr="00925022" w:rsidRDefault="002D28F0" w:rsidP="002D28F0">
            <w:pPr>
              <w:jc w:val="both"/>
              <w:rPr>
                <w:rFonts w:cstheme="minorHAnsi"/>
                <w:b/>
                <w:sz w:val="20"/>
                <w:szCs w:val="20"/>
              </w:rPr>
            </w:pPr>
            <w:r w:rsidRPr="00925022">
              <w:rPr>
                <w:rFonts w:cstheme="minorHAnsi"/>
                <w:b/>
                <w:sz w:val="20"/>
                <w:szCs w:val="20"/>
              </w:rPr>
              <w:t>0.003</w:t>
            </w:r>
          </w:p>
        </w:tc>
        <w:tc>
          <w:tcPr>
            <w:tcW w:w="1843" w:type="dxa"/>
          </w:tcPr>
          <w:p w14:paraId="53B037F1" w14:textId="77777777" w:rsidR="002D28F0" w:rsidRPr="00925022" w:rsidRDefault="002D28F0" w:rsidP="002D28F0">
            <w:pPr>
              <w:jc w:val="both"/>
              <w:rPr>
                <w:rFonts w:cstheme="minorHAnsi"/>
                <w:sz w:val="20"/>
                <w:szCs w:val="20"/>
              </w:rPr>
            </w:pPr>
            <w:r w:rsidRPr="00925022">
              <w:rPr>
                <w:rFonts w:cstheme="minorHAnsi"/>
                <w:sz w:val="20"/>
                <w:szCs w:val="20"/>
              </w:rPr>
              <w:t>5.0</w:t>
            </w:r>
            <w:r w:rsidRPr="00925022">
              <w:rPr>
                <w:rFonts w:cstheme="minorHAnsi"/>
                <w:sz w:val="20"/>
                <w:szCs w:val="20"/>
              </w:rPr>
              <w:tab/>
              <w:t>(0, 11)</w:t>
            </w:r>
          </w:p>
          <w:p w14:paraId="2A5EF683" w14:textId="77777777" w:rsidR="002D28F0" w:rsidRPr="00925022" w:rsidRDefault="002D28F0" w:rsidP="002D28F0">
            <w:pPr>
              <w:jc w:val="both"/>
              <w:rPr>
                <w:rFonts w:cstheme="minorHAnsi"/>
                <w:sz w:val="20"/>
                <w:szCs w:val="20"/>
              </w:rPr>
            </w:pPr>
            <w:r w:rsidRPr="00925022">
              <w:rPr>
                <w:rFonts w:cstheme="minorHAnsi"/>
                <w:sz w:val="20"/>
                <w:szCs w:val="20"/>
              </w:rPr>
              <w:t>6.0</w:t>
            </w:r>
            <w:r w:rsidRPr="00925022">
              <w:rPr>
                <w:rFonts w:cstheme="minorHAnsi"/>
                <w:sz w:val="20"/>
                <w:szCs w:val="20"/>
              </w:rPr>
              <w:tab/>
              <w:t>(1, 11)</w:t>
            </w:r>
          </w:p>
        </w:tc>
        <w:tc>
          <w:tcPr>
            <w:tcW w:w="850" w:type="dxa"/>
          </w:tcPr>
          <w:p w14:paraId="1823D0E4" w14:textId="77777777" w:rsidR="002D28F0" w:rsidRPr="00925022" w:rsidRDefault="002D28F0" w:rsidP="002D28F0">
            <w:pPr>
              <w:jc w:val="both"/>
              <w:rPr>
                <w:rFonts w:cstheme="minorHAnsi"/>
                <w:b/>
                <w:sz w:val="20"/>
                <w:szCs w:val="20"/>
              </w:rPr>
            </w:pPr>
            <w:r w:rsidRPr="00925022">
              <w:rPr>
                <w:rFonts w:cstheme="minorHAnsi"/>
                <w:b/>
                <w:sz w:val="20"/>
                <w:szCs w:val="20"/>
              </w:rPr>
              <w:t>0.007</w:t>
            </w:r>
          </w:p>
        </w:tc>
        <w:tc>
          <w:tcPr>
            <w:tcW w:w="1843" w:type="dxa"/>
          </w:tcPr>
          <w:p w14:paraId="31117161" w14:textId="77777777" w:rsidR="002D28F0" w:rsidRPr="00925022" w:rsidRDefault="002D28F0" w:rsidP="002D28F0">
            <w:pPr>
              <w:jc w:val="both"/>
              <w:rPr>
                <w:rFonts w:cstheme="minorHAnsi"/>
                <w:sz w:val="20"/>
                <w:szCs w:val="20"/>
              </w:rPr>
            </w:pPr>
            <w:r w:rsidRPr="00925022">
              <w:rPr>
                <w:rFonts w:cstheme="minorHAnsi"/>
                <w:sz w:val="20"/>
                <w:szCs w:val="20"/>
              </w:rPr>
              <w:t>14.0</w:t>
            </w:r>
            <w:r w:rsidRPr="00925022">
              <w:rPr>
                <w:rFonts w:cstheme="minorHAnsi"/>
                <w:sz w:val="20"/>
                <w:szCs w:val="20"/>
              </w:rPr>
              <w:tab/>
              <w:t>(0, 27)</w:t>
            </w:r>
          </w:p>
          <w:p w14:paraId="053752B6" w14:textId="77777777" w:rsidR="002D28F0" w:rsidRPr="00925022" w:rsidRDefault="002D28F0" w:rsidP="002D28F0">
            <w:pPr>
              <w:jc w:val="both"/>
              <w:rPr>
                <w:rFonts w:cstheme="minorHAnsi"/>
                <w:sz w:val="20"/>
                <w:szCs w:val="20"/>
              </w:rPr>
            </w:pPr>
            <w:r w:rsidRPr="00925022">
              <w:rPr>
                <w:rFonts w:cstheme="minorHAnsi"/>
                <w:sz w:val="20"/>
                <w:szCs w:val="20"/>
              </w:rPr>
              <w:t>18.0</w:t>
            </w:r>
            <w:r w:rsidRPr="00925022">
              <w:rPr>
                <w:rFonts w:cstheme="minorHAnsi"/>
                <w:sz w:val="20"/>
                <w:szCs w:val="20"/>
              </w:rPr>
              <w:tab/>
              <w:t>(3, 32)</w:t>
            </w:r>
          </w:p>
        </w:tc>
        <w:tc>
          <w:tcPr>
            <w:tcW w:w="1418" w:type="dxa"/>
          </w:tcPr>
          <w:p w14:paraId="366CB3A2" w14:textId="77777777" w:rsidR="002D28F0" w:rsidRPr="009966ED" w:rsidRDefault="002D28F0" w:rsidP="002D28F0">
            <w:pPr>
              <w:jc w:val="both"/>
              <w:rPr>
                <w:rFonts w:cstheme="minorHAnsi"/>
                <w:b/>
                <w:sz w:val="20"/>
                <w:szCs w:val="20"/>
              </w:rPr>
            </w:pPr>
            <w:r w:rsidRPr="009966ED">
              <w:rPr>
                <w:rFonts w:cstheme="minorHAnsi"/>
                <w:b/>
                <w:sz w:val="20"/>
                <w:szCs w:val="20"/>
              </w:rPr>
              <w:t>0.001</w:t>
            </w:r>
          </w:p>
        </w:tc>
      </w:tr>
      <w:tr w:rsidR="002D28F0" w:rsidRPr="001018E2" w14:paraId="43A66366" w14:textId="77777777" w:rsidTr="002D28F0">
        <w:tc>
          <w:tcPr>
            <w:tcW w:w="3119" w:type="dxa"/>
          </w:tcPr>
          <w:p w14:paraId="03733C83" w14:textId="77777777" w:rsidR="002D28F0" w:rsidRPr="004F10BA" w:rsidRDefault="002D28F0" w:rsidP="002D28F0">
            <w:pPr>
              <w:jc w:val="both"/>
              <w:rPr>
                <w:rFonts w:cstheme="minorHAnsi"/>
                <w:sz w:val="20"/>
                <w:szCs w:val="20"/>
              </w:rPr>
            </w:pPr>
            <w:r w:rsidRPr="004F10BA">
              <w:rPr>
                <w:rFonts w:cstheme="minorHAnsi"/>
                <w:sz w:val="20"/>
                <w:szCs w:val="20"/>
              </w:rPr>
              <w:t>Has there been changes to patient safety compared to pre-pandemic</w:t>
            </w:r>
          </w:p>
        </w:tc>
        <w:tc>
          <w:tcPr>
            <w:tcW w:w="2410" w:type="dxa"/>
          </w:tcPr>
          <w:p w14:paraId="76E51261" w14:textId="77777777" w:rsidR="002D28F0" w:rsidRPr="004F10BA" w:rsidRDefault="002D28F0" w:rsidP="002D28F0">
            <w:pPr>
              <w:jc w:val="both"/>
              <w:rPr>
                <w:rFonts w:cstheme="minorHAnsi"/>
                <w:sz w:val="20"/>
                <w:szCs w:val="20"/>
              </w:rPr>
            </w:pPr>
            <w:r w:rsidRPr="004F10BA">
              <w:rPr>
                <w:rFonts w:cstheme="minorHAnsi"/>
                <w:sz w:val="20"/>
                <w:szCs w:val="20"/>
              </w:rPr>
              <w:t>Yes</w:t>
            </w:r>
          </w:p>
          <w:p w14:paraId="4CFF0B30" w14:textId="77777777" w:rsidR="002D28F0" w:rsidRPr="004F10BA" w:rsidRDefault="002D28F0" w:rsidP="002D28F0">
            <w:pPr>
              <w:jc w:val="both"/>
              <w:rPr>
                <w:rFonts w:cstheme="minorHAnsi"/>
                <w:sz w:val="20"/>
                <w:szCs w:val="20"/>
              </w:rPr>
            </w:pPr>
            <w:r w:rsidRPr="004F10BA">
              <w:rPr>
                <w:rFonts w:cstheme="minorHAnsi"/>
                <w:sz w:val="20"/>
                <w:szCs w:val="20"/>
              </w:rPr>
              <w:t xml:space="preserve">No/Not sure </w:t>
            </w:r>
          </w:p>
        </w:tc>
        <w:tc>
          <w:tcPr>
            <w:tcW w:w="1842" w:type="dxa"/>
          </w:tcPr>
          <w:p w14:paraId="6F5D1A02" w14:textId="77777777" w:rsidR="002D28F0" w:rsidRPr="004F10BA" w:rsidRDefault="002D28F0" w:rsidP="002D28F0">
            <w:pPr>
              <w:jc w:val="both"/>
              <w:rPr>
                <w:rFonts w:cstheme="minorHAnsi"/>
                <w:sz w:val="20"/>
                <w:szCs w:val="20"/>
              </w:rPr>
            </w:pPr>
            <w:r w:rsidRPr="004F10BA">
              <w:rPr>
                <w:rFonts w:cstheme="minorHAnsi"/>
                <w:sz w:val="20"/>
                <w:szCs w:val="20"/>
              </w:rPr>
              <w:t>10.0</w:t>
            </w:r>
            <w:r w:rsidRPr="004F10BA">
              <w:rPr>
                <w:rFonts w:cstheme="minorHAnsi"/>
                <w:sz w:val="20"/>
                <w:szCs w:val="20"/>
              </w:rPr>
              <w:tab/>
              <w:t>(0, 21)</w:t>
            </w:r>
          </w:p>
          <w:p w14:paraId="61BBBC4E" w14:textId="77777777" w:rsidR="002D28F0" w:rsidRPr="004F10BA" w:rsidRDefault="002D28F0" w:rsidP="002D28F0">
            <w:pPr>
              <w:jc w:val="both"/>
              <w:rPr>
                <w:rFonts w:cstheme="minorHAnsi"/>
                <w:sz w:val="20"/>
                <w:szCs w:val="20"/>
              </w:rPr>
            </w:pPr>
            <w:r w:rsidRPr="004F10BA">
              <w:rPr>
                <w:rFonts w:cstheme="minorHAnsi"/>
                <w:sz w:val="20"/>
                <w:szCs w:val="20"/>
              </w:rPr>
              <w:t>9.0</w:t>
            </w:r>
            <w:r w:rsidRPr="004F10BA">
              <w:rPr>
                <w:rFonts w:cstheme="minorHAnsi"/>
                <w:sz w:val="20"/>
                <w:szCs w:val="20"/>
              </w:rPr>
              <w:tab/>
              <w:t>(0, 20)</w:t>
            </w:r>
          </w:p>
        </w:tc>
        <w:tc>
          <w:tcPr>
            <w:tcW w:w="709" w:type="dxa"/>
          </w:tcPr>
          <w:p w14:paraId="7A33E6A8" w14:textId="77777777" w:rsidR="002D28F0" w:rsidRPr="004F10BA" w:rsidRDefault="002D28F0" w:rsidP="002D28F0">
            <w:pPr>
              <w:jc w:val="both"/>
              <w:rPr>
                <w:rFonts w:cstheme="minorHAnsi"/>
                <w:sz w:val="20"/>
                <w:szCs w:val="20"/>
              </w:rPr>
            </w:pPr>
            <w:r w:rsidRPr="004F10BA">
              <w:rPr>
                <w:rFonts w:cstheme="minorHAnsi"/>
                <w:sz w:val="20"/>
                <w:szCs w:val="20"/>
              </w:rPr>
              <w:t>0.183</w:t>
            </w:r>
          </w:p>
        </w:tc>
        <w:tc>
          <w:tcPr>
            <w:tcW w:w="1843" w:type="dxa"/>
          </w:tcPr>
          <w:p w14:paraId="3424B192" w14:textId="77777777" w:rsidR="002D28F0" w:rsidRPr="004F10BA" w:rsidRDefault="002D28F0" w:rsidP="002D28F0">
            <w:pPr>
              <w:jc w:val="both"/>
              <w:rPr>
                <w:rFonts w:cstheme="minorHAnsi"/>
                <w:sz w:val="20"/>
                <w:szCs w:val="20"/>
              </w:rPr>
            </w:pPr>
            <w:r w:rsidRPr="004F10BA">
              <w:rPr>
                <w:rFonts w:cstheme="minorHAnsi"/>
                <w:sz w:val="20"/>
                <w:szCs w:val="20"/>
              </w:rPr>
              <w:t>5.0</w:t>
            </w:r>
            <w:r w:rsidRPr="004F10BA">
              <w:rPr>
                <w:rFonts w:cstheme="minorHAnsi"/>
                <w:sz w:val="20"/>
                <w:szCs w:val="20"/>
              </w:rPr>
              <w:tab/>
              <w:t>(0, 11)</w:t>
            </w:r>
          </w:p>
          <w:p w14:paraId="7EBCEF4C" w14:textId="77777777" w:rsidR="002D28F0" w:rsidRPr="004F10BA" w:rsidRDefault="002D28F0" w:rsidP="002D28F0">
            <w:pPr>
              <w:jc w:val="both"/>
              <w:rPr>
                <w:rFonts w:cstheme="minorHAnsi"/>
                <w:sz w:val="20"/>
                <w:szCs w:val="20"/>
              </w:rPr>
            </w:pPr>
            <w:r w:rsidRPr="004F10BA">
              <w:rPr>
                <w:rFonts w:cstheme="minorHAnsi"/>
                <w:sz w:val="20"/>
                <w:szCs w:val="20"/>
              </w:rPr>
              <w:t>4.0</w:t>
            </w:r>
            <w:r w:rsidRPr="004F10BA">
              <w:rPr>
                <w:rFonts w:cstheme="minorHAnsi"/>
                <w:sz w:val="20"/>
                <w:szCs w:val="20"/>
              </w:rPr>
              <w:tab/>
              <w:t>(0, 11))</w:t>
            </w:r>
          </w:p>
        </w:tc>
        <w:tc>
          <w:tcPr>
            <w:tcW w:w="850" w:type="dxa"/>
          </w:tcPr>
          <w:p w14:paraId="31353ED5" w14:textId="77777777" w:rsidR="002D28F0" w:rsidRPr="004F10BA" w:rsidRDefault="002D28F0" w:rsidP="002D28F0">
            <w:pPr>
              <w:jc w:val="both"/>
              <w:rPr>
                <w:rFonts w:cstheme="minorHAnsi"/>
                <w:sz w:val="20"/>
                <w:szCs w:val="20"/>
              </w:rPr>
            </w:pPr>
            <w:r w:rsidRPr="004F10BA">
              <w:rPr>
                <w:rFonts w:cstheme="minorHAnsi"/>
                <w:sz w:val="20"/>
                <w:szCs w:val="20"/>
              </w:rPr>
              <w:t>0.072</w:t>
            </w:r>
          </w:p>
        </w:tc>
        <w:tc>
          <w:tcPr>
            <w:tcW w:w="1843" w:type="dxa"/>
          </w:tcPr>
          <w:p w14:paraId="62B82D8B" w14:textId="77777777" w:rsidR="002D28F0" w:rsidRPr="004F10BA" w:rsidRDefault="002D28F0" w:rsidP="002D28F0">
            <w:pPr>
              <w:jc w:val="both"/>
              <w:rPr>
                <w:rFonts w:cstheme="minorHAnsi"/>
                <w:sz w:val="20"/>
                <w:szCs w:val="20"/>
              </w:rPr>
            </w:pPr>
            <w:r w:rsidRPr="004F10BA">
              <w:rPr>
                <w:rFonts w:cstheme="minorHAnsi"/>
                <w:sz w:val="20"/>
                <w:szCs w:val="20"/>
              </w:rPr>
              <w:t>16.0</w:t>
            </w:r>
            <w:r w:rsidRPr="004F10BA">
              <w:rPr>
                <w:rFonts w:cstheme="minorHAnsi"/>
                <w:sz w:val="20"/>
                <w:szCs w:val="20"/>
              </w:rPr>
              <w:tab/>
              <w:t>(0, 32)</w:t>
            </w:r>
          </w:p>
          <w:p w14:paraId="4EB8283A" w14:textId="77777777" w:rsidR="002D28F0" w:rsidRPr="004F10BA" w:rsidRDefault="002D28F0" w:rsidP="002D28F0">
            <w:pPr>
              <w:jc w:val="both"/>
              <w:rPr>
                <w:rFonts w:cstheme="minorHAnsi"/>
                <w:sz w:val="20"/>
                <w:szCs w:val="20"/>
              </w:rPr>
            </w:pPr>
            <w:r w:rsidRPr="004F10BA">
              <w:rPr>
                <w:rFonts w:cstheme="minorHAnsi"/>
                <w:sz w:val="20"/>
                <w:szCs w:val="20"/>
              </w:rPr>
              <w:t>14.0</w:t>
            </w:r>
            <w:r w:rsidRPr="004F10BA">
              <w:rPr>
                <w:rFonts w:cstheme="minorHAnsi"/>
                <w:sz w:val="20"/>
                <w:szCs w:val="20"/>
              </w:rPr>
              <w:tab/>
              <w:t>(0, 29)</w:t>
            </w:r>
          </w:p>
        </w:tc>
        <w:tc>
          <w:tcPr>
            <w:tcW w:w="1418" w:type="dxa"/>
          </w:tcPr>
          <w:p w14:paraId="09EC2725" w14:textId="77777777" w:rsidR="002D28F0" w:rsidRPr="004F10BA" w:rsidRDefault="002D28F0" w:rsidP="002D28F0">
            <w:pPr>
              <w:jc w:val="both"/>
              <w:rPr>
                <w:rFonts w:cstheme="minorHAnsi"/>
                <w:sz w:val="20"/>
                <w:szCs w:val="20"/>
              </w:rPr>
            </w:pPr>
            <w:r w:rsidRPr="004F10BA">
              <w:rPr>
                <w:rFonts w:cstheme="minorHAnsi"/>
                <w:sz w:val="20"/>
                <w:szCs w:val="20"/>
              </w:rPr>
              <w:t>0.068</w:t>
            </w:r>
          </w:p>
        </w:tc>
      </w:tr>
      <w:tr w:rsidR="002D28F0" w:rsidRPr="001018E2" w14:paraId="6CC6BC26" w14:textId="77777777" w:rsidTr="002D28F0">
        <w:tc>
          <w:tcPr>
            <w:tcW w:w="3119" w:type="dxa"/>
          </w:tcPr>
          <w:p w14:paraId="6140194B" w14:textId="77777777" w:rsidR="002D28F0" w:rsidRPr="004F10BA" w:rsidRDefault="002D28F0" w:rsidP="002D28F0">
            <w:pPr>
              <w:jc w:val="both"/>
              <w:rPr>
                <w:rFonts w:cstheme="minorHAnsi"/>
                <w:sz w:val="20"/>
                <w:szCs w:val="20"/>
              </w:rPr>
            </w:pPr>
            <w:r w:rsidRPr="004F10BA">
              <w:rPr>
                <w:rFonts w:cstheme="minorHAnsi"/>
                <w:sz w:val="20"/>
                <w:szCs w:val="20"/>
              </w:rPr>
              <w:t xml:space="preserve">Have you experienced any positive emotional responses from patients </w:t>
            </w:r>
          </w:p>
        </w:tc>
        <w:tc>
          <w:tcPr>
            <w:tcW w:w="2410" w:type="dxa"/>
          </w:tcPr>
          <w:p w14:paraId="731738E5" w14:textId="77777777" w:rsidR="002D28F0" w:rsidRPr="004F10BA" w:rsidRDefault="002D28F0" w:rsidP="002D28F0">
            <w:pPr>
              <w:jc w:val="both"/>
              <w:rPr>
                <w:rFonts w:cstheme="minorHAnsi"/>
                <w:sz w:val="20"/>
                <w:szCs w:val="20"/>
              </w:rPr>
            </w:pPr>
            <w:r w:rsidRPr="004F10BA">
              <w:rPr>
                <w:rFonts w:cstheme="minorHAnsi"/>
                <w:sz w:val="20"/>
                <w:szCs w:val="20"/>
              </w:rPr>
              <w:t>Yes</w:t>
            </w:r>
          </w:p>
          <w:p w14:paraId="5CEEA38C" w14:textId="77777777" w:rsidR="002D28F0" w:rsidRPr="004F10BA" w:rsidRDefault="002D28F0" w:rsidP="002D28F0">
            <w:pPr>
              <w:jc w:val="both"/>
              <w:rPr>
                <w:rFonts w:cstheme="minorHAnsi"/>
                <w:sz w:val="20"/>
                <w:szCs w:val="20"/>
              </w:rPr>
            </w:pPr>
            <w:r w:rsidRPr="004F10BA">
              <w:rPr>
                <w:rFonts w:cstheme="minorHAnsi"/>
                <w:sz w:val="20"/>
                <w:szCs w:val="20"/>
              </w:rPr>
              <w:t>No</w:t>
            </w:r>
          </w:p>
        </w:tc>
        <w:tc>
          <w:tcPr>
            <w:tcW w:w="1842" w:type="dxa"/>
          </w:tcPr>
          <w:p w14:paraId="4A052386" w14:textId="77777777" w:rsidR="002D28F0" w:rsidRPr="004F10BA" w:rsidRDefault="002D28F0" w:rsidP="002D28F0">
            <w:pPr>
              <w:jc w:val="both"/>
              <w:rPr>
                <w:rFonts w:cstheme="minorHAnsi"/>
                <w:sz w:val="20"/>
                <w:szCs w:val="20"/>
              </w:rPr>
            </w:pPr>
            <w:r w:rsidRPr="004F10BA">
              <w:rPr>
                <w:rFonts w:cstheme="minorHAnsi"/>
                <w:sz w:val="20"/>
                <w:szCs w:val="20"/>
              </w:rPr>
              <w:t>10.0</w:t>
            </w:r>
            <w:r w:rsidRPr="004F10BA">
              <w:rPr>
                <w:rFonts w:cstheme="minorHAnsi"/>
                <w:sz w:val="20"/>
                <w:szCs w:val="20"/>
              </w:rPr>
              <w:tab/>
              <w:t>(0, 21)</w:t>
            </w:r>
          </w:p>
          <w:p w14:paraId="4230BA93" w14:textId="77777777" w:rsidR="002D28F0" w:rsidRPr="004F10BA" w:rsidRDefault="002D28F0" w:rsidP="002D28F0">
            <w:pPr>
              <w:jc w:val="both"/>
              <w:rPr>
                <w:rFonts w:cstheme="minorHAnsi"/>
                <w:sz w:val="20"/>
                <w:szCs w:val="20"/>
              </w:rPr>
            </w:pPr>
            <w:r w:rsidRPr="004F10BA">
              <w:rPr>
                <w:rFonts w:cstheme="minorHAnsi"/>
                <w:sz w:val="20"/>
                <w:szCs w:val="20"/>
              </w:rPr>
              <w:t>11.0</w:t>
            </w:r>
            <w:r w:rsidRPr="004F10BA">
              <w:rPr>
                <w:rFonts w:cstheme="minorHAnsi"/>
                <w:sz w:val="20"/>
                <w:szCs w:val="20"/>
              </w:rPr>
              <w:tab/>
              <w:t>(0, 21)</w:t>
            </w:r>
          </w:p>
        </w:tc>
        <w:tc>
          <w:tcPr>
            <w:tcW w:w="709" w:type="dxa"/>
          </w:tcPr>
          <w:p w14:paraId="62726CA5" w14:textId="77777777" w:rsidR="002D28F0" w:rsidRPr="004F10BA" w:rsidRDefault="002D28F0" w:rsidP="002D28F0">
            <w:pPr>
              <w:jc w:val="both"/>
              <w:rPr>
                <w:rFonts w:cstheme="minorHAnsi"/>
                <w:sz w:val="20"/>
                <w:szCs w:val="20"/>
              </w:rPr>
            </w:pPr>
            <w:r w:rsidRPr="004F10BA">
              <w:rPr>
                <w:rFonts w:cstheme="minorHAnsi"/>
                <w:sz w:val="20"/>
                <w:szCs w:val="20"/>
              </w:rPr>
              <w:t>0.512</w:t>
            </w:r>
          </w:p>
        </w:tc>
        <w:tc>
          <w:tcPr>
            <w:tcW w:w="1843" w:type="dxa"/>
          </w:tcPr>
          <w:p w14:paraId="5ABEEE93" w14:textId="77777777" w:rsidR="002D28F0" w:rsidRPr="004F10BA" w:rsidRDefault="002D28F0" w:rsidP="002D28F0">
            <w:pPr>
              <w:jc w:val="both"/>
              <w:rPr>
                <w:rFonts w:cstheme="minorHAnsi"/>
                <w:sz w:val="20"/>
                <w:szCs w:val="20"/>
              </w:rPr>
            </w:pPr>
            <w:r w:rsidRPr="004F10BA">
              <w:rPr>
                <w:rFonts w:cstheme="minorHAnsi"/>
                <w:sz w:val="20"/>
                <w:szCs w:val="20"/>
              </w:rPr>
              <w:t>5.0</w:t>
            </w:r>
            <w:r w:rsidRPr="004F10BA">
              <w:rPr>
                <w:rFonts w:cstheme="minorHAnsi"/>
                <w:sz w:val="20"/>
                <w:szCs w:val="20"/>
              </w:rPr>
              <w:tab/>
              <w:t>(0, 11)</w:t>
            </w:r>
          </w:p>
          <w:p w14:paraId="69D3682C" w14:textId="77777777" w:rsidR="002D28F0" w:rsidRPr="004F10BA" w:rsidRDefault="002D28F0" w:rsidP="002D28F0">
            <w:pPr>
              <w:jc w:val="both"/>
              <w:rPr>
                <w:rFonts w:cstheme="minorHAnsi"/>
                <w:sz w:val="20"/>
                <w:szCs w:val="20"/>
              </w:rPr>
            </w:pPr>
            <w:r w:rsidRPr="004F10BA">
              <w:rPr>
                <w:rFonts w:cstheme="minorHAnsi"/>
                <w:sz w:val="20"/>
                <w:szCs w:val="20"/>
              </w:rPr>
              <w:t>6.0</w:t>
            </w:r>
            <w:r w:rsidRPr="004F10BA">
              <w:rPr>
                <w:rFonts w:cstheme="minorHAnsi"/>
                <w:sz w:val="20"/>
                <w:szCs w:val="20"/>
              </w:rPr>
              <w:tab/>
              <w:t>(0, 11)</w:t>
            </w:r>
          </w:p>
        </w:tc>
        <w:tc>
          <w:tcPr>
            <w:tcW w:w="850" w:type="dxa"/>
          </w:tcPr>
          <w:p w14:paraId="6E5059F7" w14:textId="77777777" w:rsidR="002D28F0" w:rsidRPr="004F10BA" w:rsidRDefault="002D28F0" w:rsidP="002D28F0">
            <w:pPr>
              <w:jc w:val="both"/>
              <w:rPr>
                <w:rFonts w:cstheme="minorHAnsi"/>
                <w:sz w:val="20"/>
                <w:szCs w:val="20"/>
              </w:rPr>
            </w:pPr>
            <w:r w:rsidRPr="004F10BA">
              <w:rPr>
                <w:rFonts w:cstheme="minorHAnsi"/>
                <w:sz w:val="20"/>
                <w:szCs w:val="20"/>
              </w:rPr>
              <w:t>0.062</w:t>
            </w:r>
          </w:p>
        </w:tc>
        <w:tc>
          <w:tcPr>
            <w:tcW w:w="1843" w:type="dxa"/>
          </w:tcPr>
          <w:p w14:paraId="1B984DD9" w14:textId="77777777" w:rsidR="002D28F0" w:rsidRPr="004F10BA" w:rsidRDefault="002D28F0" w:rsidP="002D28F0">
            <w:pPr>
              <w:jc w:val="both"/>
              <w:rPr>
                <w:rFonts w:cstheme="minorHAnsi"/>
                <w:sz w:val="20"/>
                <w:szCs w:val="20"/>
              </w:rPr>
            </w:pPr>
            <w:r w:rsidRPr="004F10BA">
              <w:rPr>
                <w:rFonts w:cstheme="minorHAnsi"/>
                <w:sz w:val="20"/>
                <w:szCs w:val="20"/>
              </w:rPr>
              <w:t>15.0</w:t>
            </w:r>
            <w:r w:rsidRPr="004F10BA">
              <w:rPr>
                <w:rFonts w:cstheme="minorHAnsi"/>
                <w:sz w:val="20"/>
                <w:szCs w:val="20"/>
              </w:rPr>
              <w:tab/>
              <w:t>(0, 32)</w:t>
            </w:r>
          </w:p>
          <w:p w14:paraId="3CEF2DB6" w14:textId="77777777" w:rsidR="002D28F0" w:rsidRPr="004F10BA" w:rsidRDefault="002D28F0" w:rsidP="002D28F0">
            <w:pPr>
              <w:jc w:val="both"/>
              <w:rPr>
                <w:rFonts w:cstheme="minorHAnsi"/>
                <w:sz w:val="20"/>
                <w:szCs w:val="20"/>
              </w:rPr>
            </w:pPr>
            <w:r w:rsidRPr="004F10BA">
              <w:rPr>
                <w:rFonts w:cstheme="minorHAnsi"/>
                <w:sz w:val="20"/>
                <w:szCs w:val="20"/>
              </w:rPr>
              <w:t>17.0</w:t>
            </w:r>
            <w:r w:rsidRPr="004F10BA">
              <w:rPr>
                <w:rFonts w:cstheme="minorHAnsi"/>
                <w:sz w:val="20"/>
                <w:szCs w:val="20"/>
              </w:rPr>
              <w:tab/>
              <w:t>(0, 31)</w:t>
            </w:r>
          </w:p>
        </w:tc>
        <w:tc>
          <w:tcPr>
            <w:tcW w:w="1418" w:type="dxa"/>
          </w:tcPr>
          <w:p w14:paraId="3EB97B94" w14:textId="77777777" w:rsidR="002D28F0" w:rsidRPr="004F10BA" w:rsidRDefault="002D28F0" w:rsidP="002D28F0">
            <w:pPr>
              <w:jc w:val="both"/>
              <w:rPr>
                <w:rFonts w:cstheme="minorHAnsi"/>
                <w:sz w:val="20"/>
                <w:szCs w:val="20"/>
              </w:rPr>
            </w:pPr>
            <w:r w:rsidRPr="004F10BA">
              <w:rPr>
                <w:rFonts w:cstheme="minorHAnsi"/>
                <w:sz w:val="20"/>
                <w:szCs w:val="20"/>
              </w:rPr>
              <w:t>0.212</w:t>
            </w:r>
          </w:p>
        </w:tc>
      </w:tr>
      <w:tr w:rsidR="002D28F0" w:rsidRPr="001018E2" w14:paraId="6D2A8B99" w14:textId="77777777" w:rsidTr="002D28F0">
        <w:tc>
          <w:tcPr>
            <w:tcW w:w="3119" w:type="dxa"/>
          </w:tcPr>
          <w:p w14:paraId="1F2CE06A" w14:textId="77777777" w:rsidR="002D28F0" w:rsidRPr="001018E2" w:rsidRDefault="002D28F0" w:rsidP="002D28F0">
            <w:pPr>
              <w:jc w:val="both"/>
              <w:rPr>
                <w:rFonts w:cstheme="minorHAnsi"/>
                <w:sz w:val="20"/>
                <w:szCs w:val="20"/>
              </w:rPr>
            </w:pPr>
            <w:r w:rsidRPr="001018E2">
              <w:rPr>
                <w:rFonts w:cstheme="minorHAnsi"/>
                <w:sz w:val="20"/>
                <w:szCs w:val="20"/>
              </w:rPr>
              <w:t xml:space="preserve">Have you experienced any negative emotional responses from patients </w:t>
            </w:r>
          </w:p>
        </w:tc>
        <w:tc>
          <w:tcPr>
            <w:tcW w:w="2410" w:type="dxa"/>
          </w:tcPr>
          <w:p w14:paraId="17A9F77C" w14:textId="77777777" w:rsidR="002D28F0" w:rsidRPr="001018E2" w:rsidRDefault="002D28F0" w:rsidP="002D28F0">
            <w:pPr>
              <w:jc w:val="both"/>
              <w:rPr>
                <w:rFonts w:cstheme="minorHAnsi"/>
                <w:sz w:val="20"/>
                <w:szCs w:val="20"/>
              </w:rPr>
            </w:pPr>
            <w:r w:rsidRPr="001018E2">
              <w:rPr>
                <w:rFonts w:cstheme="minorHAnsi"/>
                <w:sz w:val="20"/>
                <w:szCs w:val="20"/>
              </w:rPr>
              <w:t>Yes</w:t>
            </w:r>
          </w:p>
          <w:p w14:paraId="6E8813A1" w14:textId="77777777" w:rsidR="002D28F0" w:rsidRPr="001018E2" w:rsidRDefault="002D28F0" w:rsidP="002D28F0">
            <w:pPr>
              <w:jc w:val="both"/>
              <w:rPr>
                <w:rFonts w:cstheme="minorHAnsi"/>
                <w:sz w:val="20"/>
                <w:szCs w:val="20"/>
              </w:rPr>
            </w:pPr>
            <w:r w:rsidRPr="001018E2">
              <w:rPr>
                <w:rFonts w:cstheme="minorHAnsi"/>
                <w:sz w:val="20"/>
                <w:szCs w:val="20"/>
              </w:rPr>
              <w:t>No</w:t>
            </w:r>
          </w:p>
        </w:tc>
        <w:tc>
          <w:tcPr>
            <w:tcW w:w="1842" w:type="dxa"/>
          </w:tcPr>
          <w:p w14:paraId="7566018B" w14:textId="77777777" w:rsidR="002D28F0" w:rsidRDefault="002D28F0" w:rsidP="002D28F0">
            <w:pPr>
              <w:jc w:val="both"/>
              <w:rPr>
                <w:rFonts w:cstheme="minorHAnsi"/>
                <w:sz w:val="20"/>
                <w:szCs w:val="20"/>
              </w:rPr>
            </w:pPr>
            <w:r>
              <w:rPr>
                <w:rFonts w:cstheme="minorHAnsi"/>
                <w:sz w:val="20"/>
                <w:szCs w:val="20"/>
              </w:rPr>
              <w:t>9.5</w:t>
            </w:r>
            <w:r>
              <w:rPr>
                <w:rFonts w:cstheme="minorHAnsi"/>
                <w:sz w:val="20"/>
                <w:szCs w:val="20"/>
              </w:rPr>
              <w:tab/>
              <w:t>(0, 21)</w:t>
            </w:r>
          </w:p>
          <w:p w14:paraId="65562DA6" w14:textId="77777777" w:rsidR="002D28F0" w:rsidRPr="009966ED" w:rsidRDefault="002D28F0" w:rsidP="002D28F0">
            <w:pPr>
              <w:jc w:val="both"/>
              <w:rPr>
                <w:rFonts w:cstheme="minorHAnsi"/>
                <w:sz w:val="20"/>
                <w:szCs w:val="20"/>
              </w:rPr>
            </w:pPr>
            <w:r>
              <w:rPr>
                <w:rFonts w:cstheme="minorHAnsi"/>
                <w:sz w:val="20"/>
                <w:szCs w:val="20"/>
              </w:rPr>
              <w:t>11.0</w:t>
            </w:r>
            <w:r>
              <w:rPr>
                <w:rFonts w:cstheme="minorHAnsi"/>
                <w:sz w:val="20"/>
                <w:szCs w:val="20"/>
              </w:rPr>
              <w:tab/>
              <w:t>(0, 17)</w:t>
            </w:r>
          </w:p>
        </w:tc>
        <w:tc>
          <w:tcPr>
            <w:tcW w:w="709" w:type="dxa"/>
          </w:tcPr>
          <w:p w14:paraId="362238C2" w14:textId="77777777" w:rsidR="002D28F0" w:rsidRPr="009966ED" w:rsidRDefault="002D28F0" w:rsidP="002D28F0">
            <w:pPr>
              <w:jc w:val="both"/>
              <w:rPr>
                <w:rFonts w:cstheme="minorHAnsi"/>
                <w:sz w:val="20"/>
                <w:szCs w:val="20"/>
              </w:rPr>
            </w:pPr>
            <w:r w:rsidRPr="009966ED">
              <w:rPr>
                <w:rFonts w:cstheme="minorHAnsi"/>
                <w:sz w:val="20"/>
                <w:szCs w:val="20"/>
              </w:rPr>
              <w:t>0.165</w:t>
            </w:r>
          </w:p>
        </w:tc>
        <w:tc>
          <w:tcPr>
            <w:tcW w:w="1843" w:type="dxa"/>
          </w:tcPr>
          <w:p w14:paraId="59E84331" w14:textId="77777777" w:rsidR="002D28F0" w:rsidRDefault="002D28F0" w:rsidP="002D28F0">
            <w:pPr>
              <w:jc w:val="both"/>
              <w:rPr>
                <w:rFonts w:cstheme="minorHAnsi"/>
                <w:sz w:val="20"/>
                <w:szCs w:val="20"/>
              </w:rPr>
            </w:pPr>
            <w:r>
              <w:rPr>
                <w:rFonts w:cstheme="minorHAnsi"/>
                <w:sz w:val="20"/>
                <w:szCs w:val="20"/>
              </w:rPr>
              <w:t>5.0</w:t>
            </w:r>
            <w:r>
              <w:rPr>
                <w:rFonts w:cstheme="minorHAnsi"/>
                <w:sz w:val="20"/>
                <w:szCs w:val="20"/>
              </w:rPr>
              <w:tab/>
              <w:t>(0, 11)</w:t>
            </w:r>
          </w:p>
          <w:p w14:paraId="3E668B0A" w14:textId="77777777" w:rsidR="002D28F0" w:rsidRPr="009966ED" w:rsidRDefault="002D28F0" w:rsidP="002D28F0">
            <w:pPr>
              <w:jc w:val="both"/>
              <w:rPr>
                <w:rFonts w:cstheme="minorHAnsi"/>
                <w:sz w:val="20"/>
                <w:szCs w:val="20"/>
              </w:rPr>
            </w:pPr>
            <w:r>
              <w:rPr>
                <w:rFonts w:cstheme="minorHAnsi"/>
                <w:sz w:val="20"/>
                <w:szCs w:val="20"/>
              </w:rPr>
              <w:t>5.0</w:t>
            </w:r>
            <w:r>
              <w:rPr>
                <w:rFonts w:cstheme="minorHAnsi"/>
                <w:sz w:val="20"/>
                <w:szCs w:val="20"/>
              </w:rPr>
              <w:tab/>
              <w:t>(0, 11)</w:t>
            </w:r>
          </w:p>
        </w:tc>
        <w:tc>
          <w:tcPr>
            <w:tcW w:w="850" w:type="dxa"/>
          </w:tcPr>
          <w:p w14:paraId="7EF0C91C" w14:textId="77777777" w:rsidR="002D28F0" w:rsidRPr="009966ED" w:rsidRDefault="002D28F0" w:rsidP="002D28F0">
            <w:pPr>
              <w:jc w:val="both"/>
              <w:rPr>
                <w:rFonts w:cstheme="minorHAnsi"/>
                <w:sz w:val="20"/>
                <w:szCs w:val="20"/>
              </w:rPr>
            </w:pPr>
            <w:r w:rsidRPr="009966ED">
              <w:rPr>
                <w:rFonts w:cstheme="minorHAnsi"/>
                <w:sz w:val="20"/>
                <w:szCs w:val="20"/>
              </w:rPr>
              <w:t>0.713</w:t>
            </w:r>
          </w:p>
        </w:tc>
        <w:tc>
          <w:tcPr>
            <w:tcW w:w="1843" w:type="dxa"/>
          </w:tcPr>
          <w:p w14:paraId="76602623" w14:textId="77777777" w:rsidR="002D28F0" w:rsidRDefault="002D28F0" w:rsidP="002D28F0">
            <w:pPr>
              <w:jc w:val="both"/>
              <w:rPr>
                <w:rFonts w:cstheme="minorHAnsi"/>
                <w:sz w:val="20"/>
                <w:szCs w:val="20"/>
              </w:rPr>
            </w:pPr>
            <w:r>
              <w:rPr>
                <w:rFonts w:cstheme="minorHAnsi"/>
                <w:sz w:val="20"/>
                <w:szCs w:val="20"/>
              </w:rPr>
              <w:t>15.0</w:t>
            </w:r>
            <w:r>
              <w:rPr>
                <w:rFonts w:cstheme="minorHAnsi"/>
                <w:sz w:val="20"/>
                <w:szCs w:val="20"/>
              </w:rPr>
              <w:tab/>
              <w:t>(0, 32)</w:t>
            </w:r>
          </w:p>
          <w:p w14:paraId="61A40D5D" w14:textId="77777777" w:rsidR="002D28F0" w:rsidRPr="009966ED" w:rsidRDefault="002D28F0" w:rsidP="002D28F0">
            <w:pPr>
              <w:jc w:val="both"/>
              <w:rPr>
                <w:rFonts w:cstheme="minorHAnsi"/>
                <w:sz w:val="20"/>
                <w:szCs w:val="20"/>
              </w:rPr>
            </w:pPr>
            <w:r>
              <w:rPr>
                <w:rFonts w:cstheme="minorHAnsi"/>
                <w:sz w:val="20"/>
                <w:szCs w:val="20"/>
              </w:rPr>
              <w:t>15.0</w:t>
            </w:r>
            <w:r>
              <w:rPr>
                <w:rFonts w:cstheme="minorHAnsi"/>
                <w:sz w:val="20"/>
                <w:szCs w:val="20"/>
              </w:rPr>
              <w:tab/>
              <w:t>(1, 26)</w:t>
            </w:r>
          </w:p>
        </w:tc>
        <w:tc>
          <w:tcPr>
            <w:tcW w:w="1418" w:type="dxa"/>
          </w:tcPr>
          <w:p w14:paraId="6DA1A457" w14:textId="77777777" w:rsidR="002D28F0" w:rsidRPr="009966ED" w:rsidRDefault="002D28F0" w:rsidP="002D28F0">
            <w:pPr>
              <w:jc w:val="both"/>
              <w:rPr>
                <w:rFonts w:cstheme="minorHAnsi"/>
                <w:sz w:val="20"/>
                <w:szCs w:val="20"/>
              </w:rPr>
            </w:pPr>
            <w:r w:rsidRPr="009966ED">
              <w:rPr>
                <w:rFonts w:cstheme="minorHAnsi"/>
                <w:sz w:val="20"/>
                <w:szCs w:val="20"/>
              </w:rPr>
              <w:t>0.534</w:t>
            </w:r>
          </w:p>
        </w:tc>
      </w:tr>
      <w:tr w:rsidR="002D28F0" w:rsidRPr="001018E2" w14:paraId="328EDCED" w14:textId="77777777" w:rsidTr="002D28F0">
        <w:tc>
          <w:tcPr>
            <w:tcW w:w="3119" w:type="dxa"/>
          </w:tcPr>
          <w:p w14:paraId="143A5F4D" w14:textId="77777777" w:rsidR="002D28F0" w:rsidRPr="001018E2" w:rsidRDefault="002D28F0" w:rsidP="002D28F0">
            <w:pPr>
              <w:jc w:val="both"/>
              <w:rPr>
                <w:rFonts w:cstheme="minorHAnsi"/>
                <w:sz w:val="20"/>
                <w:szCs w:val="20"/>
              </w:rPr>
            </w:pPr>
            <w:r w:rsidRPr="001018E2">
              <w:rPr>
                <w:rFonts w:cstheme="minorHAnsi"/>
                <w:sz w:val="20"/>
                <w:szCs w:val="20"/>
              </w:rPr>
              <w:t>Have you had the  COVID infection</w:t>
            </w:r>
          </w:p>
        </w:tc>
        <w:tc>
          <w:tcPr>
            <w:tcW w:w="2410" w:type="dxa"/>
          </w:tcPr>
          <w:p w14:paraId="1E66C40C" w14:textId="77777777" w:rsidR="002D28F0" w:rsidRPr="001018E2" w:rsidRDefault="002D28F0" w:rsidP="002D28F0">
            <w:pPr>
              <w:jc w:val="both"/>
              <w:rPr>
                <w:rFonts w:cstheme="minorHAnsi"/>
                <w:sz w:val="20"/>
                <w:szCs w:val="20"/>
              </w:rPr>
            </w:pPr>
            <w:r w:rsidRPr="001018E2">
              <w:rPr>
                <w:rFonts w:cstheme="minorHAnsi"/>
                <w:sz w:val="20"/>
                <w:szCs w:val="20"/>
              </w:rPr>
              <w:t>Yes</w:t>
            </w:r>
          </w:p>
          <w:p w14:paraId="677BC73D" w14:textId="77777777" w:rsidR="002D28F0" w:rsidRDefault="002D28F0" w:rsidP="002D28F0">
            <w:pPr>
              <w:jc w:val="both"/>
              <w:rPr>
                <w:rFonts w:cstheme="minorHAnsi"/>
                <w:sz w:val="20"/>
                <w:szCs w:val="20"/>
              </w:rPr>
            </w:pPr>
            <w:r w:rsidRPr="001018E2">
              <w:rPr>
                <w:rFonts w:cstheme="minorHAnsi"/>
                <w:sz w:val="20"/>
                <w:szCs w:val="20"/>
              </w:rPr>
              <w:t>No</w:t>
            </w:r>
          </w:p>
          <w:p w14:paraId="129768EC" w14:textId="77777777" w:rsidR="002D28F0" w:rsidRPr="001018E2" w:rsidRDefault="002D28F0" w:rsidP="002D28F0">
            <w:pPr>
              <w:jc w:val="both"/>
              <w:rPr>
                <w:rFonts w:cstheme="minorHAnsi"/>
                <w:sz w:val="20"/>
                <w:szCs w:val="20"/>
              </w:rPr>
            </w:pPr>
            <w:r>
              <w:rPr>
                <w:rFonts w:cstheme="minorHAnsi"/>
                <w:sz w:val="20"/>
                <w:szCs w:val="20"/>
              </w:rPr>
              <w:t>Unconfirmed</w:t>
            </w:r>
          </w:p>
        </w:tc>
        <w:tc>
          <w:tcPr>
            <w:tcW w:w="1842" w:type="dxa"/>
          </w:tcPr>
          <w:p w14:paraId="55A0DF94" w14:textId="77777777" w:rsidR="002D28F0" w:rsidRDefault="002D28F0" w:rsidP="002D28F0">
            <w:pPr>
              <w:jc w:val="both"/>
              <w:rPr>
                <w:rFonts w:cstheme="minorHAnsi"/>
                <w:sz w:val="20"/>
                <w:szCs w:val="20"/>
              </w:rPr>
            </w:pPr>
            <w:r>
              <w:rPr>
                <w:rFonts w:cstheme="minorHAnsi"/>
                <w:sz w:val="20"/>
                <w:szCs w:val="20"/>
              </w:rPr>
              <w:t>10.0</w:t>
            </w:r>
            <w:r>
              <w:rPr>
                <w:rFonts w:cstheme="minorHAnsi"/>
                <w:sz w:val="20"/>
                <w:szCs w:val="20"/>
              </w:rPr>
              <w:tab/>
              <w:t>(0, 21)</w:t>
            </w:r>
          </w:p>
          <w:p w14:paraId="17AE134D" w14:textId="77777777" w:rsidR="002D28F0" w:rsidRDefault="002D28F0" w:rsidP="002D28F0">
            <w:pPr>
              <w:jc w:val="both"/>
              <w:rPr>
                <w:rFonts w:cstheme="minorHAnsi"/>
                <w:sz w:val="20"/>
                <w:szCs w:val="20"/>
              </w:rPr>
            </w:pPr>
            <w:r>
              <w:rPr>
                <w:rFonts w:cstheme="minorHAnsi"/>
                <w:sz w:val="20"/>
                <w:szCs w:val="20"/>
              </w:rPr>
              <w:t>10.0</w:t>
            </w:r>
            <w:r>
              <w:rPr>
                <w:rFonts w:cstheme="minorHAnsi"/>
                <w:sz w:val="20"/>
                <w:szCs w:val="20"/>
              </w:rPr>
              <w:tab/>
              <w:t>(0, 21)</w:t>
            </w:r>
          </w:p>
          <w:p w14:paraId="0C271EFB" w14:textId="77777777" w:rsidR="002D28F0" w:rsidRPr="009966ED" w:rsidRDefault="002D28F0" w:rsidP="002D28F0">
            <w:pPr>
              <w:jc w:val="both"/>
              <w:rPr>
                <w:rFonts w:cstheme="minorHAnsi"/>
                <w:sz w:val="20"/>
                <w:szCs w:val="20"/>
              </w:rPr>
            </w:pPr>
            <w:r>
              <w:rPr>
                <w:rFonts w:cstheme="minorHAnsi"/>
                <w:sz w:val="20"/>
                <w:szCs w:val="20"/>
              </w:rPr>
              <w:t>10.5</w:t>
            </w:r>
            <w:r>
              <w:rPr>
                <w:rFonts w:cstheme="minorHAnsi"/>
                <w:sz w:val="20"/>
                <w:szCs w:val="20"/>
              </w:rPr>
              <w:tab/>
              <w:t>(0, 21)</w:t>
            </w:r>
          </w:p>
        </w:tc>
        <w:tc>
          <w:tcPr>
            <w:tcW w:w="709" w:type="dxa"/>
          </w:tcPr>
          <w:p w14:paraId="53DC4AE4" w14:textId="77777777" w:rsidR="002D28F0" w:rsidRPr="009966ED" w:rsidRDefault="002D28F0" w:rsidP="002D28F0">
            <w:pPr>
              <w:jc w:val="both"/>
              <w:rPr>
                <w:rFonts w:cstheme="minorHAnsi"/>
                <w:sz w:val="20"/>
                <w:szCs w:val="20"/>
              </w:rPr>
            </w:pPr>
            <w:r w:rsidRPr="009966ED">
              <w:rPr>
                <w:rFonts w:cstheme="minorHAnsi"/>
                <w:sz w:val="20"/>
                <w:szCs w:val="20"/>
              </w:rPr>
              <w:t>0.207</w:t>
            </w:r>
          </w:p>
        </w:tc>
        <w:tc>
          <w:tcPr>
            <w:tcW w:w="1843" w:type="dxa"/>
          </w:tcPr>
          <w:p w14:paraId="4531E026" w14:textId="77777777" w:rsidR="002D28F0" w:rsidRDefault="002D28F0" w:rsidP="002D28F0">
            <w:pPr>
              <w:jc w:val="both"/>
              <w:rPr>
                <w:rFonts w:cstheme="minorHAnsi"/>
                <w:sz w:val="20"/>
                <w:szCs w:val="20"/>
              </w:rPr>
            </w:pPr>
            <w:r>
              <w:rPr>
                <w:rFonts w:cstheme="minorHAnsi"/>
                <w:sz w:val="20"/>
                <w:szCs w:val="20"/>
              </w:rPr>
              <w:t>6.0</w:t>
            </w:r>
            <w:r>
              <w:rPr>
                <w:rFonts w:cstheme="minorHAnsi"/>
                <w:sz w:val="20"/>
                <w:szCs w:val="20"/>
              </w:rPr>
              <w:tab/>
              <w:t>(0, 11)</w:t>
            </w:r>
          </w:p>
          <w:p w14:paraId="2570EB0C" w14:textId="77777777" w:rsidR="002D28F0" w:rsidRDefault="002D28F0" w:rsidP="002D28F0">
            <w:pPr>
              <w:jc w:val="both"/>
              <w:rPr>
                <w:rFonts w:cstheme="minorHAnsi"/>
                <w:sz w:val="20"/>
                <w:szCs w:val="20"/>
              </w:rPr>
            </w:pPr>
            <w:r>
              <w:rPr>
                <w:rFonts w:cstheme="minorHAnsi"/>
                <w:sz w:val="20"/>
                <w:szCs w:val="20"/>
              </w:rPr>
              <w:t>5.0</w:t>
            </w:r>
            <w:r>
              <w:rPr>
                <w:rFonts w:cstheme="minorHAnsi"/>
                <w:sz w:val="20"/>
                <w:szCs w:val="20"/>
              </w:rPr>
              <w:tab/>
              <w:t>(0, 11)</w:t>
            </w:r>
          </w:p>
          <w:p w14:paraId="77F5EBA5" w14:textId="77777777" w:rsidR="002D28F0" w:rsidRPr="009966ED" w:rsidRDefault="002D28F0" w:rsidP="002D28F0">
            <w:pPr>
              <w:jc w:val="both"/>
              <w:rPr>
                <w:rFonts w:cstheme="minorHAnsi"/>
                <w:sz w:val="20"/>
                <w:szCs w:val="20"/>
              </w:rPr>
            </w:pPr>
            <w:r>
              <w:rPr>
                <w:rFonts w:cstheme="minorHAnsi"/>
                <w:sz w:val="20"/>
                <w:szCs w:val="20"/>
              </w:rPr>
              <w:t>5.0</w:t>
            </w:r>
            <w:r>
              <w:rPr>
                <w:rFonts w:cstheme="minorHAnsi"/>
                <w:sz w:val="20"/>
                <w:szCs w:val="20"/>
              </w:rPr>
              <w:tab/>
              <w:t>(1, 10)</w:t>
            </w:r>
          </w:p>
        </w:tc>
        <w:tc>
          <w:tcPr>
            <w:tcW w:w="850" w:type="dxa"/>
          </w:tcPr>
          <w:p w14:paraId="305E134D" w14:textId="77777777" w:rsidR="002D28F0" w:rsidRPr="009966ED" w:rsidRDefault="002D28F0" w:rsidP="002D28F0">
            <w:pPr>
              <w:jc w:val="both"/>
              <w:rPr>
                <w:rFonts w:cstheme="minorHAnsi"/>
                <w:sz w:val="20"/>
                <w:szCs w:val="20"/>
              </w:rPr>
            </w:pPr>
            <w:r w:rsidRPr="009966ED">
              <w:rPr>
                <w:rFonts w:cstheme="minorHAnsi"/>
                <w:sz w:val="20"/>
                <w:szCs w:val="20"/>
              </w:rPr>
              <w:t>0.390</w:t>
            </w:r>
          </w:p>
        </w:tc>
        <w:tc>
          <w:tcPr>
            <w:tcW w:w="1843" w:type="dxa"/>
          </w:tcPr>
          <w:p w14:paraId="24173C47" w14:textId="77777777" w:rsidR="002D28F0" w:rsidRDefault="002D28F0" w:rsidP="002D28F0">
            <w:pPr>
              <w:jc w:val="both"/>
              <w:rPr>
                <w:rFonts w:cstheme="minorHAnsi"/>
                <w:sz w:val="20"/>
                <w:szCs w:val="20"/>
              </w:rPr>
            </w:pPr>
            <w:r>
              <w:rPr>
                <w:rFonts w:cstheme="minorHAnsi"/>
                <w:sz w:val="20"/>
                <w:szCs w:val="20"/>
              </w:rPr>
              <w:t>17.0</w:t>
            </w:r>
            <w:r>
              <w:rPr>
                <w:rFonts w:cstheme="minorHAnsi"/>
                <w:sz w:val="20"/>
                <w:szCs w:val="20"/>
              </w:rPr>
              <w:tab/>
              <w:t>(0, 32)</w:t>
            </w:r>
          </w:p>
          <w:p w14:paraId="2A703853" w14:textId="77777777" w:rsidR="002D28F0" w:rsidRDefault="002D28F0" w:rsidP="002D28F0">
            <w:pPr>
              <w:jc w:val="both"/>
              <w:rPr>
                <w:rFonts w:cstheme="minorHAnsi"/>
                <w:sz w:val="20"/>
                <w:szCs w:val="20"/>
              </w:rPr>
            </w:pPr>
            <w:r>
              <w:rPr>
                <w:rFonts w:cstheme="minorHAnsi"/>
                <w:sz w:val="20"/>
                <w:szCs w:val="20"/>
              </w:rPr>
              <w:t>14.0</w:t>
            </w:r>
            <w:r>
              <w:rPr>
                <w:rFonts w:cstheme="minorHAnsi"/>
                <w:sz w:val="20"/>
                <w:szCs w:val="20"/>
              </w:rPr>
              <w:tab/>
              <w:t>(0, 32)</w:t>
            </w:r>
          </w:p>
          <w:p w14:paraId="2E2D9B66" w14:textId="77777777" w:rsidR="002D28F0" w:rsidRPr="009966ED" w:rsidRDefault="002D28F0" w:rsidP="002D28F0">
            <w:pPr>
              <w:jc w:val="both"/>
              <w:rPr>
                <w:rFonts w:cstheme="minorHAnsi"/>
                <w:sz w:val="20"/>
                <w:szCs w:val="20"/>
              </w:rPr>
            </w:pPr>
            <w:r>
              <w:rPr>
                <w:rFonts w:cstheme="minorHAnsi"/>
                <w:sz w:val="20"/>
                <w:szCs w:val="20"/>
              </w:rPr>
              <w:t>16.0</w:t>
            </w:r>
            <w:r>
              <w:rPr>
                <w:rFonts w:cstheme="minorHAnsi"/>
                <w:sz w:val="20"/>
                <w:szCs w:val="20"/>
              </w:rPr>
              <w:tab/>
              <w:t>(1, 31)</w:t>
            </w:r>
          </w:p>
        </w:tc>
        <w:tc>
          <w:tcPr>
            <w:tcW w:w="1418" w:type="dxa"/>
          </w:tcPr>
          <w:p w14:paraId="26AF6A54" w14:textId="77777777" w:rsidR="002D28F0" w:rsidRPr="009966ED" w:rsidRDefault="002D28F0" w:rsidP="002D28F0">
            <w:pPr>
              <w:jc w:val="both"/>
              <w:rPr>
                <w:rFonts w:cstheme="minorHAnsi"/>
                <w:sz w:val="20"/>
                <w:szCs w:val="20"/>
              </w:rPr>
            </w:pPr>
            <w:r w:rsidRPr="009966ED">
              <w:rPr>
                <w:rFonts w:cstheme="minorHAnsi"/>
                <w:sz w:val="20"/>
                <w:szCs w:val="20"/>
              </w:rPr>
              <w:t>0.301</w:t>
            </w:r>
          </w:p>
        </w:tc>
      </w:tr>
      <w:tr w:rsidR="002D28F0" w:rsidRPr="001018E2" w14:paraId="4CE05F0B" w14:textId="77777777" w:rsidTr="002D28F0">
        <w:tc>
          <w:tcPr>
            <w:tcW w:w="3119" w:type="dxa"/>
          </w:tcPr>
          <w:p w14:paraId="2DBE43B8" w14:textId="77777777" w:rsidR="002D28F0" w:rsidRPr="001018E2" w:rsidRDefault="002D28F0" w:rsidP="002D28F0">
            <w:pPr>
              <w:jc w:val="both"/>
              <w:rPr>
                <w:rFonts w:cstheme="minorHAnsi"/>
                <w:sz w:val="20"/>
                <w:szCs w:val="20"/>
              </w:rPr>
            </w:pPr>
            <w:r w:rsidRPr="001018E2">
              <w:rPr>
                <w:rFonts w:cstheme="minorHAnsi"/>
                <w:sz w:val="20"/>
                <w:szCs w:val="20"/>
              </w:rPr>
              <w:t>Have you considered leaving nursing because of the pandemic</w:t>
            </w:r>
          </w:p>
        </w:tc>
        <w:tc>
          <w:tcPr>
            <w:tcW w:w="2410" w:type="dxa"/>
          </w:tcPr>
          <w:p w14:paraId="7738B897" w14:textId="77777777" w:rsidR="002D28F0" w:rsidRPr="001018E2" w:rsidRDefault="002D28F0" w:rsidP="002D28F0">
            <w:pPr>
              <w:jc w:val="both"/>
              <w:rPr>
                <w:rFonts w:cstheme="minorHAnsi"/>
                <w:sz w:val="20"/>
                <w:szCs w:val="20"/>
              </w:rPr>
            </w:pPr>
            <w:r w:rsidRPr="001018E2">
              <w:rPr>
                <w:rFonts w:cstheme="minorHAnsi"/>
                <w:sz w:val="20"/>
                <w:szCs w:val="20"/>
              </w:rPr>
              <w:t>Yes</w:t>
            </w:r>
          </w:p>
          <w:p w14:paraId="560E7563" w14:textId="77777777" w:rsidR="002D28F0" w:rsidRPr="001018E2" w:rsidRDefault="002D28F0" w:rsidP="002D28F0">
            <w:pPr>
              <w:jc w:val="both"/>
              <w:rPr>
                <w:rFonts w:cstheme="minorHAnsi"/>
                <w:sz w:val="20"/>
                <w:szCs w:val="20"/>
              </w:rPr>
            </w:pPr>
            <w:r w:rsidRPr="001018E2">
              <w:rPr>
                <w:rFonts w:cstheme="minorHAnsi"/>
                <w:sz w:val="20"/>
                <w:szCs w:val="20"/>
              </w:rPr>
              <w:t>No</w:t>
            </w:r>
          </w:p>
        </w:tc>
        <w:tc>
          <w:tcPr>
            <w:tcW w:w="1842" w:type="dxa"/>
          </w:tcPr>
          <w:p w14:paraId="03BA2C9D" w14:textId="77777777" w:rsidR="002D28F0" w:rsidRPr="00820307" w:rsidRDefault="002D28F0" w:rsidP="002D28F0">
            <w:pPr>
              <w:jc w:val="both"/>
              <w:rPr>
                <w:rFonts w:cstheme="minorHAnsi"/>
                <w:sz w:val="20"/>
                <w:szCs w:val="20"/>
              </w:rPr>
            </w:pPr>
            <w:r w:rsidRPr="00820307">
              <w:rPr>
                <w:rFonts w:cstheme="minorHAnsi"/>
                <w:sz w:val="20"/>
                <w:szCs w:val="20"/>
              </w:rPr>
              <w:t>12.0</w:t>
            </w:r>
            <w:r w:rsidRPr="00820307">
              <w:rPr>
                <w:rFonts w:cstheme="minorHAnsi"/>
                <w:sz w:val="20"/>
                <w:szCs w:val="20"/>
              </w:rPr>
              <w:tab/>
              <w:t>(0, 21)</w:t>
            </w:r>
          </w:p>
          <w:p w14:paraId="184E27C1" w14:textId="77777777" w:rsidR="002D28F0" w:rsidRPr="00820307" w:rsidRDefault="002D28F0" w:rsidP="002D28F0">
            <w:pPr>
              <w:jc w:val="both"/>
              <w:rPr>
                <w:rFonts w:cstheme="minorHAnsi"/>
                <w:sz w:val="20"/>
                <w:szCs w:val="20"/>
              </w:rPr>
            </w:pPr>
            <w:r w:rsidRPr="00820307">
              <w:rPr>
                <w:rFonts w:cstheme="minorHAnsi"/>
                <w:sz w:val="20"/>
                <w:szCs w:val="20"/>
              </w:rPr>
              <w:t>9.0</w:t>
            </w:r>
            <w:r w:rsidRPr="00820307">
              <w:rPr>
                <w:rFonts w:cstheme="minorHAnsi"/>
                <w:sz w:val="20"/>
                <w:szCs w:val="20"/>
              </w:rPr>
              <w:tab/>
              <w:t>(0, 20)</w:t>
            </w:r>
          </w:p>
        </w:tc>
        <w:tc>
          <w:tcPr>
            <w:tcW w:w="709" w:type="dxa"/>
          </w:tcPr>
          <w:p w14:paraId="0957CABE" w14:textId="77777777" w:rsidR="002D28F0" w:rsidRPr="00820307" w:rsidRDefault="002D28F0" w:rsidP="002D28F0">
            <w:pPr>
              <w:jc w:val="both"/>
              <w:rPr>
                <w:rFonts w:cstheme="minorHAnsi"/>
                <w:b/>
                <w:sz w:val="20"/>
                <w:szCs w:val="20"/>
              </w:rPr>
            </w:pPr>
            <w:r w:rsidRPr="00820307">
              <w:rPr>
                <w:rFonts w:cstheme="minorHAnsi"/>
                <w:b/>
                <w:sz w:val="20"/>
                <w:szCs w:val="20"/>
              </w:rPr>
              <w:t>0.000</w:t>
            </w:r>
          </w:p>
        </w:tc>
        <w:tc>
          <w:tcPr>
            <w:tcW w:w="1843" w:type="dxa"/>
          </w:tcPr>
          <w:p w14:paraId="08099446" w14:textId="77777777" w:rsidR="002D28F0" w:rsidRPr="00820307" w:rsidRDefault="002D28F0" w:rsidP="002D28F0">
            <w:pPr>
              <w:jc w:val="both"/>
              <w:rPr>
                <w:rFonts w:cstheme="minorHAnsi"/>
                <w:sz w:val="20"/>
                <w:szCs w:val="20"/>
              </w:rPr>
            </w:pPr>
            <w:r w:rsidRPr="00820307">
              <w:rPr>
                <w:rFonts w:cstheme="minorHAnsi"/>
                <w:sz w:val="20"/>
                <w:szCs w:val="20"/>
              </w:rPr>
              <w:t>7.0</w:t>
            </w:r>
            <w:r w:rsidRPr="00820307">
              <w:rPr>
                <w:rFonts w:cstheme="minorHAnsi"/>
                <w:sz w:val="20"/>
                <w:szCs w:val="20"/>
              </w:rPr>
              <w:tab/>
              <w:t>(0, 11)</w:t>
            </w:r>
          </w:p>
          <w:p w14:paraId="7289EC36" w14:textId="77777777" w:rsidR="002D28F0" w:rsidRPr="00820307" w:rsidRDefault="002D28F0" w:rsidP="002D28F0">
            <w:pPr>
              <w:jc w:val="both"/>
              <w:rPr>
                <w:rFonts w:cstheme="minorHAnsi"/>
                <w:sz w:val="20"/>
                <w:szCs w:val="20"/>
              </w:rPr>
            </w:pPr>
            <w:r w:rsidRPr="00820307">
              <w:rPr>
                <w:rFonts w:cstheme="minorHAnsi"/>
                <w:sz w:val="20"/>
                <w:szCs w:val="20"/>
              </w:rPr>
              <w:t>4.5</w:t>
            </w:r>
            <w:r w:rsidRPr="00820307">
              <w:rPr>
                <w:rFonts w:cstheme="minorHAnsi"/>
                <w:sz w:val="20"/>
                <w:szCs w:val="20"/>
              </w:rPr>
              <w:tab/>
              <w:t>(0, 11)</w:t>
            </w:r>
          </w:p>
        </w:tc>
        <w:tc>
          <w:tcPr>
            <w:tcW w:w="850" w:type="dxa"/>
          </w:tcPr>
          <w:p w14:paraId="3037C8F5" w14:textId="77777777" w:rsidR="002D28F0" w:rsidRPr="00820307" w:rsidRDefault="002D28F0" w:rsidP="002D28F0">
            <w:pPr>
              <w:jc w:val="both"/>
              <w:rPr>
                <w:rFonts w:cstheme="minorHAnsi"/>
                <w:b/>
                <w:sz w:val="20"/>
                <w:szCs w:val="20"/>
              </w:rPr>
            </w:pPr>
            <w:r w:rsidRPr="00820307">
              <w:rPr>
                <w:rFonts w:cstheme="minorHAnsi"/>
                <w:b/>
                <w:sz w:val="20"/>
                <w:szCs w:val="20"/>
              </w:rPr>
              <w:t>0.000</w:t>
            </w:r>
          </w:p>
        </w:tc>
        <w:tc>
          <w:tcPr>
            <w:tcW w:w="1843" w:type="dxa"/>
          </w:tcPr>
          <w:p w14:paraId="672523DC" w14:textId="77777777" w:rsidR="002D28F0" w:rsidRPr="00820307" w:rsidRDefault="002D28F0" w:rsidP="002D28F0">
            <w:pPr>
              <w:jc w:val="both"/>
              <w:rPr>
                <w:rFonts w:cstheme="minorHAnsi"/>
                <w:sz w:val="20"/>
                <w:szCs w:val="20"/>
              </w:rPr>
            </w:pPr>
            <w:r w:rsidRPr="00820307">
              <w:rPr>
                <w:rFonts w:cstheme="minorHAnsi"/>
                <w:sz w:val="20"/>
                <w:szCs w:val="20"/>
              </w:rPr>
              <w:t>18.0</w:t>
            </w:r>
            <w:r w:rsidRPr="00820307">
              <w:rPr>
                <w:rFonts w:cstheme="minorHAnsi"/>
                <w:sz w:val="20"/>
                <w:szCs w:val="20"/>
              </w:rPr>
              <w:tab/>
              <w:t>(0, 32)</w:t>
            </w:r>
          </w:p>
          <w:p w14:paraId="16DDAC5B" w14:textId="77777777" w:rsidR="002D28F0" w:rsidRPr="00820307" w:rsidRDefault="002D28F0" w:rsidP="002D28F0">
            <w:pPr>
              <w:jc w:val="both"/>
              <w:rPr>
                <w:rFonts w:cstheme="minorHAnsi"/>
                <w:sz w:val="20"/>
                <w:szCs w:val="20"/>
              </w:rPr>
            </w:pPr>
            <w:r w:rsidRPr="00820307">
              <w:rPr>
                <w:rFonts w:cstheme="minorHAnsi"/>
                <w:sz w:val="20"/>
                <w:szCs w:val="20"/>
              </w:rPr>
              <w:t>14.0</w:t>
            </w:r>
            <w:r w:rsidRPr="00820307">
              <w:rPr>
                <w:rFonts w:cstheme="minorHAnsi"/>
                <w:sz w:val="20"/>
                <w:szCs w:val="20"/>
              </w:rPr>
              <w:tab/>
              <w:t>(0, 29)</w:t>
            </w:r>
          </w:p>
        </w:tc>
        <w:tc>
          <w:tcPr>
            <w:tcW w:w="1418" w:type="dxa"/>
          </w:tcPr>
          <w:p w14:paraId="5129D515" w14:textId="77777777" w:rsidR="002D28F0" w:rsidRPr="009966ED" w:rsidRDefault="002D28F0" w:rsidP="002D28F0">
            <w:pPr>
              <w:jc w:val="both"/>
              <w:rPr>
                <w:rFonts w:cstheme="minorHAnsi"/>
                <w:b/>
                <w:sz w:val="20"/>
                <w:szCs w:val="20"/>
                <w:highlight w:val="yellow"/>
              </w:rPr>
            </w:pPr>
            <w:r w:rsidRPr="009966ED">
              <w:rPr>
                <w:rFonts w:cstheme="minorHAnsi"/>
                <w:b/>
                <w:sz w:val="20"/>
                <w:szCs w:val="20"/>
              </w:rPr>
              <w:t>0.000</w:t>
            </w:r>
          </w:p>
        </w:tc>
      </w:tr>
      <w:tr w:rsidR="002D28F0" w:rsidRPr="004F10BA" w14:paraId="7B54E778" w14:textId="77777777" w:rsidTr="002D28F0">
        <w:tc>
          <w:tcPr>
            <w:tcW w:w="3119" w:type="dxa"/>
          </w:tcPr>
          <w:p w14:paraId="56AB0FB9" w14:textId="77777777" w:rsidR="002D28F0" w:rsidRPr="004F10BA" w:rsidRDefault="002D28F0" w:rsidP="002D28F0">
            <w:pPr>
              <w:jc w:val="both"/>
              <w:rPr>
                <w:rFonts w:cstheme="minorHAnsi"/>
                <w:sz w:val="20"/>
                <w:szCs w:val="20"/>
              </w:rPr>
            </w:pPr>
            <w:r w:rsidRPr="004F10BA">
              <w:rPr>
                <w:rFonts w:cstheme="minorHAnsi"/>
                <w:sz w:val="20"/>
                <w:szCs w:val="20"/>
              </w:rPr>
              <w:t>Do you feel prepared for your role if there is another peak Scale 1-10</w:t>
            </w:r>
          </w:p>
        </w:tc>
        <w:tc>
          <w:tcPr>
            <w:tcW w:w="2410" w:type="dxa"/>
          </w:tcPr>
          <w:p w14:paraId="7B87072B" w14:textId="77777777" w:rsidR="002D28F0" w:rsidRPr="004F10BA" w:rsidRDefault="002D28F0" w:rsidP="002D28F0">
            <w:pPr>
              <w:jc w:val="both"/>
              <w:rPr>
                <w:rFonts w:cstheme="minorHAnsi"/>
                <w:sz w:val="20"/>
                <w:szCs w:val="20"/>
              </w:rPr>
            </w:pPr>
            <w:r w:rsidRPr="004F10BA">
              <w:rPr>
                <w:rFonts w:cstheme="minorHAnsi"/>
                <w:sz w:val="20"/>
                <w:szCs w:val="20"/>
              </w:rPr>
              <w:t xml:space="preserve">1-5 </w:t>
            </w:r>
          </w:p>
          <w:p w14:paraId="062AEA18" w14:textId="77777777" w:rsidR="002D28F0" w:rsidRPr="004F10BA" w:rsidRDefault="002D28F0" w:rsidP="002D28F0">
            <w:pPr>
              <w:jc w:val="both"/>
              <w:rPr>
                <w:rFonts w:cstheme="minorHAnsi"/>
                <w:sz w:val="20"/>
                <w:szCs w:val="20"/>
              </w:rPr>
            </w:pPr>
            <w:r w:rsidRPr="004F10BA">
              <w:rPr>
                <w:rFonts w:cstheme="minorHAnsi"/>
                <w:sz w:val="20"/>
                <w:szCs w:val="20"/>
              </w:rPr>
              <w:t>6-10</w:t>
            </w:r>
          </w:p>
        </w:tc>
        <w:tc>
          <w:tcPr>
            <w:tcW w:w="1842" w:type="dxa"/>
          </w:tcPr>
          <w:p w14:paraId="37635CBB" w14:textId="77777777" w:rsidR="002D28F0" w:rsidRPr="004F10BA" w:rsidRDefault="002D28F0" w:rsidP="002D28F0">
            <w:pPr>
              <w:jc w:val="both"/>
              <w:rPr>
                <w:rFonts w:cstheme="minorHAnsi"/>
                <w:sz w:val="20"/>
                <w:szCs w:val="20"/>
              </w:rPr>
            </w:pPr>
            <w:r w:rsidRPr="004F10BA">
              <w:rPr>
                <w:rFonts w:cstheme="minorHAnsi"/>
                <w:sz w:val="20"/>
                <w:szCs w:val="20"/>
              </w:rPr>
              <w:t>11.0</w:t>
            </w:r>
            <w:r w:rsidRPr="004F10BA">
              <w:rPr>
                <w:rFonts w:cstheme="minorHAnsi"/>
                <w:sz w:val="20"/>
                <w:szCs w:val="20"/>
              </w:rPr>
              <w:tab/>
              <w:t>(5, 20)</w:t>
            </w:r>
          </w:p>
          <w:p w14:paraId="79E94CBE" w14:textId="77777777" w:rsidR="002D28F0" w:rsidRPr="004F10BA" w:rsidRDefault="002D28F0" w:rsidP="002D28F0">
            <w:pPr>
              <w:jc w:val="both"/>
              <w:rPr>
                <w:rFonts w:cstheme="minorHAnsi"/>
                <w:sz w:val="20"/>
                <w:szCs w:val="20"/>
              </w:rPr>
            </w:pPr>
            <w:r w:rsidRPr="004F10BA">
              <w:rPr>
                <w:rFonts w:cstheme="minorHAnsi"/>
                <w:sz w:val="20"/>
                <w:szCs w:val="20"/>
              </w:rPr>
              <w:t>10.0</w:t>
            </w:r>
            <w:r w:rsidRPr="004F10BA">
              <w:rPr>
                <w:rFonts w:cstheme="minorHAnsi"/>
                <w:sz w:val="20"/>
                <w:szCs w:val="20"/>
              </w:rPr>
              <w:tab/>
              <w:t>(0, 21)</w:t>
            </w:r>
          </w:p>
        </w:tc>
        <w:tc>
          <w:tcPr>
            <w:tcW w:w="709" w:type="dxa"/>
          </w:tcPr>
          <w:p w14:paraId="06321AED" w14:textId="77777777" w:rsidR="002D28F0" w:rsidRPr="004F10BA" w:rsidRDefault="002D28F0" w:rsidP="002D28F0">
            <w:pPr>
              <w:jc w:val="both"/>
              <w:rPr>
                <w:rFonts w:cstheme="minorHAnsi"/>
                <w:sz w:val="20"/>
                <w:szCs w:val="20"/>
              </w:rPr>
            </w:pPr>
            <w:r w:rsidRPr="004F10BA">
              <w:rPr>
                <w:rFonts w:cstheme="minorHAnsi"/>
                <w:sz w:val="20"/>
                <w:szCs w:val="20"/>
              </w:rPr>
              <w:t>0.185</w:t>
            </w:r>
          </w:p>
        </w:tc>
        <w:tc>
          <w:tcPr>
            <w:tcW w:w="1843" w:type="dxa"/>
          </w:tcPr>
          <w:p w14:paraId="4B3F99FD" w14:textId="77777777" w:rsidR="002D28F0" w:rsidRPr="004F10BA" w:rsidRDefault="002D28F0" w:rsidP="002D28F0">
            <w:pPr>
              <w:jc w:val="both"/>
              <w:rPr>
                <w:rFonts w:cstheme="minorHAnsi"/>
                <w:sz w:val="20"/>
                <w:szCs w:val="20"/>
              </w:rPr>
            </w:pPr>
            <w:r w:rsidRPr="004F10BA">
              <w:rPr>
                <w:rFonts w:cstheme="minorHAnsi"/>
                <w:sz w:val="20"/>
                <w:szCs w:val="20"/>
              </w:rPr>
              <w:t>6.0</w:t>
            </w:r>
            <w:r w:rsidRPr="004F10BA">
              <w:rPr>
                <w:rFonts w:cstheme="minorHAnsi"/>
                <w:sz w:val="20"/>
                <w:szCs w:val="20"/>
              </w:rPr>
              <w:tab/>
              <w:t>(3, 11)</w:t>
            </w:r>
          </w:p>
          <w:p w14:paraId="620358F9" w14:textId="77777777" w:rsidR="002D28F0" w:rsidRPr="004F10BA" w:rsidRDefault="002D28F0" w:rsidP="002D28F0">
            <w:pPr>
              <w:jc w:val="both"/>
              <w:rPr>
                <w:rFonts w:cstheme="minorHAnsi"/>
                <w:sz w:val="20"/>
                <w:szCs w:val="20"/>
              </w:rPr>
            </w:pPr>
            <w:r w:rsidRPr="004F10BA">
              <w:rPr>
                <w:rFonts w:cstheme="minorHAnsi"/>
                <w:sz w:val="20"/>
                <w:szCs w:val="20"/>
              </w:rPr>
              <w:t>5.0</w:t>
            </w:r>
            <w:r w:rsidRPr="004F10BA">
              <w:rPr>
                <w:rFonts w:cstheme="minorHAnsi"/>
                <w:sz w:val="20"/>
                <w:szCs w:val="20"/>
              </w:rPr>
              <w:tab/>
              <w:t>(0, 11)</w:t>
            </w:r>
          </w:p>
        </w:tc>
        <w:tc>
          <w:tcPr>
            <w:tcW w:w="850" w:type="dxa"/>
          </w:tcPr>
          <w:p w14:paraId="35792F09" w14:textId="77777777" w:rsidR="002D28F0" w:rsidRPr="004F10BA" w:rsidRDefault="002D28F0" w:rsidP="002D28F0">
            <w:pPr>
              <w:jc w:val="both"/>
              <w:rPr>
                <w:rFonts w:cstheme="minorHAnsi"/>
                <w:b/>
                <w:sz w:val="20"/>
                <w:szCs w:val="20"/>
              </w:rPr>
            </w:pPr>
            <w:r w:rsidRPr="004F10BA">
              <w:rPr>
                <w:rFonts w:cstheme="minorHAnsi"/>
                <w:b/>
                <w:sz w:val="20"/>
                <w:szCs w:val="20"/>
              </w:rPr>
              <w:t>0.048</w:t>
            </w:r>
          </w:p>
        </w:tc>
        <w:tc>
          <w:tcPr>
            <w:tcW w:w="1843" w:type="dxa"/>
          </w:tcPr>
          <w:p w14:paraId="050E394D" w14:textId="77777777" w:rsidR="002D28F0" w:rsidRPr="004F10BA" w:rsidRDefault="002D28F0" w:rsidP="002D28F0">
            <w:pPr>
              <w:jc w:val="both"/>
              <w:rPr>
                <w:rFonts w:cstheme="minorHAnsi"/>
                <w:sz w:val="20"/>
                <w:szCs w:val="20"/>
              </w:rPr>
            </w:pPr>
            <w:r w:rsidRPr="004F10BA">
              <w:rPr>
                <w:rFonts w:cstheme="minorHAnsi"/>
                <w:sz w:val="20"/>
                <w:szCs w:val="20"/>
              </w:rPr>
              <w:t>17.0</w:t>
            </w:r>
            <w:r w:rsidRPr="004F10BA">
              <w:rPr>
                <w:rFonts w:cstheme="minorHAnsi"/>
                <w:sz w:val="20"/>
                <w:szCs w:val="20"/>
              </w:rPr>
              <w:tab/>
              <w:t>(8, 29)</w:t>
            </w:r>
          </w:p>
          <w:p w14:paraId="0DB8E7F6" w14:textId="77777777" w:rsidR="002D28F0" w:rsidRPr="004F10BA" w:rsidRDefault="002D28F0" w:rsidP="002D28F0">
            <w:pPr>
              <w:jc w:val="both"/>
              <w:rPr>
                <w:rFonts w:cstheme="minorHAnsi"/>
                <w:sz w:val="20"/>
                <w:szCs w:val="20"/>
              </w:rPr>
            </w:pPr>
            <w:r w:rsidRPr="004F10BA">
              <w:rPr>
                <w:rFonts w:cstheme="minorHAnsi"/>
                <w:sz w:val="20"/>
                <w:szCs w:val="20"/>
              </w:rPr>
              <w:t>14.0</w:t>
            </w:r>
            <w:r w:rsidRPr="004F10BA">
              <w:rPr>
                <w:rFonts w:cstheme="minorHAnsi"/>
                <w:sz w:val="20"/>
                <w:szCs w:val="20"/>
              </w:rPr>
              <w:tab/>
              <w:t>(0, 32)</w:t>
            </w:r>
          </w:p>
        </w:tc>
        <w:tc>
          <w:tcPr>
            <w:tcW w:w="1418" w:type="dxa"/>
          </w:tcPr>
          <w:p w14:paraId="09A7898F" w14:textId="77777777" w:rsidR="002D28F0" w:rsidRPr="004F10BA" w:rsidRDefault="002D28F0" w:rsidP="002D28F0">
            <w:pPr>
              <w:jc w:val="both"/>
              <w:rPr>
                <w:rFonts w:cstheme="minorHAnsi"/>
                <w:sz w:val="20"/>
                <w:szCs w:val="20"/>
              </w:rPr>
            </w:pPr>
            <w:r w:rsidRPr="004F10BA">
              <w:rPr>
                <w:rFonts w:cstheme="minorHAnsi"/>
                <w:sz w:val="20"/>
                <w:szCs w:val="20"/>
              </w:rPr>
              <w:t>0.107</w:t>
            </w:r>
          </w:p>
        </w:tc>
      </w:tr>
      <w:tr w:rsidR="002D28F0" w:rsidRPr="001018E2" w14:paraId="21C3DDEC" w14:textId="77777777" w:rsidTr="002D28F0">
        <w:tc>
          <w:tcPr>
            <w:tcW w:w="3119" w:type="dxa"/>
          </w:tcPr>
          <w:p w14:paraId="0340F377" w14:textId="77777777" w:rsidR="002D28F0" w:rsidRPr="001018E2" w:rsidRDefault="002D28F0" w:rsidP="002D28F0">
            <w:pPr>
              <w:jc w:val="both"/>
              <w:rPr>
                <w:rFonts w:cstheme="minorHAnsi"/>
                <w:sz w:val="20"/>
                <w:szCs w:val="20"/>
              </w:rPr>
            </w:pPr>
            <w:r w:rsidRPr="001018E2">
              <w:rPr>
                <w:rFonts w:cstheme="minorHAnsi"/>
                <w:sz w:val="20"/>
                <w:szCs w:val="20"/>
              </w:rPr>
              <w:t xml:space="preserve">Have your career been affected (positively) by the pandemic </w:t>
            </w:r>
          </w:p>
        </w:tc>
        <w:tc>
          <w:tcPr>
            <w:tcW w:w="2410" w:type="dxa"/>
          </w:tcPr>
          <w:p w14:paraId="6DC8BBEC" w14:textId="77777777" w:rsidR="002D28F0" w:rsidRPr="001018E2" w:rsidRDefault="002D28F0" w:rsidP="002D28F0">
            <w:pPr>
              <w:jc w:val="both"/>
              <w:rPr>
                <w:rFonts w:cstheme="minorHAnsi"/>
                <w:sz w:val="20"/>
                <w:szCs w:val="20"/>
              </w:rPr>
            </w:pPr>
            <w:r w:rsidRPr="001018E2">
              <w:rPr>
                <w:rFonts w:cstheme="minorHAnsi"/>
                <w:sz w:val="20"/>
                <w:szCs w:val="20"/>
              </w:rPr>
              <w:t>Yes</w:t>
            </w:r>
          </w:p>
          <w:p w14:paraId="48DE4692" w14:textId="77777777" w:rsidR="002D28F0" w:rsidRPr="001018E2" w:rsidRDefault="002D28F0" w:rsidP="002D28F0">
            <w:pPr>
              <w:jc w:val="both"/>
              <w:rPr>
                <w:rFonts w:cstheme="minorHAnsi"/>
                <w:sz w:val="20"/>
                <w:szCs w:val="20"/>
              </w:rPr>
            </w:pPr>
            <w:r w:rsidRPr="001018E2">
              <w:rPr>
                <w:rFonts w:cstheme="minorHAnsi"/>
                <w:sz w:val="20"/>
                <w:szCs w:val="20"/>
              </w:rPr>
              <w:t>No</w:t>
            </w:r>
          </w:p>
        </w:tc>
        <w:tc>
          <w:tcPr>
            <w:tcW w:w="1842" w:type="dxa"/>
          </w:tcPr>
          <w:p w14:paraId="124626EF" w14:textId="77777777" w:rsidR="002D28F0" w:rsidRDefault="002D28F0" w:rsidP="002D28F0">
            <w:pPr>
              <w:jc w:val="both"/>
              <w:rPr>
                <w:rFonts w:cstheme="minorHAnsi"/>
                <w:sz w:val="20"/>
                <w:szCs w:val="20"/>
              </w:rPr>
            </w:pPr>
            <w:r>
              <w:rPr>
                <w:rFonts w:cstheme="minorHAnsi"/>
                <w:sz w:val="20"/>
                <w:szCs w:val="20"/>
              </w:rPr>
              <w:t>11.0</w:t>
            </w:r>
            <w:r>
              <w:rPr>
                <w:rFonts w:cstheme="minorHAnsi"/>
                <w:sz w:val="20"/>
                <w:szCs w:val="20"/>
              </w:rPr>
              <w:tab/>
              <w:t>(1, 21)</w:t>
            </w:r>
          </w:p>
          <w:p w14:paraId="285054C6" w14:textId="77777777" w:rsidR="002D28F0" w:rsidRPr="009966ED" w:rsidRDefault="002D28F0" w:rsidP="002D28F0">
            <w:pPr>
              <w:jc w:val="both"/>
              <w:rPr>
                <w:rFonts w:cstheme="minorHAnsi"/>
                <w:sz w:val="20"/>
                <w:szCs w:val="20"/>
              </w:rPr>
            </w:pPr>
            <w:r>
              <w:rPr>
                <w:rFonts w:cstheme="minorHAnsi"/>
                <w:sz w:val="20"/>
                <w:szCs w:val="20"/>
              </w:rPr>
              <w:t>10.0</w:t>
            </w:r>
            <w:r>
              <w:rPr>
                <w:rFonts w:cstheme="minorHAnsi"/>
                <w:sz w:val="20"/>
                <w:szCs w:val="20"/>
              </w:rPr>
              <w:tab/>
              <w:t>(0, 21)</w:t>
            </w:r>
          </w:p>
        </w:tc>
        <w:tc>
          <w:tcPr>
            <w:tcW w:w="709" w:type="dxa"/>
          </w:tcPr>
          <w:p w14:paraId="2CD10161" w14:textId="77777777" w:rsidR="002D28F0" w:rsidRPr="009966ED" w:rsidRDefault="002D28F0" w:rsidP="002D28F0">
            <w:pPr>
              <w:jc w:val="both"/>
              <w:rPr>
                <w:rFonts w:cstheme="minorHAnsi"/>
                <w:sz w:val="20"/>
                <w:szCs w:val="20"/>
              </w:rPr>
            </w:pPr>
            <w:r w:rsidRPr="009966ED">
              <w:rPr>
                <w:rFonts w:cstheme="minorHAnsi"/>
                <w:sz w:val="20"/>
                <w:szCs w:val="20"/>
              </w:rPr>
              <w:t>0.289</w:t>
            </w:r>
          </w:p>
        </w:tc>
        <w:tc>
          <w:tcPr>
            <w:tcW w:w="1843" w:type="dxa"/>
          </w:tcPr>
          <w:p w14:paraId="692EAAB8" w14:textId="77777777" w:rsidR="002D28F0" w:rsidRDefault="002D28F0" w:rsidP="002D28F0">
            <w:pPr>
              <w:jc w:val="both"/>
              <w:rPr>
                <w:rFonts w:cstheme="minorHAnsi"/>
                <w:sz w:val="20"/>
                <w:szCs w:val="20"/>
              </w:rPr>
            </w:pPr>
            <w:r>
              <w:rPr>
                <w:rFonts w:cstheme="minorHAnsi"/>
                <w:sz w:val="20"/>
                <w:szCs w:val="20"/>
              </w:rPr>
              <w:t>7.0</w:t>
            </w:r>
            <w:r>
              <w:rPr>
                <w:rFonts w:cstheme="minorHAnsi"/>
                <w:sz w:val="20"/>
                <w:szCs w:val="20"/>
              </w:rPr>
              <w:tab/>
              <w:t>(2, 11)</w:t>
            </w:r>
          </w:p>
          <w:p w14:paraId="3E5855CC" w14:textId="77777777" w:rsidR="002D28F0" w:rsidRPr="009966ED" w:rsidRDefault="002D28F0" w:rsidP="002D28F0">
            <w:pPr>
              <w:jc w:val="both"/>
              <w:rPr>
                <w:rFonts w:cstheme="minorHAnsi"/>
                <w:sz w:val="20"/>
                <w:szCs w:val="20"/>
              </w:rPr>
            </w:pPr>
            <w:r>
              <w:rPr>
                <w:rFonts w:cstheme="minorHAnsi"/>
                <w:sz w:val="20"/>
                <w:szCs w:val="20"/>
              </w:rPr>
              <w:t>5.0</w:t>
            </w:r>
            <w:r>
              <w:rPr>
                <w:rFonts w:cstheme="minorHAnsi"/>
                <w:sz w:val="20"/>
                <w:szCs w:val="20"/>
              </w:rPr>
              <w:tab/>
              <w:t>(0, 11)</w:t>
            </w:r>
          </w:p>
        </w:tc>
        <w:tc>
          <w:tcPr>
            <w:tcW w:w="850" w:type="dxa"/>
          </w:tcPr>
          <w:p w14:paraId="5DE03DBD" w14:textId="77777777" w:rsidR="002D28F0" w:rsidRPr="009966ED" w:rsidRDefault="002D28F0" w:rsidP="002D28F0">
            <w:pPr>
              <w:jc w:val="both"/>
              <w:rPr>
                <w:rFonts w:cstheme="minorHAnsi"/>
                <w:b/>
                <w:sz w:val="20"/>
                <w:szCs w:val="20"/>
              </w:rPr>
            </w:pPr>
            <w:r w:rsidRPr="009966ED">
              <w:rPr>
                <w:rFonts w:cstheme="minorHAnsi"/>
                <w:b/>
                <w:sz w:val="20"/>
                <w:szCs w:val="20"/>
              </w:rPr>
              <w:t>0.029</w:t>
            </w:r>
          </w:p>
        </w:tc>
        <w:tc>
          <w:tcPr>
            <w:tcW w:w="1843" w:type="dxa"/>
          </w:tcPr>
          <w:p w14:paraId="7EAD5233" w14:textId="77777777" w:rsidR="002D28F0" w:rsidRDefault="002D28F0" w:rsidP="002D28F0">
            <w:pPr>
              <w:jc w:val="both"/>
              <w:rPr>
                <w:rFonts w:cstheme="minorHAnsi"/>
                <w:sz w:val="20"/>
                <w:szCs w:val="20"/>
              </w:rPr>
            </w:pPr>
            <w:r>
              <w:rPr>
                <w:rFonts w:cstheme="minorHAnsi"/>
                <w:sz w:val="20"/>
                <w:szCs w:val="20"/>
              </w:rPr>
              <w:t>18.0</w:t>
            </w:r>
            <w:r>
              <w:rPr>
                <w:rFonts w:cstheme="minorHAnsi"/>
                <w:sz w:val="20"/>
                <w:szCs w:val="20"/>
              </w:rPr>
              <w:tab/>
              <w:t>(3, 32)</w:t>
            </w:r>
          </w:p>
          <w:p w14:paraId="5A3766DC" w14:textId="77777777" w:rsidR="002D28F0" w:rsidRPr="009966ED" w:rsidRDefault="002D28F0" w:rsidP="002D28F0">
            <w:pPr>
              <w:jc w:val="both"/>
              <w:rPr>
                <w:rFonts w:cstheme="minorHAnsi"/>
                <w:sz w:val="20"/>
                <w:szCs w:val="20"/>
              </w:rPr>
            </w:pPr>
            <w:r>
              <w:rPr>
                <w:rFonts w:cstheme="minorHAnsi"/>
                <w:sz w:val="20"/>
                <w:szCs w:val="20"/>
              </w:rPr>
              <w:t>15.0</w:t>
            </w:r>
            <w:r>
              <w:rPr>
                <w:rFonts w:cstheme="minorHAnsi"/>
                <w:sz w:val="20"/>
                <w:szCs w:val="20"/>
              </w:rPr>
              <w:tab/>
              <w:t>(0, 32)</w:t>
            </w:r>
          </w:p>
        </w:tc>
        <w:tc>
          <w:tcPr>
            <w:tcW w:w="1418" w:type="dxa"/>
          </w:tcPr>
          <w:p w14:paraId="1A71FB56" w14:textId="77777777" w:rsidR="002D28F0" w:rsidRPr="009966ED" w:rsidRDefault="002D28F0" w:rsidP="002D28F0">
            <w:pPr>
              <w:jc w:val="both"/>
              <w:rPr>
                <w:rFonts w:cstheme="minorHAnsi"/>
                <w:sz w:val="20"/>
                <w:szCs w:val="20"/>
              </w:rPr>
            </w:pPr>
            <w:r w:rsidRPr="009966ED">
              <w:rPr>
                <w:rFonts w:cstheme="minorHAnsi"/>
                <w:sz w:val="20"/>
                <w:szCs w:val="20"/>
              </w:rPr>
              <w:t>0.100</w:t>
            </w:r>
          </w:p>
        </w:tc>
      </w:tr>
      <w:tr w:rsidR="002D28F0" w:rsidRPr="001018E2" w14:paraId="797B784A" w14:textId="77777777" w:rsidTr="002D28F0">
        <w:tc>
          <w:tcPr>
            <w:tcW w:w="3119" w:type="dxa"/>
          </w:tcPr>
          <w:p w14:paraId="72256BBE" w14:textId="77777777" w:rsidR="002D28F0" w:rsidRPr="001018E2" w:rsidRDefault="002D28F0" w:rsidP="002D28F0">
            <w:pPr>
              <w:jc w:val="both"/>
              <w:rPr>
                <w:rFonts w:cstheme="minorHAnsi"/>
                <w:sz w:val="20"/>
                <w:szCs w:val="20"/>
              </w:rPr>
            </w:pPr>
            <w:r w:rsidRPr="001018E2">
              <w:rPr>
                <w:rFonts w:cstheme="minorHAnsi"/>
                <w:sz w:val="20"/>
                <w:szCs w:val="20"/>
              </w:rPr>
              <w:t>Resilience score</w:t>
            </w:r>
            <w:r>
              <w:rPr>
                <w:rFonts w:cstheme="minorHAnsi"/>
                <w:sz w:val="20"/>
                <w:szCs w:val="20"/>
              </w:rPr>
              <w:t xml:space="preserve"> </w:t>
            </w:r>
          </w:p>
          <w:p w14:paraId="20A33D07" w14:textId="77777777" w:rsidR="002D28F0" w:rsidRPr="001018E2" w:rsidRDefault="002D28F0" w:rsidP="002D28F0">
            <w:pPr>
              <w:jc w:val="both"/>
              <w:rPr>
                <w:rFonts w:cstheme="minorHAnsi"/>
                <w:sz w:val="20"/>
                <w:szCs w:val="20"/>
              </w:rPr>
            </w:pPr>
          </w:p>
        </w:tc>
        <w:tc>
          <w:tcPr>
            <w:tcW w:w="2410" w:type="dxa"/>
          </w:tcPr>
          <w:p w14:paraId="316909B0" w14:textId="77777777" w:rsidR="002D28F0" w:rsidRPr="001018E2" w:rsidRDefault="002D28F0" w:rsidP="002D28F0">
            <w:pPr>
              <w:jc w:val="both"/>
              <w:rPr>
                <w:rFonts w:cstheme="minorHAnsi"/>
                <w:sz w:val="20"/>
                <w:szCs w:val="20"/>
              </w:rPr>
            </w:pPr>
            <w:r w:rsidRPr="001018E2">
              <w:rPr>
                <w:rFonts w:cstheme="minorHAnsi"/>
                <w:sz w:val="20"/>
                <w:szCs w:val="20"/>
              </w:rPr>
              <w:t>Very low – on the low end</w:t>
            </w:r>
          </w:p>
          <w:p w14:paraId="25A57E1B" w14:textId="77777777" w:rsidR="002D28F0" w:rsidRPr="001018E2" w:rsidRDefault="002D28F0" w:rsidP="002D28F0">
            <w:pPr>
              <w:jc w:val="both"/>
              <w:rPr>
                <w:rFonts w:cstheme="minorHAnsi"/>
                <w:sz w:val="20"/>
                <w:szCs w:val="20"/>
              </w:rPr>
            </w:pPr>
            <w:r w:rsidRPr="001018E2">
              <w:rPr>
                <w:rFonts w:cstheme="minorHAnsi"/>
                <w:sz w:val="20"/>
                <w:szCs w:val="20"/>
              </w:rPr>
              <w:t>Moderate – High</w:t>
            </w:r>
          </w:p>
        </w:tc>
        <w:tc>
          <w:tcPr>
            <w:tcW w:w="1842" w:type="dxa"/>
          </w:tcPr>
          <w:p w14:paraId="58E38B21" w14:textId="77777777" w:rsidR="002D28F0" w:rsidRDefault="002D28F0" w:rsidP="002D28F0">
            <w:pPr>
              <w:jc w:val="both"/>
              <w:rPr>
                <w:rFonts w:cstheme="minorHAnsi"/>
                <w:sz w:val="20"/>
                <w:szCs w:val="20"/>
              </w:rPr>
            </w:pPr>
            <w:r>
              <w:rPr>
                <w:rFonts w:cstheme="minorHAnsi"/>
                <w:sz w:val="20"/>
                <w:szCs w:val="20"/>
              </w:rPr>
              <w:t>13.0</w:t>
            </w:r>
            <w:r>
              <w:rPr>
                <w:rFonts w:cstheme="minorHAnsi"/>
                <w:sz w:val="20"/>
                <w:szCs w:val="20"/>
              </w:rPr>
              <w:tab/>
              <w:t>(6, 21)</w:t>
            </w:r>
          </w:p>
          <w:p w14:paraId="2C5D491B" w14:textId="77777777" w:rsidR="002D28F0" w:rsidRPr="009966ED" w:rsidRDefault="002D28F0" w:rsidP="002D28F0">
            <w:pPr>
              <w:jc w:val="both"/>
              <w:rPr>
                <w:rFonts w:cstheme="minorHAnsi"/>
                <w:sz w:val="20"/>
                <w:szCs w:val="20"/>
              </w:rPr>
            </w:pPr>
            <w:r>
              <w:rPr>
                <w:rFonts w:cstheme="minorHAnsi"/>
                <w:sz w:val="20"/>
                <w:szCs w:val="20"/>
              </w:rPr>
              <w:t>10.0</w:t>
            </w:r>
            <w:r>
              <w:rPr>
                <w:rFonts w:cstheme="minorHAnsi"/>
                <w:sz w:val="20"/>
                <w:szCs w:val="20"/>
              </w:rPr>
              <w:tab/>
              <w:t>(0, 21)</w:t>
            </w:r>
          </w:p>
        </w:tc>
        <w:tc>
          <w:tcPr>
            <w:tcW w:w="709" w:type="dxa"/>
          </w:tcPr>
          <w:p w14:paraId="11CA5BAA" w14:textId="77777777" w:rsidR="002D28F0" w:rsidRPr="00D85080" w:rsidRDefault="002D28F0" w:rsidP="002D28F0">
            <w:pPr>
              <w:jc w:val="both"/>
              <w:rPr>
                <w:rFonts w:cstheme="minorHAnsi"/>
                <w:b/>
                <w:sz w:val="20"/>
                <w:szCs w:val="20"/>
              </w:rPr>
            </w:pPr>
            <w:r w:rsidRPr="00D85080">
              <w:rPr>
                <w:rFonts w:cstheme="minorHAnsi"/>
                <w:b/>
                <w:sz w:val="20"/>
                <w:szCs w:val="20"/>
              </w:rPr>
              <w:t>0.00</w:t>
            </w:r>
            <w:r>
              <w:rPr>
                <w:rFonts w:cstheme="minorHAnsi"/>
                <w:b/>
                <w:sz w:val="20"/>
                <w:szCs w:val="20"/>
              </w:rPr>
              <w:t>2</w:t>
            </w:r>
          </w:p>
        </w:tc>
        <w:tc>
          <w:tcPr>
            <w:tcW w:w="1843" w:type="dxa"/>
          </w:tcPr>
          <w:p w14:paraId="1B2B4DD8" w14:textId="77777777" w:rsidR="002D28F0" w:rsidRDefault="002D28F0" w:rsidP="002D28F0">
            <w:pPr>
              <w:jc w:val="both"/>
              <w:rPr>
                <w:rFonts w:cstheme="minorHAnsi"/>
                <w:sz w:val="20"/>
                <w:szCs w:val="20"/>
              </w:rPr>
            </w:pPr>
            <w:r>
              <w:rPr>
                <w:rFonts w:cstheme="minorHAnsi"/>
                <w:sz w:val="20"/>
                <w:szCs w:val="20"/>
              </w:rPr>
              <w:t>7.0</w:t>
            </w:r>
            <w:r>
              <w:rPr>
                <w:rFonts w:cstheme="minorHAnsi"/>
                <w:sz w:val="20"/>
                <w:szCs w:val="20"/>
              </w:rPr>
              <w:tab/>
              <w:t>(2, 11)</w:t>
            </w:r>
          </w:p>
          <w:p w14:paraId="67561D13" w14:textId="77777777" w:rsidR="002D28F0" w:rsidRPr="009966ED" w:rsidRDefault="002D28F0" w:rsidP="002D28F0">
            <w:pPr>
              <w:jc w:val="both"/>
              <w:rPr>
                <w:rFonts w:cstheme="minorHAnsi"/>
                <w:sz w:val="20"/>
                <w:szCs w:val="20"/>
              </w:rPr>
            </w:pPr>
            <w:r>
              <w:rPr>
                <w:rFonts w:cstheme="minorHAnsi"/>
                <w:sz w:val="20"/>
                <w:szCs w:val="20"/>
              </w:rPr>
              <w:t>5.0</w:t>
            </w:r>
            <w:r>
              <w:rPr>
                <w:rFonts w:cstheme="minorHAnsi"/>
                <w:sz w:val="20"/>
                <w:szCs w:val="20"/>
              </w:rPr>
              <w:tab/>
              <w:t>(0, 11)</w:t>
            </w:r>
          </w:p>
        </w:tc>
        <w:tc>
          <w:tcPr>
            <w:tcW w:w="850" w:type="dxa"/>
          </w:tcPr>
          <w:p w14:paraId="6DA65849" w14:textId="77777777" w:rsidR="002D28F0" w:rsidRPr="009966ED" w:rsidRDefault="002D28F0" w:rsidP="002D28F0">
            <w:pPr>
              <w:jc w:val="both"/>
              <w:rPr>
                <w:rFonts w:cstheme="minorHAnsi"/>
                <w:sz w:val="20"/>
                <w:szCs w:val="20"/>
              </w:rPr>
            </w:pPr>
            <w:r w:rsidRPr="009966ED">
              <w:rPr>
                <w:rFonts w:cstheme="minorHAnsi"/>
                <w:sz w:val="20"/>
                <w:szCs w:val="20"/>
              </w:rPr>
              <w:t>0.0</w:t>
            </w:r>
            <w:r>
              <w:rPr>
                <w:rFonts w:cstheme="minorHAnsi"/>
                <w:sz w:val="20"/>
                <w:szCs w:val="20"/>
              </w:rPr>
              <w:t>04</w:t>
            </w:r>
          </w:p>
        </w:tc>
        <w:tc>
          <w:tcPr>
            <w:tcW w:w="1843" w:type="dxa"/>
          </w:tcPr>
          <w:p w14:paraId="2195E86D" w14:textId="77777777" w:rsidR="002D28F0" w:rsidRDefault="002D28F0" w:rsidP="002D28F0">
            <w:pPr>
              <w:jc w:val="both"/>
              <w:rPr>
                <w:rFonts w:cstheme="minorHAnsi"/>
                <w:sz w:val="20"/>
                <w:szCs w:val="20"/>
              </w:rPr>
            </w:pPr>
            <w:r>
              <w:rPr>
                <w:rFonts w:cstheme="minorHAnsi"/>
                <w:sz w:val="20"/>
                <w:szCs w:val="20"/>
              </w:rPr>
              <w:t>19.0</w:t>
            </w:r>
            <w:r>
              <w:rPr>
                <w:rFonts w:cstheme="minorHAnsi"/>
                <w:sz w:val="20"/>
                <w:szCs w:val="20"/>
              </w:rPr>
              <w:tab/>
              <w:t>(11, 32)</w:t>
            </w:r>
          </w:p>
          <w:p w14:paraId="0F025379" w14:textId="77777777" w:rsidR="002D28F0" w:rsidRPr="009966ED" w:rsidRDefault="002D28F0" w:rsidP="002D28F0">
            <w:pPr>
              <w:jc w:val="both"/>
              <w:rPr>
                <w:rFonts w:cstheme="minorHAnsi"/>
                <w:sz w:val="20"/>
                <w:szCs w:val="20"/>
              </w:rPr>
            </w:pPr>
            <w:r>
              <w:rPr>
                <w:rFonts w:cstheme="minorHAnsi"/>
                <w:sz w:val="20"/>
                <w:szCs w:val="20"/>
              </w:rPr>
              <w:t>14.0</w:t>
            </w:r>
            <w:r>
              <w:rPr>
                <w:rFonts w:cstheme="minorHAnsi"/>
                <w:sz w:val="20"/>
                <w:szCs w:val="20"/>
              </w:rPr>
              <w:tab/>
              <w:t>(0, 32)</w:t>
            </w:r>
          </w:p>
        </w:tc>
        <w:tc>
          <w:tcPr>
            <w:tcW w:w="1418" w:type="dxa"/>
          </w:tcPr>
          <w:p w14:paraId="6749136F" w14:textId="77777777" w:rsidR="002D28F0" w:rsidRPr="00D85080" w:rsidRDefault="002D28F0" w:rsidP="002D28F0">
            <w:pPr>
              <w:jc w:val="both"/>
              <w:rPr>
                <w:rFonts w:cstheme="minorHAnsi"/>
                <w:b/>
                <w:sz w:val="20"/>
                <w:szCs w:val="20"/>
              </w:rPr>
            </w:pPr>
            <w:r w:rsidRPr="00D85080">
              <w:rPr>
                <w:rFonts w:cstheme="minorHAnsi"/>
                <w:b/>
                <w:sz w:val="20"/>
                <w:szCs w:val="20"/>
              </w:rPr>
              <w:t>0.001</w:t>
            </w:r>
          </w:p>
        </w:tc>
      </w:tr>
      <w:tr w:rsidR="002D28F0" w:rsidRPr="001018E2" w14:paraId="4A5E4BF7" w14:textId="77777777" w:rsidTr="002D28F0">
        <w:tc>
          <w:tcPr>
            <w:tcW w:w="3119" w:type="dxa"/>
          </w:tcPr>
          <w:p w14:paraId="10C2AF77" w14:textId="77777777" w:rsidR="002D28F0" w:rsidRPr="001018E2" w:rsidRDefault="002D28F0" w:rsidP="002D28F0">
            <w:pPr>
              <w:jc w:val="both"/>
              <w:rPr>
                <w:rFonts w:cstheme="minorHAnsi"/>
                <w:sz w:val="20"/>
                <w:szCs w:val="20"/>
              </w:rPr>
            </w:pPr>
            <w:r w:rsidRPr="001018E2">
              <w:rPr>
                <w:rFonts w:cstheme="minorHAnsi"/>
                <w:sz w:val="20"/>
                <w:szCs w:val="20"/>
              </w:rPr>
              <w:t>Anxiety score</w:t>
            </w:r>
          </w:p>
        </w:tc>
        <w:tc>
          <w:tcPr>
            <w:tcW w:w="2410" w:type="dxa"/>
          </w:tcPr>
          <w:p w14:paraId="17D21005" w14:textId="77777777" w:rsidR="002D28F0" w:rsidRDefault="002D28F0" w:rsidP="002D28F0">
            <w:pPr>
              <w:jc w:val="both"/>
              <w:rPr>
                <w:rFonts w:cstheme="minorHAnsi"/>
                <w:sz w:val="20"/>
                <w:szCs w:val="20"/>
              </w:rPr>
            </w:pPr>
            <w:r w:rsidRPr="001018E2">
              <w:rPr>
                <w:rFonts w:cstheme="minorHAnsi"/>
                <w:sz w:val="20"/>
                <w:szCs w:val="20"/>
              </w:rPr>
              <w:t xml:space="preserve">0-9 </w:t>
            </w:r>
          </w:p>
          <w:p w14:paraId="70BD5499" w14:textId="77777777" w:rsidR="002D28F0" w:rsidRPr="001018E2" w:rsidRDefault="002D28F0" w:rsidP="002D28F0">
            <w:pPr>
              <w:jc w:val="both"/>
              <w:rPr>
                <w:rFonts w:cstheme="minorHAnsi"/>
                <w:sz w:val="20"/>
                <w:szCs w:val="20"/>
              </w:rPr>
            </w:pPr>
            <w:r w:rsidRPr="001018E2">
              <w:rPr>
                <w:rFonts w:cstheme="minorHAnsi"/>
                <w:sz w:val="20"/>
                <w:szCs w:val="20"/>
              </w:rPr>
              <w:t>10-21</w:t>
            </w:r>
          </w:p>
        </w:tc>
        <w:tc>
          <w:tcPr>
            <w:tcW w:w="1842" w:type="dxa"/>
          </w:tcPr>
          <w:p w14:paraId="2A63680C" w14:textId="77777777" w:rsidR="002D28F0" w:rsidRDefault="002D28F0" w:rsidP="002D28F0">
            <w:pPr>
              <w:jc w:val="both"/>
              <w:rPr>
                <w:rFonts w:cstheme="minorHAnsi"/>
                <w:sz w:val="20"/>
                <w:szCs w:val="20"/>
              </w:rPr>
            </w:pPr>
            <w:r>
              <w:rPr>
                <w:rFonts w:cstheme="minorHAnsi"/>
                <w:sz w:val="20"/>
                <w:szCs w:val="20"/>
              </w:rPr>
              <w:t>9.0</w:t>
            </w:r>
            <w:r>
              <w:rPr>
                <w:rFonts w:cstheme="minorHAnsi"/>
                <w:sz w:val="20"/>
                <w:szCs w:val="20"/>
              </w:rPr>
              <w:tab/>
              <w:t>(0, 20)</w:t>
            </w:r>
          </w:p>
          <w:p w14:paraId="429B4E94" w14:textId="77777777" w:rsidR="002D28F0" w:rsidRPr="009966ED" w:rsidRDefault="002D28F0" w:rsidP="002D28F0">
            <w:pPr>
              <w:jc w:val="both"/>
              <w:rPr>
                <w:rFonts w:cstheme="minorHAnsi"/>
                <w:sz w:val="20"/>
                <w:szCs w:val="20"/>
              </w:rPr>
            </w:pPr>
            <w:r>
              <w:rPr>
                <w:rFonts w:cstheme="minorHAnsi"/>
                <w:sz w:val="20"/>
                <w:szCs w:val="20"/>
              </w:rPr>
              <w:t>13.5</w:t>
            </w:r>
            <w:r>
              <w:rPr>
                <w:rFonts w:cstheme="minorHAnsi"/>
                <w:sz w:val="20"/>
                <w:szCs w:val="20"/>
              </w:rPr>
              <w:tab/>
              <w:t>(6, 21)</w:t>
            </w:r>
          </w:p>
        </w:tc>
        <w:tc>
          <w:tcPr>
            <w:tcW w:w="709" w:type="dxa"/>
          </w:tcPr>
          <w:p w14:paraId="5B2262C6" w14:textId="77777777" w:rsidR="002D28F0" w:rsidRPr="002F7C02" w:rsidRDefault="002D28F0" w:rsidP="002D28F0">
            <w:pPr>
              <w:jc w:val="both"/>
              <w:rPr>
                <w:rFonts w:cstheme="minorHAnsi"/>
                <w:b/>
                <w:sz w:val="20"/>
                <w:szCs w:val="20"/>
              </w:rPr>
            </w:pPr>
            <w:r w:rsidRPr="002F7C02">
              <w:rPr>
                <w:rFonts w:cstheme="minorHAnsi"/>
                <w:b/>
                <w:sz w:val="20"/>
                <w:szCs w:val="20"/>
              </w:rPr>
              <w:t>0.000</w:t>
            </w:r>
          </w:p>
        </w:tc>
        <w:tc>
          <w:tcPr>
            <w:tcW w:w="1843" w:type="dxa"/>
          </w:tcPr>
          <w:p w14:paraId="51342C0E" w14:textId="77777777" w:rsidR="002D28F0" w:rsidRDefault="002D28F0" w:rsidP="002D28F0">
            <w:pPr>
              <w:jc w:val="both"/>
              <w:rPr>
                <w:rFonts w:cstheme="minorHAnsi"/>
                <w:sz w:val="20"/>
                <w:szCs w:val="20"/>
              </w:rPr>
            </w:pPr>
            <w:r>
              <w:rPr>
                <w:rFonts w:cstheme="minorHAnsi"/>
                <w:sz w:val="20"/>
                <w:szCs w:val="20"/>
              </w:rPr>
              <w:t>5.0</w:t>
            </w:r>
            <w:r>
              <w:rPr>
                <w:rFonts w:cstheme="minorHAnsi"/>
                <w:sz w:val="20"/>
                <w:szCs w:val="20"/>
              </w:rPr>
              <w:tab/>
              <w:t>(0, 11)</w:t>
            </w:r>
          </w:p>
          <w:p w14:paraId="598B0507" w14:textId="77777777" w:rsidR="002D28F0" w:rsidRPr="009966ED" w:rsidRDefault="002D28F0" w:rsidP="002D28F0">
            <w:pPr>
              <w:jc w:val="both"/>
              <w:rPr>
                <w:rFonts w:cstheme="minorHAnsi"/>
                <w:sz w:val="20"/>
                <w:szCs w:val="20"/>
              </w:rPr>
            </w:pPr>
            <w:r>
              <w:rPr>
                <w:rFonts w:cstheme="minorHAnsi"/>
                <w:sz w:val="20"/>
                <w:szCs w:val="20"/>
              </w:rPr>
              <w:t>8.0</w:t>
            </w:r>
            <w:r>
              <w:rPr>
                <w:rFonts w:cstheme="minorHAnsi"/>
                <w:sz w:val="20"/>
                <w:szCs w:val="20"/>
              </w:rPr>
              <w:tab/>
              <w:t>(3, 11)</w:t>
            </w:r>
          </w:p>
        </w:tc>
        <w:tc>
          <w:tcPr>
            <w:tcW w:w="850" w:type="dxa"/>
          </w:tcPr>
          <w:p w14:paraId="454CC59E" w14:textId="77777777" w:rsidR="002D28F0" w:rsidRPr="009966ED" w:rsidRDefault="002D28F0" w:rsidP="002D28F0">
            <w:pPr>
              <w:jc w:val="both"/>
              <w:rPr>
                <w:rFonts w:cstheme="minorHAnsi"/>
                <w:b/>
                <w:sz w:val="20"/>
                <w:szCs w:val="20"/>
              </w:rPr>
            </w:pPr>
            <w:r>
              <w:rPr>
                <w:rFonts w:cstheme="minorHAnsi"/>
                <w:b/>
                <w:sz w:val="20"/>
                <w:szCs w:val="20"/>
              </w:rPr>
              <w:t>0.000</w:t>
            </w:r>
          </w:p>
        </w:tc>
        <w:tc>
          <w:tcPr>
            <w:tcW w:w="1843" w:type="dxa"/>
          </w:tcPr>
          <w:p w14:paraId="2D4623B4" w14:textId="77777777" w:rsidR="002D28F0" w:rsidRDefault="002D28F0" w:rsidP="002D28F0">
            <w:pPr>
              <w:jc w:val="both"/>
              <w:rPr>
                <w:rFonts w:cstheme="minorHAnsi"/>
                <w:sz w:val="20"/>
                <w:szCs w:val="20"/>
              </w:rPr>
            </w:pPr>
            <w:r>
              <w:rPr>
                <w:rFonts w:cstheme="minorHAnsi"/>
                <w:sz w:val="20"/>
                <w:szCs w:val="20"/>
              </w:rPr>
              <w:t>14.0</w:t>
            </w:r>
            <w:r>
              <w:rPr>
                <w:rFonts w:cstheme="minorHAnsi"/>
                <w:sz w:val="20"/>
                <w:szCs w:val="20"/>
              </w:rPr>
              <w:tab/>
              <w:t>(0, 29)</w:t>
            </w:r>
          </w:p>
          <w:p w14:paraId="76D47A0B" w14:textId="77777777" w:rsidR="002D28F0" w:rsidRPr="009966ED" w:rsidRDefault="002D28F0" w:rsidP="002D28F0">
            <w:pPr>
              <w:jc w:val="both"/>
              <w:rPr>
                <w:rFonts w:cstheme="minorHAnsi"/>
                <w:sz w:val="20"/>
                <w:szCs w:val="20"/>
              </w:rPr>
            </w:pPr>
            <w:r>
              <w:rPr>
                <w:rFonts w:cstheme="minorHAnsi"/>
                <w:sz w:val="20"/>
                <w:szCs w:val="20"/>
              </w:rPr>
              <w:t>21.0</w:t>
            </w:r>
            <w:r>
              <w:rPr>
                <w:rFonts w:cstheme="minorHAnsi"/>
                <w:sz w:val="20"/>
                <w:szCs w:val="20"/>
              </w:rPr>
              <w:tab/>
              <w:t>(9, 32)</w:t>
            </w:r>
          </w:p>
        </w:tc>
        <w:tc>
          <w:tcPr>
            <w:tcW w:w="1418" w:type="dxa"/>
          </w:tcPr>
          <w:p w14:paraId="505AE70A" w14:textId="77777777" w:rsidR="002D28F0" w:rsidRPr="007D3A58" w:rsidRDefault="002D28F0" w:rsidP="002D28F0">
            <w:pPr>
              <w:jc w:val="both"/>
              <w:rPr>
                <w:rFonts w:cstheme="minorHAnsi"/>
                <w:b/>
                <w:sz w:val="20"/>
                <w:szCs w:val="20"/>
              </w:rPr>
            </w:pPr>
            <w:r w:rsidRPr="007D3A58">
              <w:rPr>
                <w:rFonts w:cstheme="minorHAnsi"/>
                <w:b/>
                <w:sz w:val="20"/>
                <w:szCs w:val="20"/>
              </w:rPr>
              <w:t>0.000</w:t>
            </w:r>
          </w:p>
        </w:tc>
      </w:tr>
      <w:tr w:rsidR="002D28F0" w:rsidRPr="001018E2" w14:paraId="703E8FB5" w14:textId="77777777" w:rsidTr="002D28F0">
        <w:tc>
          <w:tcPr>
            <w:tcW w:w="3119" w:type="dxa"/>
          </w:tcPr>
          <w:p w14:paraId="1E951AB3" w14:textId="77777777" w:rsidR="002D28F0" w:rsidRPr="001018E2" w:rsidRDefault="002D28F0" w:rsidP="002D28F0">
            <w:pPr>
              <w:jc w:val="both"/>
              <w:rPr>
                <w:rFonts w:cstheme="minorHAnsi"/>
                <w:sz w:val="20"/>
                <w:szCs w:val="20"/>
              </w:rPr>
            </w:pPr>
            <w:r w:rsidRPr="001018E2">
              <w:rPr>
                <w:rFonts w:cstheme="minorHAnsi"/>
                <w:sz w:val="20"/>
                <w:szCs w:val="20"/>
              </w:rPr>
              <w:t xml:space="preserve">Depression score </w:t>
            </w:r>
          </w:p>
        </w:tc>
        <w:tc>
          <w:tcPr>
            <w:tcW w:w="2410" w:type="dxa"/>
          </w:tcPr>
          <w:p w14:paraId="592E01F1" w14:textId="77777777" w:rsidR="002D28F0" w:rsidRDefault="002D28F0" w:rsidP="002D28F0">
            <w:pPr>
              <w:jc w:val="both"/>
              <w:rPr>
                <w:rFonts w:cstheme="minorHAnsi"/>
                <w:sz w:val="20"/>
                <w:szCs w:val="20"/>
              </w:rPr>
            </w:pPr>
            <w:r w:rsidRPr="001018E2">
              <w:rPr>
                <w:rFonts w:cstheme="minorHAnsi"/>
                <w:sz w:val="20"/>
                <w:szCs w:val="20"/>
              </w:rPr>
              <w:t xml:space="preserve">0-9 </w:t>
            </w:r>
          </w:p>
          <w:p w14:paraId="550D6E3D" w14:textId="77777777" w:rsidR="002D28F0" w:rsidRPr="001018E2" w:rsidRDefault="002D28F0" w:rsidP="002D28F0">
            <w:pPr>
              <w:jc w:val="both"/>
              <w:rPr>
                <w:rFonts w:cstheme="minorHAnsi"/>
                <w:sz w:val="20"/>
                <w:szCs w:val="20"/>
              </w:rPr>
            </w:pPr>
            <w:r w:rsidRPr="001018E2">
              <w:rPr>
                <w:rFonts w:cstheme="minorHAnsi"/>
                <w:sz w:val="20"/>
                <w:szCs w:val="20"/>
              </w:rPr>
              <w:t>10-27</w:t>
            </w:r>
          </w:p>
        </w:tc>
        <w:tc>
          <w:tcPr>
            <w:tcW w:w="1842" w:type="dxa"/>
          </w:tcPr>
          <w:p w14:paraId="7F4B0561" w14:textId="77777777" w:rsidR="002D28F0" w:rsidRDefault="002D28F0" w:rsidP="002D28F0">
            <w:pPr>
              <w:jc w:val="both"/>
              <w:rPr>
                <w:rFonts w:cstheme="minorHAnsi"/>
                <w:sz w:val="20"/>
                <w:szCs w:val="20"/>
              </w:rPr>
            </w:pPr>
            <w:r>
              <w:rPr>
                <w:rFonts w:cstheme="minorHAnsi"/>
                <w:sz w:val="20"/>
                <w:szCs w:val="20"/>
              </w:rPr>
              <w:t>9.0</w:t>
            </w:r>
            <w:r>
              <w:rPr>
                <w:rFonts w:cstheme="minorHAnsi"/>
                <w:sz w:val="20"/>
                <w:szCs w:val="20"/>
              </w:rPr>
              <w:tab/>
              <w:t>(0, 20)</w:t>
            </w:r>
          </w:p>
          <w:p w14:paraId="7C1A57AA" w14:textId="77777777" w:rsidR="002D28F0" w:rsidRPr="009966ED" w:rsidRDefault="002D28F0" w:rsidP="002D28F0">
            <w:pPr>
              <w:jc w:val="both"/>
              <w:rPr>
                <w:rFonts w:cstheme="minorHAnsi"/>
                <w:sz w:val="20"/>
                <w:szCs w:val="20"/>
              </w:rPr>
            </w:pPr>
            <w:r>
              <w:rPr>
                <w:rFonts w:cstheme="minorHAnsi"/>
                <w:sz w:val="20"/>
                <w:szCs w:val="20"/>
              </w:rPr>
              <w:t>15.0</w:t>
            </w:r>
            <w:r>
              <w:rPr>
                <w:rFonts w:cstheme="minorHAnsi"/>
                <w:sz w:val="20"/>
                <w:szCs w:val="20"/>
              </w:rPr>
              <w:tab/>
              <w:t>(9, 21)</w:t>
            </w:r>
          </w:p>
        </w:tc>
        <w:tc>
          <w:tcPr>
            <w:tcW w:w="709" w:type="dxa"/>
          </w:tcPr>
          <w:p w14:paraId="19A217A9" w14:textId="77777777" w:rsidR="002D28F0" w:rsidRPr="002F7C02" w:rsidRDefault="002D28F0" w:rsidP="002D28F0">
            <w:pPr>
              <w:jc w:val="both"/>
              <w:rPr>
                <w:rFonts w:cstheme="minorHAnsi"/>
                <w:b/>
                <w:sz w:val="20"/>
                <w:szCs w:val="20"/>
              </w:rPr>
            </w:pPr>
            <w:r w:rsidRPr="002F7C02">
              <w:rPr>
                <w:rFonts w:cstheme="minorHAnsi"/>
                <w:b/>
                <w:sz w:val="20"/>
                <w:szCs w:val="20"/>
              </w:rPr>
              <w:t>0.000</w:t>
            </w:r>
          </w:p>
        </w:tc>
        <w:tc>
          <w:tcPr>
            <w:tcW w:w="1843" w:type="dxa"/>
          </w:tcPr>
          <w:p w14:paraId="7A726E74" w14:textId="77777777" w:rsidR="002D28F0" w:rsidRDefault="002D28F0" w:rsidP="002D28F0">
            <w:pPr>
              <w:jc w:val="both"/>
              <w:rPr>
                <w:rFonts w:cstheme="minorHAnsi"/>
                <w:sz w:val="20"/>
                <w:szCs w:val="20"/>
              </w:rPr>
            </w:pPr>
            <w:r>
              <w:rPr>
                <w:rFonts w:cstheme="minorHAnsi"/>
                <w:sz w:val="20"/>
                <w:szCs w:val="20"/>
              </w:rPr>
              <w:t>4.0</w:t>
            </w:r>
            <w:r>
              <w:rPr>
                <w:rFonts w:cstheme="minorHAnsi"/>
                <w:sz w:val="20"/>
                <w:szCs w:val="20"/>
              </w:rPr>
              <w:tab/>
              <w:t>(0, 11)</w:t>
            </w:r>
          </w:p>
          <w:p w14:paraId="130463F6" w14:textId="77777777" w:rsidR="002D28F0" w:rsidRPr="009966ED" w:rsidRDefault="002D28F0" w:rsidP="002D28F0">
            <w:pPr>
              <w:jc w:val="both"/>
              <w:rPr>
                <w:rFonts w:cstheme="minorHAnsi"/>
                <w:sz w:val="20"/>
                <w:szCs w:val="20"/>
              </w:rPr>
            </w:pPr>
            <w:r>
              <w:rPr>
                <w:rFonts w:cstheme="minorHAnsi"/>
                <w:sz w:val="20"/>
                <w:szCs w:val="20"/>
              </w:rPr>
              <w:t>8.0</w:t>
            </w:r>
            <w:r>
              <w:rPr>
                <w:rFonts w:cstheme="minorHAnsi"/>
                <w:sz w:val="20"/>
                <w:szCs w:val="20"/>
              </w:rPr>
              <w:tab/>
              <w:t>(2,11)</w:t>
            </w:r>
          </w:p>
        </w:tc>
        <w:tc>
          <w:tcPr>
            <w:tcW w:w="850" w:type="dxa"/>
          </w:tcPr>
          <w:p w14:paraId="2A7B85BF" w14:textId="77777777" w:rsidR="002D28F0" w:rsidRPr="002F7C02" w:rsidRDefault="002D28F0" w:rsidP="002D28F0">
            <w:pPr>
              <w:jc w:val="both"/>
              <w:rPr>
                <w:rFonts w:cstheme="minorHAnsi"/>
                <w:b/>
                <w:sz w:val="20"/>
                <w:szCs w:val="20"/>
              </w:rPr>
            </w:pPr>
            <w:r w:rsidRPr="002F7C02">
              <w:rPr>
                <w:rFonts w:cstheme="minorHAnsi"/>
                <w:b/>
                <w:sz w:val="20"/>
                <w:szCs w:val="20"/>
              </w:rPr>
              <w:t>0.000</w:t>
            </w:r>
          </w:p>
        </w:tc>
        <w:tc>
          <w:tcPr>
            <w:tcW w:w="1843" w:type="dxa"/>
          </w:tcPr>
          <w:p w14:paraId="5FC6BEC3" w14:textId="77777777" w:rsidR="002D28F0" w:rsidRDefault="002D28F0" w:rsidP="002D28F0">
            <w:pPr>
              <w:jc w:val="both"/>
              <w:rPr>
                <w:rFonts w:cstheme="minorHAnsi"/>
                <w:sz w:val="20"/>
                <w:szCs w:val="20"/>
              </w:rPr>
            </w:pPr>
            <w:r>
              <w:rPr>
                <w:rFonts w:cstheme="minorHAnsi"/>
                <w:sz w:val="20"/>
                <w:szCs w:val="20"/>
              </w:rPr>
              <w:t>14.0</w:t>
            </w:r>
            <w:r>
              <w:rPr>
                <w:rFonts w:cstheme="minorHAnsi"/>
                <w:sz w:val="20"/>
                <w:szCs w:val="20"/>
              </w:rPr>
              <w:tab/>
              <w:t>(0, 29)</w:t>
            </w:r>
          </w:p>
          <w:p w14:paraId="66911887" w14:textId="77777777" w:rsidR="002D28F0" w:rsidRPr="009966ED" w:rsidRDefault="002D28F0" w:rsidP="002D28F0">
            <w:pPr>
              <w:jc w:val="both"/>
              <w:rPr>
                <w:rFonts w:cstheme="minorHAnsi"/>
                <w:sz w:val="20"/>
                <w:szCs w:val="20"/>
              </w:rPr>
            </w:pPr>
            <w:r>
              <w:rPr>
                <w:rFonts w:cstheme="minorHAnsi"/>
                <w:sz w:val="20"/>
                <w:szCs w:val="20"/>
              </w:rPr>
              <w:t>22.0</w:t>
            </w:r>
            <w:r>
              <w:rPr>
                <w:rFonts w:cstheme="minorHAnsi"/>
                <w:sz w:val="20"/>
                <w:szCs w:val="20"/>
              </w:rPr>
              <w:tab/>
              <w:t>(12, 32)</w:t>
            </w:r>
          </w:p>
        </w:tc>
        <w:tc>
          <w:tcPr>
            <w:tcW w:w="1418" w:type="dxa"/>
          </w:tcPr>
          <w:p w14:paraId="6766DD24" w14:textId="77777777" w:rsidR="002D28F0" w:rsidRPr="002F7C02" w:rsidRDefault="002D28F0" w:rsidP="002D28F0">
            <w:pPr>
              <w:jc w:val="both"/>
              <w:rPr>
                <w:rFonts w:cstheme="minorHAnsi"/>
                <w:b/>
                <w:sz w:val="20"/>
                <w:szCs w:val="20"/>
              </w:rPr>
            </w:pPr>
            <w:r w:rsidRPr="002F7C02">
              <w:rPr>
                <w:rFonts w:cstheme="minorHAnsi"/>
                <w:b/>
                <w:sz w:val="20"/>
                <w:szCs w:val="20"/>
              </w:rPr>
              <w:t>0.000</w:t>
            </w:r>
          </w:p>
        </w:tc>
      </w:tr>
    </w:tbl>
    <w:p w14:paraId="49AF3156" w14:textId="1AF3A4BE" w:rsidR="002D28F0" w:rsidRDefault="002D28F0" w:rsidP="0019567A">
      <w:pPr>
        <w:jc w:val="both"/>
        <w:rPr>
          <w:rFonts w:cstheme="minorHAnsi"/>
          <w:sz w:val="20"/>
          <w:szCs w:val="20"/>
        </w:rPr>
      </w:pPr>
    </w:p>
    <w:p w14:paraId="1003C3CD" w14:textId="5668093C" w:rsidR="002D28F0" w:rsidRDefault="002D28F0" w:rsidP="0019567A">
      <w:pPr>
        <w:jc w:val="both"/>
        <w:rPr>
          <w:rFonts w:cstheme="minorHAnsi"/>
          <w:sz w:val="20"/>
          <w:szCs w:val="20"/>
        </w:rPr>
      </w:pPr>
    </w:p>
    <w:p w14:paraId="703724BA" w14:textId="77777777" w:rsidR="002D28F0" w:rsidRDefault="002D28F0" w:rsidP="0019567A">
      <w:pPr>
        <w:jc w:val="both"/>
        <w:rPr>
          <w:rFonts w:cstheme="minorHAnsi"/>
          <w:sz w:val="20"/>
          <w:szCs w:val="20"/>
        </w:rPr>
      </w:pPr>
    </w:p>
    <w:p w14:paraId="78CE70BA" w14:textId="5E16D5D2" w:rsidR="00A3426A" w:rsidRDefault="00A3426A" w:rsidP="0019567A">
      <w:pPr>
        <w:jc w:val="both"/>
      </w:pPr>
    </w:p>
    <w:p w14:paraId="2D15BE85" w14:textId="1B593D27" w:rsidR="002D28F0" w:rsidRDefault="002D28F0" w:rsidP="0019567A">
      <w:pPr>
        <w:jc w:val="both"/>
      </w:pPr>
    </w:p>
    <w:p w14:paraId="498BC188" w14:textId="7A161992" w:rsidR="002D28F0" w:rsidRDefault="002D28F0" w:rsidP="0019567A">
      <w:pPr>
        <w:jc w:val="both"/>
      </w:pPr>
    </w:p>
    <w:p w14:paraId="3CDFFC16" w14:textId="2BBE952D" w:rsidR="002D28F0" w:rsidRDefault="002D28F0" w:rsidP="0019567A">
      <w:pPr>
        <w:jc w:val="both"/>
      </w:pPr>
    </w:p>
    <w:p w14:paraId="496DBB96" w14:textId="53DD9597" w:rsidR="002D28F0" w:rsidRDefault="002D28F0" w:rsidP="0019567A">
      <w:pPr>
        <w:jc w:val="both"/>
      </w:pPr>
    </w:p>
    <w:p w14:paraId="76C0AECC" w14:textId="73BB9DC9" w:rsidR="002D28F0" w:rsidRDefault="002D28F0" w:rsidP="0019567A">
      <w:pPr>
        <w:jc w:val="both"/>
      </w:pPr>
    </w:p>
    <w:p w14:paraId="7FA12885" w14:textId="7C56CC2C" w:rsidR="002D28F0" w:rsidRDefault="002D28F0" w:rsidP="0019567A">
      <w:pPr>
        <w:jc w:val="both"/>
      </w:pPr>
    </w:p>
    <w:p w14:paraId="28E3B563" w14:textId="31F26B7D" w:rsidR="002D28F0" w:rsidRDefault="002D28F0" w:rsidP="0019567A">
      <w:pPr>
        <w:jc w:val="both"/>
      </w:pPr>
    </w:p>
    <w:p w14:paraId="3C125947" w14:textId="55701B21" w:rsidR="002D28F0" w:rsidRDefault="002D28F0" w:rsidP="0019567A">
      <w:pPr>
        <w:jc w:val="both"/>
      </w:pPr>
    </w:p>
    <w:p w14:paraId="48CD9AAD" w14:textId="298CF0D2" w:rsidR="002D28F0" w:rsidRDefault="002D28F0" w:rsidP="0019567A">
      <w:pPr>
        <w:jc w:val="both"/>
      </w:pPr>
    </w:p>
    <w:p w14:paraId="1EFF8175" w14:textId="6DEE3B65" w:rsidR="002D28F0" w:rsidRDefault="002D28F0" w:rsidP="0019567A">
      <w:pPr>
        <w:jc w:val="both"/>
      </w:pPr>
    </w:p>
    <w:p w14:paraId="67698D52" w14:textId="382ADB80" w:rsidR="002D28F0" w:rsidRDefault="002D28F0" w:rsidP="0019567A">
      <w:pPr>
        <w:jc w:val="both"/>
      </w:pPr>
    </w:p>
    <w:p w14:paraId="5F33A25A" w14:textId="1A8750CF" w:rsidR="002D28F0" w:rsidRDefault="002D28F0" w:rsidP="0019567A">
      <w:pPr>
        <w:jc w:val="both"/>
      </w:pPr>
    </w:p>
    <w:p w14:paraId="5433DB68" w14:textId="2637F6EA" w:rsidR="002D28F0" w:rsidRDefault="002D28F0" w:rsidP="0019567A">
      <w:pPr>
        <w:jc w:val="both"/>
      </w:pPr>
    </w:p>
    <w:p w14:paraId="4C082BED" w14:textId="709A01E0" w:rsidR="002D28F0" w:rsidRDefault="002D28F0" w:rsidP="0019567A">
      <w:pPr>
        <w:jc w:val="both"/>
      </w:pPr>
    </w:p>
    <w:p w14:paraId="36F37BC8" w14:textId="1C210CCA" w:rsidR="002D28F0" w:rsidRPr="002F61F3" w:rsidRDefault="002D28F0" w:rsidP="0019567A">
      <w:pPr>
        <w:jc w:val="both"/>
        <w:rPr>
          <w:sz w:val="18"/>
          <w:szCs w:val="18"/>
        </w:rPr>
        <w:sectPr w:rsidR="002D28F0" w:rsidRPr="002F61F3" w:rsidSect="007C7363">
          <w:pgSz w:w="16838" w:h="11906" w:orient="landscape"/>
          <w:pgMar w:top="284" w:right="851" w:bottom="1440" w:left="1440" w:header="708" w:footer="708" w:gutter="0"/>
          <w:cols w:space="708"/>
          <w:docGrid w:linePitch="360"/>
        </w:sectPr>
      </w:pPr>
      <w:r w:rsidRPr="002F61F3">
        <w:rPr>
          <w:rFonts w:eastAsia="Arial"/>
          <w:sz w:val="18"/>
          <w:szCs w:val="18"/>
          <w:lang w:eastAsia="en-GB"/>
        </w:rPr>
        <w:t xml:space="preserve">Mann-Whitney, </w:t>
      </w:r>
      <w:proofErr w:type="spellStart"/>
      <w:r w:rsidRPr="002F61F3">
        <w:rPr>
          <w:rFonts w:eastAsia="Arial"/>
          <w:sz w:val="18"/>
          <w:szCs w:val="18"/>
          <w:lang w:eastAsia="en-GB"/>
        </w:rPr>
        <w:t>Kruskall</w:t>
      </w:r>
      <w:proofErr w:type="spellEnd"/>
      <w:r w:rsidRPr="002F61F3">
        <w:rPr>
          <w:rFonts w:eastAsia="Arial"/>
          <w:sz w:val="18"/>
          <w:szCs w:val="18"/>
          <w:lang w:eastAsia="en-GB"/>
        </w:rPr>
        <w:t>-Wallis</w:t>
      </w:r>
      <w:r w:rsidR="002F61F3" w:rsidRPr="002F61F3">
        <w:rPr>
          <w:rFonts w:eastAsia="Arial"/>
          <w:sz w:val="18"/>
          <w:szCs w:val="18"/>
          <w:lang w:eastAsia="en-GB"/>
        </w:rPr>
        <w:t xml:space="preserve"> tests undertaken </w:t>
      </w:r>
      <w:r w:rsidRPr="002F61F3">
        <w:rPr>
          <w:rFonts w:eastAsia="Arial"/>
          <w:sz w:val="18"/>
          <w:szCs w:val="18"/>
          <w:lang w:eastAsia="en-GB"/>
        </w:rPr>
        <w:t>, level of significance p&lt;0.05</w:t>
      </w:r>
    </w:p>
    <w:p w14:paraId="22C78EE0" w14:textId="77777777" w:rsidR="00E154BB" w:rsidRDefault="00664BBC" w:rsidP="0019567A">
      <w:pPr>
        <w:jc w:val="both"/>
      </w:pPr>
      <w:r w:rsidRPr="00664BBC">
        <w:rPr>
          <w:rFonts w:eastAsia="Times New Roman" w:cstheme="minorHAnsi"/>
          <w:lang w:eastAsia="en-GB"/>
        </w:rPr>
        <w:lastRenderedPageBreak/>
        <w:t xml:space="preserve"> </w:t>
      </w:r>
      <w:r w:rsidR="000F4C01">
        <w:t>Table 3</w:t>
      </w:r>
      <w:r w:rsidR="00E154BB">
        <w:t xml:space="preserve"> regression for </w:t>
      </w:r>
      <w:proofErr w:type="spellStart"/>
      <w:r w:rsidR="00E154BB">
        <w:t>Chalder</w:t>
      </w:r>
      <w:proofErr w:type="spellEnd"/>
      <w:r w:rsidR="00E154BB">
        <w:t xml:space="preserve"> </w:t>
      </w:r>
      <w:r w:rsidR="00584360">
        <w:t>Physical</w:t>
      </w:r>
      <w:r w:rsidR="00C32301">
        <w:t>, mental and total</w:t>
      </w:r>
      <w:r w:rsidR="00E154BB">
        <w:t xml:space="preserve"> fatigue. </w:t>
      </w:r>
    </w:p>
    <w:tbl>
      <w:tblPr>
        <w:tblStyle w:val="TableGrid2"/>
        <w:tblW w:w="9592" w:type="dxa"/>
        <w:tblLook w:val="04A0" w:firstRow="1" w:lastRow="0" w:firstColumn="1" w:lastColumn="0" w:noHBand="0" w:noVBand="1"/>
      </w:tblPr>
      <w:tblGrid>
        <w:gridCol w:w="2398"/>
        <w:gridCol w:w="1198"/>
        <w:gridCol w:w="1200"/>
        <w:gridCol w:w="1198"/>
        <w:gridCol w:w="1200"/>
        <w:gridCol w:w="1198"/>
        <w:gridCol w:w="1200"/>
      </w:tblGrid>
      <w:tr w:rsidR="00285A8E" w:rsidRPr="00285A8E" w14:paraId="3E1E0BBF" w14:textId="77777777" w:rsidTr="004B5FED">
        <w:trPr>
          <w:trHeight w:val="553"/>
        </w:trPr>
        <w:tc>
          <w:tcPr>
            <w:tcW w:w="2398" w:type="dxa"/>
          </w:tcPr>
          <w:p w14:paraId="5CC0F23A" w14:textId="77777777" w:rsidR="00285A8E" w:rsidRPr="00285A8E" w:rsidRDefault="00285A8E" w:rsidP="0019567A">
            <w:pPr>
              <w:jc w:val="both"/>
            </w:pPr>
            <w:r w:rsidRPr="00285A8E">
              <w:t>Variable</w:t>
            </w:r>
          </w:p>
        </w:tc>
        <w:tc>
          <w:tcPr>
            <w:tcW w:w="2398" w:type="dxa"/>
            <w:gridSpan w:val="2"/>
          </w:tcPr>
          <w:p w14:paraId="7A3FE749" w14:textId="77777777" w:rsidR="00B50EC1" w:rsidRDefault="00B50EC1" w:rsidP="0019567A">
            <w:pPr>
              <w:jc w:val="both"/>
            </w:pPr>
            <w:r>
              <w:t xml:space="preserve">Model 1 </w:t>
            </w:r>
          </w:p>
          <w:p w14:paraId="71198684" w14:textId="75F95BB3" w:rsidR="00285A8E" w:rsidRPr="00285A8E" w:rsidRDefault="00285A8E" w:rsidP="0019567A">
            <w:pPr>
              <w:jc w:val="both"/>
            </w:pPr>
            <w:proofErr w:type="spellStart"/>
            <w:r w:rsidRPr="00285A8E">
              <w:t>Chalder</w:t>
            </w:r>
            <w:proofErr w:type="spellEnd"/>
            <w:r w:rsidRPr="00285A8E">
              <w:t xml:space="preserve"> Physical</w:t>
            </w:r>
          </w:p>
        </w:tc>
        <w:tc>
          <w:tcPr>
            <w:tcW w:w="2398" w:type="dxa"/>
            <w:gridSpan w:val="2"/>
          </w:tcPr>
          <w:p w14:paraId="09BC451A" w14:textId="77777777" w:rsidR="00B50EC1" w:rsidRDefault="00B50EC1" w:rsidP="0019567A">
            <w:pPr>
              <w:jc w:val="both"/>
            </w:pPr>
            <w:r>
              <w:t xml:space="preserve">Model 2 </w:t>
            </w:r>
          </w:p>
          <w:p w14:paraId="7B4A61EC" w14:textId="6EE6078B" w:rsidR="00285A8E" w:rsidRPr="00285A8E" w:rsidRDefault="00285A8E" w:rsidP="0019567A">
            <w:pPr>
              <w:jc w:val="both"/>
            </w:pPr>
            <w:proofErr w:type="spellStart"/>
            <w:r w:rsidRPr="00285A8E">
              <w:t>Chalder</w:t>
            </w:r>
            <w:proofErr w:type="spellEnd"/>
            <w:r w:rsidRPr="00285A8E">
              <w:t xml:space="preserve"> Mental</w:t>
            </w:r>
          </w:p>
        </w:tc>
        <w:tc>
          <w:tcPr>
            <w:tcW w:w="2398" w:type="dxa"/>
            <w:gridSpan w:val="2"/>
          </w:tcPr>
          <w:p w14:paraId="62CFA730" w14:textId="77777777" w:rsidR="00B50EC1" w:rsidRDefault="00B50EC1" w:rsidP="0019567A">
            <w:pPr>
              <w:jc w:val="both"/>
            </w:pPr>
            <w:r>
              <w:t>Model 3</w:t>
            </w:r>
          </w:p>
          <w:p w14:paraId="6F9B9132" w14:textId="31A35A65" w:rsidR="00285A8E" w:rsidRPr="00285A8E" w:rsidRDefault="00285A8E" w:rsidP="0019567A">
            <w:pPr>
              <w:jc w:val="both"/>
            </w:pPr>
            <w:r w:rsidRPr="00285A8E">
              <w:t xml:space="preserve">Total </w:t>
            </w:r>
            <w:proofErr w:type="spellStart"/>
            <w:r w:rsidRPr="00285A8E">
              <w:t>Chalder</w:t>
            </w:r>
            <w:proofErr w:type="spellEnd"/>
            <w:r w:rsidRPr="00285A8E">
              <w:t xml:space="preserve"> Fatigue</w:t>
            </w:r>
          </w:p>
        </w:tc>
      </w:tr>
      <w:tr w:rsidR="00285A8E" w:rsidRPr="00285A8E" w14:paraId="797CA2AB" w14:textId="77777777" w:rsidTr="004B5FED">
        <w:trPr>
          <w:trHeight w:val="272"/>
        </w:trPr>
        <w:tc>
          <w:tcPr>
            <w:tcW w:w="2398" w:type="dxa"/>
          </w:tcPr>
          <w:p w14:paraId="21B57D79" w14:textId="77777777" w:rsidR="00285A8E" w:rsidRPr="00285A8E" w:rsidRDefault="00285A8E" w:rsidP="0019567A">
            <w:pPr>
              <w:jc w:val="both"/>
            </w:pPr>
          </w:p>
        </w:tc>
        <w:tc>
          <w:tcPr>
            <w:tcW w:w="1198" w:type="dxa"/>
          </w:tcPr>
          <w:p w14:paraId="4A9B51B0" w14:textId="77777777" w:rsidR="00285A8E" w:rsidRPr="00285A8E" w:rsidRDefault="00285A8E" w:rsidP="0019567A">
            <w:pPr>
              <w:jc w:val="both"/>
            </w:pPr>
            <w:r w:rsidRPr="00285A8E">
              <w:rPr>
                <w:rFonts w:cstheme="minorHAnsi"/>
              </w:rPr>
              <w:t>β</w:t>
            </w:r>
          </w:p>
        </w:tc>
        <w:tc>
          <w:tcPr>
            <w:tcW w:w="1200" w:type="dxa"/>
          </w:tcPr>
          <w:p w14:paraId="4399B8C2" w14:textId="77777777" w:rsidR="00285A8E" w:rsidRPr="00285A8E" w:rsidRDefault="00285A8E" w:rsidP="0019567A">
            <w:pPr>
              <w:jc w:val="both"/>
            </w:pPr>
            <w:r w:rsidRPr="00285A8E">
              <w:t>p</w:t>
            </w:r>
          </w:p>
        </w:tc>
        <w:tc>
          <w:tcPr>
            <w:tcW w:w="1198" w:type="dxa"/>
          </w:tcPr>
          <w:p w14:paraId="7B51D2EC" w14:textId="77777777" w:rsidR="00285A8E" w:rsidRPr="00285A8E" w:rsidRDefault="00285A8E" w:rsidP="0019567A">
            <w:pPr>
              <w:jc w:val="both"/>
            </w:pPr>
            <w:r w:rsidRPr="00285A8E">
              <w:rPr>
                <w:rFonts w:cstheme="minorHAnsi"/>
              </w:rPr>
              <w:t>β</w:t>
            </w:r>
          </w:p>
        </w:tc>
        <w:tc>
          <w:tcPr>
            <w:tcW w:w="1200" w:type="dxa"/>
          </w:tcPr>
          <w:p w14:paraId="0D15AFE2" w14:textId="77777777" w:rsidR="00285A8E" w:rsidRPr="00285A8E" w:rsidRDefault="00285A8E" w:rsidP="0019567A">
            <w:pPr>
              <w:jc w:val="both"/>
            </w:pPr>
            <w:r w:rsidRPr="00285A8E">
              <w:t>p</w:t>
            </w:r>
          </w:p>
        </w:tc>
        <w:tc>
          <w:tcPr>
            <w:tcW w:w="1198" w:type="dxa"/>
          </w:tcPr>
          <w:p w14:paraId="1409263B" w14:textId="77777777" w:rsidR="00285A8E" w:rsidRPr="00285A8E" w:rsidRDefault="00285A8E" w:rsidP="0019567A">
            <w:pPr>
              <w:jc w:val="both"/>
            </w:pPr>
            <w:r w:rsidRPr="00285A8E">
              <w:rPr>
                <w:rFonts w:cstheme="minorHAnsi"/>
              </w:rPr>
              <w:t>β</w:t>
            </w:r>
          </w:p>
        </w:tc>
        <w:tc>
          <w:tcPr>
            <w:tcW w:w="1200" w:type="dxa"/>
          </w:tcPr>
          <w:p w14:paraId="3E0C5098" w14:textId="77777777" w:rsidR="00285A8E" w:rsidRPr="00285A8E" w:rsidRDefault="00285A8E" w:rsidP="0019567A">
            <w:pPr>
              <w:jc w:val="both"/>
            </w:pPr>
            <w:r w:rsidRPr="00285A8E">
              <w:t>p</w:t>
            </w:r>
          </w:p>
        </w:tc>
      </w:tr>
      <w:tr w:rsidR="00285A8E" w:rsidRPr="00285A8E" w14:paraId="045D7082" w14:textId="77777777" w:rsidTr="004B5FED">
        <w:trPr>
          <w:trHeight w:val="280"/>
        </w:trPr>
        <w:tc>
          <w:tcPr>
            <w:tcW w:w="2398" w:type="dxa"/>
          </w:tcPr>
          <w:p w14:paraId="3D7976F4" w14:textId="77777777" w:rsidR="00285A8E" w:rsidRPr="00285A8E" w:rsidRDefault="00285A8E" w:rsidP="0019567A">
            <w:pPr>
              <w:jc w:val="both"/>
              <w:rPr>
                <w:b/>
              </w:rPr>
            </w:pPr>
            <w:r w:rsidRPr="00285A8E">
              <w:rPr>
                <w:b/>
              </w:rPr>
              <w:t>Age</w:t>
            </w:r>
          </w:p>
        </w:tc>
        <w:tc>
          <w:tcPr>
            <w:tcW w:w="1198" w:type="dxa"/>
          </w:tcPr>
          <w:p w14:paraId="77D539CA" w14:textId="77777777" w:rsidR="00285A8E" w:rsidRPr="00285A8E" w:rsidRDefault="00285A8E" w:rsidP="0019567A">
            <w:pPr>
              <w:jc w:val="both"/>
              <w:rPr>
                <w:rFonts w:cstheme="minorHAnsi"/>
              </w:rPr>
            </w:pPr>
          </w:p>
        </w:tc>
        <w:tc>
          <w:tcPr>
            <w:tcW w:w="1200" w:type="dxa"/>
          </w:tcPr>
          <w:p w14:paraId="4A1701B4" w14:textId="77777777" w:rsidR="00285A8E" w:rsidRPr="00285A8E" w:rsidRDefault="00285A8E" w:rsidP="0019567A">
            <w:pPr>
              <w:jc w:val="both"/>
            </w:pPr>
          </w:p>
        </w:tc>
        <w:tc>
          <w:tcPr>
            <w:tcW w:w="1198" w:type="dxa"/>
          </w:tcPr>
          <w:p w14:paraId="6FA93206" w14:textId="77777777" w:rsidR="00285A8E" w:rsidRPr="00285A8E" w:rsidRDefault="00285A8E" w:rsidP="0019567A">
            <w:pPr>
              <w:jc w:val="both"/>
              <w:rPr>
                <w:rFonts w:cstheme="minorHAnsi"/>
              </w:rPr>
            </w:pPr>
          </w:p>
        </w:tc>
        <w:tc>
          <w:tcPr>
            <w:tcW w:w="1200" w:type="dxa"/>
          </w:tcPr>
          <w:p w14:paraId="48F11600" w14:textId="77777777" w:rsidR="00285A8E" w:rsidRPr="00285A8E" w:rsidRDefault="00285A8E" w:rsidP="0019567A">
            <w:pPr>
              <w:jc w:val="both"/>
            </w:pPr>
          </w:p>
        </w:tc>
        <w:tc>
          <w:tcPr>
            <w:tcW w:w="1198" w:type="dxa"/>
          </w:tcPr>
          <w:p w14:paraId="63E5E7B9" w14:textId="77777777" w:rsidR="00285A8E" w:rsidRPr="00285A8E" w:rsidRDefault="00285A8E" w:rsidP="0019567A">
            <w:pPr>
              <w:jc w:val="both"/>
              <w:rPr>
                <w:rFonts w:cstheme="minorHAnsi"/>
              </w:rPr>
            </w:pPr>
          </w:p>
        </w:tc>
        <w:tc>
          <w:tcPr>
            <w:tcW w:w="1200" w:type="dxa"/>
          </w:tcPr>
          <w:p w14:paraId="05F7895D" w14:textId="77777777" w:rsidR="00285A8E" w:rsidRPr="00285A8E" w:rsidRDefault="00285A8E" w:rsidP="0019567A">
            <w:pPr>
              <w:jc w:val="both"/>
            </w:pPr>
          </w:p>
        </w:tc>
      </w:tr>
      <w:tr w:rsidR="00285A8E" w:rsidRPr="00285A8E" w14:paraId="50FA7C44" w14:textId="77777777" w:rsidTr="004B5FED">
        <w:trPr>
          <w:trHeight w:val="272"/>
        </w:trPr>
        <w:tc>
          <w:tcPr>
            <w:tcW w:w="2398" w:type="dxa"/>
          </w:tcPr>
          <w:p w14:paraId="0FB1D5CA" w14:textId="77777777" w:rsidR="00285A8E" w:rsidRPr="00285A8E" w:rsidRDefault="00285A8E" w:rsidP="0019567A">
            <w:pPr>
              <w:jc w:val="both"/>
            </w:pPr>
            <w:r w:rsidRPr="00285A8E">
              <w:t>18 – 34 (ref)</w:t>
            </w:r>
          </w:p>
        </w:tc>
        <w:tc>
          <w:tcPr>
            <w:tcW w:w="1198" w:type="dxa"/>
          </w:tcPr>
          <w:p w14:paraId="34636074" w14:textId="77777777" w:rsidR="00285A8E" w:rsidRPr="00285A8E" w:rsidRDefault="00285A8E" w:rsidP="0019567A">
            <w:pPr>
              <w:jc w:val="both"/>
            </w:pPr>
          </w:p>
        </w:tc>
        <w:tc>
          <w:tcPr>
            <w:tcW w:w="1200" w:type="dxa"/>
          </w:tcPr>
          <w:p w14:paraId="63781336" w14:textId="77777777" w:rsidR="00285A8E" w:rsidRPr="00285A8E" w:rsidRDefault="00285A8E" w:rsidP="0019567A">
            <w:pPr>
              <w:jc w:val="both"/>
            </w:pPr>
          </w:p>
        </w:tc>
        <w:tc>
          <w:tcPr>
            <w:tcW w:w="1198" w:type="dxa"/>
          </w:tcPr>
          <w:p w14:paraId="1085ECFD" w14:textId="77777777" w:rsidR="00285A8E" w:rsidRPr="00285A8E" w:rsidRDefault="00285A8E" w:rsidP="0019567A">
            <w:pPr>
              <w:jc w:val="both"/>
            </w:pPr>
          </w:p>
        </w:tc>
        <w:tc>
          <w:tcPr>
            <w:tcW w:w="1200" w:type="dxa"/>
          </w:tcPr>
          <w:p w14:paraId="7CE16EBD" w14:textId="77777777" w:rsidR="00285A8E" w:rsidRPr="00285A8E" w:rsidRDefault="00285A8E" w:rsidP="0019567A">
            <w:pPr>
              <w:jc w:val="both"/>
            </w:pPr>
          </w:p>
        </w:tc>
        <w:tc>
          <w:tcPr>
            <w:tcW w:w="1198" w:type="dxa"/>
          </w:tcPr>
          <w:p w14:paraId="6F6237C7" w14:textId="77777777" w:rsidR="00285A8E" w:rsidRPr="00285A8E" w:rsidRDefault="00285A8E" w:rsidP="0019567A">
            <w:pPr>
              <w:jc w:val="both"/>
            </w:pPr>
          </w:p>
        </w:tc>
        <w:tc>
          <w:tcPr>
            <w:tcW w:w="1200" w:type="dxa"/>
          </w:tcPr>
          <w:p w14:paraId="2602B585" w14:textId="77777777" w:rsidR="00285A8E" w:rsidRPr="00285A8E" w:rsidRDefault="00285A8E" w:rsidP="0019567A">
            <w:pPr>
              <w:jc w:val="both"/>
            </w:pPr>
          </w:p>
        </w:tc>
      </w:tr>
      <w:tr w:rsidR="00285A8E" w:rsidRPr="00285A8E" w14:paraId="67D2615A" w14:textId="77777777" w:rsidTr="004B5FED">
        <w:trPr>
          <w:trHeight w:val="280"/>
        </w:trPr>
        <w:tc>
          <w:tcPr>
            <w:tcW w:w="2398" w:type="dxa"/>
          </w:tcPr>
          <w:p w14:paraId="347E2B73" w14:textId="77777777" w:rsidR="00285A8E" w:rsidRPr="00285A8E" w:rsidRDefault="00285A8E" w:rsidP="0019567A">
            <w:pPr>
              <w:jc w:val="both"/>
            </w:pPr>
            <w:r w:rsidRPr="00285A8E">
              <w:t>35 and older</w:t>
            </w:r>
          </w:p>
        </w:tc>
        <w:tc>
          <w:tcPr>
            <w:tcW w:w="1198" w:type="dxa"/>
          </w:tcPr>
          <w:p w14:paraId="6755A015" w14:textId="77777777" w:rsidR="00285A8E" w:rsidRPr="00285A8E" w:rsidRDefault="00285A8E" w:rsidP="0019567A">
            <w:pPr>
              <w:jc w:val="both"/>
            </w:pPr>
            <w:r w:rsidRPr="00285A8E">
              <w:t>.057</w:t>
            </w:r>
          </w:p>
        </w:tc>
        <w:tc>
          <w:tcPr>
            <w:tcW w:w="1200" w:type="dxa"/>
          </w:tcPr>
          <w:p w14:paraId="5AEB4681" w14:textId="77777777" w:rsidR="00285A8E" w:rsidRPr="00285A8E" w:rsidRDefault="00285A8E" w:rsidP="0019567A">
            <w:pPr>
              <w:jc w:val="both"/>
            </w:pPr>
            <w:r w:rsidRPr="00285A8E">
              <w:t>.410</w:t>
            </w:r>
          </w:p>
        </w:tc>
        <w:tc>
          <w:tcPr>
            <w:tcW w:w="1198" w:type="dxa"/>
          </w:tcPr>
          <w:p w14:paraId="0EFCACE4" w14:textId="77777777" w:rsidR="00285A8E" w:rsidRPr="00285A8E" w:rsidRDefault="00285A8E" w:rsidP="0019567A">
            <w:pPr>
              <w:jc w:val="both"/>
            </w:pPr>
            <w:r w:rsidRPr="00285A8E">
              <w:t>.018</w:t>
            </w:r>
          </w:p>
        </w:tc>
        <w:tc>
          <w:tcPr>
            <w:tcW w:w="1200" w:type="dxa"/>
          </w:tcPr>
          <w:p w14:paraId="0E815B22" w14:textId="424B0193" w:rsidR="00285A8E" w:rsidRPr="00285A8E" w:rsidRDefault="00285A8E" w:rsidP="00874B01">
            <w:pPr>
              <w:jc w:val="both"/>
            </w:pPr>
            <w:r w:rsidRPr="00285A8E">
              <w:t>.</w:t>
            </w:r>
            <w:r w:rsidR="00874B01" w:rsidRPr="00285A8E">
              <w:t>8</w:t>
            </w:r>
            <w:r w:rsidR="00874B01">
              <w:t>10</w:t>
            </w:r>
          </w:p>
        </w:tc>
        <w:tc>
          <w:tcPr>
            <w:tcW w:w="1198" w:type="dxa"/>
          </w:tcPr>
          <w:p w14:paraId="1391D297" w14:textId="52884150" w:rsidR="00285A8E" w:rsidRPr="00285A8E" w:rsidRDefault="00285A8E" w:rsidP="0019567A">
            <w:pPr>
              <w:jc w:val="both"/>
            </w:pPr>
            <w:r w:rsidRPr="00285A8E">
              <w:t>.0</w:t>
            </w:r>
            <w:r w:rsidR="00874B01">
              <w:t>41</w:t>
            </w:r>
          </w:p>
        </w:tc>
        <w:tc>
          <w:tcPr>
            <w:tcW w:w="1200" w:type="dxa"/>
          </w:tcPr>
          <w:p w14:paraId="5C4896E9" w14:textId="503E7CE4" w:rsidR="00285A8E" w:rsidRPr="00285A8E" w:rsidRDefault="00874B01" w:rsidP="0019567A">
            <w:pPr>
              <w:jc w:val="both"/>
            </w:pPr>
            <w:r>
              <w:t>.548</w:t>
            </w:r>
          </w:p>
        </w:tc>
      </w:tr>
      <w:tr w:rsidR="00285A8E" w:rsidRPr="00285A8E" w14:paraId="77FD091C" w14:textId="77777777" w:rsidTr="004B5FED">
        <w:trPr>
          <w:trHeight w:val="272"/>
        </w:trPr>
        <w:tc>
          <w:tcPr>
            <w:tcW w:w="2398" w:type="dxa"/>
          </w:tcPr>
          <w:p w14:paraId="0CEDAB71" w14:textId="77777777" w:rsidR="00285A8E" w:rsidRPr="00285A8E" w:rsidRDefault="00285A8E" w:rsidP="0019567A">
            <w:pPr>
              <w:jc w:val="both"/>
              <w:rPr>
                <w:b/>
              </w:rPr>
            </w:pPr>
            <w:r w:rsidRPr="00285A8E">
              <w:rPr>
                <w:rFonts w:cstheme="minorHAnsi"/>
                <w:b/>
                <w:sz w:val="20"/>
                <w:szCs w:val="20"/>
              </w:rPr>
              <w:t>Time off work due to stress</w:t>
            </w:r>
          </w:p>
        </w:tc>
        <w:tc>
          <w:tcPr>
            <w:tcW w:w="1198" w:type="dxa"/>
          </w:tcPr>
          <w:p w14:paraId="14D6B730" w14:textId="77777777" w:rsidR="00285A8E" w:rsidRPr="00285A8E" w:rsidRDefault="00285A8E" w:rsidP="0019567A">
            <w:pPr>
              <w:jc w:val="both"/>
            </w:pPr>
          </w:p>
        </w:tc>
        <w:tc>
          <w:tcPr>
            <w:tcW w:w="1200" w:type="dxa"/>
          </w:tcPr>
          <w:p w14:paraId="0C3E7B91" w14:textId="77777777" w:rsidR="00285A8E" w:rsidRPr="00285A8E" w:rsidRDefault="00285A8E" w:rsidP="0019567A">
            <w:pPr>
              <w:jc w:val="both"/>
            </w:pPr>
          </w:p>
        </w:tc>
        <w:tc>
          <w:tcPr>
            <w:tcW w:w="1198" w:type="dxa"/>
            <w:shd w:val="clear" w:color="auto" w:fill="BFBFBF" w:themeFill="background1" w:themeFillShade="BF"/>
          </w:tcPr>
          <w:p w14:paraId="541715F5" w14:textId="77777777" w:rsidR="00285A8E" w:rsidRPr="00285A8E" w:rsidRDefault="00285A8E" w:rsidP="0019567A">
            <w:pPr>
              <w:jc w:val="both"/>
            </w:pPr>
          </w:p>
        </w:tc>
        <w:tc>
          <w:tcPr>
            <w:tcW w:w="1200" w:type="dxa"/>
            <w:shd w:val="clear" w:color="auto" w:fill="BFBFBF" w:themeFill="background1" w:themeFillShade="BF"/>
          </w:tcPr>
          <w:p w14:paraId="14B23F42" w14:textId="77777777" w:rsidR="00285A8E" w:rsidRPr="00285A8E" w:rsidRDefault="00285A8E" w:rsidP="0019567A">
            <w:pPr>
              <w:jc w:val="both"/>
            </w:pPr>
          </w:p>
        </w:tc>
        <w:tc>
          <w:tcPr>
            <w:tcW w:w="1198" w:type="dxa"/>
          </w:tcPr>
          <w:p w14:paraId="153185FF" w14:textId="77777777" w:rsidR="00285A8E" w:rsidRPr="00285A8E" w:rsidRDefault="00285A8E" w:rsidP="0019567A">
            <w:pPr>
              <w:jc w:val="both"/>
            </w:pPr>
          </w:p>
        </w:tc>
        <w:tc>
          <w:tcPr>
            <w:tcW w:w="1200" w:type="dxa"/>
          </w:tcPr>
          <w:p w14:paraId="27EE31E6" w14:textId="77777777" w:rsidR="00285A8E" w:rsidRPr="00285A8E" w:rsidRDefault="00285A8E" w:rsidP="0019567A">
            <w:pPr>
              <w:jc w:val="both"/>
            </w:pPr>
          </w:p>
        </w:tc>
      </w:tr>
      <w:tr w:rsidR="00285A8E" w:rsidRPr="00285A8E" w14:paraId="3117ABAC" w14:textId="77777777" w:rsidTr="004B5FED">
        <w:trPr>
          <w:trHeight w:val="272"/>
        </w:trPr>
        <w:tc>
          <w:tcPr>
            <w:tcW w:w="2398" w:type="dxa"/>
          </w:tcPr>
          <w:p w14:paraId="41537F18" w14:textId="77777777" w:rsidR="00285A8E" w:rsidRPr="00285A8E" w:rsidRDefault="00285A8E" w:rsidP="0019567A">
            <w:pPr>
              <w:jc w:val="both"/>
            </w:pPr>
            <w:r w:rsidRPr="00285A8E">
              <w:t>No (ref)</w:t>
            </w:r>
          </w:p>
        </w:tc>
        <w:tc>
          <w:tcPr>
            <w:tcW w:w="1198" w:type="dxa"/>
          </w:tcPr>
          <w:p w14:paraId="3B3F8260" w14:textId="77777777" w:rsidR="00285A8E" w:rsidRPr="00285A8E" w:rsidRDefault="00285A8E" w:rsidP="0019567A">
            <w:pPr>
              <w:jc w:val="both"/>
            </w:pPr>
          </w:p>
        </w:tc>
        <w:tc>
          <w:tcPr>
            <w:tcW w:w="1200" w:type="dxa"/>
          </w:tcPr>
          <w:p w14:paraId="0E7981BB" w14:textId="77777777" w:rsidR="00285A8E" w:rsidRPr="00285A8E" w:rsidRDefault="00285A8E" w:rsidP="0019567A">
            <w:pPr>
              <w:jc w:val="both"/>
            </w:pPr>
          </w:p>
        </w:tc>
        <w:tc>
          <w:tcPr>
            <w:tcW w:w="1198" w:type="dxa"/>
            <w:shd w:val="clear" w:color="auto" w:fill="BFBFBF" w:themeFill="background1" w:themeFillShade="BF"/>
          </w:tcPr>
          <w:p w14:paraId="6672A924" w14:textId="77777777" w:rsidR="00285A8E" w:rsidRPr="00285A8E" w:rsidRDefault="00285A8E" w:rsidP="0019567A">
            <w:pPr>
              <w:jc w:val="both"/>
            </w:pPr>
          </w:p>
        </w:tc>
        <w:tc>
          <w:tcPr>
            <w:tcW w:w="1200" w:type="dxa"/>
            <w:shd w:val="clear" w:color="auto" w:fill="BFBFBF" w:themeFill="background1" w:themeFillShade="BF"/>
          </w:tcPr>
          <w:p w14:paraId="57CFAB7C" w14:textId="77777777" w:rsidR="00285A8E" w:rsidRPr="00285A8E" w:rsidRDefault="00285A8E" w:rsidP="0019567A">
            <w:pPr>
              <w:jc w:val="both"/>
            </w:pPr>
          </w:p>
        </w:tc>
        <w:tc>
          <w:tcPr>
            <w:tcW w:w="1198" w:type="dxa"/>
          </w:tcPr>
          <w:p w14:paraId="54F292FB" w14:textId="77777777" w:rsidR="00285A8E" w:rsidRPr="00285A8E" w:rsidRDefault="00285A8E" w:rsidP="0019567A">
            <w:pPr>
              <w:jc w:val="both"/>
            </w:pPr>
          </w:p>
        </w:tc>
        <w:tc>
          <w:tcPr>
            <w:tcW w:w="1200" w:type="dxa"/>
          </w:tcPr>
          <w:p w14:paraId="78FD8657" w14:textId="77777777" w:rsidR="00285A8E" w:rsidRPr="00285A8E" w:rsidRDefault="00285A8E" w:rsidP="0019567A">
            <w:pPr>
              <w:jc w:val="both"/>
            </w:pPr>
          </w:p>
        </w:tc>
      </w:tr>
      <w:tr w:rsidR="00285A8E" w:rsidRPr="00285A8E" w14:paraId="29494749" w14:textId="77777777" w:rsidTr="004B5FED">
        <w:trPr>
          <w:trHeight w:val="280"/>
        </w:trPr>
        <w:tc>
          <w:tcPr>
            <w:tcW w:w="2398" w:type="dxa"/>
          </w:tcPr>
          <w:p w14:paraId="7421A6E5" w14:textId="77777777" w:rsidR="00285A8E" w:rsidRPr="00285A8E" w:rsidRDefault="00285A8E" w:rsidP="0019567A">
            <w:pPr>
              <w:jc w:val="both"/>
            </w:pPr>
            <w:r w:rsidRPr="00285A8E">
              <w:t xml:space="preserve">Yes </w:t>
            </w:r>
          </w:p>
        </w:tc>
        <w:tc>
          <w:tcPr>
            <w:tcW w:w="1198" w:type="dxa"/>
          </w:tcPr>
          <w:p w14:paraId="4A0C8EFC" w14:textId="77777777" w:rsidR="00285A8E" w:rsidRPr="00285A8E" w:rsidRDefault="00285A8E" w:rsidP="0019567A">
            <w:pPr>
              <w:jc w:val="both"/>
            </w:pPr>
            <w:r w:rsidRPr="00285A8E">
              <w:t>.064</w:t>
            </w:r>
          </w:p>
        </w:tc>
        <w:tc>
          <w:tcPr>
            <w:tcW w:w="1200" w:type="dxa"/>
          </w:tcPr>
          <w:p w14:paraId="5ED633AF" w14:textId="77777777" w:rsidR="00285A8E" w:rsidRPr="00285A8E" w:rsidRDefault="00285A8E" w:rsidP="0019567A">
            <w:pPr>
              <w:jc w:val="both"/>
            </w:pPr>
            <w:r w:rsidRPr="00285A8E">
              <w:t>.340</w:t>
            </w:r>
          </w:p>
        </w:tc>
        <w:tc>
          <w:tcPr>
            <w:tcW w:w="1198" w:type="dxa"/>
            <w:shd w:val="clear" w:color="auto" w:fill="BFBFBF" w:themeFill="background1" w:themeFillShade="BF"/>
          </w:tcPr>
          <w:p w14:paraId="5A89AE1E" w14:textId="77777777" w:rsidR="00285A8E" w:rsidRPr="00285A8E" w:rsidRDefault="00285A8E" w:rsidP="0019567A">
            <w:pPr>
              <w:jc w:val="both"/>
            </w:pPr>
          </w:p>
        </w:tc>
        <w:tc>
          <w:tcPr>
            <w:tcW w:w="1200" w:type="dxa"/>
            <w:shd w:val="clear" w:color="auto" w:fill="BFBFBF" w:themeFill="background1" w:themeFillShade="BF"/>
          </w:tcPr>
          <w:p w14:paraId="6EE9A42A" w14:textId="77777777" w:rsidR="00285A8E" w:rsidRPr="00285A8E" w:rsidRDefault="00285A8E" w:rsidP="0019567A">
            <w:pPr>
              <w:jc w:val="both"/>
            </w:pPr>
          </w:p>
        </w:tc>
        <w:tc>
          <w:tcPr>
            <w:tcW w:w="1198" w:type="dxa"/>
          </w:tcPr>
          <w:p w14:paraId="144BD559" w14:textId="77777777" w:rsidR="00285A8E" w:rsidRPr="00285A8E" w:rsidRDefault="00285A8E" w:rsidP="0019567A">
            <w:pPr>
              <w:jc w:val="both"/>
            </w:pPr>
            <w:r w:rsidRPr="00285A8E">
              <w:t xml:space="preserve">.039 </w:t>
            </w:r>
          </w:p>
        </w:tc>
        <w:tc>
          <w:tcPr>
            <w:tcW w:w="1200" w:type="dxa"/>
          </w:tcPr>
          <w:p w14:paraId="3C447500" w14:textId="77777777" w:rsidR="00285A8E" w:rsidRPr="00285A8E" w:rsidRDefault="00285A8E" w:rsidP="0019567A">
            <w:pPr>
              <w:jc w:val="both"/>
            </w:pPr>
            <w:r w:rsidRPr="00285A8E">
              <w:t>.556</w:t>
            </w:r>
          </w:p>
        </w:tc>
      </w:tr>
      <w:tr w:rsidR="00285A8E" w:rsidRPr="00285A8E" w14:paraId="177EBBA6" w14:textId="77777777" w:rsidTr="004B5FED">
        <w:trPr>
          <w:trHeight w:val="272"/>
        </w:trPr>
        <w:tc>
          <w:tcPr>
            <w:tcW w:w="2398" w:type="dxa"/>
          </w:tcPr>
          <w:p w14:paraId="7B407D87" w14:textId="77777777" w:rsidR="00285A8E" w:rsidRPr="00285A8E" w:rsidRDefault="00285A8E" w:rsidP="0019567A">
            <w:pPr>
              <w:jc w:val="both"/>
              <w:rPr>
                <w:b/>
              </w:rPr>
            </w:pPr>
            <w:r w:rsidRPr="00285A8E">
              <w:rPr>
                <w:rFonts w:cstheme="minorHAnsi"/>
                <w:b/>
                <w:sz w:val="20"/>
                <w:szCs w:val="20"/>
              </w:rPr>
              <w:t>Able to keep up with training requirements</w:t>
            </w:r>
          </w:p>
        </w:tc>
        <w:tc>
          <w:tcPr>
            <w:tcW w:w="1198" w:type="dxa"/>
          </w:tcPr>
          <w:p w14:paraId="741CA537" w14:textId="77777777" w:rsidR="00285A8E" w:rsidRPr="00285A8E" w:rsidRDefault="00285A8E" w:rsidP="0019567A">
            <w:pPr>
              <w:jc w:val="both"/>
            </w:pPr>
          </w:p>
        </w:tc>
        <w:tc>
          <w:tcPr>
            <w:tcW w:w="1200" w:type="dxa"/>
          </w:tcPr>
          <w:p w14:paraId="09FB34E2" w14:textId="77777777" w:rsidR="00285A8E" w:rsidRPr="00285A8E" w:rsidRDefault="00285A8E" w:rsidP="0019567A">
            <w:pPr>
              <w:jc w:val="both"/>
            </w:pPr>
          </w:p>
        </w:tc>
        <w:tc>
          <w:tcPr>
            <w:tcW w:w="1198" w:type="dxa"/>
          </w:tcPr>
          <w:p w14:paraId="052865FF" w14:textId="77777777" w:rsidR="00285A8E" w:rsidRPr="00285A8E" w:rsidRDefault="00285A8E" w:rsidP="0019567A">
            <w:pPr>
              <w:jc w:val="both"/>
            </w:pPr>
          </w:p>
        </w:tc>
        <w:tc>
          <w:tcPr>
            <w:tcW w:w="1200" w:type="dxa"/>
          </w:tcPr>
          <w:p w14:paraId="79DD9B56" w14:textId="77777777" w:rsidR="00285A8E" w:rsidRPr="00285A8E" w:rsidRDefault="00285A8E" w:rsidP="0019567A">
            <w:pPr>
              <w:jc w:val="both"/>
            </w:pPr>
          </w:p>
        </w:tc>
        <w:tc>
          <w:tcPr>
            <w:tcW w:w="1198" w:type="dxa"/>
          </w:tcPr>
          <w:p w14:paraId="459D18D2" w14:textId="77777777" w:rsidR="00285A8E" w:rsidRPr="00285A8E" w:rsidRDefault="00285A8E" w:rsidP="0019567A">
            <w:pPr>
              <w:jc w:val="both"/>
            </w:pPr>
          </w:p>
        </w:tc>
        <w:tc>
          <w:tcPr>
            <w:tcW w:w="1200" w:type="dxa"/>
          </w:tcPr>
          <w:p w14:paraId="36CDFD64" w14:textId="77777777" w:rsidR="00285A8E" w:rsidRPr="00285A8E" w:rsidRDefault="00285A8E" w:rsidP="0019567A">
            <w:pPr>
              <w:jc w:val="both"/>
            </w:pPr>
          </w:p>
        </w:tc>
      </w:tr>
      <w:tr w:rsidR="00285A8E" w:rsidRPr="00285A8E" w14:paraId="68BE9BDB" w14:textId="77777777" w:rsidTr="004B5FED">
        <w:trPr>
          <w:trHeight w:val="272"/>
        </w:trPr>
        <w:tc>
          <w:tcPr>
            <w:tcW w:w="2398" w:type="dxa"/>
          </w:tcPr>
          <w:p w14:paraId="73F18C5E" w14:textId="77777777" w:rsidR="00285A8E" w:rsidRPr="00285A8E" w:rsidRDefault="00285A8E" w:rsidP="0019567A">
            <w:pPr>
              <w:jc w:val="both"/>
            </w:pPr>
            <w:r w:rsidRPr="00285A8E">
              <w:t>No (ref)</w:t>
            </w:r>
          </w:p>
        </w:tc>
        <w:tc>
          <w:tcPr>
            <w:tcW w:w="1198" w:type="dxa"/>
          </w:tcPr>
          <w:p w14:paraId="14A2F3C7" w14:textId="77777777" w:rsidR="00285A8E" w:rsidRPr="00285A8E" w:rsidRDefault="00285A8E" w:rsidP="0019567A">
            <w:pPr>
              <w:jc w:val="both"/>
            </w:pPr>
          </w:p>
        </w:tc>
        <w:tc>
          <w:tcPr>
            <w:tcW w:w="1200" w:type="dxa"/>
          </w:tcPr>
          <w:p w14:paraId="4A6ED60F" w14:textId="77777777" w:rsidR="00285A8E" w:rsidRPr="00285A8E" w:rsidRDefault="00285A8E" w:rsidP="0019567A">
            <w:pPr>
              <w:jc w:val="both"/>
            </w:pPr>
          </w:p>
        </w:tc>
        <w:tc>
          <w:tcPr>
            <w:tcW w:w="1198" w:type="dxa"/>
          </w:tcPr>
          <w:p w14:paraId="1916E334" w14:textId="77777777" w:rsidR="00285A8E" w:rsidRPr="00285A8E" w:rsidRDefault="00285A8E" w:rsidP="0019567A">
            <w:pPr>
              <w:jc w:val="both"/>
            </w:pPr>
          </w:p>
        </w:tc>
        <w:tc>
          <w:tcPr>
            <w:tcW w:w="1200" w:type="dxa"/>
          </w:tcPr>
          <w:p w14:paraId="1E170EFF" w14:textId="77777777" w:rsidR="00285A8E" w:rsidRPr="00285A8E" w:rsidRDefault="00285A8E" w:rsidP="0019567A">
            <w:pPr>
              <w:jc w:val="both"/>
            </w:pPr>
          </w:p>
        </w:tc>
        <w:tc>
          <w:tcPr>
            <w:tcW w:w="1198" w:type="dxa"/>
          </w:tcPr>
          <w:p w14:paraId="75A6FC96" w14:textId="77777777" w:rsidR="00285A8E" w:rsidRPr="00285A8E" w:rsidRDefault="00285A8E" w:rsidP="0019567A">
            <w:pPr>
              <w:jc w:val="both"/>
            </w:pPr>
          </w:p>
        </w:tc>
        <w:tc>
          <w:tcPr>
            <w:tcW w:w="1200" w:type="dxa"/>
          </w:tcPr>
          <w:p w14:paraId="2235104A" w14:textId="77777777" w:rsidR="00285A8E" w:rsidRPr="00285A8E" w:rsidRDefault="00285A8E" w:rsidP="0019567A">
            <w:pPr>
              <w:jc w:val="both"/>
            </w:pPr>
          </w:p>
        </w:tc>
      </w:tr>
      <w:tr w:rsidR="00285A8E" w:rsidRPr="00285A8E" w14:paraId="0C12190A" w14:textId="77777777" w:rsidTr="004B5FED">
        <w:trPr>
          <w:trHeight w:val="280"/>
        </w:trPr>
        <w:tc>
          <w:tcPr>
            <w:tcW w:w="2398" w:type="dxa"/>
          </w:tcPr>
          <w:p w14:paraId="736E0A81" w14:textId="77777777" w:rsidR="00285A8E" w:rsidRPr="00285A8E" w:rsidRDefault="00285A8E" w:rsidP="0019567A">
            <w:pPr>
              <w:jc w:val="both"/>
            </w:pPr>
            <w:r w:rsidRPr="00285A8E">
              <w:t>Yes</w:t>
            </w:r>
          </w:p>
        </w:tc>
        <w:tc>
          <w:tcPr>
            <w:tcW w:w="1198" w:type="dxa"/>
          </w:tcPr>
          <w:p w14:paraId="5F95F0EB" w14:textId="77777777" w:rsidR="00285A8E" w:rsidRPr="00285A8E" w:rsidRDefault="00285A8E" w:rsidP="0019567A">
            <w:pPr>
              <w:jc w:val="both"/>
              <w:rPr>
                <w:b/>
              </w:rPr>
            </w:pPr>
            <w:r w:rsidRPr="00285A8E">
              <w:rPr>
                <w:b/>
              </w:rPr>
              <w:t>-.134</w:t>
            </w:r>
          </w:p>
        </w:tc>
        <w:tc>
          <w:tcPr>
            <w:tcW w:w="1200" w:type="dxa"/>
          </w:tcPr>
          <w:p w14:paraId="16486388" w14:textId="77777777" w:rsidR="00285A8E" w:rsidRPr="00285A8E" w:rsidRDefault="00285A8E" w:rsidP="0019567A">
            <w:pPr>
              <w:jc w:val="both"/>
              <w:rPr>
                <w:b/>
              </w:rPr>
            </w:pPr>
            <w:r w:rsidRPr="00285A8E">
              <w:rPr>
                <w:b/>
              </w:rPr>
              <w:t>.041</w:t>
            </w:r>
          </w:p>
        </w:tc>
        <w:tc>
          <w:tcPr>
            <w:tcW w:w="1198" w:type="dxa"/>
          </w:tcPr>
          <w:p w14:paraId="721F0B0E" w14:textId="77777777" w:rsidR="00285A8E" w:rsidRPr="00285A8E" w:rsidRDefault="00285A8E" w:rsidP="0019567A">
            <w:pPr>
              <w:jc w:val="both"/>
            </w:pPr>
            <w:r w:rsidRPr="00285A8E">
              <w:t>-.138</w:t>
            </w:r>
          </w:p>
        </w:tc>
        <w:tc>
          <w:tcPr>
            <w:tcW w:w="1200" w:type="dxa"/>
          </w:tcPr>
          <w:p w14:paraId="2BF81033" w14:textId="20DC3421" w:rsidR="00285A8E" w:rsidRPr="00285A8E" w:rsidRDefault="00285A8E" w:rsidP="00874B01">
            <w:pPr>
              <w:jc w:val="both"/>
            </w:pPr>
            <w:r w:rsidRPr="00285A8E">
              <w:t>.</w:t>
            </w:r>
            <w:r w:rsidR="00874B01" w:rsidRPr="00285A8E">
              <w:t>0</w:t>
            </w:r>
            <w:r w:rsidR="00874B01">
              <w:t>56</w:t>
            </w:r>
          </w:p>
        </w:tc>
        <w:tc>
          <w:tcPr>
            <w:tcW w:w="1198" w:type="dxa"/>
          </w:tcPr>
          <w:p w14:paraId="66922E98" w14:textId="45C4B0E2" w:rsidR="00285A8E" w:rsidRPr="00285A8E" w:rsidRDefault="00285A8E" w:rsidP="00874B01">
            <w:pPr>
              <w:jc w:val="both"/>
              <w:rPr>
                <w:b/>
              </w:rPr>
            </w:pPr>
            <w:r w:rsidRPr="00285A8E">
              <w:rPr>
                <w:b/>
              </w:rPr>
              <w:t>-.</w:t>
            </w:r>
            <w:r w:rsidR="00874B01" w:rsidRPr="00285A8E">
              <w:rPr>
                <w:b/>
              </w:rPr>
              <w:t>16</w:t>
            </w:r>
            <w:r w:rsidR="00874B01">
              <w:rPr>
                <w:b/>
              </w:rPr>
              <w:t>0</w:t>
            </w:r>
          </w:p>
        </w:tc>
        <w:tc>
          <w:tcPr>
            <w:tcW w:w="1200" w:type="dxa"/>
          </w:tcPr>
          <w:p w14:paraId="111274A8" w14:textId="77777777" w:rsidR="00285A8E" w:rsidRPr="00285A8E" w:rsidRDefault="00285A8E" w:rsidP="0019567A">
            <w:pPr>
              <w:jc w:val="both"/>
              <w:rPr>
                <w:b/>
              </w:rPr>
            </w:pPr>
            <w:r w:rsidRPr="00285A8E">
              <w:rPr>
                <w:b/>
              </w:rPr>
              <w:t>.014</w:t>
            </w:r>
          </w:p>
        </w:tc>
      </w:tr>
      <w:tr w:rsidR="00285A8E" w:rsidRPr="00285A8E" w14:paraId="70279D53" w14:textId="77777777" w:rsidTr="004B5FED">
        <w:trPr>
          <w:trHeight w:val="826"/>
        </w:trPr>
        <w:tc>
          <w:tcPr>
            <w:tcW w:w="2398" w:type="dxa"/>
          </w:tcPr>
          <w:p w14:paraId="7C3E36A5" w14:textId="77777777" w:rsidR="00285A8E" w:rsidRPr="00285A8E" w:rsidRDefault="00285A8E" w:rsidP="0019567A">
            <w:pPr>
              <w:jc w:val="both"/>
              <w:rPr>
                <w:b/>
              </w:rPr>
            </w:pPr>
            <w:r w:rsidRPr="00285A8E">
              <w:rPr>
                <w:rFonts w:cstheme="minorHAnsi"/>
                <w:b/>
                <w:sz w:val="20"/>
                <w:szCs w:val="20"/>
              </w:rPr>
              <w:t>Have you considered leaving nursing because of the pandemic</w:t>
            </w:r>
          </w:p>
        </w:tc>
        <w:tc>
          <w:tcPr>
            <w:tcW w:w="1198" w:type="dxa"/>
          </w:tcPr>
          <w:p w14:paraId="79C34077" w14:textId="77777777" w:rsidR="00285A8E" w:rsidRPr="00285A8E" w:rsidRDefault="00285A8E" w:rsidP="0019567A">
            <w:pPr>
              <w:jc w:val="both"/>
            </w:pPr>
          </w:p>
        </w:tc>
        <w:tc>
          <w:tcPr>
            <w:tcW w:w="1200" w:type="dxa"/>
          </w:tcPr>
          <w:p w14:paraId="528CFE0E" w14:textId="77777777" w:rsidR="00285A8E" w:rsidRPr="00285A8E" w:rsidRDefault="00285A8E" w:rsidP="0019567A">
            <w:pPr>
              <w:jc w:val="both"/>
            </w:pPr>
          </w:p>
        </w:tc>
        <w:tc>
          <w:tcPr>
            <w:tcW w:w="1198" w:type="dxa"/>
          </w:tcPr>
          <w:p w14:paraId="05FB3D6D" w14:textId="77777777" w:rsidR="00285A8E" w:rsidRPr="00285A8E" w:rsidRDefault="00285A8E" w:rsidP="0019567A">
            <w:pPr>
              <w:jc w:val="both"/>
            </w:pPr>
          </w:p>
        </w:tc>
        <w:tc>
          <w:tcPr>
            <w:tcW w:w="1200" w:type="dxa"/>
          </w:tcPr>
          <w:p w14:paraId="12702603" w14:textId="77777777" w:rsidR="00285A8E" w:rsidRPr="00285A8E" w:rsidRDefault="00285A8E" w:rsidP="0019567A">
            <w:pPr>
              <w:jc w:val="both"/>
            </w:pPr>
          </w:p>
        </w:tc>
        <w:tc>
          <w:tcPr>
            <w:tcW w:w="1198" w:type="dxa"/>
          </w:tcPr>
          <w:p w14:paraId="736F0965" w14:textId="77777777" w:rsidR="00285A8E" w:rsidRPr="00285A8E" w:rsidDel="00C226AA" w:rsidRDefault="00285A8E" w:rsidP="0019567A">
            <w:pPr>
              <w:jc w:val="both"/>
            </w:pPr>
          </w:p>
        </w:tc>
        <w:tc>
          <w:tcPr>
            <w:tcW w:w="1200" w:type="dxa"/>
          </w:tcPr>
          <w:p w14:paraId="05C84C66" w14:textId="77777777" w:rsidR="00285A8E" w:rsidRPr="00285A8E" w:rsidDel="00C226AA" w:rsidRDefault="00285A8E" w:rsidP="0019567A">
            <w:pPr>
              <w:jc w:val="both"/>
            </w:pPr>
          </w:p>
        </w:tc>
      </w:tr>
      <w:tr w:rsidR="00285A8E" w:rsidRPr="00285A8E" w14:paraId="6C4F6553" w14:textId="77777777" w:rsidTr="004B5FED">
        <w:trPr>
          <w:trHeight w:val="295"/>
        </w:trPr>
        <w:tc>
          <w:tcPr>
            <w:tcW w:w="2398" w:type="dxa"/>
          </w:tcPr>
          <w:p w14:paraId="3ACB62CD" w14:textId="77777777" w:rsidR="00285A8E" w:rsidRPr="00285A8E" w:rsidRDefault="00285A8E" w:rsidP="0019567A">
            <w:pPr>
              <w:jc w:val="both"/>
              <w:rPr>
                <w:b/>
              </w:rPr>
            </w:pPr>
            <w:r w:rsidRPr="00285A8E">
              <w:t>No (Ref)</w:t>
            </w:r>
          </w:p>
        </w:tc>
        <w:tc>
          <w:tcPr>
            <w:tcW w:w="1198" w:type="dxa"/>
          </w:tcPr>
          <w:p w14:paraId="279A30CF" w14:textId="77777777" w:rsidR="00285A8E" w:rsidRPr="00285A8E" w:rsidRDefault="00285A8E" w:rsidP="0019567A">
            <w:pPr>
              <w:jc w:val="both"/>
            </w:pPr>
          </w:p>
        </w:tc>
        <w:tc>
          <w:tcPr>
            <w:tcW w:w="1200" w:type="dxa"/>
          </w:tcPr>
          <w:p w14:paraId="614F42F9" w14:textId="77777777" w:rsidR="00285A8E" w:rsidRPr="00285A8E" w:rsidRDefault="00285A8E" w:rsidP="0019567A">
            <w:pPr>
              <w:jc w:val="both"/>
            </w:pPr>
          </w:p>
        </w:tc>
        <w:tc>
          <w:tcPr>
            <w:tcW w:w="1198" w:type="dxa"/>
          </w:tcPr>
          <w:p w14:paraId="38C93920" w14:textId="77777777" w:rsidR="00285A8E" w:rsidRPr="00285A8E" w:rsidRDefault="00285A8E" w:rsidP="0019567A">
            <w:pPr>
              <w:jc w:val="both"/>
            </w:pPr>
          </w:p>
        </w:tc>
        <w:tc>
          <w:tcPr>
            <w:tcW w:w="1200" w:type="dxa"/>
          </w:tcPr>
          <w:p w14:paraId="1AA16555" w14:textId="77777777" w:rsidR="00285A8E" w:rsidRPr="00285A8E" w:rsidRDefault="00285A8E" w:rsidP="0019567A">
            <w:pPr>
              <w:jc w:val="both"/>
            </w:pPr>
          </w:p>
        </w:tc>
        <w:tc>
          <w:tcPr>
            <w:tcW w:w="1198" w:type="dxa"/>
          </w:tcPr>
          <w:p w14:paraId="3CB92627" w14:textId="77777777" w:rsidR="00285A8E" w:rsidRPr="00285A8E" w:rsidDel="00C226AA" w:rsidRDefault="00285A8E" w:rsidP="0019567A">
            <w:pPr>
              <w:jc w:val="both"/>
            </w:pPr>
          </w:p>
        </w:tc>
        <w:tc>
          <w:tcPr>
            <w:tcW w:w="1200" w:type="dxa"/>
          </w:tcPr>
          <w:p w14:paraId="25F96975" w14:textId="77777777" w:rsidR="00285A8E" w:rsidRPr="00285A8E" w:rsidDel="00C226AA" w:rsidRDefault="00285A8E" w:rsidP="0019567A">
            <w:pPr>
              <w:jc w:val="both"/>
            </w:pPr>
          </w:p>
        </w:tc>
      </w:tr>
      <w:tr w:rsidR="00285A8E" w:rsidRPr="00285A8E" w14:paraId="271C7A6D" w14:textId="77777777" w:rsidTr="004B5FED">
        <w:trPr>
          <w:trHeight w:val="272"/>
        </w:trPr>
        <w:tc>
          <w:tcPr>
            <w:tcW w:w="2398" w:type="dxa"/>
          </w:tcPr>
          <w:p w14:paraId="3CEF075B" w14:textId="77777777" w:rsidR="00285A8E" w:rsidRPr="00285A8E" w:rsidRDefault="00285A8E" w:rsidP="0019567A">
            <w:pPr>
              <w:jc w:val="both"/>
              <w:rPr>
                <w:b/>
              </w:rPr>
            </w:pPr>
            <w:r w:rsidRPr="00285A8E">
              <w:t>Yes</w:t>
            </w:r>
          </w:p>
        </w:tc>
        <w:tc>
          <w:tcPr>
            <w:tcW w:w="1198" w:type="dxa"/>
          </w:tcPr>
          <w:p w14:paraId="38F9FE9B" w14:textId="77777777" w:rsidR="00285A8E" w:rsidRPr="00285A8E" w:rsidRDefault="00285A8E" w:rsidP="0019567A">
            <w:pPr>
              <w:jc w:val="both"/>
            </w:pPr>
            <w:r w:rsidRPr="00285A8E">
              <w:t>.056</w:t>
            </w:r>
          </w:p>
        </w:tc>
        <w:tc>
          <w:tcPr>
            <w:tcW w:w="1200" w:type="dxa"/>
          </w:tcPr>
          <w:p w14:paraId="69A96443" w14:textId="77777777" w:rsidR="00285A8E" w:rsidRPr="00285A8E" w:rsidRDefault="00285A8E" w:rsidP="0019567A">
            <w:pPr>
              <w:jc w:val="both"/>
            </w:pPr>
            <w:r w:rsidRPr="00285A8E">
              <w:t>.417</w:t>
            </w:r>
          </w:p>
        </w:tc>
        <w:tc>
          <w:tcPr>
            <w:tcW w:w="1198" w:type="dxa"/>
          </w:tcPr>
          <w:p w14:paraId="22784405" w14:textId="77777777" w:rsidR="00285A8E" w:rsidRPr="00285A8E" w:rsidRDefault="00285A8E" w:rsidP="0019567A">
            <w:pPr>
              <w:jc w:val="both"/>
            </w:pPr>
            <w:r w:rsidRPr="00285A8E">
              <w:t>.122</w:t>
            </w:r>
          </w:p>
        </w:tc>
        <w:tc>
          <w:tcPr>
            <w:tcW w:w="1200" w:type="dxa"/>
          </w:tcPr>
          <w:p w14:paraId="7AD639F2" w14:textId="084A2713" w:rsidR="00285A8E" w:rsidRPr="00285A8E" w:rsidRDefault="00285A8E" w:rsidP="00874B01">
            <w:pPr>
              <w:jc w:val="both"/>
            </w:pPr>
            <w:r w:rsidRPr="00285A8E">
              <w:t>.</w:t>
            </w:r>
            <w:r w:rsidR="00874B01">
              <w:t>098</w:t>
            </w:r>
          </w:p>
        </w:tc>
        <w:tc>
          <w:tcPr>
            <w:tcW w:w="1198" w:type="dxa"/>
          </w:tcPr>
          <w:p w14:paraId="0779F9B8" w14:textId="1FC9BB20" w:rsidR="00285A8E" w:rsidRPr="00285A8E" w:rsidDel="00C226AA" w:rsidRDefault="00285A8E" w:rsidP="00874B01">
            <w:pPr>
              <w:jc w:val="both"/>
            </w:pPr>
            <w:r w:rsidRPr="00285A8E">
              <w:t>.</w:t>
            </w:r>
            <w:r w:rsidR="00874B01" w:rsidRPr="00285A8E">
              <w:t>08</w:t>
            </w:r>
            <w:r w:rsidR="00874B01">
              <w:t>7</w:t>
            </w:r>
          </w:p>
        </w:tc>
        <w:tc>
          <w:tcPr>
            <w:tcW w:w="1200" w:type="dxa"/>
          </w:tcPr>
          <w:p w14:paraId="6D6DC49C" w14:textId="191C8F72" w:rsidR="00285A8E" w:rsidRPr="00285A8E" w:rsidDel="00C226AA" w:rsidRDefault="00285A8E" w:rsidP="00874B01">
            <w:pPr>
              <w:jc w:val="both"/>
            </w:pPr>
            <w:r w:rsidRPr="00285A8E">
              <w:t>.</w:t>
            </w:r>
            <w:r w:rsidR="00874B01" w:rsidRPr="00285A8E">
              <w:t>20</w:t>
            </w:r>
            <w:r w:rsidR="00874B01">
              <w:t>7</w:t>
            </w:r>
          </w:p>
        </w:tc>
      </w:tr>
      <w:tr w:rsidR="00285A8E" w:rsidRPr="00285A8E" w14:paraId="72CE4A66" w14:textId="77777777" w:rsidTr="004B5FED">
        <w:trPr>
          <w:trHeight w:val="826"/>
        </w:trPr>
        <w:tc>
          <w:tcPr>
            <w:tcW w:w="2398" w:type="dxa"/>
          </w:tcPr>
          <w:p w14:paraId="0A9174DA" w14:textId="77777777" w:rsidR="00285A8E" w:rsidRPr="00285A8E" w:rsidRDefault="00285A8E" w:rsidP="0019567A">
            <w:pPr>
              <w:jc w:val="both"/>
              <w:rPr>
                <w:b/>
              </w:rPr>
            </w:pPr>
            <w:r w:rsidRPr="00285A8E">
              <w:rPr>
                <w:rFonts w:cstheme="minorHAnsi"/>
                <w:b/>
                <w:sz w:val="20"/>
                <w:szCs w:val="20"/>
              </w:rPr>
              <w:t>Do you feel prepared for your role if there is another peak</w:t>
            </w:r>
          </w:p>
        </w:tc>
        <w:tc>
          <w:tcPr>
            <w:tcW w:w="1198" w:type="dxa"/>
            <w:shd w:val="clear" w:color="auto" w:fill="BFBFBF" w:themeFill="background1" w:themeFillShade="BF"/>
          </w:tcPr>
          <w:p w14:paraId="093C8D17" w14:textId="77777777" w:rsidR="00285A8E" w:rsidRPr="00285A8E" w:rsidRDefault="00285A8E" w:rsidP="0019567A">
            <w:pPr>
              <w:jc w:val="both"/>
            </w:pPr>
          </w:p>
        </w:tc>
        <w:tc>
          <w:tcPr>
            <w:tcW w:w="1200" w:type="dxa"/>
            <w:shd w:val="clear" w:color="auto" w:fill="BFBFBF" w:themeFill="background1" w:themeFillShade="BF"/>
          </w:tcPr>
          <w:p w14:paraId="72FD602D" w14:textId="77777777" w:rsidR="00285A8E" w:rsidRPr="00285A8E" w:rsidRDefault="00285A8E" w:rsidP="0019567A">
            <w:pPr>
              <w:jc w:val="both"/>
            </w:pPr>
          </w:p>
        </w:tc>
        <w:tc>
          <w:tcPr>
            <w:tcW w:w="1198" w:type="dxa"/>
          </w:tcPr>
          <w:p w14:paraId="7D5FA0B8" w14:textId="77777777" w:rsidR="00285A8E" w:rsidRPr="00285A8E" w:rsidRDefault="00285A8E" w:rsidP="0019567A">
            <w:pPr>
              <w:jc w:val="both"/>
            </w:pPr>
            <w:r w:rsidRPr="00285A8E">
              <w:t>-.102</w:t>
            </w:r>
          </w:p>
        </w:tc>
        <w:tc>
          <w:tcPr>
            <w:tcW w:w="1200" w:type="dxa"/>
          </w:tcPr>
          <w:p w14:paraId="58A5B525" w14:textId="77B7D390" w:rsidR="00285A8E" w:rsidRPr="00285A8E" w:rsidRDefault="00285A8E" w:rsidP="00874B01">
            <w:pPr>
              <w:jc w:val="both"/>
            </w:pPr>
            <w:r w:rsidRPr="00285A8E">
              <w:t>.</w:t>
            </w:r>
            <w:r w:rsidR="00874B01" w:rsidRPr="00285A8E">
              <w:t>16</w:t>
            </w:r>
            <w:r w:rsidR="00874B01">
              <w:t>3</w:t>
            </w:r>
          </w:p>
        </w:tc>
        <w:tc>
          <w:tcPr>
            <w:tcW w:w="1198" w:type="dxa"/>
            <w:shd w:val="clear" w:color="auto" w:fill="BFBFBF" w:themeFill="background1" w:themeFillShade="BF"/>
          </w:tcPr>
          <w:p w14:paraId="6823217C" w14:textId="77777777" w:rsidR="00285A8E" w:rsidRPr="00285A8E" w:rsidRDefault="00285A8E" w:rsidP="0019567A">
            <w:pPr>
              <w:jc w:val="both"/>
            </w:pPr>
          </w:p>
        </w:tc>
        <w:tc>
          <w:tcPr>
            <w:tcW w:w="1200" w:type="dxa"/>
            <w:shd w:val="clear" w:color="auto" w:fill="BFBFBF" w:themeFill="background1" w:themeFillShade="BF"/>
          </w:tcPr>
          <w:p w14:paraId="26C8721B" w14:textId="77777777" w:rsidR="00285A8E" w:rsidRPr="00285A8E" w:rsidRDefault="00285A8E" w:rsidP="0019567A">
            <w:pPr>
              <w:jc w:val="both"/>
            </w:pPr>
          </w:p>
        </w:tc>
      </w:tr>
      <w:tr w:rsidR="00285A8E" w:rsidRPr="00285A8E" w14:paraId="1EB458E2" w14:textId="77777777" w:rsidTr="004B5FED">
        <w:trPr>
          <w:trHeight w:val="826"/>
        </w:trPr>
        <w:tc>
          <w:tcPr>
            <w:tcW w:w="2398" w:type="dxa"/>
          </w:tcPr>
          <w:p w14:paraId="6F092E07" w14:textId="77777777" w:rsidR="00285A8E" w:rsidRPr="00285A8E" w:rsidRDefault="00285A8E" w:rsidP="0019567A">
            <w:pPr>
              <w:jc w:val="both"/>
              <w:rPr>
                <w:rFonts w:cstheme="minorHAnsi"/>
                <w:b/>
                <w:sz w:val="20"/>
                <w:szCs w:val="20"/>
              </w:rPr>
            </w:pPr>
            <w:r w:rsidRPr="00285A8E">
              <w:rPr>
                <w:rFonts w:cstheme="minorHAnsi"/>
                <w:b/>
                <w:sz w:val="20"/>
                <w:szCs w:val="20"/>
              </w:rPr>
              <w:t>Have your career been affected (positively) by the pandemic</w:t>
            </w:r>
          </w:p>
        </w:tc>
        <w:tc>
          <w:tcPr>
            <w:tcW w:w="1198" w:type="dxa"/>
            <w:shd w:val="clear" w:color="auto" w:fill="BFBFBF" w:themeFill="background1" w:themeFillShade="BF"/>
          </w:tcPr>
          <w:p w14:paraId="4E37AFDD" w14:textId="77777777" w:rsidR="00285A8E" w:rsidRPr="00285A8E" w:rsidRDefault="00285A8E" w:rsidP="0019567A">
            <w:pPr>
              <w:jc w:val="both"/>
            </w:pPr>
          </w:p>
        </w:tc>
        <w:tc>
          <w:tcPr>
            <w:tcW w:w="1200" w:type="dxa"/>
            <w:shd w:val="clear" w:color="auto" w:fill="BFBFBF" w:themeFill="background1" w:themeFillShade="BF"/>
          </w:tcPr>
          <w:p w14:paraId="49628BB9" w14:textId="77777777" w:rsidR="00285A8E" w:rsidRPr="00285A8E" w:rsidRDefault="00285A8E" w:rsidP="0019567A">
            <w:pPr>
              <w:jc w:val="both"/>
            </w:pPr>
          </w:p>
        </w:tc>
        <w:tc>
          <w:tcPr>
            <w:tcW w:w="1198" w:type="dxa"/>
          </w:tcPr>
          <w:p w14:paraId="64971B43" w14:textId="77777777" w:rsidR="00285A8E" w:rsidRPr="00285A8E" w:rsidRDefault="00285A8E" w:rsidP="0019567A">
            <w:pPr>
              <w:jc w:val="both"/>
              <w:rPr>
                <w:b/>
              </w:rPr>
            </w:pPr>
          </w:p>
        </w:tc>
        <w:tc>
          <w:tcPr>
            <w:tcW w:w="1200" w:type="dxa"/>
          </w:tcPr>
          <w:p w14:paraId="13FDB821" w14:textId="77777777" w:rsidR="00285A8E" w:rsidRPr="00285A8E" w:rsidRDefault="00285A8E" w:rsidP="0019567A">
            <w:pPr>
              <w:jc w:val="both"/>
              <w:rPr>
                <w:b/>
              </w:rPr>
            </w:pPr>
          </w:p>
        </w:tc>
        <w:tc>
          <w:tcPr>
            <w:tcW w:w="1198" w:type="dxa"/>
            <w:shd w:val="clear" w:color="auto" w:fill="BFBFBF" w:themeFill="background1" w:themeFillShade="BF"/>
          </w:tcPr>
          <w:p w14:paraId="078D74DA" w14:textId="77777777" w:rsidR="00285A8E" w:rsidRPr="00285A8E" w:rsidDel="00C226AA" w:rsidRDefault="00285A8E" w:rsidP="0019567A">
            <w:pPr>
              <w:jc w:val="both"/>
            </w:pPr>
          </w:p>
        </w:tc>
        <w:tc>
          <w:tcPr>
            <w:tcW w:w="1200" w:type="dxa"/>
            <w:shd w:val="clear" w:color="auto" w:fill="BFBFBF" w:themeFill="background1" w:themeFillShade="BF"/>
          </w:tcPr>
          <w:p w14:paraId="58C87EC6" w14:textId="77777777" w:rsidR="00285A8E" w:rsidRPr="00285A8E" w:rsidDel="00C226AA" w:rsidRDefault="00285A8E" w:rsidP="0019567A">
            <w:pPr>
              <w:jc w:val="both"/>
            </w:pPr>
          </w:p>
        </w:tc>
      </w:tr>
      <w:tr w:rsidR="00285A8E" w:rsidRPr="00285A8E" w14:paraId="375AB9F1" w14:textId="77777777" w:rsidTr="004B5FED">
        <w:trPr>
          <w:trHeight w:val="299"/>
        </w:trPr>
        <w:tc>
          <w:tcPr>
            <w:tcW w:w="2398" w:type="dxa"/>
          </w:tcPr>
          <w:p w14:paraId="07C29F9C" w14:textId="77777777" w:rsidR="00285A8E" w:rsidRPr="00285A8E" w:rsidRDefault="00285A8E" w:rsidP="0019567A">
            <w:pPr>
              <w:jc w:val="both"/>
              <w:rPr>
                <w:rFonts w:cstheme="minorHAnsi"/>
                <w:b/>
                <w:sz w:val="20"/>
                <w:szCs w:val="20"/>
              </w:rPr>
            </w:pPr>
            <w:r w:rsidRPr="00285A8E">
              <w:t>No (Ref)</w:t>
            </w:r>
          </w:p>
        </w:tc>
        <w:tc>
          <w:tcPr>
            <w:tcW w:w="1198" w:type="dxa"/>
            <w:shd w:val="clear" w:color="auto" w:fill="BFBFBF" w:themeFill="background1" w:themeFillShade="BF"/>
          </w:tcPr>
          <w:p w14:paraId="5071DE6A" w14:textId="77777777" w:rsidR="00285A8E" w:rsidRPr="00285A8E" w:rsidRDefault="00285A8E" w:rsidP="0019567A">
            <w:pPr>
              <w:jc w:val="both"/>
            </w:pPr>
          </w:p>
        </w:tc>
        <w:tc>
          <w:tcPr>
            <w:tcW w:w="1200" w:type="dxa"/>
            <w:shd w:val="clear" w:color="auto" w:fill="BFBFBF" w:themeFill="background1" w:themeFillShade="BF"/>
          </w:tcPr>
          <w:p w14:paraId="3B6E71EF" w14:textId="77777777" w:rsidR="00285A8E" w:rsidRPr="00285A8E" w:rsidRDefault="00285A8E" w:rsidP="0019567A">
            <w:pPr>
              <w:jc w:val="both"/>
            </w:pPr>
          </w:p>
        </w:tc>
        <w:tc>
          <w:tcPr>
            <w:tcW w:w="1198" w:type="dxa"/>
          </w:tcPr>
          <w:p w14:paraId="1715A71B" w14:textId="77777777" w:rsidR="00285A8E" w:rsidRPr="00285A8E" w:rsidRDefault="00285A8E" w:rsidP="0019567A">
            <w:pPr>
              <w:jc w:val="both"/>
            </w:pPr>
          </w:p>
        </w:tc>
        <w:tc>
          <w:tcPr>
            <w:tcW w:w="1200" w:type="dxa"/>
          </w:tcPr>
          <w:p w14:paraId="34B88303" w14:textId="77777777" w:rsidR="00285A8E" w:rsidRPr="00285A8E" w:rsidRDefault="00285A8E" w:rsidP="0019567A">
            <w:pPr>
              <w:jc w:val="both"/>
            </w:pPr>
          </w:p>
        </w:tc>
        <w:tc>
          <w:tcPr>
            <w:tcW w:w="1198" w:type="dxa"/>
            <w:shd w:val="clear" w:color="auto" w:fill="BFBFBF" w:themeFill="background1" w:themeFillShade="BF"/>
          </w:tcPr>
          <w:p w14:paraId="2586D984" w14:textId="77777777" w:rsidR="00285A8E" w:rsidRPr="00285A8E" w:rsidDel="00C226AA" w:rsidRDefault="00285A8E" w:rsidP="0019567A">
            <w:pPr>
              <w:jc w:val="both"/>
            </w:pPr>
          </w:p>
        </w:tc>
        <w:tc>
          <w:tcPr>
            <w:tcW w:w="1200" w:type="dxa"/>
            <w:shd w:val="clear" w:color="auto" w:fill="BFBFBF" w:themeFill="background1" w:themeFillShade="BF"/>
          </w:tcPr>
          <w:p w14:paraId="4153651C" w14:textId="77777777" w:rsidR="00285A8E" w:rsidRPr="00285A8E" w:rsidDel="00C226AA" w:rsidRDefault="00285A8E" w:rsidP="0019567A">
            <w:pPr>
              <w:jc w:val="both"/>
            </w:pPr>
          </w:p>
        </w:tc>
      </w:tr>
      <w:tr w:rsidR="00285A8E" w:rsidRPr="00285A8E" w14:paraId="79C05D99" w14:textId="77777777" w:rsidTr="004B5FED">
        <w:trPr>
          <w:trHeight w:val="276"/>
        </w:trPr>
        <w:tc>
          <w:tcPr>
            <w:tcW w:w="2398" w:type="dxa"/>
          </w:tcPr>
          <w:p w14:paraId="2E9C1311" w14:textId="77777777" w:rsidR="00285A8E" w:rsidRPr="00285A8E" w:rsidRDefault="00285A8E" w:rsidP="0019567A">
            <w:pPr>
              <w:jc w:val="both"/>
              <w:rPr>
                <w:rFonts w:cstheme="minorHAnsi"/>
                <w:b/>
                <w:sz w:val="20"/>
                <w:szCs w:val="20"/>
              </w:rPr>
            </w:pPr>
            <w:r w:rsidRPr="00285A8E">
              <w:t>Yes</w:t>
            </w:r>
          </w:p>
        </w:tc>
        <w:tc>
          <w:tcPr>
            <w:tcW w:w="1198" w:type="dxa"/>
            <w:shd w:val="clear" w:color="auto" w:fill="BFBFBF" w:themeFill="background1" w:themeFillShade="BF"/>
          </w:tcPr>
          <w:p w14:paraId="349435B7" w14:textId="77777777" w:rsidR="00285A8E" w:rsidRPr="00285A8E" w:rsidRDefault="00285A8E" w:rsidP="0019567A">
            <w:pPr>
              <w:jc w:val="both"/>
            </w:pPr>
          </w:p>
        </w:tc>
        <w:tc>
          <w:tcPr>
            <w:tcW w:w="1200" w:type="dxa"/>
            <w:shd w:val="clear" w:color="auto" w:fill="BFBFBF" w:themeFill="background1" w:themeFillShade="BF"/>
          </w:tcPr>
          <w:p w14:paraId="34DD6C59" w14:textId="77777777" w:rsidR="00285A8E" w:rsidRPr="00285A8E" w:rsidRDefault="00285A8E" w:rsidP="0019567A">
            <w:pPr>
              <w:jc w:val="both"/>
            </w:pPr>
          </w:p>
        </w:tc>
        <w:tc>
          <w:tcPr>
            <w:tcW w:w="1198" w:type="dxa"/>
          </w:tcPr>
          <w:p w14:paraId="2D925505" w14:textId="77777777" w:rsidR="00285A8E" w:rsidRPr="00285A8E" w:rsidRDefault="00285A8E" w:rsidP="0019567A">
            <w:pPr>
              <w:jc w:val="both"/>
            </w:pPr>
            <w:r w:rsidRPr="00285A8E">
              <w:rPr>
                <w:b/>
              </w:rPr>
              <w:t>.161</w:t>
            </w:r>
          </w:p>
        </w:tc>
        <w:tc>
          <w:tcPr>
            <w:tcW w:w="1200" w:type="dxa"/>
          </w:tcPr>
          <w:p w14:paraId="61D46D9E" w14:textId="623C42A2" w:rsidR="00285A8E" w:rsidRPr="00285A8E" w:rsidRDefault="00285A8E" w:rsidP="00874B01">
            <w:pPr>
              <w:jc w:val="both"/>
            </w:pPr>
            <w:r w:rsidRPr="00285A8E">
              <w:rPr>
                <w:b/>
              </w:rPr>
              <w:t>.</w:t>
            </w:r>
            <w:r w:rsidR="00874B01" w:rsidRPr="00285A8E">
              <w:rPr>
                <w:b/>
              </w:rPr>
              <w:t>02</w:t>
            </w:r>
            <w:r w:rsidR="00874B01">
              <w:rPr>
                <w:b/>
              </w:rPr>
              <w:t>6</w:t>
            </w:r>
          </w:p>
        </w:tc>
        <w:tc>
          <w:tcPr>
            <w:tcW w:w="1198" w:type="dxa"/>
            <w:shd w:val="clear" w:color="auto" w:fill="BFBFBF" w:themeFill="background1" w:themeFillShade="BF"/>
          </w:tcPr>
          <w:p w14:paraId="2D7E2735" w14:textId="77777777" w:rsidR="00285A8E" w:rsidRPr="00285A8E" w:rsidDel="00C226AA" w:rsidRDefault="00285A8E" w:rsidP="0019567A">
            <w:pPr>
              <w:jc w:val="both"/>
            </w:pPr>
          </w:p>
        </w:tc>
        <w:tc>
          <w:tcPr>
            <w:tcW w:w="1200" w:type="dxa"/>
            <w:shd w:val="clear" w:color="auto" w:fill="BFBFBF" w:themeFill="background1" w:themeFillShade="BF"/>
          </w:tcPr>
          <w:p w14:paraId="5BB2E9CE" w14:textId="77777777" w:rsidR="00285A8E" w:rsidRPr="00285A8E" w:rsidDel="00C226AA" w:rsidRDefault="00285A8E" w:rsidP="0019567A">
            <w:pPr>
              <w:jc w:val="both"/>
            </w:pPr>
          </w:p>
        </w:tc>
      </w:tr>
      <w:tr w:rsidR="00285A8E" w:rsidRPr="00285A8E" w14:paraId="35EC8095" w14:textId="77777777" w:rsidTr="004B5FED">
        <w:trPr>
          <w:trHeight w:val="272"/>
        </w:trPr>
        <w:tc>
          <w:tcPr>
            <w:tcW w:w="2398" w:type="dxa"/>
          </w:tcPr>
          <w:p w14:paraId="63D3A7A6" w14:textId="77777777" w:rsidR="00285A8E" w:rsidRPr="00285A8E" w:rsidRDefault="00285A8E" w:rsidP="0019567A">
            <w:pPr>
              <w:jc w:val="both"/>
              <w:rPr>
                <w:b/>
              </w:rPr>
            </w:pPr>
            <w:r w:rsidRPr="00285A8E">
              <w:rPr>
                <w:b/>
              </w:rPr>
              <w:t>Anxiety</w:t>
            </w:r>
          </w:p>
        </w:tc>
        <w:tc>
          <w:tcPr>
            <w:tcW w:w="1198" w:type="dxa"/>
          </w:tcPr>
          <w:p w14:paraId="49D368E4" w14:textId="77777777" w:rsidR="00285A8E" w:rsidRPr="00285A8E" w:rsidRDefault="00285A8E" w:rsidP="0019567A">
            <w:pPr>
              <w:jc w:val="both"/>
            </w:pPr>
          </w:p>
        </w:tc>
        <w:tc>
          <w:tcPr>
            <w:tcW w:w="1200" w:type="dxa"/>
          </w:tcPr>
          <w:p w14:paraId="4E6BC7A5" w14:textId="77777777" w:rsidR="00285A8E" w:rsidRPr="00285A8E" w:rsidRDefault="00285A8E" w:rsidP="0019567A">
            <w:pPr>
              <w:jc w:val="both"/>
            </w:pPr>
          </w:p>
        </w:tc>
        <w:tc>
          <w:tcPr>
            <w:tcW w:w="1198" w:type="dxa"/>
          </w:tcPr>
          <w:p w14:paraId="17D6F676" w14:textId="77777777" w:rsidR="00285A8E" w:rsidRPr="00285A8E" w:rsidRDefault="00285A8E" w:rsidP="0019567A">
            <w:pPr>
              <w:jc w:val="both"/>
            </w:pPr>
          </w:p>
        </w:tc>
        <w:tc>
          <w:tcPr>
            <w:tcW w:w="1200" w:type="dxa"/>
          </w:tcPr>
          <w:p w14:paraId="2CB9C776" w14:textId="77777777" w:rsidR="00285A8E" w:rsidRPr="00285A8E" w:rsidRDefault="00285A8E" w:rsidP="0019567A">
            <w:pPr>
              <w:jc w:val="both"/>
            </w:pPr>
          </w:p>
        </w:tc>
        <w:tc>
          <w:tcPr>
            <w:tcW w:w="1198" w:type="dxa"/>
          </w:tcPr>
          <w:p w14:paraId="6E25D55A" w14:textId="77777777" w:rsidR="00285A8E" w:rsidRPr="00285A8E" w:rsidRDefault="00285A8E" w:rsidP="0019567A">
            <w:pPr>
              <w:jc w:val="both"/>
            </w:pPr>
          </w:p>
        </w:tc>
        <w:tc>
          <w:tcPr>
            <w:tcW w:w="1200" w:type="dxa"/>
          </w:tcPr>
          <w:p w14:paraId="3C76D595" w14:textId="77777777" w:rsidR="00285A8E" w:rsidRPr="00285A8E" w:rsidRDefault="00285A8E" w:rsidP="0019567A">
            <w:pPr>
              <w:jc w:val="both"/>
            </w:pPr>
          </w:p>
        </w:tc>
      </w:tr>
      <w:tr w:rsidR="00285A8E" w:rsidRPr="00285A8E" w14:paraId="438A68FE" w14:textId="77777777" w:rsidTr="004B5FED">
        <w:trPr>
          <w:trHeight w:val="280"/>
        </w:trPr>
        <w:tc>
          <w:tcPr>
            <w:tcW w:w="2398" w:type="dxa"/>
          </w:tcPr>
          <w:p w14:paraId="4D0DAA98" w14:textId="77777777" w:rsidR="00285A8E" w:rsidRPr="00285A8E" w:rsidRDefault="00285A8E" w:rsidP="0019567A">
            <w:pPr>
              <w:jc w:val="both"/>
            </w:pPr>
            <w:r w:rsidRPr="00285A8E">
              <w:t>Mild (ref)</w:t>
            </w:r>
          </w:p>
        </w:tc>
        <w:tc>
          <w:tcPr>
            <w:tcW w:w="1198" w:type="dxa"/>
          </w:tcPr>
          <w:p w14:paraId="20567A96" w14:textId="77777777" w:rsidR="00285A8E" w:rsidRPr="00285A8E" w:rsidRDefault="00285A8E" w:rsidP="0019567A">
            <w:pPr>
              <w:jc w:val="both"/>
            </w:pPr>
          </w:p>
        </w:tc>
        <w:tc>
          <w:tcPr>
            <w:tcW w:w="1200" w:type="dxa"/>
          </w:tcPr>
          <w:p w14:paraId="30A99F84" w14:textId="77777777" w:rsidR="00285A8E" w:rsidRPr="00285A8E" w:rsidRDefault="00285A8E" w:rsidP="0019567A">
            <w:pPr>
              <w:jc w:val="both"/>
            </w:pPr>
          </w:p>
        </w:tc>
        <w:tc>
          <w:tcPr>
            <w:tcW w:w="1198" w:type="dxa"/>
          </w:tcPr>
          <w:p w14:paraId="76594851" w14:textId="77777777" w:rsidR="00285A8E" w:rsidRPr="00285A8E" w:rsidRDefault="00285A8E" w:rsidP="0019567A">
            <w:pPr>
              <w:jc w:val="both"/>
            </w:pPr>
          </w:p>
        </w:tc>
        <w:tc>
          <w:tcPr>
            <w:tcW w:w="1200" w:type="dxa"/>
          </w:tcPr>
          <w:p w14:paraId="5A38428F" w14:textId="77777777" w:rsidR="00285A8E" w:rsidRPr="00285A8E" w:rsidRDefault="00285A8E" w:rsidP="0019567A">
            <w:pPr>
              <w:jc w:val="both"/>
            </w:pPr>
          </w:p>
        </w:tc>
        <w:tc>
          <w:tcPr>
            <w:tcW w:w="1198" w:type="dxa"/>
          </w:tcPr>
          <w:p w14:paraId="3B5E60F6" w14:textId="77777777" w:rsidR="00285A8E" w:rsidRPr="00285A8E" w:rsidRDefault="00285A8E" w:rsidP="0019567A">
            <w:pPr>
              <w:jc w:val="both"/>
            </w:pPr>
          </w:p>
        </w:tc>
        <w:tc>
          <w:tcPr>
            <w:tcW w:w="1200" w:type="dxa"/>
          </w:tcPr>
          <w:p w14:paraId="2EBA7E42" w14:textId="77777777" w:rsidR="00285A8E" w:rsidRPr="00285A8E" w:rsidRDefault="00285A8E" w:rsidP="0019567A">
            <w:pPr>
              <w:jc w:val="both"/>
            </w:pPr>
          </w:p>
        </w:tc>
      </w:tr>
      <w:tr w:rsidR="00285A8E" w:rsidRPr="00285A8E" w14:paraId="581FA73E" w14:textId="77777777" w:rsidTr="004B5FED">
        <w:trPr>
          <w:trHeight w:val="272"/>
        </w:trPr>
        <w:tc>
          <w:tcPr>
            <w:tcW w:w="2398" w:type="dxa"/>
          </w:tcPr>
          <w:p w14:paraId="2FEAA8E6" w14:textId="77777777" w:rsidR="00285A8E" w:rsidRPr="00285A8E" w:rsidRDefault="00285A8E" w:rsidP="0019567A">
            <w:pPr>
              <w:jc w:val="both"/>
            </w:pPr>
            <w:r w:rsidRPr="00285A8E">
              <w:t>Moderate – high</w:t>
            </w:r>
          </w:p>
        </w:tc>
        <w:tc>
          <w:tcPr>
            <w:tcW w:w="1198" w:type="dxa"/>
          </w:tcPr>
          <w:p w14:paraId="585E441D" w14:textId="77777777" w:rsidR="00285A8E" w:rsidRPr="00285A8E" w:rsidRDefault="00285A8E" w:rsidP="0019567A">
            <w:pPr>
              <w:jc w:val="both"/>
              <w:rPr>
                <w:b/>
              </w:rPr>
            </w:pPr>
            <w:r w:rsidRPr="00285A8E">
              <w:rPr>
                <w:b/>
              </w:rPr>
              <w:t>.158</w:t>
            </w:r>
          </w:p>
        </w:tc>
        <w:tc>
          <w:tcPr>
            <w:tcW w:w="1200" w:type="dxa"/>
          </w:tcPr>
          <w:p w14:paraId="3367EE18" w14:textId="77777777" w:rsidR="00285A8E" w:rsidRPr="00285A8E" w:rsidRDefault="00285A8E" w:rsidP="0019567A">
            <w:pPr>
              <w:jc w:val="both"/>
              <w:rPr>
                <w:b/>
              </w:rPr>
            </w:pPr>
            <w:r w:rsidRPr="00285A8E">
              <w:rPr>
                <w:b/>
              </w:rPr>
              <w:t>.043</w:t>
            </w:r>
          </w:p>
        </w:tc>
        <w:tc>
          <w:tcPr>
            <w:tcW w:w="1198" w:type="dxa"/>
          </w:tcPr>
          <w:p w14:paraId="3525D53A" w14:textId="77777777" w:rsidR="00285A8E" w:rsidRPr="00285A8E" w:rsidRDefault="00285A8E" w:rsidP="0019567A">
            <w:pPr>
              <w:jc w:val="both"/>
            </w:pPr>
            <w:r w:rsidRPr="00285A8E">
              <w:t>.141</w:t>
            </w:r>
          </w:p>
        </w:tc>
        <w:tc>
          <w:tcPr>
            <w:tcW w:w="1200" w:type="dxa"/>
          </w:tcPr>
          <w:p w14:paraId="0771E8FE" w14:textId="3CD51C7D" w:rsidR="00285A8E" w:rsidRPr="00285A8E" w:rsidRDefault="00285A8E" w:rsidP="0019567A">
            <w:pPr>
              <w:jc w:val="both"/>
            </w:pPr>
            <w:r w:rsidRPr="00285A8E">
              <w:t>.09</w:t>
            </w:r>
            <w:r w:rsidR="00874B01">
              <w:t>1</w:t>
            </w:r>
          </w:p>
        </w:tc>
        <w:tc>
          <w:tcPr>
            <w:tcW w:w="1198" w:type="dxa"/>
          </w:tcPr>
          <w:p w14:paraId="3804005C" w14:textId="56B2C6DE" w:rsidR="00285A8E" w:rsidRPr="00285A8E" w:rsidRDefault="00285A8E" w:rsidP="00874B01">
            <w:pPr>
              <w:jc w:val="both"/>
              <w:rPr>
                <w:b/>
              </w:rPr>
            </w:pPr>
            <w:r w:rsidRPr="00285A8E">
              <w:rPr>
                <w:b/>
              </w:rPr>
              <w:t>.</w:t>
            </w:r>
            <w:r w:rsidR="00874B01" w:rsidRPr="00285A8E">
              <w:rPr>
                <w:b/>
              </w:rPr>
              <w:t>17</w:t>
            </w:r>
            <w:r w:rsidR="00874B01">
              <w:rPr>
                <w:b/>
              </w:rPr>
              <w:t>2</w:t>
            </w:r>
          </w:p>
        </w:tc>
        <w:tc>
          <w:tcPr>
            <w:tcW w:w="1200" w:type="dxa"/>
          </w:tcPr>
          <w:p w14:paraId="0C8EAA15" w14:textId="77777777" w:rsidR="00285A8E" w:rsidRPr="00285A8E" w:rsidRDefault="00285A8E" w:rsidP="0019567A">
            <w:pPr>
              <w:jc w:val="both"/>
              <w:rPr>
                <w:b/>
              </w:rPr>
            </w:pPr>
            <w:r w:rsidRPr="00285A8E">
              <w:rPr>
                <w:b/>
              </w:rPr>
              <w:t>.026</w:t>
            </w:r>
          </w:p>
        </w:tc>
      </w:tr>
      <w:tr w:rsidR="00285A8E" w:rsidRPr="00285A8E" w14:paraId="12893DC0" w14:textId="77777777" w:rsidTr="004B5FED">
        <w:trPr>
          <w:trHeight w:val="280"/>
        </w:trPr>
        <w:tc>
          <w:tcPr>
            <w:tcW w:w="2398" w:type="dxa"/>
          </w:tcPr>
          <w:p w14:paraId="515FD787" w14:textId="77777777" w:rsidR="00285A8E" w:rsidRPr="00285A8E" w:rsidRDefault="00285A8E" w:rsidP="0019567A">
            <w:pPr>
              <w:jc w:val="both"/>
              <w:rPr>
                <w:b/>
              </w:rPr>
            </w:pPr>
            <w:r w:rsidRPr="00285A8E">
              <w:rPr>
                <w:b/>
              </w:rPr>
              <w:t xml:space="preserve">Depression </w:t>
            </w:r>
          </w:p>
        </w:tc>
        <w:tc>
          <w:tcPr>
            <w:tcW w:w="1198" w:type="dxa"/>
          </w:tcPr>
          <w:p w14:paraId="64DC465C" w14:textId="77777777" w:rsidR="00285A8E" w:rsidRPr="00285A8E" w:rsidRDefault="00285A8E" w:rsidP="0019567A">
            <w:pPr>
              <w:jc w:val="both"/>
              <w:rPr>
                <w:b/>
              </w:rPr>
            </w:pPr>
          </w:p>
        </w:tc>
        <w:tc>
          <w:tcPr>
            <w:tcW w:w="1200" w:type="dxa"/>
          </w:tcPr>
          <w:p w14:paraId="71841BF9" w14:textId="77777777" w:rsidR="00285A8E" w:rsidRPr="00285A8E" w:rsidRDefault="00285A8E" w:rsidP="0019567A">
            <w:pPr>
              <w:jc w:val="both"/>
              <w:rPr>
                <w:b/>
              </w:rPr>
            </w:pPr>
          </w:p>
        </w:tc>
        <w:tc>
          <w:tcPr>
            <w:tcW w:w="1198" w:type="dxa"/>
          </w:tcPr>
          <w:p w14:paraId="74321684" w14:textId="77777777" w:rsidR="00285A8E" w:rsidRPr="00285A8E" w:rsidRDefault="00285A8E" w:rsidP="0019567A">
            <w:pPr>
              <w:jc w:val="both"/>
            </w:pPr>
          </w:p>
        </w:tc>
        <w:tc>
          <w:tcPr>
            <w:tcW w:w="1200" w:type="dxa"/>
          </w:tcPr>
          <w:p w14:paraId="4096B7EB" w14:textId="77777777" w:rsidR="00285A8E" w:rsidRPr="00285A8E" w:rsidRDefault="00285A8E" w:rsidP="0019567A">
            <w:pPr>
              <w:jc w:val="both"/>
            </w:pPr>
          </w:p>
        </w:tc>
        <w:tc>
          <w:tcPr>
            <w:tcW w:w="1198" w:type="dxa"/>
          </w:tcPr>
          <w:p w14:paraId="711A96D9" w14:textId="77777777" w:rsidR="00285A8E" w:rsidRPr="00285A8E" w:rsidRDefault="00285A8E" w:rsidP="0019567A">
            <w:pPr>
              <w:jc w:val="both"/>
            </w:pPr>
          </w:p>
        </w:tc>
        <w:tc>
          <w:tcPr>
            <w:tcW w:w="1200" w:type="dxa"/>
          </w:tcPr>
          <w:p w14:paraId="2419F2ED" w14:textId="77777777" w:rsidR="00285A8E" w:rsidRPr="00285A8E" w:rsidRDefault="00285A8E" w:rsidP="0019567A">
            <w:pPr>
              <w:jc w:val="both"/>
            </w:pPr>
          </w:p>
        </w:tc>
      </w:tr>
      <w:tr w:rsidR="00285A8E" w:rsidRPr="00285A8E" w14:paraId="68B641A3" w14:textId="77777777" w:rsidTr="004B5FED">
        <w:trPr>
          <w:trHeight w:val="272"/>
        </w:trPr>
        <w:tc>
          <w:tcPr>
            <w:tcW w:w="2398" w:type="dxa"/>
          </w:tcPr>
          <w:p w14:paraId="3612A573" w14:textId="77777777" w:rsidR="00285A8E" w:rsidRPr="00285A8E" w:rsidRDefault="00285A8E" w:rsidP="0019567A">
            <w:pPr>
              <w:jc w:val="both"/>
            </w:pPr>
            <w:r w:rsidRPr="00285A8E">
              <w:t>Mild (ref)</w:t>
            </w:r>
          </w:p>
        </w:tc>
        <w:tc>
          <w:tcPr>
            <w:tcW w:w="1198" w:type="dxa"/>
          </w:tcPr>
          <w:p w14:paraId="0461F72F" w14:textId="77777777" w:rsidR="00285A8E" w:rsidRPr="00285A8E" w:rsidRDefault="00285A8E" w:rsidP="0019567A">
            <w:pPr>
              <w:jc w:val="both"/>
              <w:rPr>
                <w:b/>
              </w:rPr>
            </w:pPr>
          </w:p>
        </w:tc>
        <w:tc>
          <w:tcPr>
            <w:tcW w:w="1200" w:type="dxa"/>
          </w:tcPr>
          <w:p w14:paraId="3D5487B6" w14:textId="77777777" w:rsidR="00285A8E" w:rsidRPr="00285A8E" w:rsidRDefault="00285A8E" w:rsidP="0019567A">
            <w:pPr>
              <w:jc w:val="both"/>
              <w:rPr>
                <w:b/>
              </w:rPr>
            </w:pPr>
          </w:p>
        </w:tc>
        <w:tc>
          <w:tcPr>
            <w:tcW w:w="1198" w:type="dxa"/>
          </w:tcPr>
          <w:p w14:paraId="6EE72F73" w14:textId="77777777" w:rsidR="00285A8E" w:rsidRPr="00285A8E" w:rsidRDefault="00285A8E" w:rsidP="0019567A">
            <w:pPr>
              <w:jc w:val="both"/>
            </w:pPr>
          </w:p>
        </w:tc>
        <w:tc>
          <w:tcPr>
            <w:tcW w:w="1200" w:type="dxa"/>
          </w:tcPr>
          <w:p w14:paraId="361442EB" w14:textId="77777777" w:rsidR="00285A8E" w:rsidRPr="00285A8E" w:rsidRDefault="00285A8E" w:rsidP="0019567A">
            <w:pPr>
              <w:jc w:val="both"/>
            </w:pPr>
          </w:p>
        </w:tc>
        <w:tc>
          <w:tcPr>
            <w:tcW w:w="1198" w:type="dxa"/>
          </w:tcPr>
          <w:p w14:paraId="4257F9D4" w14:textId="77777777" w:rsidR="00285A8E" w:rsidRPr="00285A8E" w:rsidRDefault="00285A8E" w:rsidP="0019567A">
            <w:pPr>
              <w:jc w:val="both"/>
            </w:pPr>
          </w:p>
        </w:tc>
        <w:tc>
          <w:tcPr>
            <w:tcW w:w="1200" w:type="dxa"/>
          </w:tcPr>
          <w:p w14:paraId="4418064B" w14:textId="77777777" w:rsidR="00285A8E" w:rsidRPr="00285A8E" w:rsidRDefault="00285A8E" w:rsidP="0019567A">
            <w:pPr>
              <w:jc w:val="both"/>
            </w:pPr>
          </w:p>
        </w:tc>
      </w:tr>
      <w:tr w:rsidR="00285A8E" w:rsidRPr="00285A8E" w14:paraId="60EB7C8F" w14:textId="77777777" w:rsidTr="004B5FED">
        <w:trPr>
          <w:trHeight w:val="280"/>
        </w:trPr>
        <w:tc>
          <w:tcPr>
            <w:tcW w:w="2398" w:type="dxa"/>
          </w:tcPr>
          <w:p w14:paraId="3300F49D" w14:textId="77777777" w:rsidR="00285A8E" w:rsidRPr="00285A8E" w:rsidRDefault="00285A8E" w:rsidP="0019567A">
            <w:pPr>
              <w:jc w:val="both"/>
            </w:pPr>
            <w:r w:rsidRPr="00285A8E">
              <w:t>Moderate – high</w:t>
            </w:r>
          </w:p>
        </w:tc>
        <w:tc>
          <w:tcPr>
            <w:tcW w:w="1198" w:type="dxa"/>
          </w:tcPr>
          <w:p w14:paraId="46B5022D" w14:textId="77777777" w:rsidR="00285A8E" w:rsidRPr="00285A8E" w:rsidRDefault="00285A8E" w:rsidP="0019567A">
            <w:pPr>
              <w:jc w:val="both"/>
              <w:rPr>
                <w:b/>
              </w:rPr>
            </w:pPr>
            <w:r w:rsidRPr="00285A8E">
              <w:rPr>
                <w:b/>
              </w:rPr>
              <w:t>.457</w:t>
            </w:r>
          </w:p>
        </w:tc>
        <w:tc>
          <w:tcPr>
            <w:tcW w:w="1200" w:type="dxa"/>
          </w:tcPr>
          <w:p w14:paraId="29215BB4" w14:textId="77777777" w:rsidR="00285A8E" w:rsidRPr="00285A8E" w:rsidRDefault="00285A8E" w:rsidP="0019567A">
            <w:pPr>
              <w:jc w:val="both"/>
              <w:rPr>
                <w:b/>
              </w:rPr>
            </w:pPr>
            <w:r w:rsidRPr="00285A8E">
              <w:rPr>
                <w:b/>
              </w:rPr>
              <w:t>&lt;.001</w:t>
            </w:r>
          </w:p>
        </w:tc>
        <w:tc>
          <w:tcPr>
            <w:tcW w:w="1198" w:type="dxa"/>
          </w:tcPr>
          <w:p w14:paraId="7FC7DCAE" w14:textId="77777777" w:rsidR="00285A8E" w:rsidRPr="00285A8E" w:rsidRDefault="00285A8E" w:rsidP="0019567A">
            <w:pPr>
              <w:jc w:val="both"/>
              <w:rPr>
                <w:b/>
              </w:rPr>
            </w:pPr>
            <w:r w:rsidRPr="00285A8E">
              <w:rPr>
                <w:b/>
              </w:rPr>
              <w:t>.293</w:t>
            </w:r>
          </w:p>
        </w:tc>
        <w:tc>
          <w:tcPr>
            <w:tcW w:w="1200" w:type="dxa"/>
          </w:tcPr>
          <w:p w14:paraId="316A0CAD" w14:textId="77777777" w:rsidR="00285A8E" w:rsidRPr="00285A8E" w:rsidRDefault="00285A8E" w:rsidP="0019567A">
            <w:pPr>
              <w:jc w:val="both"/>
              <w:rPr>
                <w:b/>
              </w:rPr>
            </w:pPr>
            <w:r w:rsidRPr="00285A8E">
              <w:rPr>
                <w:b/>
              </w:rPr>
              <w:t>.001</w:t>
            </w:r>
          </w:p>
        </w:tc>
        <w:tc>
          <w:tcPr>
            <w:tcW w:w="1198" w:type="dxa"/>
          </w:tcPr>
          <w:p w14:paraId="4C75204A" w14:textId="23841C39" w:rsidR="00285A8E" w:rsidRPr="00285A8E" w:rsidRDefault="00285A8E" w:rsidP="00874B01">
            <w:pPr>
              <w:jc w:val="both"/>
              <w:rPr>
                <w:b/>
              </w:rPr>
            </w:pPr>
            <w:r w:rsidRPr="00285A8E">
              <w:rPr>
                <w:b/>
              </w:rPr>
              <w:t>.</w:t>
            </w:r>
            <w:r w:rsidR="00874B01" w:rsidRPr="00285A8E">
              <w:rPr>
                <w:b/>
              </w:rPr>
              <w:t>4</w:t>
            </w:r>
            <w:r w:rsidR="00874B01">
              <w:rPr>
                <w:b/>
              </w:rPr>
              <w:t>28</w:t>
            </w:r>
          </w:p>
        </w:tc>
        <w:tc>
          <w:tcPr>
            <w:tcW w:w="1200" w:type="dxa"/>
          </w:tcPr>
          <w:p w14:paraId="44648FBF" w14:textId="77777777" w:rsidR="00285A8E" w:rsidRPr="00285A8E" w:rsidRDefault="00285A8E" w:rsidP="0019567A">
            <w:pPr>
              <w:jc w:val="both"/>
              <w:rPr>
                <w:b/>
              </w:rPr>
            </w:pPr>
            <w:r w:rsidRPr="00285A8E">
              <w:rPr>
                <w:b/>
              </w:rPr>
              <w:t>&lt;.001</w:t>
            </w:r>
          </w:p>
        </w:tc>
      </w:tr>
      <w:tr w:rsidR="00285A8E" w:rsidRPr="00285A8E" w14:paraId="6AB354B2" w14:textId="77777777" w:rsidTr="004B5FED">
        <w:trPr>
          <w:trHeight w:val="272"/>
        </w:trPr>
        <w:tc>
          <w:tcPr>
            <w:tcW w:w="2398" w:type="dxa"/>
          </w:tcPr>
          <w:p w14:paraId="4516628D" w14:textId="77777777" w:rsidR="00285A8E" w:rsidRPr="00285A8E" w:rsidRDefault="00285A8E" w:rsidP="0019567A">
            <w:pPr>
              <w:jc w:val="both"/>
              <w:rPr>
                <w:b/>
              </w:rPr>
            </w:pPr>
            <w:r w:rsidRPr="00285A8E">
              <w:rPr>
                <w:b/>
              </w:rPr>
              <w:t xml:space="preserve">Resilience </w:t>
            </w:r>
          </w:p>
        </w:tc>
        <w:tc>
          <w:tcPr>
            <w:tcW w:w="1198" w:type="dxa"/>
          </w:tcPr>
          <w:p w14:paraId="06CF8495" w14:textId="77777777" w:rsidR="00285A8E" w:rsidRPr="00285A8E" w:rsidRDefault="00285A8E" w:rsidP="0019567A">
            <w:pPr>
              <w:jc w:val="both"/>
            </w:pPr>
          </w:p>
        </w:tc>
        <w:tc>
          <w:tcPr>
            <w:tcW w:w="1200" w:type="dxa"/>
          </w:tcPr>
          <w:p w14:paraId="621DF4EF" w14:textId="77777777" w:rsidR="00285A8E" w:rsidRPr="00285A8E" w:rsidRDefault="00285A8E" w:rsidP="0019567A">
            <w:pPr>
              <w:jc w:val="both"/>
            </w:pPr>
          </w:p>
        </w:tc>
        <w:tc>
          <w:tcPr>
            <w:tcW w:w="1198" w:type="dxa"/>
            <w:shd w:val="clear" w:color="auto" w:fill="BFBFBF" w:themeFill="background1" w:themeFillShade="BF"/>
          </w:tcPr>
          <w:p w14:paraId="324A667E" w14:textId="77777777" w:rsidR="00285A8E" w:rsidRPr="00285A8E" w:rsidRDefault="00285A8E" w:rsidP="0019567A">
            <w:pPr>
              <w:jc w:val="both"/>
            </w:pPr>
          </w:p>
        </w:tc>
        <w:tc>
          <w:tcPr>
            <w:tcW w:w="1200" w:type="dxa"/>
            <w:shd w:val="clear" w:color="auto" w:fill="BFBFBF" w:themeFill="background1" w:themeFillShade="BF"/>
          </w:tcPr>
          <w:p w14:paraId="6B4AB84D" w14:textId="77777777" w:rsidR="00285A8E" w:rsidRPr="00285A8E" w:rsidRDefault="00285A8E" w:rsidP="0019567A">
            <w:pPr>
              <w:jc w:val="both"/>
            </w:pPr>
          </w:p>
        </w:tc>
        <w:tc>
          <w:tcPr>
            <w:tcW w:w="1198" w:type="dxa"/>
          </w:tcPr>
          <w:p w14:paraId="2C8D5B95" w14:textId="77777777" w:rsidR="00285A8E" w:rsidRPr="00285A8E" w:rsidRDefault="00285A8E" w:rsidP="0019567A">
            <w:pPr>
              <w:jc w:val="both"/>
            </w:pPr>
          </w:p>
        </w:tc>
        <w:tc>
          <w:tcPr>
            <w:tcW w:w="1200" w:type="dxa"/>
          </w:tcPr>
          <w:p w14:paraId="45FF357A" w14:textId="77777777" w:rsidR="00285A8E" w:rsidRPr="00285A8E" w:rsidRDefault="00285A8E" w:rsidP="0019567A">
            <w:pPr>
              <w:jc w:val="both"/>
            </w:pPr>
          </w:p>
        </w:tc>
      </w:tr>
      <w:tr w:rsidR="00285A8E" w:rsidRPr="00285A8E" w14:paraId="76BE7A3A" w14:textId="77777777" w:rsidTr="004B5FED">
        <w:trPr>
          <w:trHeight w:val="280"/>
        </w:trPr>
        <w:tc>
          <w:tcPr>
            <w:tcW w:w="2398" w:type="dxa"/>
          </w:tcPr>
          <w:p w14:paraId="7CC52686" w14:textId="77777777" w:rsidR="00285A8E" w:rsidRPr="00285A8E" w:rsidRDefault="00285A8E" w:rsidP="0019567A">
            <w:pPr>
              <w:jc w:val="both"/>
            </w:pPr>
            <w:r w:rsidRPr="00285A8E">
              <w:t>Low (ref)</w:t>
            </w:r>
          </w:p>
        </w:tc>
        <w:tc>
          <w:tcPr>
            <w:tcW w:w="1198" w:type="dxa"/>
          </w:tcPr>
          <w:p w14:paraId="3263D82B" w14:textId="77777777" w:rsidR="00285A8E" w:rsidRPr="00285A8E" w:rsidRDefault="00285A8E" w:rsidP="0019567A">
            <w:pPr>
              <w:jc w:val="both"/>
            </w:pPr>
          </w:p>
        </w:tc>
        <w:tc>
          <w:tcPr>
            <w:tcW w:w="1200" w:type="dxa"/>
          </w:tcPr>
          <w:p w14:paraId="3B68BC45" w14:textId="77777777" w:rsidR="00285A8E" w:rsidRPr="00285A8E" w:rsidRDefault="00285A8E" w:rsidP="0019567A">
            <w:pPr>
              <w:jc w:val="both"/>
            </w:pPr>
          </w:p>
        </w:tc>
        <w:tc>
          <w:tcPr>
            <w:tcW w:w="1198" w:type="dxa"/>
            <w:shd w:val="clear" w:color="auto" w:fill="BFBFBF" w:themeFill="background1" w:themeFillShade="BF"/>
          </w:tcPr>
          <w:p w14:paraId="3C0B63F4" w14:textId="77777777" w:rsidR="00285A8E" w:rsidRPr="00285A8E" w:rsidRDefault="00285A8E" w:rsidP="0019567A">
            <w:pPr>
              <w:jc w:val="both"/>
            </w:pPr>
          </w:p>
        </w:tc>
        <w:tc>
          <w:tcPr>
            <w:tcW w:w="1200" w:type="dxa"/>
            <w:shd w:val="clear" w:color="auto" w:fill="BFBFBF" w:themeFill="background1" w:themeFillShade="BF"/>
          </w:tcPr>
          <w:p w14:paraId="1C066D05" w14:textId="77777777" w:rsidR="00285A8E" w:rsidRPr="00285A8E" w:rsidRDefault="00285A8E" w:rsidP="0019567A">
            <w:pPr>
              <w:jc w:val="both"/>
            </w:pPr>
          </w:p>
        </w:tc>
        <w:tc>
          <w:tcPr>
            <w:tcW w:w="1198" w:type="dxa"/>
          </w:tcPr>
          <w:p w14:paraId="3D912971" w14:textId="77777777" w:rsidR="00285A8E" w:rsidRPr="00285A8E" w:rsidRDefault="00285A8E" w:rsidP="0019567A">
            <w:pPr>
              <w:jc w:val="both"/>
            </w:pPr>
          </w:p>
        </w:tc>
        <w:tc>
          <w:tcPr>
            <w:tcW w:w="1200" w:type="dxa"/>
          </w:tcPr>
          <w:p w14:paraId="04EF989D" w14:textId="77777777" w:rsidR="00285A8E" w:rsidRPr="00285A8E" w:rsidRDefault="00285A8E" w:rsidP="0019567A">
            <w:pPr>
              <w:jc w:val="both"/>
            </w:pPr>
          </w:p>
        </w:tc>
      </w:tr>
      <w:tr w:rsidR="00285A8E" w:rsidRPr="00285A8E" w14:paraId="416F8624" w14:textId="77777777" w:rsidTr="004B5FED">
        <w:trPr>
          <w:trHeight w:val="272"/>
        </w:trPr>
        <w:tc>
          <w:tcPr>
            <w:tcW w:w="2398" w:type="dxa"/>
          </w:tcPr>
          <w:p w14:paraId="0463EFF2" w14:textId="77777777" w:rsidR="00285A8E" w:rsidRPr="00285A8E" w:rsidRDefault="00285A8E" w:rsidP="0019567A">
            <w:pPr>
              <w:jc w:val="both"/>
            </w:pPr>
            <w:r w:rsidRPr="00285A8E">
              <w:t>High</w:t>
            </w:r>
          </w:p>
        </w:tc>
        <w:tc>
          <w:tcPr>
            <w:tcW w:w="1198" w:type="dxa"/>
          </w:tcPr>
          <w:p w14:paraId="08F8C78C" w14:textId="77777777" w:rsidR="00285A8E" w:rsidRPr="00285A8E" w:rsidRDefault="00285A8E" w:rsidP="0019567A">
            <w:pPr>
              <w:jc w:val="both"/>
            </w:pPr>
            <w:r w:rsidRPr="00285A8E">
              <w:t>-.057</w:t>
            </w:r>
          </w:p>
        </w:tc>
        <w:tc>
          <w:tcPr>
            <w:tcW w:w="1200" w:type="dxa"/>
          </w:tcPr>
          <w:p w14:paraId="4B0BF4EA" w14:textId="77777777" w:rsidR="00285A8E" w:rsidRPr="00285A8E" w:rsidRDefault="00285A8E" w:rsidP="0019567A">
            <w:pPr>
              <w:jc w:val="both"/>
            </w:pPr>
            <w:r w:rsidRPr="00285A8E">
              <w:t>.406</w:t>
            </w:r>
          </w:p>
        </w:tc>
        <w:tc>
          <w:tcPr>
            <w:tcW w:w="1198" w:type="dxa"/>
            <w:shd w:val="clear" w:color="auto" w:fill="BFBFBF" w:themeFill="background1" w:themeFillShade="BF"/>
          </w:tcPr>
          <w:p w14:paraId="24BF918C" w14:textId="77777777" w:rsidR="00285A8E" w:rsidRPr="00285A8E" w:rsidRDefault="00285A8E" w:rsidP="0019567A">
            <w:pPr>
              <w:jc w:val="both"/>
            </w:pPr>
          </w:p>
        </w:tc>
        <w:tc>
          <w:tcPr>
            <w:tcW w:w="1200" w:type="dxa"/>
            <w:shd w:val="clear" w:color="auto" w:fill="BFBFBF" w:themeFill="background1" w:themeFillShade="BF"/>
          </w:tcPr>
          <w:p w14:paraId="643F67D9" w14:textId="77777777" w:rsidR="00285A8E" w:rsidRPr="00285A8E" w:rsidRDefault="00285A8E" w:rsidP="0019567A">
            <w:pPr>
              <w:jc w:val="both"/>
            </w:pPr>
          </w:p>
        </w:tc>
        <w:tc>
          <w:tcPr>
            <w:tcW w:w="1198" w:type="dxa"/>
          </w:tcPr>
          <w:p w14:paraId="6F7FCE50" w14:textId="1E3B8DED" w:rsidR="00285A8E" w:rsidRPr="00285A8E" w:rsidRDefault="00285A8E" w:rsidP="0019567A">
            <w:pPr>
              <w:jc w:val="both"/>
            </w:pPr>
            <w:r w:rsidRPr="00285A8E">
              <w:t>-.07</w:t>
            </w:r>
            <w:r w:rsidR="00874B01">
              <w:t>3</w:t>
            </w:r>
          </w:p>
        </w:tc>
        <w:tc>
          <w:tcPr>
            <w:tcW w:w="1200" w:type="dxa"/>
          </w:tcPr>
          <w:p w14:paraId="151AD524" w14:textId="6DC0810E" w:rsidR="00285A8E" w:rsidRPr="00285A8E" w:rsidRDefault="00285A8E" w:rsidP="00874B01">
            <w:pPr>
              <w:jc w:val="both"/>
            </w:pPr>
            <w:r w:rsidRPr="00285A8E">
              <w:t>.</w:t>
            </w:r>
            <w:r w:rsidR="00874B01">
              <w:t>287</w:t>
            </w:r>
          </w:p>
        </w:tc>
      </w:tr>
      <w:tr w:rsidR="00285A8E" w:rsidRPr="00285A8E" w14:paraId="6CBA17A3" w14:textId="77777777" w:rsidTr="004B5FED">
        <w:trPr>
          <w:trHeight w:val="280"/>
        </w:trPr>
        <w:tc>
          <w:tcPr>
            <w:tcW w:w="2398" w:type="dxa"/>
          </w:tcPr>
          <w:p w14:paraId="6E79F887" w14:textId="77777777" w:rsidR="00285A8E" w:rsidRPr="00285A8E" w:rsidRDefault="00285A8E" w:rsidP="0019567A">
            <w:pPr>
              <w:jc w:val="both"/>
            </w:pPr>
            <w:r w:rsidRPr="00285A8E">
              <w:t>R</w:t>
            </w:r>
            <w:r w:rsidRPr="00285A8E">
              <w:rPr>
                <w:vertAlign w:val="superscript"/>
              </w:rPr>
              <w:t>2</w:t>
            </w:r>
          </w:p>
        </w:tc>
        <w:tc>
          <w:tcPr>
            <w:tcW w:w="2398" w:type="dxa"/>
            <w:gridSpan w:val="2"/>
          </w:tcPr>
          <w:p w14:paraId="584050FF" w14:textId="77777777" w:rsidR="00285A8E" w:rsidRPr="00285A8E" w:rsidRDefault="00285A8E" w:rsidP="0019567A">
            <w:pPr>
              <w:jc w:val="both"/>
            </w:pPr>
            <w:r w:rsidRPr="00285A8E">
              <w:t>.42</w:t>
            </w:r>
          </w:p>
        </w:tc>
        <w:tc>
          <w:tcPr>
            <w:tcW w:w="2398" w:type="dxa"/>
            <w:gridSpan w:val="2"/>
          </w:tcPr>
          <w:p w14:paraId="36702D84" w14:textId="77777777" w:rsidR="00285A8E" w:rsidRPr="00285A8E" w:rsidRDefault="00285A8E" w:rsidP="0019567A">
            <w:pPr>
              <w:jc w:val="both"/>
            </w:pPr>
            <w:r w:rsidRPr="00285A8E">
              <w:t>.31</w:t>
            </w:r>
          </w:p>
        </w:tc>
        <w:tc>
          <w:tcPr>
            <w:tcW w:w="2398" w:type="dxa"/>
            <w:gridSpan w:val="2"/>
          </w:tcPr>
          <w:p w14:paraId="088EE37E" w14:textId="77777777" w:rsidR="00285A8E" w:rsidRPr="00285A8E" w:rsidRDefault="00285A8E" w:rsidP="0019567A">
            <w:pPr>
              <w:jc w:val="both"/>
            </w:pPr>
            <w:r w:rsidRPr="00285A8E">
              <w:t>.43</w:t>
            </w:r>
          </w:p>
        </w:tc>
      </w:tr>
    </w:tbl>
    <w:p w14:paraId="3A29B144" w14:textId="77777777" w:rsidR="00E154BB" w:rsidRDefault="00E154BB" w:rsidP="0019567A">
      <w:pPr>
        <w:jc w:val="both"/>
      </w:pPr>
    </w:p>
    <w:p w14:paraId="3332C2F8" w14:textId="05F1FA22" w:rsidR="00FC7318" w:rsidRPr="00CB2447" w:rsidRDefault="00FC7318" w:rsidP="0019567A">
      <w:pPr>
        <w:jc w:val="both"/>
        <w:rPr>
          <w:rFonts w:eastAsia="Times New Roman" w:cstheme="minorHAnsi"/>
          <w:b/>
          <w:lang w:eastAsia="en-GB"/>
        </w:rPr>
      </w:pPr>
    </w:p>
    <w:sectPr w:rsidR="00FC7318" w:rsidRPr="00CB2447" w:rsidSect="00E154BB">
      <w:pgSz w:w="11906" w:h="16838"/>
      <w:pgMar w:top="709"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5114058" w16cex:dateUtc="2021-10-13T10:24:00Z"/>
  <w16cex:commentExtensible w16cex:durableId="25114442" w16cex:dateUtc="2021-10-13T10:40:00Z"/>
  <w16cex:commentExtensible w16cex:durableId="3BA6C470" w16cex:dateUtc="2021-11-27T18:57:14.787Z"/>
  <w16cex:commentExtensible w16cex:durableId="2511456C" w16cex:dateUtc="2021-10-13T10:45:00Z"/>
  <w16cex:commentExtensible w16cex:durableId="25114638" w16cex:dateUtc="2021-10-13T10:49:00Z"/>
  <w16cex:commentExtensible w16cex:durableId="251146B3" w16cex:dateUtc="2021-10-13T10:51:00Z"/>
  <w16cex:commentExtensible w16cex:durableId="25114750" w16cex:dateUtc="2021-10-13T10:53:00Z"/>
  <w16cex:commentExtensible w16cex:durableId="25114789" w16cex:dateUtc="2021-10-13T10:54:00Z"/>
  <w16cex:commentExtensible w16cex:durableId="251148BB" w16cex:dateUtc="2021-10-13T10:59:00Z"/>
  <w16cex:commentExtensible w16cex:durableId="251147DC" w16cex:dateUtc="2021-10-13T10:56:00Z"/>
  <w16cex:commentExtensible w16cex:durableId="25114901" w16cex:dateUtc="2021-10-13T11:01:00Z"/>
  <w16cex:commentExtensible w16cex:durableId="251149C0" w16cex:dateUtc="2021-10-13T11:04:00Z"/>
  <w16cex:commentExtensible w16cex:durableId="25114A70" w16cex:dateUtc="2021-10-13T11:07:00Z"/>
  <w16cex:commentExtensible w16cex:durableId="25114ABF" w16cex:dateUtc="2021-10-13T11:08:00Z"/>
  <w16cex:commentExtensible w16cex:durableId="7581ADF1" w16cex:dateUtc="2021-11-26T16:21:51.186Z"/>
  <w16cex:commentExtensible w16cex:durableId="5F6CF301" w16cex:dateUtc="2021-12-01T20:10:58.512Z"/>
  <w16cex:commentExtensible w16cex:durableId="626DD3B0" w16cex:dateUtc="2021-12-03T10:28:52.253Z"/>
</w16cex:commentsExtensible>
</file>

<file path=word/commentsIds.xml><?xml version="1.0" encoding="utf-8"?>
<w16cid:commentsIds xmlns:mc="http://schemas.openxmlformats.org/markup-compatibility/2006" xmlns:w16cid="http://schemas.microsoft.com/office/word/2016/wordml/cid" mc:Ignorable="w16cid">
  <w16cid:commentId w16cid:paraId="4F52D47E" w16cid:durableId="250DDB90"/>
  <w16cid:commentId w16cid:paraId="67E398BD" w16cid:durableId="25114058"/>
  <w16cid:commentId w16cid:paraId="463618FE" w16cid:durableId="250DDB92"/>
  <w16cid:commentId w16cid:paraId="246997D9" w16cid:durableId="250DDB93"/>
  <w16cid:commentId w16cid:paraId="2A396876" w16cid:durableId="25114442"/>
  <w16cid:commentId w16cid:paraId="01F335EE" w16cid:durableId="250DDB94"/>
  <w16cid:commentId w16cid:paraId="6A68939F" w16cid:durableId="250DDB95"/>
  <w16cid:commentId w16cid:paraId="5BB3C88B" w16cid:durableId="2511456C"/>
  <w16cid:commentId w16cid:paraId="0BE8A8A9" w16cid:durableId="25114638"/>
  <w16cid:commentId w16cid:paraId="4ED98591" w16cid:durableId="251146B3"/>
  <w16cid:commentId w16cid:paraId="639C9694" w16cid:durableId="25114750"/>
  <w16cid:commentId w16cid:paraId="6240C2EC" w16cid:durableId="25114789"/>
  <w16cid:commentId w16cid:paraId="64CD14AF" w16cid:durableId="251148BB"/>
  <w16cid:commentId w16cid:paraId="75F2DE92" w16cid:durableId="251147DC"/>
  <w16cid:commentId w16cid:paraId="77A2FFF7" w16cid:durableId="250DDB98"/>
  <w16cid:commentId w16cid:paraId="5A9E2570" w16cid:durableId="25114901"/>
  <w16cid:commentId w16cid:paraId="4DABEA87" w16cid:durableId="251149C0"/>
  <w16cid:commentId w16cid:paraId="6EDD24A1" w16cid:durableId="25114A70"/>
  <w16cid:commentId w16cid:paraId="73ED1304" w16cid:durableId="25114ABF"/>
  <w16cid:commentId w16cid:paraId="446EFF1B" w16cid:durableId="25BF8793"/>
  <w16cid:commentId w16cid:paraId="15872AEE" w16cid:durableId="55F1F7C5"/>
  <w16cid:commentId w16cid:paraId="6CB44ECB" w16cid:durableId="5AB4BB68"/>
  <w16cid:commentId w16cid:paraId="63F32590" w16cid:durableId="7581ADF1"/>
  <w16cid:commentId w16cid:paraId="5BE6C92C" w16cid:durableId="3BA6C470"/>
  <w16cid:commentId w16cid:paraId="704A587A" w16cid:durableId="5F6CF301"/>
  <w16cid:commentId w16cid:paraId="154F8E19" w16cid:durableId="626DD3B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F4F775" w14:textId="77777777" w:rsidR="003463C3" w:rsidRDefault="003463C3">
      <w:pPr>
        <w:spacing w:after="0" w:line="240" w:lineRule="auto"/>
      </w:pPr>
      <w:r>
        <w:separator/>
      </w:r>
    </w:p>
  </w:endnote>
  <w:endnote w:type="continuationSeparator" w:id="0">
    <w:p w14:paraId="5097D639" w14:textId="77777777" w:rsidR="003463C3" w:rsidRDefault="00346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427143" w14:textId="77777777" w:rsidR="003463C3" w:rsidRDefault="003463C3">
      <w:pPr>
        <w:spacing w:after="0" w:line="240" w:lineRule="auto"/>
      </w:pPr>
      <w:r>
        <w:separator/>
      </w:r>
    </w:p>
  </w:footnote>
  <w:footnote w:type="continuationSeparator" w:id="0">
    <w:p w14:paraId="769B487F" w14:textId="77777777" w:rsidR="003463C3" w:rsidRDefault="003463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9083929"/>
      <w:docPartObj>
        <w:docPartGallery w:val="Page Numbers (Top of Page)"/>
        <w:docPartUnique/>
      </w:docPartObj>
    </w:sdtPr>
    <w:sdtEndPr>
      <w:rPr>
        <w:rFonts w:asciiTheme="minorHAnsi" w:hAnsiTheme="minorHAnsi"/>
        <w:noProof/>
        <w:sz w:val="20"/>
        <w:szCs w:val="20"/>
      </w:rPr>
    </w:sdtEndPr>
    <w:sdtContent>
      <w:p w14:paraId="00E50FBC" w14:textId="47EBFEB7" w:rsidR="000B2C46" w:rsidRPr="001F47A4" w:rsidRDefault="000B2C46">
        <w:pPr>
          <w:pStyle w:val="Header"/>
          <w:jc w:val="right"/>
          <w:rPr>
            <w:rFonts w:asciiTheme="minorHAnsi" w:hAnsiTheme="minorHAnsi"/>
            <w:sz w:val="20"/>
            <w:szCs w:val="20"/>
          </w:rPr>
        </w:pPr>
        <w:r w:rsidRPr="001F47A4">
          <w:rPr>
            <w:rFonts w:asciiTheme="minorHAnsi" w:hAnsiTheme="minorHAnsi"/>
            <w:sz w:val="20"/>
            <w:szCs w:val="20"/>
          </w:rPr>
          <w:fldChar w:fldCharType="begin"/>
        </w:r>
        <w:r w:rsidRPr="001F47A4">
          <w:rPr>
            <w:rFonts w:asciiTheme="minorHAnsi" w:hAnsiTheme="minorHAnsi"/>
            <w:sz w:val="20"/>
            <w:szCs w:val="20"/>
          </w:rPr>
          <w:instrText xml:space="preserve"> PAGE   \* MERGEFORMAT </w:instrText>
        </w:r>
        <w:r w:rsidRPr="001F47A4">
          <w:rPr>
            <w:rFonts w:asciiTheme="minorHAnsi" w:hAnsiTheme="minorHAnsi"/>
            <w:sz w:val="20"/>
            <w:szCs w:val="20"/>
          </w:rPr>
          <w:fldChar w:fldCharType="separate"/>
        </w:r>
        <w:r w:rsidR="00B940C6">
          <w:rPr>
            <w:rFonts w:asciiTheme="minorHAnsi" w:hAnsiTheme="minorHAnsi"/>
            <w:noProof/>
            <w:sz w:val="20"/>
            <w:szCs w:val="20"/>
          </w:rPr>
          <w:t>21</w:t>
        </w:r>
        <w:r w:rsidRPr="001F47A4">
          <w:rPr>
            <w:rFonts w:asciiTheme="minorHAnsi" w:hAnsiTheme="minorHAnsi"/>
            <w:noProof/>
            <w:sz w:val="20"/>
            <w:szCs w:val="20"/>
          </w:rPr>
          <w:fldChar w:fldCharType="end"/>
        </w:r>
      </w:p>
    </w:sdtContent>
  </w:sdt>
  <w:p w14:paraId="6E994C67" w14:textId="77777777" w:rsidR="000B2C46" w:rsidRDefault="000B2C46">
    <w:pPr>
      <w:pStyle w:val="Header"/>
    </w:pPr>
  </w:p>
</w:hdr>
</file>

<file path=word/intelligence.xml><?xml version="1.0" encoding="utf-8"?>
<int:Intelligence xmlns:int="http://schemas.microsoft.com/office/intelligence/2019/intelligence">
  <int:IntelligenceSettings/>
  <int:Manifest>
    <int:ParagraphRange paragraphId="1092946030" textId="941279460" start="908" length="26" invalidationStart="908" invalidationLength="26" id="Ndl7s72z"/>
    <int:WordHash hashCode="N6DItY4f2kpI0q" id="1byjT/Ii"/>
    <int:WordHash hashCode="XfnPlw4VbdG38c" id="VithlnAN"/>
    <int:WordHash hashCode="DvwBF5XRtWRjiY" id="X3WX6jn6"/>
    <int:WordHash hashCode="/gVO6lbL1z4Mat" id="rdOcmFG9"/>
    <int:WordHash hashCode="Xtd/m0q4wMGK5R" id="eIEZTnrX"/>
    <int:WordHash hashCode="8+wXkcCV+G/AIk" id="McTCZzcz"/>
  </int:Manifest>
  <int:Observations>
    <int:Content id="Ndl7s72z">
      <int:Rejection type="LegacyProofing"/>
    </int:Content>
    <int:Content id="1byjT/Ii">
      <int:Rejection type="AugLoop_Text_Critique"/>
    </int:Content>
    <int:Content id="VithlnAN">
      <int:Rejection type="AugLoop_Text_Critique"/>
    </int:Content>
    <int:Content id="X3WX6jn6">
      <int:Rejection type="AugLoop_Text_Critique"/>
    </int:Content>
    <int:Content id="rdOcmFG9">
      <int:Rejection type="AugLoop_Text_Critique"/>
    </int:Content>
    <int:Content id="eIEZTnrX">
      <int:Rejection type="AugLoop_Text_Critique"/>
    </int:Content>
    <int:Content id="McTCZzcz">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6A077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D87FAD"/>
    <w:multiLevelType w:val="hybridMultilevel"/>
    <w:tmpl w:val="C3C01644"/>
    <w:lvl w:ilvl="0" w:tplc="D2BE4DB0">
      <w:start w:val="1"/>
      <w:numFmt w:val="decimal"/>
      <w:lvlText w:val="%1"/>
      <w:lvlJc w:val="left"/>
      <w:pPr>
        <w:ind w:left="1996" w:hanging="72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2" w15:restartNumberingAfterBreak="0">
    <w:nsid w:val="059F6582"/>
    <w:multiLevelType w:val="hybridMultilevel"/>
    <w:tmpl w:val="CF28F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0065F9"/>
    <w:multiLevelType w:val="hybridMultilevel"/>
    <w:tmpl w:val="01DCA6B0"/>
    <w:lvl w:ilvl="0" w:tplc="4BD6C04E">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D7E5BC1"/>
    <w:multiLevelType w:val="hybridMultilevel"/>
    <w:tmpl w:val="7A4E7348"/>
    <w:lvl w:ilvl="0" w:tplc="9CBA091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986ABE"/>
    <w:multiLevelType w:val="multilevel"/>
    <w:tmpl w:val="CF1A95AA"/>
    <w:lvl w:ilvl="0">
      <w:start w:val="4"/>
      <w:numFmt w:val="decimal"/>
      <w:lvlText w:val="%1"/>
      <w:lvlJc w:val="left"/>
      <w:pPr>
        <w:ind w:left="720" w:hanging="360"/>
      </w:pPr>
      <w:rPr>
        <w:rFonts w:hint="default"/>
      </w:rPr>
    </w:lvl>
    <w:lvl w:ilvl="1">
      <w:start w:val="8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EE97D1E"/>
    <w:multiLevelType w:val="hybridMultilevel"/>
    <w:tmpl w:val="69602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7E493E"/>
    <w:multiLevelType w:val="hybridMultilevel"/>
    <w:tmpl w:val="C560770A"/>
    <w:lvl w:ilvl="0" w:tplc="9B00D4D0">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0805E35"/>
    <w:multiLevelType w:val="hybridMultilevel"/>
    <w:tmpl w:val="D9DECB42"/>
    <w:lvl w:ilvl="0" w:tplc="1BE0E154">
      <w:start w:val="1"/>
      <w:numFmt w:val="bullet"/>
      <w:lvlText w:val=""/>
      <w:lvlJc w:val="left"/>
      <w:pPr>
        <w:ind w:left="720" w:hanging="360"/>
      </w:pPr>
      <w:rPr>
        <w:rFonts w:ascii="Symbol" w:hAnsi="Symbol" w:hint="default"/>
      </w:rPr>
    </w:lvl>
    <w:lvl w:ilvl="1" w:tplc="09A8D5E2">
      <w:start w:val="1"/>
      <w:numFmt w:val="bullet"/>
      <w:lvlText w:val="o"/>
      <w:lvlJc w:val="left"/>
      <w:pPr>
        <w:ind w:left="1440" w:hanging="360"/>
      </w:pPr>
      <w:rPr>
        <w:rFonts w:ascii="Courier New" w:hAnsi="Courier New" w:hint="default"/>
      </w:rPr>
    </w:lvl>
    <w:lvl w:ilvl="2" w:tplc="C1A803A6">
      <w:start w:val="1"/>
      <w:numFmt w:val="bullet"/>
      <w:lvlText w:val=""/>
      <w:lvlJc w:val="left"/>
      <w:pPr>
        <w:ind w:left="2160" w:hanging="360"/>
      </w:pPr>
      <w:rPr>
        <w:rFonts w:ascii="Wingdings" w:hAnsi="Wingdings" w:hint="default"/>
      </w:rPr>
    </w:lvl>
    <w:lvl w:ilvl="3" w:tplc="75744644">
      <w:start w:val="1"/>
      <w:numFmt w:val="bullet"/>
      <w:lvlText w:val=""/>
      <w:lvlJc w:val="left"/>
      <w:pPr>
        <w:ind w:left="2880" w:hanging="360"/>
      </w:pPr>
      <w:rPr>
        <w:rFonts w:ascii="Symbol" w:hAnsi="Symbol" w:hint="default"/>
      </w:rPr>
    </w:lvl>
    <w:lvl w:ilvl="4" w:tplc="28E66784">
      <w:start w:val="1"/>
      <w:numFmt w:val="bullet"/>
      <w:lvlText w:val="o"/>
      <w:lvlJc w:val="left"/>
      <w:pPr>
        <w:ind w:left="3600" w:hanging="360"/>
      </w:pPr>
      <w:rPr>
        <w:rFonts w:ascii="Courier New" w:hAnsi="Courier New" w:hint="default"/>
      </w:rPr>
    </w:lvl>
    <w:lvl w:ilvl="5" w:tplc="AC608202">
      <w:start w:val="1"/>
      <w:numFmt w:val="bullet"/>
      <w:lvlText w:val=""/>
      <w:lvlJc w:val="left"/>
      <w:pPr>
        <w:ind w:left="4320" w:hanging="360"/>
      </w:pPr>
      <w:rPr>
        <w:rFonts w:ascii="Wingdings" w:hAnsi="Wingdings" w:hint="default"/>
      </w:rPr>
    </w:lvl>
    <w:lvl w:ilvl="6" w:tplc="0A3269F6">
      <w:start w:val="1"/>
      <w:numFmt w:val="bullet"/>
      <w:lvlText w:val=""/>
      <w:lvlJc w:val="left"/>
      <w:pPr>
        <w:ind w:left="5040" w:hanging="360"/>
      </w:pPr>
      <w:rPr>
        <w:rFonts w:ascii="Symbol" w:hAnsi="Symbol" w:hint="default"/>
      </w:rPr>
    </w:lvl>
    <w:lvl w:ilvl="7" w:tplc="8FC64B24">
      <w:start w:val="1"/>
      <w:numFmt w:val="bullet"/>
      <w:lvlText w:val="o"/>
      <w:lvlJc w:val="left"/>
      <w:pPr>
        <w:ind w:left="5760" w:hanging="360"/>
      </w:pPr>
      <w:rPr>
        <w:rFonts w:ascii="Courier New" w:hAnsi="Courier New" w:hint="default"/>
      </w:rPr>
    </w:lvl>
    <w:lvl w:ilvl="8" w:tplc="36DE568C">
      <w:start w:val="1"/>
      <w:numFmt w:val="bullet"/>
      <w:lvlText w:val=""/>
      <w:lvlJc w:val="left"/>
      <w:pPr>
        <w:ind w:left="6480" w:hanging="360"/>
      </w:pPr>
      <w:rPr>
        <w:rFonts w:ascii="Wingdings" w:hAnsi="Wingdings" w:hint="default"/>
      </w:rPr>
    </w:lvl>
  </w:abstractNum>
  <w:abstractNum w:abstractNumId="9" w15:restartNumberingAfterBreak="0">
    <w:nsid w:val="382930A1"/>
    <w:multiLevelType w:val="hybridMultilevel"/>
    <w:tmpl w:val="4F503490"/>
    <w:lvl w:ilvl="0" w:tplc="CD56101C">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0" w15:restartNumberingAfterBreak="0">
    <w:nsid w:val="42200D76"/>
    <w:multiLevelType w:val="hybridMultilevel"/>
    <w:tmpl w:val="AC2A3284"/>
    <w:lvl w:ilvl="0" w:tplc="87FA0B66">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6B53E8F"/>
    <w:multiLevelType w:val="hybridMultilevel"/>
    <w:tmpl w:val="688AECB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560A0138"/>
    <w:multiLevelType w:val="hybridMultilevel"/>
    <w:tmpl w:val="FFF05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3E0A6A"/>
    <w:multiLevelType w:val="hybridMultilevel"/>
    <w:tmpl w:val="326A561A"/>
    <w:lvl w:ilvl="0" w:tplc="6EBCC50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8"/>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1"/>
  </w:num>
  <w:num w:numId="5">
    <w:abstractNumId w:val="2"/>
  </w:num>
  <w:num w:numId="6">
    <w:abstractNumId w:val="1"/>
  </w:num>
  <w:num w:numId="7">
    <w:abstractNumId w:val="5"/>
  </w:num>
  <w:num w:numId="8">
    <w:abstractNumId w:val="10"/>
  </w:num>
  <w:num w:numId="9">
    <w:abstractNumId w:val="4"/>
  </w:num>
  <w:num w:numId="10">
    <w:abstractNumId w:val="7"/>
  </w:num>
  <w:num w:numId="11">
    <w:abstractNumId w:val="3"/>
  </w:num>
  <w:num w:numId="12">
    <w:abstractNumId w:val="13"/>
  </w:num>
  <w:num w:numId="13">
    <w:abstractNumId w:val="0"/>
  </w:num>
  <w:num w:numId="14">
    <w:abstractNumId w:val="1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Har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tawarawyx09viev9fkx0pssszwvxzv5tf2v&quot;&gt;My EndNote Library Copy.enl.April.2020.&lt;record-ids&gt;&lt;item&gt;2085&lt;/item&gt;&lt;/record-ids&gt;&lt;/item&gt;&lt;/Libraries&gt;"/>
  </w:docVars>
  <w:rsids>
    <w:rsidRoot w:val="00664BBC"/>
    <w:rsid w:val="000004B9"/>
    <w:rsid w:val="00001039"/>
    <w:rsid w:val="0000294D"/>
    <w:rsid w:val="000057EF"/>
    <w:rsid w:val="00006B18"/>
    <w:rsid w:val="000075DB"/>
    <w:rsid w:val="0001330D"/>
    <w:rsid w:val="00013FEE"/>
    <w:rsid w:val="00015CF6"/>
    <w:rsid w:val="00016568"/>
    <w:rsid w:val="00024AEA"/>
    <w:rsid w:val="00025581"/>
    <w:rsid w:val="00026EC3"/>
    <w:rsid w:val="00027515"/>
    <w:rsid w:val="00027562"/>
    <w:rsid w:val="000310AF"/>
    <w:rsid w:val="00035CB4"/>
    <w:rsid w:val="0003620B"/>
    <w:rsid w:val="00042E72"/>
    <w:rsid w:val="00051647"/>
    <w:rsid w:val="000537B8"/>
    <w:rsid w:val="00055760"/>
    <w:rsid w:val="00057289"/>
    <w:rsid w:val="000606E3"/>
    <w:rsid w:val="000616D4"/>
    <w:rsid w:val="00061D7D"/>
    <w:rsid w:val="000623D9"/>
    <w:rsid w:val="00062F3A"/>
    <w:rsid w:val="00063132"/>
    <w:rsid w:val="0006316B"/>
    <w:rsid w:val="00064079"/>
    <w:rsid w:val="00066B1B"/>
    <w:rsid w:val="00070628"/>
    <w:rsid w:val="0007092F"/>
    <w:rsid w:val="000767B6"/>
    <w:rsid w:val="00082263"/>
    <w:rsid w:val="0008383D"/>
    <w:rsid w:val="00085A44"/>
    <w:rsid w:val="00087BA0"/>
    <w:rsid w:val="00090D71"/>
    <w:rsid w:val="00092921"/>
    <w:rsid w:val="0009431B"/>
    <w:rsid w:val="0009505C"/>
    <w:rsid w:val="00097577"/>
    <w:rsid w:val="000A457A"/>
    <w:rsid w:val="000A48F7"/>
    <w:rsid w:val="000A69FC"/>
    <w:rsid w:val="000A72B2"/>
    <w:rsid w:val="000A7C85"/>
    <w:rsid w:val="000B2C46"/>
    <w:rsid w:val="000B76B3"/>
    <w:rsid w:val="000C0393"/>
    <w:rsid w:val="000C708C"/>
    <w:rsid w:val="000C7E1D"/>
    <w:rsid w:val="000E2DA5"/>
    <w:rsid w:val="000E3CBC"/>
    <w:rsid w:val="000E6D04"/>
    <w:rsid w:val="000E7386"/>
    <w:rsid w:val="000F2878"/>
    <w:rsid w:val="000F4C01"/>
    <w:rsid w:val="000F637E"/>
    <w:rsid w:val="000F7008"/>
    <w:rsid w:val="001003C8"/>
    <w:rsid w:val="00101108"/>
    <w:rsid w:val="00101157"/>
    <w:rsid w:val="001018E2"/>
    <w:rsid w:val="0010270A"/>
    <w:rsid w:val="0010560A"/>
    <w:rsid w:val="001070C5"/>
    <w:rsid w:val="0011037B"/>
    <w:rsid w:val="00113D8A"/>
    <w:rsid w:val="0011403E"/>
    <w:rsid w:val="0011589E"/>
    <w:rsid w:val="00122687"/>
    <w:rsid w:val="00134F78"/>
    <w:rsid w:val="00136EA7"/>
    <w:rsid w:val="00137FC3"/>
    <w:rsid w:val="00140773"/>
    <w:rsid w:val="001414B6"/>
    <w:rsid w:val="00141EF6"/>
    <w:rsid w:val="00144116"/>
    <w:rsid w:val="00144CE5"/>
    <w:rsid w:val="00146D8E"/>
    <w:rsid w:val="001479E7"/>
    <w:rsid w:val="00155BFC"/>
    <w:rsid w:val="00161A6A"/>
    <w:rsid w:val="001630B9"/>
    <w:rsid w:val="00163478"/>
    <w:rsid w:val="0016571D"/>
    <w:rsid w:val="00166D9F"/>
    <w:rsid w:val="00170966"/>
    <w:rsid w:val="0017107D"/>
    <w:rsid w:val="00172D97"/>
    <w:rsid w:val="00172FC5"/>
    <w:rsid w:val="001738F9"/>
    <w:rsid w:val="00175570"/>
    <w:rsid w:val="001759A7"/>
    <w:rsid w:val="00180500"/>
    <w:rsid w:val="00185909"/>
    <w:rsid w:val="00191F77"/>
    <w:rsid w:val="001939AA"/>
    <w:rsid w:val="00194A6E"/>
    <w:rsid w:val="00195158"/>
    <w:rsid w:val="0019567A"/>
    <w:rsid w:val="001960F7"/>
    <w:rsid w:val="00197944"/>
    <w:rsid w:val="00197FEB"/>
    <w:rsid w:val="001A074D"/>
    <w:rsid w:val="001A0E04"/>
    <w:rsid w:val="001A3A62"/>
    <w:rsid w:val="001A79B9"/>
    <w:rsid w:val="001A7CFD"/>
    <w:rsid w:val="001A7F21"/>
    <w:rsid w:val="001B140A"/>
    <w:rsid w:val="001B2EE3"/>
    <w:rsid w:val="001B4B32"/>
    <w:rsid w:val="001C020C"/>
    <w:rsid w:val="001C303D"/>
    <w:rsid w:val="001C321C"/>
    <w:rsid w:val="001C3D4C"/>
    <w:rsid w:val="001C5484"/>
    <w:rsid w:val="001D16BB"/>
    <w:rsid w:val="001D32BD"/>
    <w:rsid w:val="001D3C64"/>
    <w:rsid w:val="001D4F1A"/>
    <w:rsid w:val="001D580F"/>
    <w:rsid w:val="001D5C20"/>
    <w:rsid w:val="001E19EA"/>
    <w:rsid w:val="001E538C"/>
    <w:rsid w:val="001E5955"/>
    <w:rsid w:val="001E5B6C"/>
    <w:rsid w:val="001E7D4B"/>
    <w:rsid w:val="001F3AA0"/>
    <w:rsid w:val="0020060B"/>
    <w:rsid w:val="002150D1"/>
    <w:rsid w:val="0022042B"/>
    <w:rsid w:val="00221286"/>
    <w:rsid w:val="002215F7"/>
    <w:rsid w:val="00222216"/>
    <w:rsid w:val="00222698"/>
    <w:rsid w:val="00222F76"/>
    <w:rsid w:val="0022446E"/>
    <w:rsid w:val="002257E1"/>
    <w:rsid w:val="00226915"/>
    <w:rsid w:val="0022787C"/>
    <w:rsid w:val="002332B6"/>
    <w:rsid w:val="00235862"/>
    <w:rsid w:val="00246005"/>
    <w:rsid w:val="00250094"/>
    <w:rsid w:val="00251989"/>
    <w:rsid w:val="00252695"/>
    <w:rsid w:val="00255869"/>
    <w:rsid w:val="002602EF"/>
    <w:rsid w:val="00261E29"/>
    <w:rsid w:val="0026392B"/>
    <w:rsid w:val="002716C5"/>
    <w:rsid w:val="002718A4"/>
    <w:rsid w:val="00274537"/>
    <w:rsid w:val="00280A84"/>
    <w:rsid w:val="002816C5"/>
    <w:rsid w:val="0028240B"/>
    <w:rsid w:val="00283D41"/>
    <w:rsid w:val="00284F77"/>
    <w:rsid w:val="00285A8E"/>
    <w:rsid w:val="002874A2"/>
    <w:rsid w:val="00291134"/>
    <w:rsid w:val="00292198"/>
    <w:rsid w:val="00293338"/>
    <w:rsid w:val="00294DBD"/>
    <w:rsid w:val="00295536"/>
    <w:rsid w:val="002978C8"/>
    <w:rsid w:val="002A2B45"/>
    <w:rsid w:val="002A2FE8"/>
    <w:rsid w:val="002A5B37"/>
    <w:rsid w:val="002A5ED8"/>
    <w:rsid w:val="002B353D"/>
    <w:rsid w:val="002B7166"/>
    <w:rsid w:val="002B767D"/>
    <w:rsid w:val="002C1615"/>
    <w:rsid w:val="002C5095"/>
    <w:rsid w:val="002C6D41"/>
    <w:rsid w:val="002D12F6"/>
    <w:rsid w:val="002D2378"/>
    <w:rsid w:val="002D28F0"/>
    <w:rsid w:val="002D67F0"/>
    <w:rsid w:val="002E4B10"/>
    <w:rsid w:val="002E5264"/>
    <w:rsid w:val="002F0E15"/>
    <w:rsid w:val="002F0F8F"/>
    <w:rsid w:val="002F23BD"/>
    <w:rsid w:val="002F24F0"/>
    <w:rsid w:val="002F2CE0"/>
    <w:rsid w:val="002F3594"/>
    <w:rsid w:val="002F4064"/>
    <w:rsid w:val="002F4A1C"/>
    <w:rsid w:val="002F61F3"/>
    <w:rsid w:val="002F68C5"/>
    <w:rsid w:val="002F7C02"/>
    <w:rsid w:val="00300682"/>
    <w:rsid w:val="00300685"/>
    <w:rsid w:val="00302198"/>
    <w:rsid w:val="00302D55"/>
    <w:rsid w:val="0030555F"/>
    <w:rsid w:val="00305CB9"/>
    <w:rsid w:val="00306CD7"/>
    <w:rsid w:val="00310CDD"/>
    <w:rsid w:val="00313C0D"/>
    <w:rsid w:val="00315392"/>
    <w:rsid w:val="0031612E"/>
    <w:rsid w:val="00321926"/>
    <w:rsid w:val="0032508F"/>
    <w:rsid w:val="003255ED"/>
    <w:rsid w:val="00325CD8"/>
    <w:rsid w:val="0032695B"/>
    <w:rsid w:val="00330246"/>
    <w:rsid w:val="00330A7E"/>
    <w:rsid w:val="0033133F"/>
    <w:rsid w:val="00333C04"/>
    <w:rsid w:val="00334DE5"/>
    <w:rsid w:val="00335A13"/>
    <w:rsid w:val="00341425"/>
    <w:rsid w:val="00343918"/>
    <w:rsid w:val="003463C3"/>
    <w:rsid w:val="00347B3C"/>
    <w:rsid w:val="00350FDE"/>
    <w:rsid w:val="003516A9"/>
    <w:rsid w:val="00351D33"/>
    <w:rsid w:val="003529D3"/>
    <w:rsid w:val="00354B32"/>
    <w:rsid w:val="0035692A"/>
    <w:rsid w:val="0036027D"/>
    <w:rsid w:val="0036157F"/>
    <w:rsid w:val="003620E4"/>
    <w:rsid w:val="003636B6"/>
    <w:rsid w:val="00363F33"/>
    <w:rsid w:val="00364584"/>
    <w:rsid w:val="00366808"/>
    <w:rsid w:val="00367F17"/>
    <w:rsid w:val="00370E3E"/>
    <w:rsid w:val="003745B4"/>
    <w:rsid w:val="0037729F"/>
    <w:rsid w:val="003774B6"/>
    <w:rsid w:val="003802DE"/>
    <w:rsid w:val="003819D5"/>
    <w:rsid w:val="0038563B"/>
    <w:rsid w:val="00390799"/>
    <w:rsid w:val="00393B28"/>
    <w:rsid w:val="00395EDF"/>
    <w:rsid w:val="003963C7"/>
    <w:rsid w:val="003966AB"/>
    <w:rsid w:val="00397515"/>
    <w:rsid w:val="003A006C"/>
    <w:rsid w:val="003A1492"/>
    <w:rsid w:val="003A2CC0"/>
    <w:rsid w:val="003A3D96"/>
    <w:rsid w:val="003A454A"/>
    <w:rsid w:val="003A6532"/>
    <w:rsid w:val="003A6EFF"/>
    <w:rsid w:val="003B06C3"/>
    <w:rsid w:val="003B150A"/>
    <w:rsid w:val="003B6862"/>
    <w:rsid w:val="003B6B95"/>
    <w:rsid w:val="003B7ABE"/>
    <w:rsid w:val="003C052A"/>
    <w:rsid w:val="003C27FD"/>
    <w:rsid w:val="003C4328"/>
    <w:rsid w:val="003C7206"/>
    <w:rsid w:val="003D0802"/>
    <w:rsid w:val="003D1AF4"/>
    <w:rsid w:val="003D2586"/>
    <w:rsid w:val="003D29F2"/>
    <w:rsid w:val="003D58DE"/>
    <w:rsid w:val="003E1763"/>
    <w:rsid w:val="003E5B35"/>
    <w:rsid w:val="003E5D22"/>
    <w:rsid w:val="003F1BFF"/>
    <w:rsid w:val="003F602C"/>
    <w:rsid w:val="004137A0"/>
    <w:rsid w:val="00415619"/>
    <w:rsid w:val="00416762"/>
    <w:rsid w:val="00417841"/>
    <w:rsid w:val="004200F7"/>
    <w:rsid w:val="00421702"/>
    <w:rsid w:val="00423170"/>
    <w:rsid w:val="004330B4"/>
    <w:rsid w:val="004376AE"/>
    <w:rsid w:val="00437F6D"/>
    <w:rsid w:val="004400BC"/>
    <w:rsid w:val="00440148"/>
    <w:rsid w:val="00440781"/>
    <w:rsid w:val="004452F9"/>
    <w:rsid w:val="00447AE5"/>
    <w:rsid w:val="00452503"/>
    <w:rsid w:val="00454C3D"/>
    <w:rsid w:val="00455686"/>
    <w:rsid w:val="00464560"/>
    <w:rsid w:val="00464F7B"/>
    <w:rsid w:val="00465F66"/>
    <w:rsid w:val="0046624D"/>
    <w:rsid w:val="0046631A"/>
    <w:rsid w:val="00467A92"/>
    <w:rsid w:val="004733E2"/>
    <w:rsid w:val="004761D8"/>
    <w:rsid w:val="00477815"/>
    <w:rsid w:val="00481647"/>
    <w:rsid w:val="00481A72"/>
    <w:rsid w:val="004853F6"/>
    <w:rsid w:val="00485B77"/>
    <w:rsid w:val="0048678E"/>
    <w:rsid w:val="0048714C"/>
    <w:rsid w:val="004901CB"/>
    <w:rsid w:val="00490E3E"/>
    <w:rsid w:val="00491186"/>
    <w:rsid w:val="004939C9"/>
    <w:rsid w:val="00494DF4"/>
    <w:rsid w:val="00497DB0"/>
    <w:rsid w:val="004A0C0F"/>
    <w:rsid w:val="004A22F1"/>
    <w:rsid w:val="004A50E5"/>
    <w:rsid w:val="004A6C9A"/>
    <w:rsid w:val="004A6D56"/>
    <w:rsid w:val="004A7A4F"/>
    <w:rsid w:val="004B1D89"/>
    <w:rsid w:val="004B21B8"/>
    <w:rsid w:val="004B5FED"/>
    <w:rsid w:val="004B628D"/>
    <w:rsid w:val="004B6DD1"/>
    <w:rsid w:val="004B774A"/>
    <w:rsid w:val="004B7F7C"/>
    <w:rsid w:val="004C10EA"/>
    <w:rsid w:val="004C49F4"/>
    <w:rsid w:val="004C53D2"/>
    <w:rsid w:val="004C55CB"/>
    <w:rsid w:val="004D7740"/>
    <w:rsid w:val="004E4276"/>
    <w:rsid w:val="004F10BA"/>
    <w:rsid w:val="004F29D2"/>
    <w:rsid w:val="004F5C26"/>
    <w:rsid w:val="004F6284"/>
    <w:rsid w:val="00501F1D"/>
    <w:rsid w:val="00501F3A"/>
    <w:rsid w:val="00507275"/>
    <w:rsid w:val="005105C9"/>
    <w:rsid w:val="0051331B"/>
    <w:rsid w:val="005149D7"/>
    <w:rsid w:val="00516391"/>
    <w:rsid w:val="00517D30"/>
    <w:rsid w:val="005229F0"/>
    <w:rsid w:val="00522FE5"/>
    <w:rsid w:val="005238DD"/>
    <w:rsid w:val="00525583"/>
    <w:rsid w:val="00526C8D"/>
    <w:rsid w:val="00536695"/>
    <w:rsid w:val="0053683A"/>
    <w:rsid w:val="00540176"/>
    <w:rsid w:val="00547689"/>
    <w:rsid w:val="00550EF4"/>
    <w:rsid w:val="00551401"/>
    <w:rsid w:val="00552477"/>
    <w:rsid w:val="0055335B"/>
    <w:rsid w:val="0055465D"/>
    <w:rsid w:val="005556B6"/>
    <w:rsid w:val="00557605"/>
    <w:rsid w:val="00557ED3"/>
    <w:rsid w:val="005602DC"/>
    <w:rsid w:val="0056072F"/>
    <w:rsid w:val="005634F2"/>
    <w:rsid w:val="0056612F"/>
    <w:rsid w:val="00567BE6"/>
    <w:rsid w:val="00571039"/>
    <w:rsid w:val="00572EB0"/>
    <w:rsid w:val="00576000"/>
    <w:rsid w:val="005777C9"/>
    <w:rsid w:val="00581083"/>
    <w:rsid w:val="0058403B"/>
    <w:rsid w:val="00584360"/>
    <w:rsid w:val="00587525"/>
    <w:rsid w:val="00590B9E"/>
    <w:rsid w:val="00592114"/>
    <w:rsid w:val="00592239"/>
    <w:rsid w:val="005925F4"/>
    <w:rsid w:val="00592E9C"/>
    <w:rsid w:val="00595A7C"/>
    <w:rsid w:val="005A212E"/>
    <w:rsid w:val="005A2572"/>
    <w:rsid w:val="005A26D1"/>
    <w:rsid w:val="005A378F"/>
    <w:rsid w:val="005A69BE"/>
    <w:rsid w:val="005B3383"/>
    <w:rsid w:val="005B5655"/>
    <w:rsid w:val="005B6D49"/>
    <w:rsid w:val="005C2BC5"/>
    <w:rsid w:val="005C2C17"/>
    <w:rsid w:val="005C60C0"/>
    <w:rsid w:val="005C6A4B"/>
    <w:rsid w:val="005D05F1"/>
    <w:rsid w:val="005D2029"/>
    <w:rsid w:val="005D232B"/>
    <w:rsid w:val="005D46E9"/>
    <w:rsid w:val="005D547D"/>
    <w:rsid w:val="005D5BCC"/>
    <w:rsid w:val="005D666A"/>
    <w:rsid w:val="005E41FF"/>
    <w:rsid w:val="005E571E"/>
    <w:rsid w:val="005E65CB"/>
    <w:rsid w:val="005E67D1"/>
    <w:rsid w:val="005E7A60"/>
    <w:rsid w:val="005F4800"/>
    <w:rsid w:val="00601807"/>
    <w:rsid w:val="00605002"/>
    <w:rsid w:val="0060548B"/>
    <w:rsid w:val="00605FBE"/>
    <w:rsid w:val="0060790C"/>
    <w:rsid w:val="00607BFE"/>
    <w:rsid w:val="00612EE3"/>
    <w:rsid w:val="00622271"/>
    <w:rsid w:val="00622B69"/>
    <w:rsid w:val="00626D17"/>
    <w:rsid w:val="00631A51"/>
    <w:rsid w:val="006336BB"/>
    <w:rsid w:val="00634C05"/>
    <w:rsid w:val="00637176"/>
    <w:rsid w:val="00637BDC"/>
    <w:rsid w:val="00637E41"/>
    <w:rsid w:val="0064172C"/>
    <w:rsid w:val="0064189C"/>
    <w:rsid w:val="00644CD6"/>
    <w:rsid w:val="00646B4B"/>
    <w:rsid w:val="00651F9E"/>
    <w:rsid w:val="00652CCF"/>
    <w:rsid w:val="00653B8D"/>
    <w:rsid w:val="006541C1"/>
    <w:rsid w:val="006558CA"/>
    <w:rsid w:val="00656AB1"/>
    <w:rsid w:val="006578E9"/>
    <w:rsid w:val="00663467"/>
    <w:rsid w:val="00664BBC"/>
    <w:rsid w:val="00667CDB"/>
    <w:rsid w:val="00671BC5"/>
    <w:rsid w:val="00672D35"/>
    <w:rsid w:val="006739CD"/>
    <w:rsid w:val="00680FB5"/>
    <w:rsid w:val="0068561F"/>
    <w:rsid w:val="00685BF0"/>
    <w:rsid w:val="006910AD"/>
    <w:rsid w:val="00692E22"/>
    <w:rsid w:val="00693090"/>
    <w:rsid w:val="00693AD6"/>
    <w:rsid w:val="00693AF4"/>
    <w:rsid w:val="0069659B"/>
    <w:rsid w:val="006A22F3"/>
    <w:rsid w:val="006A306D"/>
    <w:rsid w:val="006A3CCA"/>
    <w:rsid w:val="006A4B60"/>
    <w:rsid w:val="006B36DB"/>
    <w:rsid w:val="006C1F9C"/>
    <w:rsid w:val="006C79DB"/>
    <w:rsid w:val="006D14B0"/>
    <w:rsid w:val="006D52E5"/>
    <w:rsid w:val="006E0D2B"/>
    <w:rsid w:val="006E23CF"/>
    <w:rsid w:val="006E25E5"/>
    <w:rsid w:val="006E307A"/>
    <w:rsid w:val="006E32FD"/>
    <w:rsid w:val="006E3AA4"/>
    <w:rsid w:val="006E7BD8"/>
    <w:rsid w:val="006E7D05"/>
    <w:rsid w:val="006F0443"/>
    <w:rsid w:val="006F0CFB"/>
    <w:rsid w:val="006F1FB8"/>
    <w:rsid w:val="006F2C79"/>
    <w:rsid w:val="006F5CFC"/>
    <w:rsid w:val="006F6676"/>
    <w:rsid w:val="006F6E81"/>
    <w:rsid w:val="00700AEA"/>
    <w:rsid w:val="007050E5"/>
    <w:rsid w:val="00705BCB"/>
    <w:rsid w:val="007107D3"/>
    <w:rsid w:val="00710EC1"/>
    <w:rsid w:val="007152BC"/>
    <w:rsid w:val="007153AB"/>
    <w:rsid w:val="00725244"/>
    <w:rsid w:val="00726D0E"/>
    <w:rsid w:val="007310AD"/>
    <w:rsid w:val="0073495A"/>
    <w:rsid w:val="00736635"/>
    <w:rsid w:val="00741158"/>
    <w:rsid w:val="00742230"/>
    <w:rsid w:val="00745F0C"/>
    <w:rsid w:val="007468A8"/>
    <w:rsid w:val="00754F1D"/>
    <w:rsid w:val="0075669E"/>
    <w:rsid w:val="00756BB9"/>
    <w:rsid w:val="007669E9"/>
    <w:rsid w:val="00767C3F"/>
    <w:rsid w:val="0077034E"/>
    <w:rsid w:val="0077260E"/>
    <w:rsid w:val="007758F2"/>
    <w:rsid w:val="00775CA5"/>
    <w:rsid w:val="00775F7A"/>
    <w:rsid w:val="0078167E"/>
    <w:rsid w:val="00783AE8"/>
    <w:rsid w:val="007904CB"/>
    <w:rsid w:val="00793FBC"/>
    <w:rsid w:val="00794968"/>
    <w:rsid w:val="00796B8F"/>
    <w:rsid w:val="007974FA"/>
    <w:rsid w:val="007A095C"/>
    <w:rsid w:val="007A470E"/>
    <w:rsid w:val="007A5C65"/>
    <w:rsid w:val="007A720D"/>
    <w:rsid w:val="007B08FF"/>
    <w:rsid w:val="007B3AB1"/>
    <w:rsid w:val="007B6E2D"/>
    <w:rsid w:val="007C7363"/>
    <w:rsid w:val="007D138E"/>
    <w:rsid w:val="007D2309"/>
    <w:rsid w:val="007E3C8C"/>
    <w:rsid w:val="007E58B4"/>
    <w:rsid w:val="007E5B82"/>
    <w:rsid w:val="007F1573"/>
    <w:rsid w:val="007F3316"/>
    <w:rsid w:val="007F6A16"/>
    <w:rsid w:val="007F79A8"/>
    <w:rsid w:val="008005EF"/>
    <w:rsid w:val="00800677"/>
    <w:rsid w:val="00800A0B"/>
    <w:rsid w:val="00802708"/>
    <w:rsid w:val="00804089"/>
    <w:rsid w:val="00805109"/>
    <w:rsid w:val="00805E1C"/>
    <w:rsid w:val="00805F0A"/>
    <w:rsid w:val="008063EF"/>
    <w:rsid w:val="00810DE0"/>
    <w:rsid w:val="00820307"/>
    <w:rsid w:val="00822445"/>
    <w:rsid w:val="00823404"/>
    <w:rsid w:val="008247C9"/>
    <w:rsid w:val="00830447"/>
    <w:rsid w:val="00830473"/>
    <w:rsid w:val="00832B01"/>
    <w:rsid w:val="0083440D"/>
    <w:rsid w:val="00845AF3"/>
    <w:rsid w:val="00846D12"/>
    <w:rsid w:val="00846EBC"/>
    <w:rsid w:val="00847683"/>
    <w:rsid w:val="008504DF"/>
    <w:rsid w:val="00855B4C"/>
    <w:rsid w:val="00856963"/>
    <w:rsid w:val="008572DB"/>
    <w:rsid w:val="0086109C"/>
    <w:rsid w:val="00862734"/>
    <w:rsid w:val="0086512E"/>
    <w:rsid w:val="00874512"/>
    <w:rsid w:val="00874B01"/>
    <w:rsid w:val="008816F9"/>
    <w:rsid w:val="0088508B"/>
    <w:rsid w:val="00885F01"/>
    <w:rsid w:val="0089212B"/>
    <w:rsid w:val="008926E5"/>
    <w:rsid w:val="00894BE3"/>
    <w:rsid w:val="00896D60"/>
    <w:rsid w:val="00897307"/>
    <w:rsid w:val="008A05F8"/>
    <w:rsid w:val="008A06EB"/>
    <w:rsid w:val="008A36C1"/>
    <w:rsid w:val="008A52DC"/>
    <w:rsid w:val="008A7FCC"/>
    <w:rsid w:val="008B177A"/>
    <w:rsid w:val="008B181A"/>
    <w:rsid w:val="008B2276"/>
    <w:rsid w:val="008B4922"/>
    <w:rsid w:val="008C11BC"/>
    <w:rsid w:val="008C2837"/>
    <w:rsid w:val="008C506D"/>
    <w:rsid w:val="008C518A"/>
    <w:rsid w:val="008D06B5"/>
    <w:rsid w:val="008D30D4"/>
    <w:rsid w:val="008E5AF2"/>
    <w:rsid w:val="008E5F81"/>
    <w:rsid w:val="008E6AE6"/>
    <w:rsid w:val="008F0200"/>
    <w:rsid w:val="008F0CAF"/>
    <w:rsid w:val="008F1874"/>
    <w:rsid w:val="008F1F7A"/>
    <w:rsid w:val="008F34BD"/>
    <w:rsid w:val="008F4960"/>
    <w:rsid w:val="008F6EA5"/>
    <w:rsid w:val="008F7F8E"/>
    <w:rsid w:val="00903C81"/>
    <w:rsid w:val="0090717E"/>
    <w:rsid w:val="00910416"/>
    <w:rsid w:val="00911666"/>
    <w:rsid w:val="0091201B"/>
    <w:rsid w:val="00912CFE"/>
    <w:rsid w:val="00914923"/>
    <w:rsid w:val="0091511F"/>
    <w:rsid w:val="009156F8"/>
    <w:rsid w:val="00915B39"/>
    <w:rsid w:val="00916735"/>
    <w:rsid w:val="009167F1"/>
    <w:rsid w:val="00917DC2"/>
    <w:rsid w:val="009208D7"/>
    <w:rsid w:val="00925022"/>
    <w:rsid w:val="00925419"/>
    <w:rsid w:val="00930BDD"/>
    <w:rsid w:val="009323E9"/>
    <w:rsid w:val="00936455"/>
    <w:rsid w:val="00941075"/>
    <w:rsid w:val="00941B21"/>
    <w:rsid w:val="00941D03"/>
    <w:rsid w:val="0094479C"/>
    <w:rsid w:val="009503DC"/>
    <w:rsid w:val="009503FE"/>
    <w:rsid w:val="009548A5"/>
    <w:rsid w:val="00954B34"/>
    <w:rsid w:val="0095548B"/>
    <w:rsid w:val="009554B6"/>
    <w:rsid w:val="009573B5"/>
    <w:rsid w:val="00957697"/>
    <w:rsid w:val="009636F3"/>
    <w:rsid w:val="00966365"/>
    <w:rsid w:val="00966828"/>
    <w:rsid w:val="00971433"/>
    <w:rsid w:val="00972F2E"/>
    <w:rsid w:val="009734D9"/>
    <w:rsid w:val="00975CC1"/>
    <w:rsid w:val="00976493"/>
    <w:rsid w:val="00976BF9"/>
    <w:rsid w:val="009803A9"/>
    <w:rsid w:val="009816E1"/>
    <w:rsid w:val="00991847"/>
    <w:rsid w:val="009941C0"/>
    <w:rsid w:val="009966ED"/>
    <w:rsid w:val="00997AD6"/>
    <w:rsid w:val="00997CA4"/>
    <w:rsid w:val="009A0539"/>
    <w:rsid w:val="009A19F2"/>
    <w:rsid w:val="009A1F5D"/>
    <w:rsid w:val="009B1D08"/>
    <w:rsid w:val="009B424A"/>
    <w:rsid w:val="009B4D1A"/>
    <w:rsid w:val="009B662C"/>
    <w:rsid w:val="009B6F51"/>
    <w:rsid w:val="009B79C8"/>
    <w:rsid w:val="009B7BD6"/>
    <w:rsid w:val="009C1AF3"/>
    <w:rsid w:val="009C5E29"/>
    <w:rsid w:val="009D008C"/>
    <w:rsid w:val="009D0441"/>
    <w:rsid w:val="009D04C2"/>
    <w:rsid w:val="009D257E"/>
    <w:rsid w:val="009D5267"/>
    <w:rsid w:val="009D7F44"/>
    <w:rsid w:val="009E1A2F"/>
    <w:rsid w:val="009E56EC"/>
    <w:rsid w:val="009F090E"/>
    <w:rsid w:val="009F1770"/>
    <w:rsid w:val="009F2EB2"/>
    <w:rsid w:val="009F3E20"/>
    <w:rsid w:val="00A03504"/>
    <w:rsid w:val="00A06493"/>
    <w:rsid w:val="00A075A8"/>
    <w:rsid w:val="00A07C14"/>
    <w:rsid w:val="00A105F9"/>
    <w:rsid w:val="00A11216"/>
    <w:rsid w:val="00A1133F"/>
    <w:rsid w:val="00A1183D"/>
    <w:rsid w:val="00A13161"/>
    <w:rsid w:val="00A13352"/>
    <w:rsid w:val="00A17E7C"/>
    <w:rsid w:val="00A20F59"/>
    <w:rsid w:val="00A21B77"/>
    <w:rsid w:val="00A23CFB"/>
    <w:rsid w:val="00A2521A"/>
    <w:rsid w:val="00A25B6D"/>
    <w:rsid w:val="00A25D84"/>
    <w:rsid w:val="00A303E8"/>
    <w:rsid w:val="00A3426A"/>
    <w:rsid w:val="00A35E88"/>
    <w:rsid w:val="00A362A7"/>
    <w:rsid w:val="00A405B1"/>
    <w:rsid w:val="00A44047"/>
    <w:rsid w:val="00A44A54"/>
    <w:rsid w:val="00A45A27"/>
    <w:rsid w:val="00A46644"/>
    <w:rsid w:val="00A46D7C"/>
    <w:rsid w:val="00A56EC0"/>
    <w:rsid w:val="00A5770B"/>
    <w:rsid w:val="00A618D2"/>
    <w:rsid w:val="00A66ECE"/>
    <w:rsid w:val="00A70D50"/>
    <w:rsid w:val="00A71A10"/>
    <w:rsid w:val="00A73918"/>
    <w:rsid w:val="00A7525D"/>
    <w:rsid w:val="00A81117"/>
    <w:rsid w:val="00A829A3"/>
    <w:rsid w:val="00A83AA3"/>
    <w:rsid w:val="00A8534B"/>
    <w:rsid w:val="00A86A9F"/>
    <w:rsid w:val="00A86DA9"/>
    <w:rsid w:val="00A90EA7"/>
    <w:rsid w:val="00A9188B"/>
    <w:rsid w:val="00A93078"/>
    <w:rsid w:val="00A95FE5"/>
    <w:rsid w:val="00AA55B2"/>
    <w:rsid w:val="00AB18F1"/>
    <w:rsid w:val="00AB3D2E"/>
    <w:rsid w:val="00AB4875"/>
    <w:rsid w:val="00AB6AF3"/>
    <w:rsid w:val="00AB7A00"/>
    <w:rsid w:val="00AC0EB8"/>
    <w:rsid w:val="00AC11A6"/>
    <w:rsid w:val="00AC1E59"/>
    <w:rsid w:val="00AC2156"/>
    <w:rsid w:val="00AC325F"/>
    <w:rsid w:val="00AC7B48"/>
    <w:rsid w:val="00AD0734"/>
    <w:rsid w:val="00AD0917"/>
    <w:rsid w:val="00AD330C"/>
    <w:rsid w:val="00AD3BF9"/>
    <w:rsid w:val="00AE53B8"/>
    <w:rsid w:val="00AE54C3"/>
    <w:rsid w:val="00AE5D8F"/>
    <w:rsid w:val="00AE5DA4"/>
    <w:rsid w:val="00AE7ECB"/>
    <w:rsid w:val="00AF1F9D"/>
    <w:rsid w:val="00AF314D"/>
    <w:rsid w:val="00B0177A"/>
    <w:rsid w:val="00B01B50"/>
    <w:rsid w:val="00B024A8"/>
    <w:rsid w:val="00B0460C"/>
    <w:rsid w:val="00B072A4"/>
    <w:rsid w:val="00B24370"/>
    <w:rsid w:val="00B27EEC"/>
    <w:rsid w:val="00B31203"/>
    <w:rsid w:val="00B337B1"/>
    <w:rsid w:val="00B418C7"/>
    <w:rsid w:val="00B43486"/>
    <w:rsid w:val="00B47E47"/>
    <w:rsid w:val="00B509D2"/>
    <w:rsid w:val="00B50EC1"/>
    <w:rsid w:val="00B50F4F"/>
    <w:rsid w:val="00B51E68"/>
    <w:rsid w:val="00B53DCF"/>
    <w:rsid w:val="00B5558C"/>
    <w:rsid w:val="00B55AC7"/>
    <w:rsid w:val="00B55CCF"/>
    <w:rsid w:val="00B61172"/>
    <w:rsid w:val="00B634CF"/>
    <w:rsid w:val="00B651BA"/>
    <w:rsid w:val="00B65254"/>
    <w:rsid w:val="00B656E8"/>
    <w:rsid w:val="00B659FC"/>
    <w:rsid w:val="00B678CE"/>
    <w:rsid w:val="00B71C77"/>
    <w:rsid w:val="00B73105"/>
    <w:rsid w:val="00B73338"/>
    <w:rsid w:val="00B73BA6"/>
    <w:rsid w:val="00B73D5D"/>
    <w:rsid w:val="00B7642A"/>
    <w:rsid w:val="00B76B4E"/>
    <w:rsid w:val="00B80B5D"/>
    <w:rsid w:val="00B81C92"/>
    <w:rsid w:val="00B851F9"/>
    <w:rsid w:val="00B86242"/>
    <w:rsid w:val="00B935FD"/>
    <w:rsid w:val="00B936DE"/>
    <w:rsid w:val="00B940C6"/>
    <w:rsid w:val="00B94925"/>
    <w:rsid w:val="00B9498F"/>
    <w:rsid w:val="00B9530F"/>
    <w:rsid w:val="00B96301"/>
    <w:rsid w:val="00B97196"/>
    <w:rsid w:val="00B9721D"/>
    <w:rsid w:val="00BA037F"/>
    <w:rsid w:val="00BA5588"/>
    <w:rsid w:val="00BB2E6E"/>
    <w:rsid w:val="00BB32E3"/>
    <w:rsid w:val="00BB6B13"/>
    <w:rsid w:val="00BB7346"/>
    <w:rsid w:val="00BB749D"/>
    <w:rsid w:val="00BC3597"/>
    <w:rsid w:val="00BC70E5"/>
    <w:rsid w:val="00BD7DCC"/>
    <w:rsid w:val="00BE0CE6"/>
    <w:rsid w:val="00BE1155"/>
    <w:rsid w:val="00BE43E9"/>
    <w:rsid w:val="00BE5B9D"/>
    <w:rsid w:val="00BE5D56"/>
    <w:rsid w:val="00BE6756"/>
    <w:rsid w:val="00BF115E"/>
    <w:rsid w:val="00BF6C3E"/>
    <w:rsid w:val="00C017CB"/>
    <w:rsid w:val="00C04FBB"/>
    <w:rsid w:val="00C06C56"/>
    <w:rsid w:val="00C07048"/>
    <w:rsid w:val="00C13CEB"/>
    <w:rsid w:val="00C22CAF"/>
    <w:rsid w:val="00C237A5"/>
    <w:rsid w:val="00C24175"/>
    <w:rsid w:val="00C24340"/>
    <w:rsid w:val="00C24D82"/>
    <w:rsid w:val="00C26569"/>
    <w:rsid w:val="00C27A8B"/>
    <w:rsid w:val="00C308F2"/>
    <w:rsid w:val="00C30E10"/>
    <w:rsid w:val="00C32301"/>
    <w:rsid w:val="00C3467C"/>
    <w:rsid w:val="00C34DEC"/>
    <w:rsid w:val="00C352D1"/>
    <w:rsid w:val="00C36096"/>
    <w:rsid w:val="00C37458"/>
    <w:rsid w:val="00C5241B"/>
    <w:rsid w:val="00C532FA"/>
    <w:rsid w:val="00C53DF8"/>
    <w:rsid w:val="00C55D2B"/>
    <w:rsid w:val="00C562AA"/>
    <w:rsid w:val="00C608D2"/>
    <w:rsid w:val="00C6156B"/>
    <w:rsid w:val="00C63B7E"/>
    <w:rsid w:val="00C7234F"/>
    <w:rsid w:val="00C8168B"/>
    <w:rsid w:val="00C8272C"/>
    <w:rsid w:val="00C84485"/>
    <w:rsid w:val="00C87AAC"/>
    <w:rsid w:val="00C87D37"/>
    <w:rsid w:val="00C926E4"/>
    <w:rsid w:val="00C92971"/>
    <w:rsid w:val="00C92AAC"/>
    <w:rsid w:val="00C9596A"/>
    <w:rsid w:val="00CA0B86"/>
    <w:rsid w:val="00CA195C"/>
    <w:rsid w:val="00CA3024"/>
    <w:rsid w:val="00CA332A"/>
    <w:rsid w:val="00CA3C1B"/>
    <w:rsid w:val="00CB1C57"/>
    <w:rsid w:val="00CB23B8"/>
    <w:rsid w:val="00CB2447"/>
    <w:rsid w:val="00CB318D"/>
    <w:rsid w:val="00CB364D"/>
    <w:rsid w:val="00CB3EF6"/>
    <w:rsid w:val="00CB45F4"/>
    <w:rsid w:val="00CB64D3"/>
    <w:rsid w:val="00CC47D2"/>
    <w:rsid w:val="00CC6B4B"/>
    <w:rsid w:val="00CD11E6"/>
    <w:rsid w:val="00CD2B0A"/>
    <w:rsid w:val="00CD2B5F"/>
    <w:rsid w:val="00CD3CE4"/>
    <w:rsid w:val="00CD56E8"/>
    <w:rsid w:val="00CD62D7"/>
    <w:rsid w:val="00CE1EE0"/>
    <w:rsid w:val="00CF01F4"/>
    <w:rsid w:val="00CF0300"/>
    <w:rsid w:val="00CF0A64"/>
    <w:rsid w:val="00CF1622"/>
    <w:rsid w:val="00CF2854"/>
    <w:rsid w:val="00D02545"/>
    <w:rsid w:val="00D03CB9"/>
    <w:rsid w:val="00D040AB"/>
    <w:rsid w:val="00D0499D"/>
    <w:rsid w:val="00D10B1E"/>
    <w:rsid w:val="00D13419"/>
    <w:rsid w:val="00D13FB1"/>
    <w:rsid w:val="00D14B0B"/>
    <w:rsid w:val="00D21294"/>
    <w:rsid w:val="00D21FC9"/>
    <w:rsid w:val="00D23B71"/>
    <w:rsid w:val="00D2740D"/>
    <w:rsid w:val="00D27573"/>
    <w:rsid w:val="00D30073"/>
    <w:rsid w:val="00D3138F"/>
    <w:rsid w:val="00D33B34"/>
    <w:rsid w:val="00D34040"/>
    <w:rsid w:val="00D345FD"/>
    <w:rsid w:val="00D35FE0"/>
    <w:rsid w:val="00D51F30"/>
    <w:rsid w:val="00D53BB3"/>
    <w:rsid w:val="00D5430B"/>
    <w:rsid w:val="00D5476E"/>
    <w:rsid w:val="00D550D9"/>
    <w:rsid w:val="00D565E2"/>
    <w:rsid w:val="00D61459"/>
    <w:rsid w:val="00D629C1"/>
    <w:rsid w:val="00D65C00"/>
    <w:rsid w:val="00D67A90"/>
    <w:rsid w:val="00D71DAE"/>
    <w:rsid w:val="00D739D4"/>
    <w:rsid w:val="00D7426C"/>
    <w:rsid w:val="00D77CDF"/>
    <w:rsid w:val="00D83707"/>
    <w:rsid w:val="00D84C39"/>
    <w:rsid w:val="00D85080"/>
    <w:rsid w:val="00D87013"/>
    <w:rsid w:val="00D929CD"/>
    <w:rsid w:val="00D93E3B"/>
    <w:rsid w:val="00DA0804"/>
    <w:rsid w:val="00DA0979"/>
    <w:rsid w:val="00DA6141"/>
    <w:rsid w:val="00DA7ED1"/>
    <w:rsid w:val="00DB28D0"/>
    <w:rsid w:val="00DC1083"/>
    <w:rsid w:val="00DD4EAB"/>
    <w:rsid w:val="00DD5D00"/>
    <w:rsid w:val="00DD5D83"/>
    <w:rsid w:val="00DD69BE"/>
    <w:rsid w:val="00DE00A2"/>
    <w:rsid w:val="00DE02F9"/>
    <w:rsid w:val="00DE16D3"/>
    <w:rsid w:val="00DE2EC9"/>
    <w:rsid w:val="00DE3066"/>
    <w:rsid w:val="00DF2621"/>
    <w:rsid w:val="00DF4F38"/>
    <w:rsid w:val="00E00007"/>
    <w:rsid w:val="00E009E2"/>
    <w:rsid w:val="00E063C1"/>
    <w:rsid w:val="00E068D8"/>
    <w:rsid w:val="00E07EBE"/>
    <w:rsid w:val="00E11784"/>
    <w:rsid w:val="00E13D91"/>
    <w:rsid w:val="00E154BB"/>
    <w:rsid w:val="00E2407A"/>
    <w:rsid w:val="00E24389"/>
    <w:rsid w:val="00E2443D"/>
    <w:rsid w:val="00E3008A"/>
    <w:rsid w:val="00E31261"/>
    <w:rsid w:val="00E33A59"/>
    <w:rsid w:val="00E3540C"/>
    <w:rsid w:val="00E37C7D"/>
    <w:rsid w:val="00E40F1F"/>
    <w:rsid w:val="00E422E9"/>
    <w:rsid w:val="00E43614"/>
    <w:rsid w:val="00E50B2B"/>
    <w:rsid w:val="00E50E4C"/>
    <w:rsid w:val="00E5147D"/>
    <w:rsid w:val="00E516AF"/>
    <w:rsid w:val="00E55996"/>
    <w:rsid w:val="00E55F48"/>
    <w:rsid w:val="00E568CD"/>
    <w:rsid w:val="00E61A80"/>
    <w:rsid w:val="00E622AB"/>
    <w:rsid w:val="00E6250A"/>
    <w:rsid w:val="00E63F81"/>
    <w:rsid w:val="00E707D9"/>
    <w:rsid w:val="00E74026"/>
    <w:rsid w:val="00E854A7"/>
    <w:rsid w:val="00E86CCD"/>
    <w:rsid w:val="00E86EEA"/>
    <w:rsid w:val="00E872E7"/>
    <w:rsid w:val="00E90CF5"/>
    <w:rsid w:val="00E92953"/>
    <w:rsid w:val="00EA4CC5"/>
    <w:rsid w:val="00EA4FB3"/>
    <w:rsid w:val="00EA5AAF"/>
    <w:rsid w:val="00EA5E2D"/>
    <w:rsid w:val="00EA7A1F"/>
    <w:rsid w:val="00EB0E42"/>
    <w:rsid w:val="00EB1055"/>
    <w:rsid w:val="00EB14B8"/>
    <w:rsid w:val="00EB6637"/>
    <w:rsid w:val="00EB7090"/>
    <w:rsid w:val="00EC07E6"/>
    <w:rsid w:val="00EC0DC8"/>
    <w:rsid w:val="00EC3714"/>
    <w:rsid w:val="00EC4E3D"/>
    <w:rsid w:val="00EC577D"/>
    <w:rsid w:val="00EC5E3D"/>
    <w:rsid w:val="00ED6CA3"/>
    <w:rsid w:val="00EE0DFA"/>
    <w:rsid w:val="00EE1A6C"/>
    <w:rsid w:val="00EE76B5"/>
    <w:rsid w:val="00EF0975"/>
    <w:rsid w:val="00EF1D47"/>
    <w:rsid w:val="00EF54B2"/>
    <w:rsid w:val="00EF568F"/>
    <w:rsid w:val="00EF575E"/>
    <w:rsid w:val="00F008E6"/>
    <w:rsid w:val="00F01B49"/>
    <w:rsid w:val="00F02260"/>
    <w:rsid w:val="00F02389"/>
    <w:rsid w:val="00F0355F"/>
    <w:rsid w:val="00F039D2"/>
    <w:rsid w:val="00F03FAB"/>
    <w:rsid w:val="00F047F5"/>
    <w:rsid w:val="00F049EF"/>
    <w:rsid w:val="00F104E2"/>
    <w:rsid w:val="00F1143C"/>
    <w:rsid w:val="00F116EC"/>
    <w:rsid w:val="00F1299C"/>
    <w:rsid w:val="00F149E1"/>
    <w:rsid w:val="00F15476"/>
    <w:rsid w:val="00F20234"/>
    <w:rsid w:val="00F22335"/>
    <w:rsid w:val="00F23DBB"/>
    <w:rsid w:val="00F3066F"/>
    <w:rsid w:val="00F31887"/>
    <w:rsid w:val="00F31CAE"/>
    <w:rsid w:val="00F33DC2"/>
    <w:rsid w:val="00F34B27"/>
    <w:rsid w:val="00F41FC7"/>
    <w:rsid w:val="00F44FB8"/>
    <w:rsid w:val="00F46F23"/>
    <w:rsid w:val="00F52746"/>
    <w:rsid w:val="00F52E15"/>
    <w:rsid w:val="00F53AF5"/>
    <w:rsid w:val="00F543C7"/>
    <w:rsid w:val="00F564D5"/>
    <w:rsid w:val="00F65063"/>
    <w:rsid w:val="00F70DA1"/>
    <w:rsid w:val="00F82779"/>
    <w:rsid w:val="00F829ED"/>
    <w:rsid w:val="00F87FC0"/>
    <w:rsid w:val="00F929AB"/>
    <w:rsid w:val="00FA1641"/>
    <w:rsid w:val="00FA3E31"/>
    <w:rsid w:val="00FB0A30"/>
    <w:rsid w:val="00FB474C"/>
    <w:rsid w:val="00FB5770"/>
    <w:rsid w:val="00FC27DD"/>
    <w:rsid w:val="00FC36EF"/>
    <w:rsid w:val="00FC43F5"/>
    <w:rsid w:val="00FC63EE"/>
    <w:rsid w:val="00FC7318"/>
    <w:rsid w:val="00FD0776"/>
    <w:rsid w:val="00FD0B87"/>
    <w:rsid w:val="00FD2C4E"/>
    <w:rsid w:val="00FD3332"/>
    <w:rsid w:val="00FD4D4B"/>
    <w:rsid w:val="00FD5959"/>
    <w:rsid w:val="00FD7A8B"/>
    <w:rsid w:val="00FE10C3"/>
    <w:rsid w:val="00FE181C"/>
    <w:rsid w:val="00FE3066"/>
    <w:rsid w:val="00FE3BCD"/>
    <w:rsid w:val="00FE49E1"/>
    <w:rsid w:val="00FE54B4"/>
    <w:rsid w:val="00FF0EE5"/>
    <w:rsid w:val="00FF2689"/>
    <w:rsid w:val="00FF2BED"/>
    <w:rsid w:val="01A577D5"/>
    <w:rsid w:val="026FCBFF"/>
    <w:rsid w:val="02C75B3F"/>
    <w:rsid w:val="04027E01"/>
    <w:rsid w:val="043B44EE"/>
    <w:rsid w:val="04A4B127"/>
    <w:rsid w:val="04D6AF86"/>
    <w:rsid w:val="058E6403"/>
    <w:rsid w:val="05F674BE"/>
    <w:rsid w:val="061FD8B6"/>
    <w:rsid w:val="0678E8F8"/>
    <w:rsid w:val="077D0B80"/>
    <w:rsid w:val="07F5F901"/>
    <w:rsid w:val="082F128F"/>
    <w:rsid w:val="08865E53"/>
    <w:rsid w:val="08B7F658"/>
    <w:rsid w:val="0A7ADDE4"/>
    <w:rsid w:val="0AB2828A"/>
    <w:rsid w:val="0BFD85E8"/>
    <w:rsid w:val="0C94DE73"/>
    <w:rsid w:val="0CE82A7C"/>
    <w:rsid w:val="0D30B80E"/>
    <w:rsid w:val="0E120CD9"/>
    <w:rsid w:val="0E35090B"/>
    <w:rsid w:val="0EFA5737"/>
    <w:rsid w:val="0F094D29"/>
    <w:rsid w:val="0F6D10E5"/>
    <w:rsid w:val="0F8C22B9"/>
    <w:rsid w:val="1015A55F"/>
    <w:rsid w:val="108B9E67"/>
    <w:rsid w:val="11416B2C"/>
    <w:rsid w:val="126CC76C"/>
    <w:rsid w:val="12818214"/>
    <w:rsid w:val="12B9ADF0"/>
    <w:rsid w:val="13536EE2"/>
    <w:rsid w:val="1475B863"/>
    <w:rsid w:val="167DD1EB"/>
    <w:rsid w:val="16B5F4F8"/>
    <w:rsid w:val="16EAD5F8"/>
    <w:rsid w:val="172BEE00"/>
    <w:rsid w:val="1826192A"/>
    <w:rsid w:val="18560C89"/>
    <w:rsid w:val="18FE19F7"/>
    <w:rsid w:val="191AA2F8"/>
    <w:rsid w:val="19B572AD"/>
    <w:rsid w:val="1AF9AE48"/>
    <w:rsid w:val="1B6B8B61"/>
    <w:rsid w:val="1BD9F94D"/>
    <w:rsid w:val="1C10C89C"/>
    <w:rsid w:val="1CAB0272"/>
    <w:rsid w:val="1CED136F"/>
    <w:rsid w:val="1D7A284B"/>
    <w:rsid w:val="1DF21139"/>
    <w:rsid w:val="1E1B84B8"/>
    <w:rsid w:val="1E1D409F"/>
    <w:rsid w:val="1EA33D06"/>
    <w:rsid w:val="1EAC25B0"/>
    <w:rsid w:val="1F836FD7"/>
    <w:rsid w:val="2048BA01"/>
    <w:rsid w:val="205F246D"/>
    <w:rsid w:val="20714D50"/>
    <w:rsid w:val="20B64B1D"/>
    <w:rsid w:val="20EE70E3"/>
    <w:rsid w:val="2147BFD0"/>
    <w:rsid w:val="21A6C75A"/>
    <w:rsid w:val="21C40283"/>
    <w:rsid w:val="21DADDC8"/>
    <w:rsid w:val="21FCEECF"/>
    <w:rsid w:val="2207B7B4"/>
    <w:rsid w:val="22329CB8"/>
    <w:rsid w:val="24AE1EAB"/>
    <w:rsid w:val="24D43A9E"/>
    <w:rsid w:val="24E1A0F0"/>
    <w:rsid w:val="250A21C5"/>
    <w:rsid w:val="250D1A21"/>
    <w:rsid w:val="258F69A1"/>
    <w:rsid w:val="26AE0F92"/>
    <w:rsid w:val="27059AAF"/>
    <w:rsid w:val="281720DC"/>
    <w:rsid w:val="285307F6"/>
    <w:rsid w:val="2878B065"/>
    <w:rsid w:val="28A38668"/>
    <w:rsid w:val="290A60AC"/>
    <w:rsid w:val="2A2489B5"/>
    <w:rsid w:val="2B8AA8B8"/>
    <w:rsid w:val="2BE582C8"/>
    <w:rsid w:val="2C1BBB9F"/>
    <w:rsid w:val="2CE53A5C"/>
    <w:rsid w:val="2D00A4F3"/>
    <w:rsid w:val="2DEB0F88"/>
    <w:rsid w:val="2EBF9A40"/>
    <w:rsid w:val="2EC2497A"/>
    <w:rsid w:val="2EF19066"/>
    <w:rsid w:val="2F1D238A"/>
    <w:rsid w:val="2F50ACBA"/>
    <w:rsid w:val="2F888E13"/>
    <w:rsid w:val="3072E72F"/>
    <w:rsid w:val="30B3B429"/>
    <w:rsid w:val="31157291"/>
    <w:rsid w:val="31A9A22B"/>
    <w:rsid w:val="3201D7C2"/>
    <w:rsid w:val="338D578B"/>
    <w:rsid w:val="33B1B7CD"/>
    <w:rsid w:val="344D1353"/>
    <w:rsid w:val="35397884"/>
    <w:rsid w:val="36033CEA"/>
    <w:rsid w:val="36745C7A"/>
    <w:rsid w:val="367D6FAB"/>
    <w:rsid w:val="36D548E5"/>
    <w:rsid w:val="3784B415"/>
    <w:rsid w:val="37C11E52"/>
    <w:rsid w:val="37D97B67"/>
    <w:rsid w:val="38102CDB"/>
    <w:rsid w:val="3912B16C"/>
    <w:rsid w:val="39208476"/>
    <w:rsid w:val="3991D9BB"/>
    <w:rsid w:val="3A5FD631"/>
    <w:rsid w:val="3ABD1671"/>
    <w:rsid w:val="3AEBB5D3"/>
    <w:rsid w:val="3BA8BA08"/>
    <w:rsid w:val="3C58E6D2"/>
    <w:rsid w:val="3C834372"/>
    <w:rsid w:val="3E28FA61"/>
    <w:rsid w:val="3E4C2281"/>
    <w:rsid w:val="3F8A9DEB"/>
    <w:rsid w:val="3FB035FD"/>
    <w:rsid w:val="3FE82D67"/>
    <w:rsid w:val="4010DE85"/>
    <w:rsid w:val="4024292E"/>
    <w:rsid w:val="4029F482"/>
    <w:rsid w:val="40A25338"/>
    <w:rsid w:val="40A6CACD"/>
    <w:rsid w:val="40B9AEF9"/>
    <w:rsid w:val="42DEAC09"/>
    <w:rsid w:val="42E02A1F"/>
    <w:rsid w:val="43AC7D05"/>
    <w:rsid w:val="43B53F7B"/>
    <w:rsid w:val="447270BC"/>
    <w:rsid w:val="448F7D21"/>
    <w:rsid w:val="44B83E83"/>
    <w:rsid w:val="450A4A3B"/>
    <w:rsid w:val="451CA137"/>
    <w:rsid w:val="453DD1B3"/>
    <w:rsid w:val="454F9C4E"/>
    <w:rsid w:val="455DEBBB"/>
    <w:rsid w:val="45FB0A60"/>
    <w:rsid w:val="469156A2"/>
    <w:rsid w:val="46AC6624"/>
    <w:rsid w:val="47F8DB94"/>
    <w:rsid w:val="48611B08"/>
    <w:rsid w:val="4A64BF24"/>
    <w:rsid w:val="4ACE7B83"/>
    <w:rsid w:val="4B1C7AA8"/>
    <w:rsid w:val="4BEB3211"/>
    <w:rsid w:val="4C19B7E2"/>
    <w:rsid w:val="4C6E4902"/>
    <w:rsid w:val="4EF9DF38"/>
    <w:rsid w:val="4F39CBFD"/>
    <w:rsid w:val="4FA5E9C4"/>
    <w:rsid w:val="4FA62689"/>
    <w:rsid w:val="50234FEF"/>
    <w:rsid w:val="506467F7"/>
    <w:rsid w:val="50F2A9F8"/>
    <w:rsid w:val="514AD884"/>
    <w:rsid w:val="5153C12E"/>
    <w:rsid w:val="519CD947"/>
    <w:rsid w:val="51DB7494"/>
    <w:rsid w:val="52D9858C"/>
    <w:rsid w:val="52DD8A86"/>
    <w:rsid w:val="5308B9EC"/>
    <w:rsid w:val="536D6402"/>
    <w:rsid w:val="53F09553"/>
    <w:rsid w:val="53FE5086"/>
    <w:rsid w:val="54795AE7"/>
    <w:rsid w:val="555ADA29"/>
    <w:rsid w:val="557F086E"/>
    <w:rsid w:val="55AE66B1"/>
    <w:rsid w:val="55D0D331"/>
    <w:rsid w:val="56B9B246"/>
    <w:rsid w:val="56CAFE5B"/>
    <w:rsid w:val="57CF3164"/>
    <w:rsid w:val="57F96B6E"/>
    <w:rsid w:val="58110FC6"/>
    <w:rsid w:val="58E3C327"/>
    <w:rsid w:val="58E675C8"/>
    <w:rsid w:val="5914440C"/>
    <w:rsid w:val="594CCC0A"/>
    <w:rsid w:val="5A868372"/>
    <w:rsid w:val="5ABEAAED"/>
    <w:rsid w:val="5BC33701"/>
    <w:rsid w:val="5BFB75BA"/>
    <w:rsid w:val="5C1B63E9"/>
    <w:rsid w:val="5CB8DA69"/>
    <w:rsid w:val="5CF87380"/>
    <w:rsid w:val="5D8A36C8"/>
    <w:rsid w:val="5E0C87D0"/>
    <w:rsid w:val="5E20F20C"/>
    <w:rsid w:val="5F197320"/>
    <w:rsid w:val="5FA85831"/>
    <w:rsid w:val="5FBC8E35"/>
    <w:rsid w:val="5FC52BED"/>
    <w:rsid w:val="600B3CDA"/>
    <w:rsid w:val="6096A824"/>
    <w:rsid w:val="60D0518B"/>
    <w:rsid w:val="61442892"/>
    <w:rsid w:val="622E7B67"/>
    <w:rsid w:val="6230C967"/>
    <w:rsid w:val="631F1D51"/>
    <w:rsid w:val="633ADAE6"/>
    <w:rsid w:val="635303DC"/>
    <w:rsid w:val="6375884C"/>
    <w:rsid w:val="637E6860"/>
    <w:rsid w:val="63CE48E6"/>
    <w:rsid w:val="63E68655"/>
    <w:rsid w:val="64B8469C"/>
    <w:rsid w:val="64EFE8D4"/>
    <w:rsid w:val="658EA8F1"/>
    <w:rsid w:val="668BB935"/>
    <w:rsid w:val="66B15888"/>
    <w:rsid w:val="67104009"/>
    <w:rsid w:val="678EFB87"/>
    <w:rsid w:val="6849E99B"/>
    <w:rsid w:val="6880643B"/>
    <w:rsid w:val="689DBCEB"/>
    <w:rsid w:val="69917FDE"/>
    <w:rsid w:val="6A276DDF"/>
    <w:rsid w:val="6A2EEA3F"/>
    <w:rsid w:val="6A4577F0"/>
    <w:rsid w:val="6B6BA14E"/>
    <w:rsid w:val="6B73F1E6"/>
    <w:rsid w:val="6B7AD52B"/>
    <w:rsid w:val="6B8599A7"/>
    <w:rsid w:val="6BE14851"/>
    <w:rsid w:val="6C6623BB"/>
    <w:rsid w:val="6CACA9DA"/>
    <w:rsid w:val="6D171280"/>
    <w:rsid w:val="6D207C8F"/>
    <w:rsid w:val="6D76D66D"/>
    <w:rsid w:val="6D791B94"/>
    <w:rsid w:val="6D7E0488"/>
    <w:rsid w:val="6DA569E1"/>
    <w:rsid w:val="6E2241F3"/>
    <w:rsid w:val="6EA34210"/>
    <w:rsid w:val="6F18E913"/>
    <w:rsid w:val="6FEC57BD"/>
    <w:rsid w:val="709D8E6E"/>
    <w:rsid w:val="70ACCBEE"/>
    <w:rsid w:val="71B39AB8"/>
    <w:rsid w:val="71C07B66"/>
    <w:rsid w:val="71D97E8E"/>
    <w:rsid w:val="725089D5"/>
    <w:rsid w:val="72E4FB61"/>
    <w:rsid w:val="73E7FA69"/>
    <w:rsid w:val="747D2EDE"/>
    <w:rsid w:val="74C25625"/>
    <w:rsid w:val="74CD7A75"/>
    <w:rsid w:val="75AA3126"/>
    <w:rsid w:val="76988FAE"/>
    <w:rsid w:val="76CBF7D8"/>
    <w:rsid w:val="77252BD1"/>
    <w:rsid w:val="77D88A79"/>
    <w:rsid w:val="7807E234"/>
    <w:rsid w:val="78883B9E"/>
    <w:rsid w:val="78F78641"/>
    <w:rsid w:val="7938A787"/>
    <w:rsid w:val="79C18ACD"/>
    <w:rsid w:val="79FEF698"/>
    <w:rsid w:val="7A1E0154"/>
    <w:rsid w:val="7ABE17D1"/>
    <w:rsid w:val="7B89B29E"/>
    <w:rsid w:val="7BF76C1B"/>
    <w:rsid w:val="7BF89CF4"/>
    <w:rsid w:val="7C18A416"/>
    <w:rsid w:val="7C95A5DA"/>
    <w:rsid w:val="7CB8DE54"/>
    <w:rsid w:val="7DE5BAE7"/>
    <w:rsid w:val="7DFB77C4"/>
    <w:rsid w:val="7F23C343"/>
    <w:rsid w:val="7F2F0CDD"/>
    <w:rsid w:val="7FF07F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C92708"/>
  <w15:chartTrackingRefBased/>
  <w15:docId w15:val="{8A481D7B-7EF3-4344-A3C5-1F1C6AC03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664BBC"/>
  </w:style>
  <w:style w:type="character" w:styleId="Hyperlink">
    <w:name w:val="Hyperlink"/>
    <w:basedOn w:val="DefaultParagraphFont"/>
    <w:uiPriority w:val="99"/>
    <w:unhideWhenUsed/>
    <w:rsid w:val="00664BBC"/>
    <w:rPr>
      <w:color w:val="0000FF"/>
      <w:u w:val="single"/>
    </w:rPr>
  </w:style>
  <w:style w:type="paragraph" w:styleId="CommentText">
    <w:name w:val="annotation text"/>
    <w:basedOn w:val="Normal"/>
    <w:link w:val="CommentTextChar"/>
    <w:uiPriority w:val="99"/>
    <w:unhideWhenUsed/>
    <w:rsid w:val="00664BBC"/>
    <w:pPr>
      <w:spacing w:after="0" w:line="240" w:lineRule="auto"/>
    </w:pPr>
    <w:rPr>
      <w:rFonts w:ascii="Times New Roman" w:eastAsia="Arial Unicode MS" w:hAnsi="Times New Roman" w:cs="Times New Roman"/>
      <w:sz w:val="20"/>
      <w:szCs w:val="20"/>
    </w:rPr>
  </w:style>
  <w:style w:type="character" w:customStyle="1" w:styleId="CommentTextChar">
    <w:name w:val="Comment Text Char"/>
    <w:basedOn w:val="DefaultParagraphFont"/>
    <w:link w:val="CommentText"/>
    <w:uiPriority w:val="99"/>
    <w:rsid w:val="00664BBC"/>
    <w:rPr>
      <w:rFonts w:ascii="Times New Roman" w:eastAsia="Arial Unicode MS" w:hAnsi="Times New Roman" w:cs="Times New Roman"/>
      <w:sz w:val="20"/>
      <w:szCs w:val="20"/>
    </w:rPr>
  </w:style>
  <w:style w:type="character" w:styleId="CommentReference">
    <w:name w:val="annotation reference"/>
    <w:basedOn w:val="DefaultParagraphFont"/>
    <w:uiPriority w:val="99"/>
    <w:semiHidden/>
    <w:unhideWhenUsed/>
    <w:rsid w:val="00664BBC"/>
    <w:rPr>
      <w:sz w:val="16"/>
      <w:szCs w:val="16"/>
    </w:rPr>
  </w:style>
  <w:style w:type="paragraph" w:styleId="BalloonText">
    <w:name w:val="Balloon Text"/>
    <w:basedOn w:val="Normal"/>
    <w:link w:val="BalloonTextChar"/>
    <w:uiPriority w:val="99"/>
    <w:semiHidden/>
    <w:unhideWhenUsed/>
    <w:rsid w:val="00664BBC"/>
    <w:pPr>
      <w:spacing w:after="0" w:line="240" w:lineRule="auto"/>
    </w:pPr>
    <w:rPr>
      <w:rFonts w:ascii="Segoe UI" w:eastAsia="Times New Roman" w:hAnsi="Segoe UI" w:cs="Segoe UI"/>
      <w:sz w:val="18"/>
      <w:szCs w:val="18"/>
      <w:lang w:eastAsia="en-GB"/>
    </w:rPr>
  </w:style>
  <w:style w:type="character" w:customStyle="1" w:styleId="BalloonTextChar">
    <w:name w:val="Balloon Text Char"/>
    <w:basedOn w:val="DefaultParagraphFont"/>
    <w:link w:val="BalloonText"/>
    <w:uiPriority w:val="99"/>
    <w:semiHidden/>
    <w:rsid w:val="00664BBC"/>
    <w:rPr>
      <w:rFonts w:ascii="Segoe UI" w:eastAsia="Times New Roman" w:hAnsi="Segoe UI" w:cs="Segoe UI"/>
      <w:sz w:val="18"/>
      <w:szCs w:val="18"/>
      <w:lang w:eastAsia="en-GB"/>
    </w:rPr>
  </w:style>
  <w:style w:type="paragraph" w:styleId="NormalWeb">
    <w:name w:val="Normal (Web)"/>
    <w:uiPriority w:val="99"/>
    <w:unhideWhenUsed/>
    <w:rsid w:val="00664BBC"/>
    <w:pPr>
      <w:spacing w:before="100" w:after="100" w:line="240" w:lineRule="auto"/>
    </w:pPr>
    <w:rPr>
      <w:rFonts w:ascii="Times New Roman" w:eastAsia="Arial Unicode MS" w:hAnsi="Times New Roman" w:cs="Arial Unicode MS"/>
      <w:color w:val="000000"/>
      <w:sz w:val="24"/>
      <w:szCs w:val="24"/>
      <w:u w:color="000000"/>
      <w:lang w:val="en-US"/>
    </w:rPr>
  </w:style>
  <w:style w:type="paragraph" w:styleId="ListParagraph">
    <w:name w:val="List Paragraph"/>
    <w:uiPriority w:val="34"/>
    <w:qFormat/>
    <w:rsid w:val="00664BBC"/>
    <w:pPr>
      <w:spacing w:after="200" w:line="276" w:lineRule="auto"/>
      <w:ind w:left="720"/>
    </w:pPr>
    <w:rPr>
      <w:rFonts w:ascii="Calibri" w:eastAsia="Calibri" w:hAnsi="Calibri" w:cs="Calibri"/>
      <w:color w:val="000000"/>
      <w:u w:color="000000"/>
      <w:lang w:val="en-US"/>
    </w:rPr>
  </w:style>
  <w:style w:type="character" w:customStyle="1" w:styleId="BodyAChar">
    <w:name w:val="Body A Char"/>
    <w:basedOn w:val="DefaultParagraphFont"/>
    <w:link w:val="BodyA"/>
    <w:locked/>
    <w:rsid w:val="00664BBC"/>
    <w:rPr>
      <w:rFonts w:ascii="Calibri" w:eastAsia="Calibri" w:hAnsi="Calibri" w:cs="Calibri"/>
      <w:color w:val="000000"/>
      <w:u w:color="000000"/>
      <w:bdr w:val="none" w:sz="0" w:space="0" w:color="auto" w:frame="1"/>
      <w:lang w:val="en-US"/>
    </w:rPr>
  </w:style>
  <w:style w:type="paragraph" w:customStyle="1" w:styleId="BodyA">
    <w:name w:val="Body A"/>
    <w:link w:val="BodyAChar"/>
    <w:rsid w:val="00664BBC"/>
    <w:pPr>
      <w:spacing w:line="256" w:lineRule="auto"/>
    </w:pPr>
    <w:rPr>
      <w:rFonts w:ascii="Calibri" w:eastAsia="Calibri" w:hAnsi="Calibri" w:cs="Calibri"/>
      <w:color w:val="000000"/>
      <w:u w:color="000000"/>
      <w:bdr w:val="none" w:sz="0" w:space="0" w:color="auto" w:frame="1"/>
      <w:lang w:val="en-US"/>
    </w:rPr>
  </w:style>
  <w:style w:type="character" w:customStyle="1" w:styleId="name">
    <w:name w:val="name"/>
    <w:basedOn w:val="DefaultParagraphFont"/>
    <w:rsid w:val="00664BBC"/>
  </w:style>
  <w:style w:type="character" w:customStyle="1" w:styleId="contrib-role">
    <w:name w:val="contrib-role"/>
    <w:basedOn w:val="DefaultParagraphFont"/>
    <w:rsid w:val="00664BBC"/>
  </w:style>
  <w:style w:type="paragraph" w:styleId="CommentSubject">
    <w:name w:val="annotation subject"/>
    <w:basedOn w:val="CommentText"/>
    <w:next w:val="CommentText"/>
    <w:link w:val="CommentSubjectChar"/>
    <w:uiPriority w:val="99"/>
    <w:semiHidden/>
    <w:unhideWhenUsed/>
    <w:rsid w:val="00664BBC"/>
    <w:rPr>
      <w:rFonts w:eastAsia="Times New Roman"/>
      <w:b/>
      <w:bCs/>
      <w:lang w:eastAsia="en-GB"/>
    </w:rPr>
  </w:style>
  <w:style w:type="character" w:customStyle="1" w:styleId="CommentSubjectChar">
    <w:name w:val="Comment Subject Char"/>
    <w:basedOn w:val="CommentTextChar"/>
    <w:link w:val="CommentSubject"/>
    <w:uiPriority w:val="99"/>
    <w:semiHidden/>
    <w:rsid w:val="00664BBC"/>
    <w:rPr>
      <w:rFonts w:ascii="Times New Roman" w:eastAsia="Times New Roman" w:hAnsi="Times New Roman" w:cs="Times New Roman"/>
      <w:b/>
      <w:bCs/>
      <w:sz w:val="20"/>
      <w:szCs w:val="20"/>
      <w:lang w:eastAsia="en-GB"/>
    </w:rPr>
  </w:style>
  <w:style w:type="table" w:styleId="TableGrid">
    <w:name w:val="Table Grid"/>
    <w:basedOn w:val="TableNormal"/>
    <w:uiPriority w:val="39"/>
    <w:rsid w:val="00664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
    <w:link w:val="NormalChar"/>
    <w:qFormat/>
    <w:rsid w:val="00664BB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eastAsia="Arial" w:hAnsi="Arial" w:cs="Times New Roman"/>
      <w:sz w:val="24"/>
      <w:szCs w:val="20"/>
      <w:lang w:eastAsia="en-GB"/>
    </w:rPr>
  </w:style>
  <w:style w:type="character" w:customStyle="1" w:styleId="NormalChar">
    <w:name w:val="[Normal] Char"/>
    <w:basedOn w:val="DefaultParagraphFont"/>
    <w:link w:val="Normal0"/>
    <w:rsid w:val="00664BBC"/>
    <w:rPr>
      <w:rFonts w:ascii="Arial" w:eastAsia="Arial" w:hAnsi="Arial" w:cs="Times New Roman"/>
      <w:sz w:val="24"/>
      <w:szCs w:val="20"/>
      <w:lang w:eastAsia="en-GB"/>
    </w:rPr>
  </w:style>
  <w:style w:type="paragraph" w:customStyle="1" w:styleId="EndNoteBibliography">
    <w:name w:val="EndNote Bibliography"/>
    <w:basedOn w:val="Normal"/>
    <w:link w:val="EndNoteBibliographyChar"/>
    <w:rsid w:val="00664BBC"/>
    <w:pPr>
      <w:spacing w:after="200"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664BBC"/>
    <w:rPr>
      <w:rFonts w:ascii="Calibri" w:hAnsi="Calibri" w:cs="Calibri"/>
      <w:noProof/>
      <w:lang w:val="en-US"/>
    </w:rPr>
  </w:style>
  <w:style w:type="paragraph" w:styleId="Header">
    <w:name w:val="header"/>
    <w:basedOn w:val="Normal"/>
    <w:link w:val="HeaderChar"/>
    <w:uiPriority w:val="99"/>
    <w:unhideWhenUsed/>
    <w:rsid w:val="00664BBC"/>
    <w:pPr>
      <w:tabs>
        <w:tab w:val="center" w:pos="4513"/>
        <w:tab w:val="right" w:pos="9026"/>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uiPriority w:val="99"/>
    <w:rsid w:val="00664BBC"/>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664BBC"/>
    <w:pPr>
      <w:tabs>
        <w:tab w:val="center" w:pos="4513"/>
        <w:tab w:val="right" w:pos="902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664BBC"/>
    <w:rPr>
      <w:rFonts w:ascii="Times New Roman" w:eastAsia="Times New Roman" w:hAnsi="Times New Roman" w:cs="Times New Roman"/>
      <w:sz w:val="24"/>
      <w:szCs w:val="24"/>
      <w:lang w:eastAsia="en-GB"/>
    </w:rPr>
  </w:style>
  <w:style w:type="paragraph" w:styleId="Revision">
    <w:name w:val="Revision"/>
    <w:hidden/>
    <w:uiPriority w:val="99"/>
    <w:semiHidden/>
    <w:rsid w:val="00664BBC"/>
    <w:pPr>
      <w:spacing w:after="0" w:line="240" w:lineRule="auto"/>
    </w:pPr>
    <w:rPr>
      <w:rFonts w:ascii="Times New Roman" w:eastAsia="Times New Roman" w:hAnsi="Times New Roman" w:cs="Times New Roman"/>
      <w:sz w:val="24"/>
      <w:szCs w:val="24"/>
      <w:lang w:eastAsia="en-GB"/>
    </w:rPr>
  </w:style>
  <w:style w:type="paragraph" w:styleId="EndnoteText">
    <w:name w:val="endnote text"/>
    <w:basedOn w:val="Normal"/>
    <w:link w:val="EndnoteTextChar"/>
    <w:uiPriority w:val="99"/>
    <w:semiHidden/>
    <w:unhideWhenUsed/>
    <w:rsid w:val="00664BBC"/>
    <w:pPr>
      <w:spacing w:after="0" w:line="240" w:lineRule="auto"/>
    </w:pPr>
    <w:rPr>
      <w:rFonts w:ascii="Times New Roman" w:eastAsia="Times New Roman" w:hAnsi="Times New Roman" w:cs="Times New Roman"/>
      <w:sz w:val="20"/>
      <w:szCs w:val="20"/>
      <w:lang w:eastAsia="en-GB"/>
    </w:rPr>
  </w:style>
  <w:style w:type="character" w:customStyle="1" w:styleId="EndnoteTextChar">
    <w:name w:val="Endnote Text Char"/>
    <w:basedOn w:val="DefaultParagraphFont"/>
    <w:link w:val="EndnoteText"/>
    <w:uiPriority w:val="99"/>
    <w:semiHidden/>
    <w:rsid w:val="00664BBC"/>
    <w:rPr>
      <w:rFonts w:ascii="Times New Roman" w:eastAsia="Times New Roman" w:hAnsi="Times New Roman" w:cs="Times New Roman"/>
      <w:sz w:val="20"/>
      <w:szCs w:val="20"/>
      <w:lang w:eastAsia="en-GB"/>
    </w:rPr>
  </w:style>
  <w:style w:type="character" w:styleId="EndnoteReference">
    <w:name w:val="endnote reference"/>
    <w:basedOn w:val="DefaultParagraphFont"/>
    <w:uiPriority w:val="99"/>
    <w:semiHidden/>
    <w:unhideWhenUsed/>
    <w:rsid w:val="00664BBC"/>
    <w:rPr>
      <w:vertAlign w:val="superscript"/>
    </w:rPr>
  </w:style>
  <w:style w:type="character" w:customStyle="1" w:styleId="UnresolvedMention1">
    <w:name w:val="Unresolved Mention1"/>
    <w:basedOn w:val="DefaultParagraphFont"/>
    <w:uiPriority w:val="99"/>
    <w:semiHidden/>
    <w:unhideWhenUsed/>
    <w:rsid w:val="00664BBC"/>
    <w:rPr>
      <w:color w:val="605E5C"/>
      <w:shd w:val="clear" w:color="auto" w:fill="E1DFDD"/>
    </w:rPr>
  </w:style>
  <w:style w:type="character" w:styleId="FollowedHyperlink">
    <w:name w:val="FollowedHyperlink"/>
    <w:basedOn w:val="DefaultParagraphFont"/>
    <w:uiPriority w:val="99"/>
    <w:semiHidden/>
    <w:unhideWhenUsed/>
    <w:rsid w:val="00664BBC"/>
    <w:rPr>
      <w:color w:val="954F72" w:themeColor="followedHyperlink"/>
      <w:u w:val="single"/>
    </w:rPr>
  </w:style>
  <w:style w:type="paragraph" w:styleId="ListBullet">
    <w:name w:val="List Bullet"/>
    <w:basedOn w:val="Normal"/>
    <w:uiPriority w:val="99"/>
    <w:unhideWhenUsed/>
    <w:rsid w:val="00D67A90"/>
    <w:pPr>
      <w:numPr>
        <w:numId w:val="13"/>
      </w:numPr>
      <w:contextualSpacing/>
    </w:pPr>
  </w:style>
  <w:style w:type="character" w:customStyle="1" w:styleId="UnresolvedMention2">
    <w:name w:val="Unresolved Mention2"/>
    <w:basedOn w:val="DefaultParagraphFont"/>
    <w:uiPriority w:val="99"/>
    <w:semiHidden/>
    <w:unhideWhenUsed/>
    <w:rsid w:val="00E068D8"/>
    <w:rPr>
      <w:color w:val="605E5C"/>
      <w:shd w:val="clear" w:color="auto" w:fill="E1DFDD"/>
    </w:rPr>
  </w:style>
  <w:style w:type="table" w:customStyle="1" w:styleId="TableGrid1">
    <w:name w:val="Table Grid1"/>
    <w:basedOn w:val="TableNormal"/>
    <w:next w:val="TableGrid"/>
    <w:uiPriority w:val="39"/>
    <w:rsid w:val="00EA5E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85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CC6B4B"/>
  </w:style>
  <w:style w:type="character" w:customStyle="1" w:styleId="epub-sectionitem">
    <w:name w:val="epub-section__item"/>
    <w:basedOn w:val="DefaultParagraphFont"/>
    <w:rsid w:val="00354B32"/>
  </w:style>
  <w:style w:type="paragraph" w:customStyle="1" w:styleId="EndNoteBibliographyTitle">
    <w:name w:val="EndNote Bibliography Title"/>
    <w:basedOn w:val="Normal"/>
    <w:link w:val="EndNoteBibliographyTitleChar"/>
    <w:rsid w:val="00330A7E"/>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330A7E"/>
    <w:rPr>
      <w:rFonts w:ascii="Calibri" w:hAnsi="Calibri" w:cs="Calibri"/>
      <w:noProof/>
      <w:lang w:val="en-US"/>
    </w:rPr>
  </w:style>
  <w:style w:type="character" w:customStyle="1" w:styleId="UnresolvedMention3">
    <w:name w:val="Unresolved Mention3"/>
    <w:basedOn w:val="DefaultParagraphFont"/>
    <w:uiPriority w:val="99"/>
    <w:semiHidden/>
    <w:unhideWhenUsed/>
    <w:rsid w:val="007F3316"/>
    <w:rPr>
      <w:color w:val="605E5C"/>
      <w:shd w:val="clear" w:color="auto" w:fill="E1DFDD"/>
    </w:rPr>
  </w:style>
  <w:style w:type="character" w:customStyle="1" w:styleId="UnresolvedMention">
    <w:name w:val="Unresolved Mention"/>
    <w:basedOn w:val="DefaultParagraphFont"/>
    <w:uiPriority w:val="99"/>
    <w:semiHidden/>
    <w:unhideWhenUsed/>
    <w:rsid w:val="000165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24500">
      <w:bodyDiv w:val="1"/>
      <w:marLeft w:val="0"/>
      <w:marRight w:val="0"/>
      <w:marTop w:val="0"/>
      <w:marBottom w:val="0"/>
      <w:divBdr>
        <w:top w:val="none" w:sz="0" w:space="0" w:color="auto"/>
        <w:left w:val="none" w:sz="0" w:space="0" w:color="auto"/>
        <w:bottom w:val="none" w:sz="0" w:space="0" w:color="auto"/>
        <w:right w:val="none" w:sz="0" w:space="0" w:color="auto"/>
      </w:divBdr>
    </w:div>
    <w:div w:id="484202965">
      <w:bodyDiv w:val="1"/>
      <w:marLeft w:val="0"/>
      <w:marRight w:val="0"/>
      <w:marTop w:val="0"/>
      <w:marBottom w:val="0"/>
      <w:divBdr>
        <w:top w:val="none" w:sz="0" w:space="0" w:color="auto"/>
        <w:left w:val="none" w:sz="0" w:space="0" w:color="auto"/>
        <w:bottom w:val="none" w:sz="0" w:space="0" w:color="auto"/>
        <w:right w:val="none" w:sz="0" w:space="0" w:color="auto"/>
      </w:divBdr>
    </w:div>
    <w:div w:id="588271391">
      <w:bodyDiv w:val="1"/>
      <w:marLeft w:val="0"/>
      <w:marRight w:val="0"/>
      <w:marTop w:val="0"/>
      <w:marBottom w:val="0"/>
      <w:divBdr>
        <w:top w:val="none" w:sz="0" w:space="0" w:color="auto"/>
        <w:left w:val="none" w:sz="0" w:space="0" w:color="auto"/>
        <w:bottom w:val="none" w:sz="0" w:space="0" w:color="auto"/>
        <w:right w:val="none" w:sz="0" w:space="0" w:color="auto"/>
      </w:divBdr>
    </w:div>
    <w:div w:id="887448548">
      <w:bodyDiv w:val="1"/>
      <w:marLeft w:val="0"/>
      <w:marRight w:val="0"/>
      <w:marTop w:val="0"/>
      <w:marBottom w:val="0"/>
      <w:divBdr>
        <w:top w:val="none" w:sz="0" w:space="0" w:color="auto"/>
        <w:left w:val="none" w:sz="0" w:space="0" w:color="auto"/>
        <w:bottom w:val="none" w:sz="0" w:space="0" w:color="auto"/>
        <w:right w:val="none" w:sz="0" w:space="0" w:color="auto"/>
      </w:divBdr>
    </w:div>
    <w:div w:id="954605730">
      <w:bodyDiv w:val="1"/>
      <w:marLeft w:val="0"/>
      <w:marRight w:val="0"/>
      <w:marTop w:val="0"/>
      <w:marBottom w:val="0"/>
      <w:divBdr>
        <w:top w:val="none" w:sz="0" w:space="0" w:color="auto"/>
        <w:left w:val="none" w:sz="0" w:space="0" w:color="auto"/>
        <w:bottom w:val="none" w:sz="0" w:space="0" w:color="auto"/>
        <w:right w:val="none" w:sz="0" w:space="0" w:color="auto"/>
      </w:divBdr>
    </w:div>
    <w:div w:id="1258292223">
      <w:bodyDiv w:val="1"/>
      <w:marLeft w:val="0"/>
      <w:marRight w:val="0"/>
      <w:marTop w:val="0"/>
      <w:marBottom w:val="0"/>
      <w:divBdr>
        <w:top w:val="none" w:sz="0" w:space="0" w:color="auto"/>
        <w:left w:val="none" w:sz="0" w:space="0" w:color="auto"/>
        <w:bottom w:val="none" w:sz="0" w:space="0" w:color="auto"/>
        <w:right w:val="none" w:sz="0" w:space="0" w:color="auto"/>
      </w:divBdr>
    </w:div>
    <w:div w:id="1369834130">
      <w:bodyDiv w:val="1"/>
      <w:marLeft w:val="0"/>
      <w:marRight w:val="0"/>
      <w:marTop w:val="0"/>
      <w:marBottom w:val="0"/>
      <w:divBdr>
        <w:top w:val="none" w:sz="0" w:space="0" w:color="auto"/>
        <w:left w:val="none" w:sz="0" w:space="0" w:color="auto"/>
        <w:bottom w:val="none" w:sz="0" w:space="0" w:color="auto"/>
        <w:right w:val="none" w:sz="0" w:space="0" w:color="auto"/>
      </w:divBdr>
    </w:div>
    <w:div w:id="1606762862">
      <w:bodyDiv w:val="1"/>
      <w:marLeft w:val="0"/>
      <w:marRight w:val="0"/>
      <w:marTop w:val="0"/>
      <w:marBottom w:val="0"/>
      <w:divBdr>
        <w:top w:val="none" w:sz="0" w:space="0" w:color="auto"/>
        <w:left w:val="none" w:sz="0" w:space="0" w:color="auto"/>
        <w:bottom w:val="none" w:sz="0" w:space="0" w:color="auto"/>
        <w:right w:val="none" w:sz="0" w:space="0" w:color="auto"/>
      </w:divBdr>
    </w:div>
    <w:div w:id="195809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d8b7f4321ab643d5" Type="http://schemas.microsoft.com/office/2019/09/relationships/intelligence" Target="intelligence.xml"/><Relationship Id="rId5" Type="http://schemas.openxmlformats.org/officeDocument/2006/relationships/webSettings" Target="webSettings.xml"/><Relationship Id="rId23"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32F3341-4370-48DB-9034-2C1E32B9BF8F}">
  <we:reference id="wa104382081" version="1.35.0.0" store="en-GB" storeType="OMEX"/>
  <we:alternateReferences>
    <we:reference id="wa104382081" version="1.35.0.0" store="wa10438208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Mas16</b:Tag>
    <b:SourceType>JournalArticle</b:SourceType>
    <b:Guid>{F30EEB8F-4C7D-B74B-9DA6-0A0687D32AFA}</b:Guid>
    <b:Author>
      <b:Author>
        <b:NameList>
          <b:Person>
            <b:Last>Maslach</b:Last>
            <b:First>C.,</b:First>
            <b:Middle>&amp; Leiter, M. P.</b:Middle>
          </b:Person>
        </b:NameList>
      </b:Author>
    </b:Author>
    <b:Title>Understanding the burnout experience: recent research and its implications for psychiatry</b:Title>
    <b:Publisher>World psychiatry</b:Publisher>
    <b:Year>2016</b:Year>
    <b:JournalName>World Psychiatry</b:JournalName>
    <b:Pages>103–111. https://doi.org/10.1002/wps.203</b:Pages>
    <b:Volume>15</b:Volume>
    <b:Issue>2</b:Issue>
    <b:RefOrder>1</b:RefOrder>
  </b:Source>
  <b:Source>
    <b:Tag>Ser21</b:Tag>
    <b:SourceType>JournalArticle</b:SourceType>
    <b:Guid>{31332A29-5792-8041-9FF0-D68C74E57348}</b:Guid>
    <b:Author>
      <b:Author>
        <b:NameList>
          <b:Person>
            <b:Last>Serrano</b:Last>
            <b:First>J.,</b:First>
            <b:Middle>Hassamal, S., Hassamal, S., Dong, F., &amp; Neeki, M Nursing management</b:Middle>
          </b:Person>
        </b:NameList>
      </b:Author>
    </b:Author>
    <b:Title>Depression and anxiety prevalence in nursing staff during the COVID-19 pandemic</b:Title>
    <b:JournalName>Nursing management</b:JournalName>
    <b:Year>2021</b:Year>
    <b:Pages>52(6), 24–32. https://doi.org/10.1097/01.NUMA.0000752784.86469.b9</b:Pages>
    <b:RefOrder>2</b:RefOrder>
  </b:Source>
  <b:Source>
    <b:Tag>Hum21</b:Tag>
    <b:SourceType>JournalArticle</b:SourceType>
    <b:Guid>{2CE65C3D-3F18-174F-AD9A-8711C7569307}</b:Guid>
    <b:Author>
      <b:Author>
        <b:NameList>
          <b:Person>
            <b:Last>Hummel</b:Last>
            <b:First>S.,</b:First>
            <b:Middle>Oetjen, N., Du, J., Posenato, E., Resende de Almeida, R. M., Losada, R., Ribeiro, O., Frisardi, V., Hopper, L., Rashid, A., Nasser, H., König, A., Rudofsky, G., Weidt, S., Zafar, A., Gronewold, N., Mayer, G., &amp; Schultz, J. H. Mental He</b:Middle>
          </b:Person>
        </b:NameList>
      </b:Author>
    </b:Author>
    <b:Title>Mental Health Among Medical Professionals During the COVID-19 Pandemic in Eight European Countries: Cross-sectional Survey Study</b:Title>
    <b:JournalName> Med Internet Res</b:JournalName>
    <b:Year>2021</b:Year>
    <b:Pages>23(1): e24983.</b:Pages>
    <b:RefOrder>3</b:RefOrder>
  </b:Source>
  <b:Source>
    <b:Tag>Bas21</b:Tag>
    <b:SourceType>JournalArticle</b:SourceType>
    <b:Guid>{EABAD368-E5C9-514E-B3BA-88DA0F6E49A1}</b:Guid>
    <b:Author>
      <b:Author>
        <b:NameList>
          <b:Person>
            <b:Last>Baskin</b:Last>
            <b:First>R.</b:First>
            <b:Middle>G. and Bartlett, R</b:Middle>
          </b:Person>
        </b:NameList>
      </b:Author>
    </b:Author>
    <b:Title>Healthcare worker resilience during the COVID-19 pandemic: An integrative review</b:Title>
    <b:JournalName>Journal of Nursing Management</b:JournalName>
    <b:Year>2021</b:Year>
    <b:Pages>1–14. https://doi.org/10.1111/jonm.13395</b:Pages>
    <b:RefOrder>4</b:RefOrder>
  </b:Source>
</b:Sources>
</file>

<file path=customXml/itemProps1.xml><?xml version="1.0" encoding="utf-8"?>
<ds:datastoreItem xmlns:ds="http://schemas.openxmlformats.org/officeDocument/2006/customXml" ds:itemID="{D96AF2ED-B580-4A8E-9DD1-0687A3EC5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21</Pages>
  <Words>27349</Words>
  <Characters>155892</Characters>
  <Application>Microsoft Office Word</Application>
  <DocSecurity>0</DocSecurity>
  <Lines>1299</Lines>
  <Paragraphs>365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Nicola</dc:creator>
  <cp:keywords/>
  <dc:description/>
  <cp:lastModifiedBy>Roberts, Nicola</cp:lastModifiedBy>
  <cp:revision>7</cp:revision>
  <cp:lastPrinted>2021-07-12T13:55:00Z</cp:lastPrinted>
  <dcterms:created xsi:type="dcterms:W3CDTF">2022-05-09T15:59:00Z</dcterms:created>
  <dcterms:modified xsi:type="dcterms:W3CDTF">2022-05-09T19:02:00Z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vt:lpwstr>
  </property>
  <property fmtid="{D5CDD505-2E9C-101B-9397-08002B2CF9AE}" pid="4" name="Mendeley Recent Style Id 1_1">
    <vt:lpwstr>http://www.zotero.org/styles/bmj-open-respiratory-research</vt:lpwstr>
  </property>
  <property fmtid="{D5CDD505-2E9C-101B-9397-08002B2CF9AE}" pid="5" name="Mendeley Recent Style Name 1_1">
    <vt:lpwstr>BMJ Open Respiratory Research</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http://www.zotero.org/styles/royal-college-of-nursing-harvard</vt:lpwstr>
  </property>
  <property fmtid="{D5CDD505-2E9C-101B-9397-08002B2CF9AE}" pid="19" name="Mendeley Recent Style Name 8_1">
    <vt:lpwstr>Royal College of Nursing - Harvard</vt:lpwstr>
  </property>
  <property fmtid="{D5CDD505-2E9C-101B-9397-08002B2CF9AE}" pid="20" name="Mendeley Recent Style Id 9_1">
    <vt:lpwstr>http://www.zotero.org/styles/thorax</vt:lpwstr>
  </property>
  <property fmtid="{D5CDD505-2E9C-101B-9397-08002B2CF9AE}" pid="21" name="Mendeley Recent Style Name 9_1">
    <vt:lpwstr>Thorax</vt:lpwstr>
  </property>
  <property fmtid="{D5CDD505-2E9C-101B-9397-08002B2CF9AE}" pid="22" name="Mendeley Document_1">
    <vt:lpwstr>True</vt:lpwstr>
  </property>
  <property fmtid="{D5CDD505-2E9C-101B-9397-08002B2CF9AE}" pid="23" name="Mendeley Unique User Id_1">
    <vt:lpwstr>77ee28e2-41f9-34b2-bd8d-478d3c4c9226</vt:lpwstr>
  </property>
  <property fmtid="{D5CDD505-2E9C-101B-9397-08002B2CF9AE}" pid="24" name="Mendeley Citation Style_1">
    <vt:lpwstr>http://www.zotero.org/styles/royal-college-of-nursing-harvard</vt:lpwstr>
  </property>
</Properties>
</file>