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3787" w14:textId="434F4C3D" w:rsidR="009A5903" w:rsidRPr="00F71F70" w:rsidRDefault="00C51D10" w:rsidP="00FD77D8">
      <w:pPr>
        <w:spacing w:after="0" w:line="240" w:lineRule="auto"/>
        <w:jc w:val="both"/>
        <w:rPr>
          <w:rFonts w:eastAsia="Times New Roman" w:cstheme="minorHAnsi"/>
          <w:b/>
          <w:iCs/>
          <w:sz w:val="36"/>
          <w:szCs w:val="36"/>
          <w:lang w:eastAsia="en-GB"/>
        </w:rPr>
      </w:pPr>
      <w:bookmarkStart w:id="0" w:name="_Hlk95238289"/>
      <w:r w:rsidRPr="00F71F70">
        <w:rPr>
          <w:rFonts w:eastAsia="Times New Roman" w:cstheme="minorHAnsi"/>
          <w:b/>
          <w:iCs/>
          <w:sz w:val="36"/>
          <w:szCs w:val="36"/>
          <w:lang w:eastAsia="en-GB"/>
        </w:rPr>
        <w:t xml:space="preserve">What </w:t>
      </w:r>
      <w:r w:rsidR="0081169D" w:rsidRPr="00F71F70">
        <w:rPr>
          <w:rFonts w:eastAsia="Times New Roman" w:cstheme="minorHAnsi"/>
          <w:b/>
          <w:iCs/>
          <w:sz w:val="36"/>
          <w:szCs w:val="36"/>
          <w:lang w:eastAsia="en-GB"/>
        </w:rPr>
        <w:t>p</w:t>
      </w:r>
      <w:r w:rsidRPr="00F71F70">
        <w:rPr>
          <w:rFonts w:eastAsia="Times New Roman" w:cstheme="minorHAnsi"/>
          <w:b/>
          <w:iCs/>
          <w:sz w:val="36"/>
          <w:szCs w:val="36"/>
          <w:lang w:eastAsia="en-GB"/>
        </w:rPr>
        <w:t>ost-</w:t>
      </w:r>
      <w:r w:rsidR="0081169D" w:rsidRPr="00F71F70">
        <w:rPr>
          <w:rFonts w:eastAsia="Times New Roman" w:cstheme="minorHAnsi"/>
          <w:b/>
          <w:iCs/>
          <w:sz w:val="36"/>
          <w:szCs w:val="36"/>
          <w:lang w:eastAsia="en-GB"/>
        </w:rPr>
        <w:t>m</w:t>
      </w:r>
      <w:r w:rsidRPr="00F71F70">
        <w:rPr>
          <w:rFonts w:eastAsia="Times New Roman" w:cstheme="minorHAnsi"/>
          <w:b/>
          <w:iCs/>
          <w:sz w:val="36"/>
          <w:szCs w:val="36"/>
          <w:lang w:eastAsia="en-GB"/>
        </w:rPr>
        <w:t xml:space="preserve">ortem </w:t>
      </w:r>
      <w:r w:rsidR="0081169D" w:rsidRPr="00F71F70">
        <w:rPr>
          <w:rFonts w:eastAsia="Times New Roman" w:cstheme="minorHAnsi"/>
          <w:b/>
          <w:iCs/>
          <w:sz w:val="36"/>
          <w:szCs w:val="36"/>
          <w:lang w:eastAsia="en-GB"/>
        </w:rPr>
        <w:t>p</w:t>
      </w:r>
      <w:r w:rsidRPr="00F71F70">
        <w:rPr>
          <w:rFonts w:eastAsia="Times New Roman" w:cstheme="minorHAnsi"/>
          <w:b/>
          <w:iCs/>
          <w:sz w:val="36"/>
          <w:szCs w:val="36"/>
          <w:lang w:eastAsia="en-GB"/>
        </w:rPr>
        <w:t xml:space="preserve">rivacy </w:t>
      </w:r>
      <w:r w:rsidR="0081169D" w:rsidRPr="00F71F70">
        <w:rPr>
          <w:rFonts w:eastAsia="Times New Roman" w:cstheme="minorHAnsi"/>
          <w:b/>
          <w:iCs/>
          <w:sz w:val="36"/>
          <w:szCs w:val="36"/>
          <w:lang w:eastAsia="en-GB"/>
        </w:rPr>
        <w:t>m</w:t>
      </w:r>
      <w:r w:rsidRPr="00F71F70">
        <w:rPr>
          <w:rFonts w:eastAsia="Times New Roman" w:cstheme="minorHAnsi"/>
          <w:b/>
          <w:iCs/>
          <w:sz w:val="36"/>
          <w:szCs w:val="36"/>
          <w:lang w:eastAsia="en-GB"/>
        </w:rPr>
        <w:t xml:space="preserve">ay </w:t>
      </w:r>
      <w:r w:rsidR="0081169D" w:rsidRPr="00F71F70">
        <w:rPr>
          <w:rFonts w:eastAsia="Times New Roman" w:cstheme="minorHAnsi"/>
          <w:b/>
          <w:iCs/>
          <w:sz w:val="36"/>
          <w:szCs w:val="36"/>
          <w:lang w:eastAsia="en-GB"/>
        </w:rPr>
        <w:t>t</w:t>
      </w:r>
      <w:r w:rsidRPr="00F71F70">
        <w:rPr>
          <w:rFonts w:eastAsia="Times New Roman" w:cstheme="minorHAnsi"/>
          <w:b/>
          <w:iCs/>
          <w:sz w:val="36"/>
          <w:szCs w:val="36"/>
          <w:lang w:eastAsia="en-GB"/>
        </w:rPr>
        <w:t>each us</w:t>
      </w:r>
      <w:r w:rsidR="001B1384" w:rsidRPr="00F71F70">
        <w:rPr>
          <w:rFonts w:eastAsia="Times New Roman" w:cstheme="minorHAnsi"/>
          <w:b/>
          <w:iCs/>
          <w:sz w:val="36"/>
          <w:szCs w:val="36"/>
          <w:lang w:eastAsia="en-GB"/>
        </w:rPr>
        <w:t xml:space="preserve"> about </w:t>
      </w:r>
      <w:r w:rsidR="0081169D" w:rsidRPr="00F71F70">
        <w:rPr>
          <w:rFonts w:eastAsia="Times New Roman" w:cstheme="minorHAnsi"/>
          <w:b/>
          <w:iCs/>
          <w:sz w:val="36"/>
          <w:szCs w:val="36"/>
          <w:lang w:eastAsia="en-GB"/>
        </w:rPr>
        <w:t>p</w:t>
      </w:r>
      <w:r w:rsidR="001B1384" w:rsidRPr="00F71F70">
        <w:rPr>
          <w:rFonts w:eastAsia="Times New Roman" w:cstheme="minorHAnsi"/>
          <w:b/>
          <w:iCs/>
          <w:sz w:val="36"/>
          <w:szCs w:val="36"/>
          <w:lang w:eastAsia="en-GB"/>
        </w:rPr>
        <w:t>rivacy</w:t>
      </w:r>
      <w:r w:rsidR="00823C86" w:rsidRPr="00F71F70">
        <w:rPr>
          <w:rFonts w:eastAsia="Times New Roman" w:cstheme="minorHAnsi"/>
          <w:b/>
          <w:iCs/>
          <w:sz w:val="36"/>
          <w:szCs w:val="36"/>
          <w:lang w:eastAsia="en-GB"/>
        </w:rPr>
        <w:t xml:space="preserve"> </w:t>
      </w:r>
    </w:p>
    <w:p w14:paraId="61B357B3" w14:textId="7951E4E7" w:rsidR="00F71F70" w:rsidRDefault="00F71F70" w:rsidP="00FD77D8">
      <w:pPr>
        <w:spacing w:after="0" w:line="240" w:lineRule="auto"/>
        <w:jc w:val="both"/>
        <w:rPr>
          <w:rFonts w:eastAsia="Times New Roman" w:cstheme="minorHAnsi"/>
          <w:bCs/>
          <w:iCs/>
          <w:sz w:val="24"/>
          <w:szCs w:val="24"/>
          <w:lang w:eastAsia="en-GB"/>
        </w:rPr>
      </w:pPr>
    </w:p>
    <w:p w14:paraId="55C772B8" w14:textId="20D8672F" w:rsidR="00F752FF" w:rsidRDefault="00F752FF" w:rsidP="00FD77D8">
      <w:pPr>
        <w:spacing w:after="0" w:line="240" w:lineRule="auto"/>
        <w:jc w:val="both"/>
        <w:rPr>
          <w:rFonts w:eastAsia="Times New Roman" w:cstheme="minorHAnsi"/>
          <w:bCs/>
          <w:iCs/>
          <w:sz w:val="24"/>
          <w:szCs w:val="24"/>
          <w:lang w:eastAsia="en-GB"/>
        </w:rPr>
      </w:pPr>
      <w:r>
        <w:rPr>
          <w:rFonts w:eastAsia="Times New Roman" w:cstheme="minorHAnsi"/>
          <w:bCs/>
          <w:iCs/>
          <w:sz w:val="24"/>
          <w:szCs w:val="24"/>
          <w:lang w:eastAsia="en-GB"/>
        </w:rPr>
        <w:t>Uta Kohl*</w:t>
      </w:r>
    </w:p>
    <w:p w14:paraId="28FB2941" w14:textId="34AE4E85" w:rsidR="00F752FF" w:rsidRDefault="00F752FF" w:rsidP="00FD77D8">
      <w:pPr>
        <w:spacing w:after="0" w:line="240" w:lineRule="auto"/>
        <w:jc w:val="both"/>
        <w:rPr>
          <w:rFonts w:eastAsia="Times New Roman" w:cstheme="minorHAnsi"/>
          <w:bCs/>
          <w:iCs/>
          <w:sz w:val="24"/>
          <w:szCs w:val="24"/>
          <w:lang w:eastAsia="en-GB"/>
        </w:rPr>
      </w:pPr>
    </w:p>
    <w:p w14:paraId="1E070F52" w14:textId="6C331231" w:rsidR="00F752FF" w:rsidRDefault="00F752FF" w:rsidP="00FD77D8">
      <w:pPr>
        <w:spacing w:after="0" w:line="240" w:lineRule="auto"/>
        <w:jc w:val="both"/>
        <w:rPr>
          <w:rFonts w:eastAsia="Times New Roman" w:cstheme="minorHAnsi"/>
          <w:bCs/>
          <w:iCs/>
          <w:sz w:val="24"/>
          <w:szCs w:val="24"/>
          <w:lang w:eastAsia="en-GB"/>
        </w:rPr>
      </w:pPr>
      <w:r>
        <w:rPr>
          <w:rFonts w:eastAsia="Times New Roman" w:cstheme="minorHAnsi"/>
          <w:bCs/>
          <w:iCs/>
          <w:sz w:val="24"/>
          <w:szCs w:val="24"/>
          <w:lang w:eastAsia="en-GB"/>
        </w:rPr>
        <w:t>28 July 2022</w:t>
      </w:r>
    </w:p>
    <w:p w14:paraId="7E4DD7BC" w14:textId="77777777" w:rsidR="00F752FF" w:rsidRDefault="00F752FF" w:rsidP="00FD77D8">
      <w:pPr>
        <w:spacing w:after="0" w:line="240" w:lineRule="auto"/>
        <w:jc w:val="both"/>
        <w:rPr>
          <w:rFonts w:eastAsia="Times New Roman" w:cstheme="minorHAnsi"/>
          <w:bCs/>
          <w:iCs/>
          <w:sz w:val="24"/>
          <w:szCs w:val="24"/>
          <w:lang w:eastAsia="en-GB"/>
        </w:rPr>
      </w:pPr>
    </w:p>
    <w:p w14:paraId="78CE9E04" w14:textId="3F8CEFAF" w:rsidR="00F752FF" w:rsidRPr="00F752FF" w:rsidRDefault="00F752FF" w:rsidP="00FD77D8">
      <w:pPr>
        <w:spacing w:after="0" w:line="240" w:lineRule="auto"/>
        <w:jc w:val="both"/>
        <w:rPr>
          <w:rFonts w:eastAsia="Times New Roman" w:cstheme="minorHAnsi"/>
          <w:bCs/>
          <w:i/>
          <w:sz w:val="24"/>
          <w:szCs w:val="24"/>
          <w:lang w:eastAsia="en-GB"/>
        </w:rPr>
      </w:pPr>
      <w:r>
        <w:rPr>
          <w:rFonts w:eastAsia="Times New Roman" w:cstheme="minorHAnsi"/>
          <w:bCs/>
          <w:iCs/>
          <w:sz w:val="24"/>
          <w:szCs w:val="24"/>
          <w:lang w:eastAsia="en-GB"/>
        </w:rPr>
        <w:t xml:space="preserve">Forthcoming in the </w:t>
      </w:r>
      <w:r w:rsidRPr="00F752FF">
        <w:rPr>
          <w:rFonts w:eastAsia="Times New Roman" w:cstheme="minorHAnsi"/>
          <w:bCs/>
          <w:i/>
          <w:sz w:val="24"/>
          <w:szCs w:val="24"/>
          <w:lang w:eastAsia="en-GB"/>
        </w:rPr>
        <w:t>Computer Law &amp; Security Review</w:t>
      </w:r>
    </w:p>
    <w:p w14:paraId="4DBB0812" w14:textId="22CC4901" w:rsidR="005755E5" w:rsidRPr="0076491E" w:rsidRDefault="005755E5" w:rsidP="00FD77D8">
      <w:pPr>
        <w:spacing w:after="0" w:line="240" w:lineRule="auto"/>
        <w:jc w:val="both"/>
        <w:rPr>
          <w:rFonts w:eastAsia="Times New Roman" w:cstheme="minorHAnsi"/>
          <w:b/>
          <w:iCs/>
          <w:sz w:val="24"/>
          <w:szCs w:val="24"/>
          <w:u w:val="single"/>
          <w:lang w:eastAsia="en-GB"/>
        </w:rPr>
      </w:pPr>
    </w:p>
    <w:p w14:paraId="2B1C93BB" w14:textId="542C9773" w:rsidR="00181176" w:rsidRPr="0076491E" w:rsidRDefault="00826313" w:rsidP="00FD77D8">
      <w:pPr>
        <w:spacing w:after="0" w:line="240" w:lineRule="auto"/>
        <w:jc w:val="both"/>
        <w:rPr>
          <w:rFonts w:eastAsia="Times New Roman" w:cstheme="minorHAnsi"/>
          <w:b/>
          <w:iCs/>
          <w:sz w:val="24"/>
          <w:szCs w:val="24"/>
          <w:u w:val="single"/>
          <w:lang w:eastAsia="en-GB"/>
        </w:rPr>
      </w:pPr>
      <w:r w:rsidRPr="0076491E">
        <w:rPr>
          <w:rFonts w:eastAsia="Times New Roman" w:cstheme="minorHAnsi"/>
          <w:b/>
          <w:iCs/>
          <w:sz w:val="24"/>
          <w:szCs w:val="24"/>
          <w:u w:val="single"/>
          <w:lang w:eastAsia="en-GB"/>
        </w:rPr>
        <w:t xml:space="preserve">Abstract </w:t>
      </w:r>
    </w:p>
    <w:p w14:paraId="1F63996D" w14:textId="41ED7777" w:rsidR="00826313" w:rsidRPr="0076491E" w:rsidRDefault="00826313" w:rsidP="00FD77D8">
      <w:pPr>
        <w:spacing w:after="0" w:line="240" w:lineRule="auto"/>
        <w:jc w:val="both"/>
        <w:rPr>
          <w:rFonts w:eastAsia="Times New Roman" w:cstheme="minorHAnsi"/>
          <w:bCs/>
          <w:iCs/>
          <w:sz w:val="24"/>
          <w:szCs w:val="24"/>
          <w:u w:val="single"/>
          <w:lang w:eastAsia="en-GB"/>
        </w:rPr>
      </w:pPr>
    </w:p>
    <w:p w14:paraId="77CDC4E9" w14:textId="72D6AA16" w:rsidR="003A3C88" w:rsidRPr="00F71F70" w:rsidRDefault="005570FA" w:rsidP="005570FA">
      <w:pPr>
        <w:autoSpaceDE w:val="0"/>
        <w:autoSpaceDN w:val="0"/>
        <w:adjustRightInd w:val="0"/>
        <w:spacing w:after="0" w:line="240" w:lineRule="auto"/>
        <w:jc w:val="both"/>
        <w:rPr>
          <w:rFonts w:cstheme="minorHAnsi"/>
          <w:sz w:val="24"/>
          <w:szCs w:val="24"/>
        </w:rPr>
      </w:pPr>
      <w:r w:rsidRPr="0076491E">
        <w:rPr>
          <w:rFonts w:cstheme="minorHAnsi"/>
          <w:sz w:val="24"/>
          <w:szCs w:val="24"/>
        </w:rPr>
        <w:t>This paper approaches the debate a</w:t>
      </w:r>
      <w:r w:rsidR="00654A82" w:rsidRPr="0076491E">
        <w:rPr>
          <w:rFonts w:cstheme="minorHAnsi"/>
          <w:sz w:val="24"/>
          <w:szCs w:val="24"/>
        </w:rPr>
        <w:t>bout</w:t>
      </w:r>
      <w:r w:rsidR="004F7BD3" w:rsidRPr="0076491E">
        <w:rPr>
          <w:rFonts w:cstheme="minorHAnsi"/>
          <w:sz w:val="24"/>
          <w:szCs w:val="24"/>
        </w:rPr>
        <w:t xml:space="preserve"> the protection of</w:t>
      </w:r>
      <w:r w:rsidRPr="0076491E">
        <w:rPr>
          <w:rFonts w:cstheme="minorHAnsi"/>
          <w:sz w:val="24"/>
          <w:szCs w:val="24"/>
        </w:rPr>
        <w:t xml:space="preserve"> digital legacies through </w:t>
      </w:r>
      <w:r w:rsidR="00B63EA8" w:rsidRPr="0076491E">
        <w:rPr>
          <w:rFonts w:cstheme="minorHAnsi"/>
          <w:sz w:val="24"/>
          <w:szCs w:val="24"/>
        </w:rPr>
        <w:t>a</w:t>
      </w:r>
      <w:r w:rsidR="00A23860" w:rsidRPr="0076491E">
        <w:rPr>
          <w:rFonts w:cstheme="minorHAnsi"/>
          <w:sz w:val="24"/>
          <w:szCs w:val="24"/>
        </w:rPr>
        <w:t xml:space="preserve"> </w:t>
      </w:r>
      <w:r w:rsidR="00AB6187" w:rsidRPr="0076491E">
        <w:rPr>
          <w:rFonts w:cstheme="minorHAnsi"/>
          <w:sz w:val="24"/>
          <w:szCs w:val="24"/>
        </w:rPr>
        <w:t xml:space="preserve">medical confidentiality </w:t>
      </w:r>
      <w:r w:rsidRPr="0076491E">
        <w:rPr>
          <w:rFonts w:cstheme="minorHAnsi"/>
          <w:sz w:val="24"/>
          <w:szCs w:val="24"/>
        </w:rPr>
        <w:t>lens</w:t>
      </w:r>
      <w:r w:rsidR="00365EF0">
        <w:rPr>
          <w:rFonts w:cstheme="minorHAnsi"/>
          <w:sz w:val="24"/>
          <w:szCs w:val="24"/>
        </w:rPr>
        <w:t>, capitalising on</w:t>
      </w:r>
      <w:r w:rsidRPr="0076491E">
        <w:rPr>
          <w:rFonts w:cstheme="minorHAnsi"/>
          <w:sz w:val="24"/>
          <w:szCs w:val="24"/>
        </w:rPr>
        <w:t xml:space="preserve"> </w:t>
      </w:r>
      <w:r w:rsidR="00A23860" w:rsidRPr="0076491E">
        <w:rPr>
          <w:rFonts w:cstheme="minorHAnsi"/>
          <w:sz w:val="24"/>
          <w:szCs w:val="24"/>
        </w:rPr>
        <w:t>its</w:t>
      </w:r>
      <w:r w:rsidR="004F7BD3" w:rsidRPr="0076491E">
        <w:rPr>
          <w:rFonts w:cstheme="minorHAnsi"/>
          <w:sz w:val="24"/>
          <w:szCs w:val="24"/>
        </w:rPr>
        <w:t xml:space="preserve"> </w:t>
      </w:r>
      <w:r w:rsidR="00AB6187" w:rsidRPr="0076491E">
        <w:rPr>
          <w:rFonts w:cstheme="minorHAnsi"/>
          <w:sz w:val="24"/>
          <w:szCs w:val="24"/>
        </w:rPr>
        <w:t xml:space="preserve">outlier status </w:t>
      </w:r>
      <w:r w:rsidR="00B63EA8" w:rsidRPr="0076491E">
        <w:rPr>
          <w:rFonts w:cstheme="minorHAnsi"/>
          <w:sz w:val="24"/>
          <w:szCs w:val="24"/>
        </w:rPr>
        <w:t>in common law jurisdiction</w:t>
      </w:r>
      <w:r w:rsidR="00B05DCE" w:rsidRPr="0076491E">
        <w:rPr>
          <w:rFonts w:cstheme="minorHAnsi"/>
          <w:sz w:val="24"/>
          <w:szCs w:val="24"/>
        </w:rPr>
        <w:t>s</w:t>
      </w:r>
      <w:r w:rsidR="00B63EA8" w:rsidRPr="0076491E">
        <w:rPr>
          <w:rFonts w:cstheme="minorHAnsi"/>
          <w:sz w:val="24"/>
          <w:szCs w:val="24"/>
        </w:rPr>
        <w:t xml:space="preserve"> </w:t>
      </w:r>
      <w:r w:rsidR="00AB6187" w:rsidRPr="0076491E">
        <w:rPr>
          <w:rFonts w:cstheme="minorHAnsi"/>
          <w:sz w:val="24"/>
          <w:szCs w:val="24"/>
        </w:rPr>
        <w:t xml:space="preserve">as </w:t>
      </w:r>
      <w:r w:rsidR="00521AB5" w:rsidRPr="0076491E">
        <w:rPr>
          <w:rFonts w:cstheme="minorHAnsi"/>
          <w:sz w:val="24"/>
          <w:szCs w:val="24"/>
        </w:rPr>
        <w:t>a</w:t>
      </w:r>
      <w:r w:rsidR="00B63EA8" w:rsidRPr="0076491E">
        <w:rPr>
          <w:rFonts w:cstheme="minorHAnsi"/>
          <w:sz w:val="24"/>
          <w:szCs w:val="24"/>
        </w:rPr>
        <w:t xml:space="preserve"> </w:t>
      </w:r>
      <w:r w:rsidR="00C05722" w:rsidRPr="0076491E">
        <w:rPr>
          <w:rFonts w:cstheme="minorHAnsi"/>
          <w:sz w:val="24"/>
          <w:szCs w:val="24"/>
        </w:rPr>
        <w:t>privacy</w:t>
      </w:r>
      <w:r w:rsidR="009650FA">
        <w:rPr>
          <w:rFonts w:cstheme="minorHAnsi"/>
          <w:sz w:val="24"/>
          <w:szCs w:val="24"/>
        </w:rPr>
        <w:t>-type</w:t>
      </w:r>
      <w:r w:rsidR="00C05722" w:rsidRPr="0076491E">
        <w:rPr>
          <w:rFonts w:cstheme="minorHAnsi"/>
          <w:sz w:val="24"/>
          <w:szCs w:val="24"/>
        </w:rPr>
        <w:t xml:space="preserve"> </w:t>
      </w:r>
      <w:r w:rsidR="00B63EA8" w:rsidRPr="0076491E">
        <w:rPr>
          <w:rFonts w:cstheme="minorHAnsi"/>
          <w:sz w:val="24"/>
          <w:szCs w:val="24"/>
        </w:rPr>
        <w:t xml:space="preserve">duty </w:t>
      </w:r>
      <w:r w:rsidR="00654A82" w:rsidRPr="0076491E">
        <w:rPr>
          <w:rFonts w:cstheme="minorHAnsi"/>
          <w:sz w:val="24"/>
          <w:szCs w:val="24"/>
        </w:rPr>
        <w:t xml:space="preserve">that </w:t>
      </w:r>
      <w:r w:rsidR="003879F7" w:rsidRPr="0076491E">
        <w:rPr>
          <w:rFonts w:cstheme="minorHAnsi"/>
          <w:sz w:val="24"/>
          <w:szCs w:val="24"/>
        </w:rPr>
        <w:t>survives</w:t>
      </w:r>
      <w:r w:rsidR="00654A82" w:rsidRPr="00F71F70">
        <w:rPr>
          <w:rFonts w:cstheme="minorHAnsi"/>
          <w:sz w:val="24"/>
          <w:szCs w:val="24"/>
        </w:rPr>
        <w:t xml:space="preserve"> </w:t>
      </w:r>
      <w:r w:rsidR="00AB6187" w:rsidRPr="00F71F70">
        <w:rPr>
          <w:rFonts w:cstheme="minorHAnsi"/>
          <w:sz w:val="24"/>
          <w:szCs w:val="24"/>
        </w:rPr>
        <w:t>the death of the rightsholder</w:t>
      </w:r>
      <w:r w:rsidR="00D068BC" w:rsidRPr="00F71F70">
        <w:rPr>
          <w:rFonts w:cstheme="minorHAnsi"/>
          <w:sz w:val="24"/>
          <w:szCs w:val="24"/>
        </w:rPr>
        <w:t>. The discussion takes the relatively recent case law</w:t>
      </w:r>
      <w:r w:rsidRPr="00F71F70">
        <w:rPr>
          <w:rFonts w:cstheme="minorHAnsi"/>
          <w:color w:val="000000"/>
          <w:sz w:val="24"/>
          <w:szCs w:val="24"/>
        </w:rPr>
        <w:t xml:space="preserve"> in England and Wales and </w:t>
      </w:r>
      <w:r w:rsidR="00637721" w:rsidRPr="00F71F70">
        <w:rPr>
          <w:rFonts w:cstheme="minorHAnsi"/>
          <w:color w:val="000000"/>
          <w:sz w:val="24"/>
          <w:szCs w:val="24"/>
        </w:rPr>
        <w:t xml:space="preserve">by </w:t>
      </w:r>
      <w:r w:rsidRPr="00F71F70">
        <w:rPr>
          <w:rFonts w:cstheme="minorHAnsi"/>
          <w:color w:val="000000"/>
          <w:sz w:val="24"/>
          <w:szCs w:val="24"/>
        </w:rPr>
        <w:t>the European Court of Human Right</w:t>
      </w:r>
      <w:r w:rsidR="00D068BC" w:rsidRPr="00F71F70">
        <w:rPr>
          <w:rFonts w:cstheme="minorHAnsi"/>
          <w:color w:val="000000"/>
          <w:sz w:val="24"/>
          <w:szCs w:val="24"/>
        </w:rPr>
        <w:t xml:space="preserve"> on post-mortem medical confidentiality</w:t>
      </w:r>
      <w:r w:rsidR="00675488" w:rsidRPr="00F71F70">
        <w:rPr>
          <w:rFonts w:cstheme="minorHAnsi"/>
          <w:color w:val="000000"/>
          <w:sz w:val="24"/>
          <w:szCs w:val="24"/>
        </w:rPr>
        <w:t xml:space="preserve"> </w:t>
      </w:r>
      <w:r w:rsidR="00D068BC" w:rsidRPr="00F71F70">
        <w:rPr>
          <w:rFonts w:cstheme="minorHAnsi"/>
          <w:color w:val="000000"/>
          <w:sz w:val="24"/>
          <w:szCs w:val="24"/>
        </w:rPr>
        <w:t xml:space="preserve">as a springboard for interrogating how these </w:t>
      </w:r>
      <w:r w:rsidR="006B7DE5">
        <w:rPr>
          <w:rFonts w:cstheme="minorHAnsi"/>
          <w:color w:val="000000"/>
          <w:sz w:val="24"/>
          <w:szCs w:val="24"/>
        </w:rPr>
        <w:t>judgments</w:t>
      </w:r>
      <w:r w:rsidR="00D068BC" w:rsidRPr="00F71F70">
        <w:rPr>
          <w:rFonts w:cstheme="minorHAnsi"/>
          <w:color w:val="000000"/>
          <w:sz w:val="24"/>
          <w:szCs w:val="24"/>
        </w:rPr>
        <w:t xml:space="preserve"> navigate the traditional objection</w:t>
      </w:r>
      <w:r w:rsidR="005F2358" w:rsidRPr="00F71F70">
        <w:rPr>
          <w:rFonts w:cstheme="minorHAnsi"/>
          <w:color w:val="000000"/>
          <w:sz w:val="24"/>
          <w:szCs w:val="24"/>
        </w:rPr>
        <w:t>s</w:t>
      </w:r>
      <w:r w:rsidR="00D068BC" w:rsidRPr="00F71F70">
        <w:rPr>
          <w:rFonts w:cstheme="minorHAnsi"/>
          <w:color w:val="000000"/>
          <w:sz w:val="24"/>
          <w:szCs w:val="24"/>
        </w:rPr>
        <w:t xml:space="preserve"> to post-mortem privacy</w:t>
      </w:r>
      <w:r w:rsidR="00A23860" w:rsidRPr="00F71F70">
        <w:rPr>
          <w:rFonts w:cstheme="minorHAnsi"/>
          <w:color w:val="000000"/>
          <w:sz w:val="24"/>
          <w:szCs w:val="24"/>
        </w:rPr>
        <w:t>.</w:t>
      </w:r>
      <w:r w:rsidR="00D44B89" w:rsidRPr="00F71F70">
        <w:rPr>
          <w:rFonts w:cstheme="minorHAnsi"/>
          <w:sz w:val="24"/>
          <w:szCs w:val="24"/>
        </w:rPr>
        <w:t xml:space="preserve"> </w:t>
      </w:r>
      <w:r w:rsidR="00B63EA8" w:rsidRPr="00F71F70">
        <w:rPr>
          <w:rFonts w:cstheme="minorHAnsi"/>
          <w:sz w:val="24"/>
          <w:szCs w:val="24"/>
        </w:rPr>
        <w:t xml:space="preserve">Whilst </w:t>
      </w:r>
      <w:r w:rsidR="00E5104A" w:rsidRPr="00F71F70">
        <w:rPr>
          <w:rFonts w:cstheme="minorHAnsi"/>
          <w:sz w:val="24"/>
          <w:szCs w:val="24"/>
        </w:rPr>
        <w:t>the</w:t>
      </w:r>
      <w:r w:rsidR="009A5903" w:rsidRPr="00F71F70">
        <w:rPr>
          <w:rFonts w:cstheme="minorHAnsi"/>
          <w:sz w:val="24"/>
          <w:szCs w:val="24"/>
        </w:rPr>
        <w:t xml:space="preserve"> legal</w:t>
      </w:r>
      <w:r w:rsidR="00E5104A" w:rsidRPr="00F71F70">
        <w:rPr>
          <w:rFonts w:cstheme="minorHAnsi"/>
          <w:sz w:val="24"/>
          <w:szCs w:val="24"/>
        </w:rPr>
        <w:t xml:space="preserve"> dut</w:t>
      </w:r>
      <w:r w:rsidR="009A5903" w:rsidRPr="00F71F70">
        <w:rPr>
          <w:rFonts w:cstheme="minorHAnsi"/>
          <w:sz w:val="24"/>
          <w:szCs w:val="24"/>
        </w:rPr>
        <w:t>y</w:t>
      </w:r>
      <w:r w:rsidR="001D5D2A" w:rsidRPr="00F71F70">
        <w:rPr>
          <w:rFonts w:cstheme="minorHAnsi"/>
          <w:sz w:val="24"/>
          <w:szCs w:val="24"/>
        </w:rPr>
        <w:t xml:space="preserve"> of medical confidentiality</w:t>
      </w:r>
      <w:r w:rsidR="009A5903" w:rsidRPr="00F71F70">
        <w:rPr>
          <w:rFonts w:cstheme="minorHAnsi"/>
          <w:sz w:val="24"/>
          <w:szCs w:val="24"/>
        </w:rPr>
        <w:t xml:space="preserve">, drawing on the </w:t>
      </w:r>
      <w:r w:rsidR="00D44B89" w:rsidRPr="00F71F70">
        <w:rPr>
          <w:rFonts w:cstheme="minorHAnsi"/>
          <w:sz w:val="24"/>
          <w:szCs w:val="24"/>
        </w:rPr>
        <w:t xml:space="preserve">professional </w:t>
      </w:r>
      <w:r w:rsidR="009A5903" w:rsidRPr="00F71F70">
        <w:rPr>
          <w:rFonts w:cstheme="minorHAnsi"/>
          <w:sz w:val="24"/>
          <w:szCs w:val="24"/>
        </w:rPr>
        <w:t xml:space="preserve">duty </w:t>
      </w:r>
      <w:r w:rsidR="00D44B89" w:rsidRPr="00F71F70">
        <w:rPr>
          <w:rFonts w:cstheme="minorHAnsi"/>
          <w:sz w:val="24"/>
          <w:szCs w:val="24"/>
        </w:rPr>
        <w:t xml:space="preserve">of the </w:t>
      </w:r>
      <w:r w:rsidR="00D44B89" w:rsidRPr="00F71F70">
        <w:rPr>
          <w:rFonts w:cstheme="minorHAnsi"/>
          <w:color w:val="000000"/>
          <w:sz w:val="24"/>
          <w:szCs w:val="24"/>
        </w:rPr>
        <w:t>Hippocratic Oath,</w:t>
      </w:r>
      <w:r w:rsidR="00E5104A" w:rsidRPr="00F71F70">
        <w:rPr>
          <w:rFonts w:cstheme="minorHAnsi"/>
          <w:sz w:val="24"/>
          <w:szCs w:val="24"/>
        </w:rPr>
        <w:t xml:space="preserve"> </w:t>
      </w:r>
      <w:r w:rsidR="001D5D2A" w:rsidRPr="00F71F70">
        <w:rPr>
          <w:rFonts w:cstheme="minorHAnsi"/>
          <w:sz w:val="24"/>
          <w:szCs w:val="24"/>
        </w:rPr>
        <w:t>acts</w:t>
      </w:r>
      <w:r w:rsidR="0030280C" w:rsidRPr="00F71F70">
        <w:rPr>
          <w:rFonts w:cstheme="minorHAnsi"/>
          <w:sz w:val="24"/>
          <w:szCs w:val="24"/>
        </w:rPr>
        <w:t xml:space="preserve"> </w:t>
      </w:r>
      <w:r w:rsidR="00D44B89" w:rsidRPr="00F71F70">
        <w:rPr>
          <w:rFonts w:cstheme="minorHAnsi"/>
          <w:sz w:val="24"/>
          <w:szCs w:val="24"/>
        </w:rPr>
        <w:t>in the first place</w:t>
      </w:r>
      <w:r w:rsidR="0030280C" w:rsidRPr="00F71F70">
        <w:rPr>
          <w:rFonts w:cstheme="minorHAnsi"/>
          <w:sz w:val="24"/>
          <w:szCs w:val="24"/>
        </w:rPr>
        <w:t xml:space="preserve"> as</w:t>
      </w:r>
      <w:r w:rsidR="00AB6187" w:rsidRPr="00F71F70">
        <w:rPr>
          <w:rFonts w:cstheme="minorHAnsi"/>
          <w:sz w:val="24"/>
          <w:szCs w:val="24"/>
        </w:rPr>
        <w:t xml:space="preserve"> a trust mechanism</w:t>
      </w:r>
      <w:r w:rsidR="0030280C" w:rsidRPr="00F71F70">
        <w:rPr>
          <w:rFonts w:cstheme="minorHAnsi"/>
          <w:sz w:val="24"/>
          <w:szCs w:val="24"/>
        </w:rPr>
        <w:t xml:space="preserve"> between doctor and patient</w:t>
      </w:r>
      <w:r w:rsidR="00AB6187" w:rsidRPr="00F71F70">
        <w:rPr>
          <w:rFonts w:cstheme="minorHAnsi"/>
          <w:sz w:val="24"/>
          <w:szCs w:val="24"/>
        </w:rPr>
        <w:t xml:space="preserve"> based on a reciprocity of interests</w:t>
      </w:r>
      <w:r w:rsidR="00B63EA8" w:rsidRPr="00F71F70">
        <w:rPr>
          <w:rFonts w:cstheme="minorHAnsi"/>
          <w:sz w:val="24"/>
          <w:szCs w:val="24"/>
        </w:rPr>
        <w:t>,</w:t>
      </w:r>
      <w:r w:rsidR="00E5104A" w:rsidRPr="00F71F70">
        <w:rPr>
          <w:rFonts w:cstheme="minorHAnsi"/>
          <w:sz w:val="24"/>
          <w:szCs w:val="24"/>
        </w:rPr>
        <w:t xml:space="preserve"> it</w:t>
      </w:r>
      <w:r w:rsidR="0030280C" w:rsidRPr="00F71F70">
        <w:rPr>
          <w:rFonts w:cstheme="minorHAnsi"/>
          <w:sz w:val="24"/>
          <w:szCs w:val="24"/>
        </w:rPr>
        <w:t>s incidental effect of protecting not just the rightsholder but also</w:t>
      </w:r>
      <w:r w:rsidR="00564485" w:rsidRPr="00F71F70">
        <w:rPr>
          <w:rFonts w:cstheme="minorHAnsi"/>
          <w:sz w:val="24"/>
          <w:szCs w:val="24"/>
        </w:rPr>
        <w:t xml:space="preserve"> </w:t>
      </w:r>
      <w:r w:rsidR="0030280C" w:rsidRPr="00F71F70">
        <w:rPr>
          <w:rFonts w:cstheme="minorHAnsi"/>
          <w:sz w:val="24"/>
          <w:szCs w:val="24"/>
        </w:rPr>
        <w:t>duty bearer</w:t>
      </w:r>
      <w:r w:rsidR="009A5903" w:rsidRPr="00F71F70">
        <w:rPr>
          <w:rFonts w:cstheme="minorHAnsi"/>
          <w:sz w:val="24"/>
          <w:szCs w:val="24"/>
        </w:rPr>
        <w:t>s</w:t>
      </w:r>
      <w:r w:rsidR="0030280C" w:rsidRPr="00F71F70">
        <w:rPr>
          <w:rFonts w:cstheme="minorHAnsi"/>
          <w:sz w:val="24"/>
          <w:szCs w:val="24"/>
        </w:rPr>
        <w:t xml:space="preserve"> </w:t>
      </w:r>
      <w:r w:rsidR="00E71223">
        <w:rPr>
          <w:rFonts w:cstheme="minorHAnsi"/>
          <w:sz w:val="24"/>
          <w:szCs w:val="24"/>
        </w:rPr>
        <w:t xml:space="preserve">and </w:t>
      </w:r>
      <w:r w:rsidR="00D44B89" w:rsidRPr="00F71F70">
        <w:rPr>
          <w:rFonts w:cstheme="minorHAnsi"/>
          <w:sz w:val="24"/>
          <w:szCs w:val="24"/>
        </w:rPr>
        <w:t>the industry</w:t>
      </w:r>
      <w:r w:rsidR="00B622BC" w:rsidRPr="00F71F70">
        <w:rPr>
          <w:rFonts w:cstheme="minorHAnsi"/>
          <w:sz w:val="24"/>
          <w:szCs w:val="24"/>
        </w:rPr>
        <w:t>,</w:t>
      </w:r>
      <w:r w:rsidR="00D44B89" w:rsidRPr="00F71F70">
        <w:rPr>
          <w:rFonts w:cstheme="minorHAnsi"/>
          <w:sz w:val="24"/>
          <w:szCs w:val="24"/>
        </w:rPr>
        <w:t xml:space="preserve"> </w:t>
      </w:r>
      <w:r w:rsidR="0030280C" w:rsidRPr="00F71F70">
        <w:rPr>
          <w:rFonts w:cstheme="minorHAnsi"/>
          <w:sz w:val="24"/>
          <w:szCs w:val="24"/>
        </w:rPr>
        <w:t>signal</w:t>
      </w:r>
      <w:r w:rsidR="00B622BC" w:rsidRPr="00F71F70">
        <w:rPr>
          <w:rFonts w:cstheme="minorHAnsi"/>
          <w:sz w:val="24"/>
          <w:szCs w:val="24"/>
        </w:rPr>
        <w:t>s</w:t>
      </w:r>
      <w:r w:rsidR="0030280C" w:rsidRPr="00F71F70">
        <w:rPr>
          <w:rFonts w:cstheme="minorHAnsi"/>
          <w:sz w:val="24"/>
          <w:szCs w:val="24"/>
        </w:rPr>
        <w:t xml:space="preserve"> more </w:t>
      </w:r>
      <w:r w:rsidR="004103B1" w:rsidRPr="00F71F70">
        <w:rPr>
          <w:rFonts w:cstheme="minorHAnsi"/>
          <w:sz w:val="24"/>
          <w:szCs w:val="24"/>
        </w:rPr>
        <w:t xml:space="preserve">complex </w:t>
      </w:r>
      <w:r w:rsidR="0030280C" w:rsidRPr="00F71F70">
        <w:rPr>
          <w:rFonts w:cstheme="minorHAnsi"/>
          <w:sz w:val="24"/>
          <w:szCs w:val="24"/>
        </w:rPr>
        <w:t>operational dynamics. T</w:t>
      </w:r>
      <w:r w:rsidR="004829CF" w:rsidRPr="00F71F70">
        <w:rPr>
          <w:rFonts w:cstheme="minorHAnsi"/>
          <w:sz w:val="24"/>
          <w:szCs w:val="24"/>
        </w:rPr>
        <w:t>he post-mortem continuation of th</w:t>
      </w:r>
      <w:r w:rsidR="00521AB5" w:rsidRPr="00F71F70">
        <w:rPr>
          <w:rFonts w:cstheme="minorHAnsi"/>
          <w:sz w:val="24"/>
          <w:szCs w:val="24"/>
        </w:rPr>
        <w:t>at</w:t>
      </w:r>
      <w:r w:rsidR="004829CF" w:rsidRPr="00F71F70">
        <w:rPr>
          <w:rFonts w:cstheme="minorHAnsi"/>
          <w:sz w:val="24"/>
          <w:szCs w:val="24"/>
        </w:rPr>
        <w:t xml:space="preserve"> duty</w:t>
      </w:r>
      <w:r w:rsidR="0030280C" w:rsidRPr="00F71F70">
        <w:rPr>
          <w:rFonts w:cstheme="minorHAnsi"/>
          <w:sz w:val="24"/>
          <w:szCs w:val="24"/>
        </w:rPr>
        <w:t xml:space="preserve"> in turn</w:t>
      </w:r>
      <w:r w:rsidR="004829CF" w:rsidRPr="00F71F70">
        <w:rPr>
          <w:rFonts w:cstheme="minorHAnsi"/>
          <w:sz w:val="24"/>
          <w:szCs w:val="24"/>
        </w:rPr>
        <w:t xml:space="preserve"> brings </w:t>
      </w:r>
      <w:r w:rsidR="00521AB5" w:rsidRPr="00F71F70">
        <w:rPr>
          <w:rFonts w:cstheme="minorHAnsi"/>
          <w:sz w:val="24"/>
          <w:szCs w:val="24"/>
        </w:rPr>
        <w:t xml:space="preserve">these </w:t>
      </w:r>
      <w:r w:rsidR="003A3C88" w:rsidRPr="00F71F70">
        <w:rPr>
          <w:rFonts w:cstheme="minorHAnsi"/>
          <w:sz w:val="24"/>
          <w:szCs w:val="24"/>
        </w:rPr>
        <w:t>other</w:t>
      </w:r>
      <w:r w:rsidR="00521AB5" w:rsidRPr="00F71F70">
        <w:rPr>
          <w:rFonts w:cstheme="minorHAnsi"/>
          <w:sz w:val="24"/>
          <w:szCs w:val="24"/>
        </w:rPr>
        <w:t xml:space="preserve"> </w:t>
      </w:r>
      <w:r w:rsidR="004829CF" w:rsidRPr="00F71F70">
        <w:rPr>
          <w:rFonts w:cstheme="minorHAnsi"/>
          <w:sz w:val="24"/>
          <w:szCs w:val="24"/>
        </w:rPr>
        <w:t>relationships</w:t>
      </w:r>
      <w:r w:rsidR="0030280C" w:rsidRPr="00F71F70">
        <w:rPr>
          <w:rFonts w:cstheme="minorHAnsi"/>
          <w:sz w:val="24"/>
          <w:szCs w:val="24"/>
        </w:rPr>
        <w:t xml:space="preserve"> </w:t>
      </w:r>
      <w:r w:rsidR="004103B1" w:rsidRPr="00F71F70">
        <w:rPr>
          <w:rFonts w:cstheme="minorHAnsi"/>
          <w:sz w:val="24"/>
          <w:szCs w:val="24"/>
        </w:rPr>
        <w:t>to the surface</w:t>
      </w:r>
      <w:r w:rsidR="0030280C" w:rsidRPr="00F71F70">
        <w:rPr>
          <w:rFonts w:cstheme="minorHAnsi"/>
          <w:sz w:val="24"/>
          <w:szCs w:val="24"/>
        </w:rPr>
        <w:t>.</w:t>
      </w:r>
      <w:r w:rsidR="004829CF" w:rsidRPr="00F71F70">
        <w:rPr>
          <w:rFonts w:cstheme="minorHAnsi"/>
          <w:sz w:val="24"/>
          <w:szCs w:val="24"/>
        </w:rPr>
        <w:t xml:space="preserve"> </w:t>
      </w:r>
      <w:r w:rsidR="00B63EA8" w:rsidRPr="00F71F70">
        <w:rPr>
          <w:rFonts w:cstheme="minorHAnsi"/>
          <w:sz w:val="24"/>
          <w:szCs w:val="24"/>
        </w:rPr>
        <w:t xml:space="preserve">Indeed, </w:t>
      </w:r>
      <w:r w:rsidR="00521AB5" w:rsidRPr="00F71F70">
        <w:rPr>
          <w:rFonts w:cstheme="minorHAnsi"/>
          <w:sz w:val="24"/>
          <w:szCs w:val="24"/>
        </w:rPr>
        <w:t>the post-mortemness</w:t>
      </w:r>
      <w:r w:rsidRPr="00F71F70">
        <w:rPr>
          <w:rFonts w:cstheme="minorHAnsi"/>
          <w:sz w:val="24"/>
          <w:szCs w:val="24"/>
        </w:rPr>
        <w:t xml:space="preserve"> amplifies</w:t>
      </w:r>
      <w:r w:rsidR="00BA0BFB">
        <w:rPr>
          <w:rFonts w:cstheme="minorHAnsi"/>
          <w:sz w:val="24"/>
          <w:szCs w:val="24"/>
        </w:rPr>
        <w:t xml:space="preserve"> </w:t>
      </w:r>
      <w:proofErr w:type="gramStart"/>
      <w:r w:rsidR="003A3C88" w:rsidRPr="00F71F70">
        <w:rPr>
          <w:rFonts w:cstheme="minorHAnsi"/>
          <w:sz w:val="24"/>
          <w:szCs w:val="24"/>
        </w:rPr>
        <w:t>that</w:t>
      </w:r>
      <w:r w:rsidR="00194624">
        <w:rPr>
          <w:rFonts w:cstheme="minorHAnsi"/>
          <w:sz w:val="24"/>
          <w:szCs w:val="24"/>
        </w:rPr>
        <w:t xml:space="preserve"> </w:t>
      </w:r>
      <w:r w:rsidR="003A3C88" w:rsidRPr="00F71F70">
        <w:rPr>
          <w:rFonts w:cstheme="minorHAnsi"/>
          <w:sz w:val="24"/>
          <w:szCs w:val="24"/>
        </w:rPr>
        <w:t>confidentialities</w:t>
      </w:r>
      <w:proofErr w:type="gramEnd"/>
      <w:r w:rsidR="003A3C88" w:rsidRPr="00F71F70">
        <w:rPr>
          <w:rFonts w:cstheme="minorHAnsi"/>
          <w:sz w:val="24"/>
          <w:szCs w:val="24"/>
        </w:rPr>
        <w:t xml:space="preserve"> </w:t>
      </w:r>
      <w:r w:rsidR="005B60AB" w:rsidRPr="00F71F70">
        <w:rPr>
          <w:rFonts w:cstheme="minorHAnsi"/>
          <w:sz w:val="24"/>
          <w:szCs w:val="24"/>
        </w:rPr>
        <w:t>– and</w:t>
      </w:r>
      <w:r w:rsidR="009650FA">
        <w:rPr>
          <w:rFonts w:cstheme="minorHAnsi"/>
          <w:sz w:val="24"/>
          <w:szCs w:val="24"/>
        </w:rPr>
        <w:t xml:space="preserve"> by extension</w:t>
      </w:r>
      <w:r w:rsidR="005B60AB" w:rsidRPr="00F71F70">
        <w:rPr>
          <w:rFonts w:cstheme="minorHAnsi"/>
          <w:sz w:val="24"/>
          <w:szCs w:val="24"/>
        </w:rPr>
        <w:t xml:space="preserve"> </w:t>
      </w:r>
      <w:r w:rsidR="003A3C88" w:rsidRPr="00F71F70">
        <w:rPr>
          <w:rFonts w:cstheme="minorHAnsi"/>
          <w:sz w:val="24"/>
          <w:szCs w:val="24"/>
        </w:rPr>
        <w:t xml:space="preserve">information privacy </w:t>
      </w:r>
      <w:r w:rsidR="005B60AB" w:rsidRPr="00F71F70">
        <w:rPr>
          <w:rFonts w:cstheme="minorHAnsi"/>
          <w:sz w:val="24"/>
          <w:szCs w:val="24"/>
        </w:rPr>
        <w:t xml:space="preserve">- </w:t>
      </w:r>
      <w:r w:rsidR="00B826C5" w:rsidRPr="00F71F70">
        <w:rPr>
          <w:rFonts w:cstheme="minorHAnsi"/>
          <w:sz w:val="24"/>
          <w:szCs w:val="24"/>
        </w:rPr>
        <w:t xml:space="preserve">can </w:t>
      </w:r>
      <w:r w:rsidR="003A3C88" w:rsidRPr="00F71F70">
        <w:rPr>
          <w:rFonts w:cstheme="minorHAnsi"/>
          <w:sz w:val="24"/>
          <w:szCs w:val="24"/>
        </w:rPr>
        <w:t>rarely be located in an isolated, singular binary relationship between a duty bearer and a rightsholder</w:t>
      </w:r>
      <w:r w:rsidR="004829CF" w:rsidRPr="00F71F70">
        <w:rPr>
          <w:rFonts w:cstheme="minorHAnsi"/>
          <w:sz w:val="24"/>
          <w:szCs w:val="24"/>
        </w:rPr>
        <w:t xml:space="preserve"> </w:t>
      </w:r>
      <w:r w:rsidR="003A3C88" w:rsidRPr="00F71F70">
        <w:rPr>
          <w:rFonts w:cstheme="minorHAnsi"/>
          <w:sz w:val="24"/>
          <w:szCs w:val="24"/>
        </w:rPr>
        <w:t>but is entangled in the great messy sociality of life that involves multiple overlapping,</w:t>
      </w:r>
      <w:r w:rsidR="00D60FED" w:rsidRPr="00F71F70">
        <w:rPr>
          <w:rFonts w:cstheme="minorHAnsi"/>
          <w:sz w:val="24"/>
          <w:szCs w:val="24"/>
        </w:rPr>
        <w:t xml:space="preserve"> </w:t>
      </w:r>
      <w:r w:rsidR="00D320A4" w:rsidRPr="00F71F70">
        <w:rPr>
          <w:rFonts w:cstheme="minorHAnsi"/>
          <w:sz w:val="24"/>
          <w:szCs w:val="24"/>
        </w:rPr>
        <w:t>inter</w:t>
      </w:r>
      <w:r w:rsidR="001D5D2A" w:rsidRPr="00F71F70">
        <w:rPr>
          <w:rFonts w:cstheme="minorHAnsi"/>
          <w:sz w:val="24"/>
          <w:szCs w:val="24"/>
        </w:rPr>
        <w:t>dependent</w:t>
      </w:r>
      <w:r w:rsidR="00D67E53" w:rsidRPr="00F71F70">
        <w:rPr>
          <w:rFonts w:cstheme="minorHAnsi"/>
          <w:sz w:val="24"/>
          <w:szCs w:val="24"/>
        </w:rPr>
        <w:t xml:space="preserve"> </w:t>
      </w:r>
      <w:r w:rsidR="003A3C88" w:rsidRPr="00F71F70">
        <w:rPr>
          <w:rFonts w:cstheme="minorHAnsi"/>
          <w:sz w:val="24"/>
          <w:szCs w:val="24"/>
        </w:rPr>
        <w:t>relationships of relative trust</w:t>
      </w:r>
      <w:r w:rsidR="00BA2CBD" w:rsidRPr="00F71F70">
        <w:rPr>
          <w:rFonts w:cstheme="minorHAnsi"/>
          <w:sz w:val="24"/>
          <w:szCs w:val="24"/>
        </w:rPr>
        <w:t>.</w:t>
      </w:r>
      <w:r w:rsidR="004829CF" w:rsidRPr="00F71F70">
        <w:rPr>
          <w:rFonts w:cstheme="minorHAnsi"/>
          <w:sz w:val="24"/>
          <w:szCs w:val="24"/>
        </w:rPr>
        <w:t xml:space="preserve"> </w:t>
      </w:r>
      <w:r w:rsidR="00BA2CBD" w:rsidRPr="00F71F70">
        <w:rPr>
          <w:rFonts w:cstheme="minorHAnsi"/>
          <w:sz w:val="24"/>
          <w:szCs w:val="24"/>
        </w:rPr>
        <w:t>These</w:t>
      </w:r>
      <w:r w:rsidR="00521AB5" w:rsidRPr="00F71F70">
        <w:rPr>
          <w:rFonts w:cstheme="minorHAnsi"/>
          <w:sz w:val="24"/>
          <w:szCs w:val="24"/>
        </w:rPr>
        <w:t xml:space="preserve"> may -</w:t>
      </w:r>
      <w:r w:rsidR="004829CF" w:rsidRPr="00F71F70">
        <w:rPr>
          <w:rFonts w:cstheme="minorHAnsi"/>
          <w:sz w:val="24"/>
          <w:szCs w:val="24"/>
        </w:rPr>
        <w:t xml:space="preserve"> upon the death of the primary rightsholder</w:t>
      </w:r>
      <w:r w:rsidR="00521AB5" w:rsidRPr="00F71F70">
        <w:rPr>
          <w:rFonts w:cstheme="minorHAnsi"/>
          <w:sz w:val="24"/>
          <w:szCs w:val="24"/>
        </w:rPr>
        <w:t xml:space="preserve"> </w:t>
      </w:r>
      <w:r w:rsidR="009A5903" w:rsidRPr="00F71F70">
        <w:rPr>
          <w:rFonts w:cstheme="minorHAnsi"/>
          <w:sz w:val="24"/>
          <w:szCs w:val="24"/>
        </w:rPr>
        <w:t>–</w:t>
      </w:r>
      <w:r w:rsidR="00D67E53" w:rsidRPr="00F71F70">
        <w:rPr>
          <w:rFonts w:cstheme="minorHAnsi"/>
          <w:sz w:val="24"/>
          <w:szCs w:val="24"/>
        </w:rPr>
        <w:t xml:space="preserve"> </w:t>
      </w:r>
      <w:r w:rsidR="009A5903" w:rsidRPr="00F71F70">
        <w:rPr>
          <w:rFonts w:cstheme="minorHAnsi"/>
          <w:sz w:val="24"/>
          <w:szCs w:val="24"/>
        </w:rPr>
        <w:t xml:space="preserve">make an appearance </w:t>
      </w:r>
      <w:r w:rsidR="004829CF" w:rsidRPr="00F71F70">
        <w:rPr>
          <w:rFonts w:cstheme="minorHAnsi"/>
          <w:sz w:val="24"/>
          <w:szCs w:val="24"/>
        </w:rPr>
        <w:t xml:space="preserve">as competing </w:t>
      </w:r>
      <w:r w:rsidR="00B20466" w:rsidRPr="00F71F70">
        <w:rPr>
          <w:rFonts w:cstheme="minorHAnsi"/>
          <w:sz w:val="24"/>
          <w:szCs w:val="24"/>
        </w:rPr>
        <w:t>claims</w:t>
      </w:r>
      <w:r w:rsidR="004829CF" w:rsidRPr="00F71F70">
        <w:rPr>
          <w:rFonts w:cstheme="minorHAnsi"/>
          <w:sz w:val="24"/>
          <w:szCs w:val="24"/>
        </w:rPr>
        <w:t xml:space="preserve"> </w:t>
      </w:r>
      <w:r w:rsidR="00FD33F2" w:rsidRPr="00F71F70">
        <w:rPr>
          <w:rFonts w:cstheme="minorHAnsi"/>
          <w:sz w:val="24"/>
          <w:szCs w:val="24"/>
        </w:rPr>
        <w:t>o</w:t>
      </w:r>
      <w:r w:rsidR="004829CF" w:rsidRPr="00F71F70">
        <w:rPr>
          <w:rFonts w:cstheme="minorHAnsi"/>
          <w:sz w:val="24"/>
          <w:szCs w:val="24"/>
        </w:rPr>
        <w:t>n</w:t>
      </w:r>
      <w:r w:rsidR="00E5104A" w:rsidRPr="00F71F70">
        <w:rPr>
          <w:rFonts w:cstheme="minorHAnsi"/>
          <w:sz w:val="24"/>
          <w:szCs w:val="24"/>
        </w:rPr>
        <w:t xml:space="preserve"> her </w:t>
      </w:r>
      <w:r w:rsidR="00A43178" w:rsidRPr="00F71F70">
        <w:rPr>
          <w:rFonts w:cstheme="minorHAnsi"/>
          <w:sz w:val="24"/>
          <w:szCs w:val="24"/>
        </w:rPr>
        <w:t>legacies</w:t>
      </w:r>
      <w:r w:rsidR="00BA2CBD" w:rsidRPr="00F71F70">
        <w:rPr>
          <w:rFonts w:cstheme="minorHAnsi"/>
          <w:sz w:val="24"/>
          <w:szCs w:val="24"/>
        </w:rPr>
        <w:t xml:space="preserve"> and incidentally </w:t>
      </w:r>
      <w:r w:rsidR="009650FA">
        <w:rPr>
          <w:rFonts w:cstheme="minorHAnsi"/>
          <w:sz w:val="24"/>
          <w:szCs w:val="24"/>
        </w:rPr>
        <w:t xml:space="preserve">also </w:t>
      </w:r>
      <w:r w:rsidR="00BA2CBD" w:rsidRPr="00F71F70">
        <w:rPr>
          <w:rFonts w:cstheme="minorHAnsi"/>
          <w:sz w:val="24"/>
          <w:szCs w:val="24"/>
        </w:rPr>
        <w:t>carry</w:t>
      </w:r>
      <w:r w:rsidR="00A43178" w:rsidRPr="00F71F70">
        <w:rPr>
          <w:rFonts w:cstheme="minorHAnsi"/>
          <w:sz w:val="24"/>
          <w:szCs w:val="24"/>
        </w:rPr>
        <w:t xml:space="preserve"> her </w:t>
      </w:r>
      <w:r w:rsidR="00BA2CBD" w:rsidRPr="00F71F70">
        <w:rPr>
          <w:rFonts w:cstheme="minorHAnsi"/>
          <w:sz w:val="24"/>
          <w:szCs w:val="24"/>
        </w:rPr>
        <w:t>post-mortem privacy</w:t>
      </w:r>
      <w:r w:rsidR="00D67E53" w:rsidRPr="00F71F70">
        <w:rPr>
          <w:rFonts w:cstheme="minorHAnsi"/>
          <w:sz w:val="24"/>
          <w:szCs w:val="24"/>
        </w:rPr>
        <w:t xml:space="preserve">. </w:t>
      </w:r>
    </w:p>
    <w:p w14:paraId="4E0CE473" w14:textId="77777777" w:rsidR="005570FA" w:rsidRPr="00F71F70" w:rsidRDefault="005570FA" w:rsidP="00FD77D8">
      <w:pPr>
        <w:spacing w:after="0" w:line="240" w:lineRule="auto"/>
        <w:jc w:val="both"/>
        <w:rPr>
          <w:rFonts w:eastAsia="Times New Roman" w:cstheme="minorHAnsi"/>
          <w:bCs/>
          <w:iCs/>
          <w:sz w:val="24"/>
          <w:szCs w:val="24"/>
          <w:u w:val="single"/>
          <w:lang w:eastAsia="en-GB"/>
        </w:rPr>
      </w:pPr>
    </w:p>
    <w:p w14:paraId="323BF9DE" w14:textId="77777777" w:rsidR="005570FA" w:rsidRPr="00F71F70" w:rsidRDefault="005570FA" w:rsidP="00FD77D8">
      <w:pPr>
        <w:spacing w:after="0" w:line="240" w:lineRule="auto"/>
        <w:jc w:val="both"/>
        <w:rPr>
          <w:rFonts w:eastAsia="Times New Roman" w:cstheme="minorHAnsi"/>
          <w:bCs/>
          <w:iCs/>
          <w:sz w:val="24"/>
          <w:szCs w:val="24"/>
          <w:u w:val="single"/>
          <w:lang w:eastAsia="en-GB"/>
        </w:rPr>
      </w:pPr>
    </w:p>
    <w:p w14:paraId="6E53044C" w14:textId="18681634" w:rsidR="00787F01" w:rsidRDefault="00181176" w:rsidP="00FD77D8">
      <w:pPr>
        <w:spacing w:after="0" w:line="240" w:lineRule="auto"/>
        <w:jc w:val="both"/>
        <w:rPr>
          <w:rFonts w:eastAsia="Times New Roman" w:cstheme="minorHAnsi"/>
          <w:b/>
          <w:iCs/>
          <w:sz w:val="24"/>
          <w:szCs w:val="24"/>
          <w:u w:val="single"/>
          <w:lang w:eastAsia="en-GB"/>
        </w:rPr>
      </w:pPr>
      <w:r w:rsidRPr="00F71F70">
        <w:rPr>
          <w:rFonts w:eastAsia="Times New Roman" w:cstheme="minorHAnsi"/>
          <w:b/>
          <w:iCs/>
          <w:sz w:val="24"/>
          <w:szCs w:val="24"/>
          <w:u w:val="single"/>
          <w:lang w:eastAsia="en-GB"/>
        </w:rPr>
        <w:t>Table of Contents</w:t>
      </w:r>
    </w:p>
    <w:p w14:paraId="6C288C06" w14:textId="77777777" w:rsidR="00365EF0" w:rsidRPr="00E71223" w:rsidRDefault="00365EF0" w:rsidP="00FD77D8">
      <w:pPr>
        <w:spacing w:after="0" w:line="240" w:lineRule="auto"/>
        <w:jc w:val="both"/>
        <w:rPr>
          <w:rFonts w:eastAsia="Times New Roman" w:cstheme="minorHAnsi"/>
          <w:b/>
          <w:iCs/>
          <w:sz w:val="24"/>
          <w:szCs w:val="24"/>
          <w:u w:val="single"/>
          <w:lang w:eastAsia="en-GB"/>
        </w:rPr>
      </w:pPr>
    </w:p>
    <w:p w14:paraId="07BAA581" w14:textId="2BA729DE" w:rsidR="00EF4BFD" w:rsidRPr="00EF4BFD" w:rsidRDefault="007579FB">
      <w:pPr>
        <w:pStyle w:val="TOC1"/>
        <w:tabs>
          <w:tab w:val="left" w:pos="440"/>
          <w:tab w:val="right" w:leader="dot" w:pos="9016"/>
        </w:tabs>
        <w:rPr>
          <w:rFonts w:eastAsiaTheme="minorEastAsia" w:cstheme="minorBidi"/>
          <w:b w:val="0"/>
          <w:bCs w:val="0"/>
          <w:caps w:val="0"/>
          <w:noProof/>
          <w:sz w:val="24"/>
          <w:szCs w:val="24"/>
          <w:lang w:eastAsia="en-GB"/>
        </w:rPr>
      </w:pPr>
      <w:r w:rsidRPr="00EF4BFD">
        <w:rPr>
          <w:rFonts w:eastAsia="Times New Roman"/>
          <w:sz w:val="24"/>
          <w:szCs w:val="24"/>
          <w:lang w:eastAsia="en-GB"/>
        </w:rPr>
        <w:fldChar w:fldCharType="begin"/>
      </w:r>
      <w:r w:rsidRPr="00EF4BFD">
        <w:rPr>
          <w:rFonts w:eastAsia="Times New Roman"/>
          <w:sz w:val="24"/>
          <w:szCs w:val="24"/>
          <w:lang w:eastAsia="en-GB"/>
        </w:rPr>
        <w:instrText xml:space="preserve"> TOC \o "1-3" \h \z \u </w:instrText>
      </w:r>
      <w:r w:rsidRPr="00EF4BFD">
        <w:rPr>
          <w:rFonts w:eastAsia="Times New Roman"/>
          <w:sz w:val="24"/>
          <w:szCs w:val="24"/>
          <w:lang w:eastAsia="en-GB"/>
        </w:rPr>
        <w:fldChar w:fldCharType="separate"/>
      </w:r>
      <w:hyperlink w:anchor="_Toc105945042" w:history="1">
        <w:r w:rsidR="00EF4BFD" w:rsidRPr="00EF4BFD">
          <w:rPr>
            <w:rStyle w:val="Hyperlink"/>
            <w:rFonts w:eastAsia="Times New Roman"/>
            <w:noProof/>
            <w:sz w:val="24"/>
            <w:szCs w:val="24"/>
            <w:lang w:eastAsia="en-GB"/>
          </w:rPr>
          <w:t>1.</w:t>
        </w:r>
        <w:r w:rsidR="00EF4BFD" w:rsidRPr="00EF4BFD">
          <w:rPr>
            <w:rFonts w:eastAsiaTheme="minorEastAsia" w:cstheme="minorBidi"/>
            <w:b w:val="0"/>
            <w:bCs w:val="0"/>
            <w:caps w:val="0"/>
            <w:noProof/>
            <w:sz w:val="24"/>
            <w:szCs w:val="24"/>
            <w:lang w:eastAsia="en-GB"/>
          </w:rPr>
          <w:tab/>
        </w:r>
        <w:r w:rsidR="00EF4BFD" w:rsidRPr="00EF4BFD">
          <w:rPr>
            <w:rStyle w:val="Hyperlink"/>
            <w:rFonts w:eastAsia="Times New Roman"/>
            <w:noProof/>
            <w:sz w:val="24"/>
            <w:szCs w:val="24"/>
            <w:lang w:eastAsia="en-GB"/>
          </w:rPr>
          <w:t>Introduction</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_Toc105945042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2</w:t>
        </w:r>
        <w:r w:rsidR="00EF4BFD" w:rsidRPr="00EF4BFD">
          <w:rPr>
            <w:noProof/>
            <w:webHidden/>
            <w:sz w:val="24"/>
            <w:szCs w:val="24"/>
          </w:rPr>
          <w:fldChar w:fldCharType="end"/>
        </w:r>
      </w:hyperlink>
    </w:p>
    <w:p w14:paraId="1E6BFCCA" w14:textId="08A5D3B9" w:rsidR="00EF4BFD" w:rsidRPr="00EF4BFD" w:rsidRDefault="00122215">
      <w:pPr>
        <w:pStyle w:val="TOC1"/>
        <w:tabs>
          <w:tab w:val="left" w:pos="440"/>
          <w:tab w:val="right" w:leader="dot" w:pos="9016"/>
        </w:tabs>
        <w:rPr>
          <w:rFonts w:eastAsiaTheme="minorEastAsia" w:cstheme="minorBidi"/>
          <w:b w:val="0"/>
          <w:bCs w:val="0"/>
          <w:caps w:val="0"/>
          <w:noProof/>
          <w:sz w:val="24"/>
          <w:szCs w:val="24"/>
          <w:lang w:eastAsia="en-GB"/>
        </w:rPr>
      </w:pPr>
      <w:hyperlink w:anchor="_Toc105945043" w:history="1">
        <w:r w:rsidR="00EF4BFD" w:rsidRPr="00EF4BFD">
          <w:rPr>
            <w:rStyle w:val="Hyperlink"/>
            <w:rFonts w:eastAsia="Times New Roman"/>
            <w:noProof/>
            <w:sz w:val="24"/>
            <w:szCs w:val="24"/>
            <w:lang w:eastAsia="en-GB"/>
          </w:rPr>
          <w:t>2.</w:t>
        </w:r>
        <w:r w:rsidR="00EF4BFD" w:rsidRPr="00EF4BFD">
          <w:rPr>
            <w:rFonts w:eastAsiaTheme="minorEastAsia" w:cstheme="minorBidi"/>
            <w:b w:val="0"/>
            <w:bCs w:val="0"/>
            <w:caps w:val="0"/>
            <w:noProof/>
            <w:sz w:val="24"/>
            <w:szCs w:val="24"/>
            <w:lang w:eastAsia="en-GB"/>
          </w:rPr>
          <w:tab/>
        </w:r>
        <w:r w:rsidR="00EF4BFD" w:rsidRPr="00EF4BFD">
          <w:rPr>
            <w:rStyle w:val="Hyperlink"/>
            <w:rFonts w:eastAsia="Times New Roman"/>
            <w:noProof/>
            <w:sz w:val="24"/>
            <w:szCs w:val="24"/>
            <w:lang w:eastAsia="en-GB"/>
          </w:rPr>
          <w:t>Post-Mortem Medical Confidentiality - an Industry Standard</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_Toc105945043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5</w:t>
        </w:r>
        <w:r w:rsidR="00EF4BFD" w:rsidRPr="00EF4BFD">
          <w:rPr>
            <w:noProof/>
            <w:webHidden/>
            <w:sz w:val="24"/>
            <w:szCs w:val="24"/>
          </w:rPr>
          <w:fldChar w:fldCharType="end"/>
        </w:r>
      </w:hyperlink>
    </w:p>
    <w:p w14:paraId="2FCD8A54" w14:textId="0347A1D5" w:rsidR="00EF4BFD" w:rsidRPr="00EF4BFD" w:rsidRDefault="00122215">
      <w:pPr>
        <w:pStyle w:val="TOC2"/>
        <w:tabs>
          <w:tab w:val="right" w:leader="dot" w:pos="9016"/>
        </w:tabs>
        <w:rPr>
          <w:rFonts w:eastAsiaTheme="minorEastAsia" w:cstheme="minorBidi"/>
          <w:smallCaps w:val="0"/>
          <w:noProof/>
          <w:sz w:val="24"/>
          <w:szCs w:val="24"/>
          <w:lang w:eastAsia="en-GB"/>
        </w:rPr>
      </w:pPr>
      <w:hyperlink w:anchor="_Toc105945044" w:history="1">
        <w:r w:rsidR="00EF4BFD" w:rsidRPr="00EF4BFD">
          <w:rPr>
            <w:rStyle w:val="Hyperlink"/>
            <w:rFonts w:eastAsia="Times New Roman"/>
            <w:noProof/>
            <w:sz w:val="24"/>
            <w:szCs w:val="24"/>
            <w:lang w:eastAsia="en-GB"/>
          </w:rPr>
          <w:t>2.1. From a Professional Post-Mortem Duty of Medical Confidence to a Legal One</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_Toc105945044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5</w:t>
        </w:r>
        <w:r w:rsidR="00EF4BFD" w:rsidRPr="00EF4BFD">
          <w:rPr>
            <w:noProof/>
            <w:webHidden/>
            <w:sz w:val="24"/>
            <w:szCs w:val="24"/>
          </w:rPr>
          <w:fldChar w:fldCharType="end"/>
        </w:r>
      </w:hyperlink>
    </w:p>
    <w:p w14:paraId="7B409426" w14:textId="3ED41DB3" w:rsidR="00EF4BFD" w:rsidRPr="00EF4BFD" w:rsidRDefault="00122215">
      <w:pPr>
        <w:pStyle w:val="TOC2"/>
        <w:tabs>
          <w:tab w:val="right" w:leader="dot" w:pos="9016"/>
        </w:tabs>
        <w:rPr>
          <w:rFonts w:eastAsiaTheme="minorEastAsia" w:cstheme="minorBidi"/>
          <w:smallCaps w:val="0"/>
          <w:noProof/>
          <w:sz w:val="24"/>
          <w:szCs w:val="24"/>
          <w:lang w:eastAsia="en-GB"/>
        </w:rPr>
      </w:pPr>
      <w:hyperlink w:anchor="_Toc105945045" w:history="1">
        <w:r w:rsidR="00EF4BFD" w:rsidRPr="00EF4BFD">
          <w:rPr>
            <w:rStyle w:val="Hyperlink"/>
            <w:noProof/>
            <w:sz w:val="24"/>
            <w:szCs w:val="24"/>
          </w:rPr>
          <w:t>2.2. An Institutional Trust Mechanism or a Cloak of Secrecy?</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_Toc105945045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8</w:t>
        </w:r>
        <w:r w:rsidR="00EF4BFD" w:rsidRPr="00EF4BFD">
          <w:rPr>
            <w:noProof/>
            <w:webHidden/>
            <w:sz w:val="24"/>
            <w:szCs w:val="24"/>
          </w:rPr>
          <w:fldChar w:fldCharType="end"/>
        </w:r>
      </w:hyperlink>
    </w:p>
    <w:p w14:paraId="77807BA0" w14:textId="092968FD" w:rsidR="00EF4BFD" w:rsidRPr="00EF4BFD" w:rsidRDefault="00122215">
      <w:pPr>
        <w:pStyle w:val="TOC1"/>
        <w:tabs>
          <w:tab w:val="left" w:pos="440"/>
          <w:tab w:val="right" w:leader="dot" w:pos="9016"/>
        </w:tabs>
        <w:rPr>
          <w:rFonts w:eastAsiaTheme="minorEastAsia" w:cstheme="minorBidi"/>
          <w:b w:val="0"/>
          <w:bCs w:val="0"/>
          <w:caps w:val="0"/>
          <w:noProof/>
          <w:sz w:val="24"/>
          <w:szCs w:val="24"/>
          <w:lang w:eastAsia="en-GB"/>
        </w:rPr>
      </w:pPr>
      <w:hyperlink w:anchor="_Toc105945046" w:history="1">
        <w:r w:rsidR="00EF4BFD" w:rsidRPr="00EF4BFD">
          <w:rPr>
            <w:rStyle w:val="Hyperlink"/>
            <w:rFonts w:eastAsia="Times New Roman"/>
            <w:noProof/>
            <w:sz w:val="24"/>
            <w:szCs w:val="24"/>
            <w:lang w:eastAsia="en-GB"/>
          </w:rPr>
          <w:t>3.</w:t>
        </w:r>
        <w:r w:rsidR="00EF4BFD" w:rsidRPr="00EF4BFD">
          <w:rPr>
            <w:rFonts w:eastAsiaTheme="minorEastAsia" w:cstheme="minorBidi"/>
            <w:b w:val="0"/>
            <w:bCs w:val="0"/>
            <w:caps w:val="0"/>
            <w:noProof/>
            <w:sz w:val="24"/>
            <w:szCs w:val="24"/>
            <w:lang w:eastAsia="en-GB"/>
          </w:rPr>
          <w:tab/>
        </w:r>
        <w:r w:rsidR="00EF4BFD" w:rsidRPr="00EF4BFD">
          <w:rPr>
            <w:rStyle w:val="Hyperlink"/>
            <w:rFonts w:eastAsia="Times New Roman"/>
            <w:noProof/>
            <w:sz w:val="24"/>
            <w:szCs w:val="24"/>
            <w:lang w:eastAsia="en-GB"/>
          </w:rPr>
          <w:t xml:space="preserve">Post-Mortem Medical Confidentiality </w:t>
        </w:r>
        <w:r w:rsidR="00EF4BFD">
          <w:rPr>
            <w:rStyle w:val="Hyperlink"/>
            <w:rFonts w:eastAsia="Times New Roman"/>
            <w:noProof/>
            <w:sz w:val="24"/>
            <w:szCs w:val="24"/>
            <w:lang w:eastAsia="en-GB"/>
          </w:rPr>
          <w:t xml:space="preserve">- </w:t>
        </w:r>
        <w:r w:rsidR="00EF4BFD" w:rsidRPr="00EF4BFD">
          <w:rPr>
            <w:rStyle w:val="Hyperlink"/>
            <w:rFonts w:eastAsia="Times New Roman"/>
            <w:noProof/>
            <w:sz w:val="24"/>
            <w:szCs w:val="24"/>
            <w:lang w:eastAsia="en-GB"/>
          </w:rPr>
          <w:t>as Privacy</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_Toc105945046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12</w:t>
        </w:r>
        <w:r w:rsidR="00EF4BFD" w:rsidRPr="00EF4BFD">
          <w:rPr>
            <w:noProof/>
            <w:webHidden/>
            <w:sz w:val="24"/>
            <w:szCs w:val="24"/>
          </w:rPr>
          <w:fldChar w:fldCharType="end"/>
        </w:r>
      </w:hyperlink>
    </w:p>
    <w:p w14:paraId="171392DA" w14:textId="7872FCCE" w:rsidR="00EF4BFD" w:rsidRPr="00EF4BFD" w:rsidRDefault="00122215">
      <w:pPr>
        <w:pStyle w:val="TOC2"/>
        <w:tabs>
          <w:tab w:val="right" w:leader="dot" w:pos="9016"/>
        </w:tabs>
        <w:rPr>
          <w:rFonts w:eastAsiaTheme="minorEastAsia" w:cstheme="minorBidi"/>
          <w:smallCaps w:val="0"/>
          <w:noProof/>
          <w:sz w:val="24"/>
          <w:szCs w:val="24"/>
          <w:lang w:eastAsia="en-GB"/>
        </w:rPr>
      </w:pPr>
      <w:hyperlink w:anchor="_Toc105945047" w:history="1">
        <w:r w:rsidR="00EF4BFD" w:rsidRPr="00EF4BFD">
          <w:rPr>
            <w:rStyle w:val="Hyperlink"/>
            <w:noProof/>
            <w:sz w:val="24"/>
            <w:szCs w:val="24"/>
          </w:rPr>
          <w:t>3.1. Medical Privacy: Property or Shield for Embodied Vulnerability?</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_Toc105945047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12</w:t>
        </w:r>
        <w:r w:rsidR="00EF4BFD" w:rsidRPr="00EF4BFD">
          <w:rPr>
            <w:noProof/>
            <w:webHidden/>
            <w:sz w:val="24"/>
            <w:szCs w:val="24"/>
          </w:rPr>
          <w:fldChar w:fldCharType="end"/>
        </w:r>
      </w:hyperlink>
    </w:p>
    <w:p w14:paraId="64F5740F" w14:textId="305FEFCC" w:rsidR="00EF4BFD" w:rsidRPr="00EF4BFD" w:rsidRDefault="00122215">
      <w:pPr>
        <w:pStyle w:val="TOC2"/>
        <w:tabs>
          <w:tab w:val="right" w:leader="dot" w:pos="9016"/>
        </w:tabs>
        <w:rPr>
          <w:rFonts w:eastAsiaTheme="minorEastAsia" w:cstheme="minorBidi"/>
          <w:smallCaps w:val="0"/>
          <w:noProof/>
          <w:sz w:val="24"/>
          <w:szCs w:val="24"/>
          <w:lang w:eastAsia="en-GB"/>
        </w:rPr>
      </w:pPr>
      <w:hyperlink w:anchor="_Toc105945048" w:history="1">
        <w:r w:rsidR="00EF4BFD" w:rsidRPr="00EF4BFD">
          <w:rPr>
            <w:rStyle w:val="Hyperlink"/>
            <w:noProof/>
            <w:sz w:val="24"/>
            <w:szCs w:val="24"/>
          </w:rPr>
          <w:t>3.2. Harm?  ‘A Mouldering Corpse has no Feelings’</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_Toc105945048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17</w:t>
        </w:r>
        <w:r w:rsidR="00EF4BFD" w:rsidRPr="00EF4BFD">
          <w:rPr>
            <w:noProof/>
            <w:webHidden/>
            <w:sz w:val="24"/>
            <w:szCs w:val="24"/>
          </w:rPr>
          <w:fldChar w:fldCharType="end"/>
        </w:r>
      </w:hyperlink>
    </w:p>
    <w:p w14:paraId="37724C80" w14:textId="40E8F937" w:rsidR="00EF4BFD" w:rsidRPr="00EF4BFD" w:rsidRDefault="00122215">
      <w:pPr>
        <w:pStyle w:val="TOC2"/>
        <w:tabs>
          <w:tab w:val="right" w:leader="dot" w:pos="9016"/>
        </w:tabs>
        <w:rPr>
          <w:rFonts w:eastAsiaTheme="minorEastAsia" w:cstheme="minorBidi"/>
          <w:smallCaps w:val="0"/>
          <w:noProof/>
          <w:sz w:val="24"/>
          <w:szCs w:val="24"/>
          <w:lang w:eastAsia="en-GB"/>
        </w:rPr>
      </w:pPr>
      <w:hyperlink w:anchor="_Toc105945049" w:history="1">
        <w:r w:rsidR="00EF4BFD" w:rsidRPr="00EF4BFD">
          <w:rPr>
            <w:rStyle w:val="Hyperlink"/>
            <w:noProof/>
            <w:sz w:val="24"/>
            <w:szCs w:val="24"/>
          </w:rPr>
          <w:t>3.3. The post-mortem reconfiguration of competing rights of the living</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_Toc105945049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22</w:t>
        </w:r>
        <w:r w:rsidR="00EF4BFD" w:rsidRPr="00EF4BFD">
          <w:rPr>
            <w:noProof/>
            <w:webHidden/>
            <w:sz w:val="24"/>
            <w:szCs w:val="24"/>
          </w:rPr>
          <w:fldChar w:fldCharType="end"/>
        </w:r>
      </w:hyperlink>
    </w:p>
    <w:p w14:paraId="36ED974D" w14:textId="06D7A3FD" w:rsidR="00EF4BFD" w:rsidRPr="00EF4BFD" w:rsidRDefault="00122215">
      <w:pPr>
        <w:pStyle w:val="TOC1"/>
        <w:tabs>
          <w:tab w:val="left" w:pos="440"/>
          <w:tab w:val="right" w:leader="dot" w:pos="9016"/>
        </w:tabs>
        <w:rPr>
          <w:rFonts w:eastAsiaTheme="minorEastAsia" w:cstheme="minorBidi"/>
          <w:b w:val="0"/>
          <w:bCs w:val="0"/>
          <w:caps w:val="0"/>
          <w:noProof/>
          <w:sz w:val="24"/>
          <w:szCs w:val="24"/>
          <w:lang w:eastAsia="en-GB"/>
        </w:rPr>
      </w:pPr>
      <w:hyperlink w:anchor="_Toc105945050" w:history="1">
        <w:r w:rsidR="00EF4BFD" w:rsidRPr="00EF4BFD">
          <w:rPr>
            <w:rStyle w:val="Hyperlink"/>
            <w:noProof/>
            <w:sz w:val="24"/>
            <w:szCs w:val="24"/>
          </w:rPr>
          <w:t>4.</w:t>
        </w:r>
        <w:r w:rsidR="00EF4BFD" w:rsidRPr="00EF4BFD">
          <w:rPr>
            <w:rFonts w:eastAsiaTheme="minorEastAsia" w:cstheme="minorBidi"/>
            <w:b w:val="0"/>
            <w:bCs w:val="0"/>
            <w:caps w:val="0"/>
            <w:noProof/>
            <w:sz w:val="24"/>
            <w:szCs w:val="24"/>
            <w:lang w:eastAsia="en-GB"/>
          </w:rPr>
          <w:tab/>
        </w:r>
        <w:r w:rsidR="00EF4BFD" w:rsidRPr="00EF4BFD">
          <w:rPr>
            <w:rStyle w:val="Hyperlink"/>
            <w:noProof/>
            <w:sz w:val="24"/>
            <w:szCs w:val="24"/>
          </w:rPr>
          <w:t>Conclusion</w:t>
        </w:r>
        <w:r w:rsidR="00EF4BFD" w:rsidRPr="00EF4BFD">
          <w:rPr>
            <w:noProof/>
            <w:webHidden/>
            <w:sz w:val="24"/>
            <w:szCs w:val="24"/>
          </w:rPr>
          <w:tab/>
        </w:r>
        <w:r w:rsidR="00EF4BFD" w:rsidRPr="00EF4BFD">
          <w:rPr>
            <w:noProof/>
            <w:webHidden/>
            <w:sz w:val="24"/>
            <w:szCs w:val="24"/>
          </w:rPr>
          <w:fldChar w:fldCharType="begin"/>
        </w:r>
        <w:r w:rsidR="00EF4BFD" w:rsidRPr="00EF4BFD">
          <w:rPr>
            <w:noProof/>
            <w:webHidden/>
            <w:sz w:val="24"/>
            <w:szCs w:val="24"/>
          </w:rPr>
          <w:instrText xml:space="preserve"> PAGEREF _Toc105945050 \h </w:instrText>
        </w:r>
        <w:r w:rsidR="00EF4BFD" w:rsidRPr="00EF4BFD">
          <w:rPr>
            <w:noProof/>
            <w:webHidden/>
            <w:sz w:val="24"/>
            <w:szCs w:val="24"/>
          </w:rPr>
        </w:r>
        <w:r w:rsidR="00EF4BFD" w:rsidRPr="00EF4BFD">
          <w:rPr>
            <w:noProof/>
            <w:webHidden/>
            <w:sz w:val="24"/>
            <w:szCs w:val="24"/>
          </w:rPr>
          <w:fldChar w:fldCharType="separate"/>
        </w:r>
        <w:r w:rsidR="00EF4BFD" w:rsidRPr="00EF4BFD">
          <w:rPr>
            <w:noProof/>
            <w:webHidden/>
            <w:sz w:val="24"/>
            <w:szCs w:val="24"/>
          </w:rPr>
          <w:t>24</w:t>
        </w:r>
        <w:r w:rsidR="00EF4BFD" w:rsidRPr="00EF4BFD">
          <w:rPr>
            <w:noProof/>
            <w:webHidden/>
            <w:sz w:val="24"/>
            <w:szCs w:val="24"/>
          </w:rPr>
          <w:fldChar w:fldCharType="end"/>
        </w:r>
      </w:hyperlink>
    </w:p>
    <w:p w14:paraId="0C515F49" w14:textId="53D245C7" w:rsidR="00181176" w:rsidRPr="00365EF0" w:rsidRDefault="007579FB" w:rsidP="00FD77D8">
      <w:pPr>
        <w:spacing w:after="0" w:line="240" w:lineRule="auto"/>
        <w:jc w:val="both"/>
        <w:rPr>
          <w:rFonts w:eastAsia="Times New Roman" w:cstheme="minorHAnsi"/>
          <w:color w:val="2F5496" w:themeColor="accent1" w:themeShade="BF"/>
          <w:lang w:eastAsia="en-GB"/>
        </w:rPr>
      </w:pPr>
      <w:r w:rsidRPr="00EF4BFD">
        <w:rPr>
          <w:rFonts w:eastAsia="Times New Roman" w:cstheme="minorHAnsi"/>
          <w:sz w:val="24"/>
          <w:szCs w:val="24"/>
          <w:lang w:eastAsia="en-GB"/>
        </w:rPr>
        <w:fldChar w:fldCharType="end"/>
      </w:r>
      <w:r w:rsidR="00181176" w:rsidRPr="00365EF0">
        <w:rPr>
          <w:rFonts w:eastAsia="Times New Roman" w:cstheme="minorHAnsi"/>
          <w:lang w:eastAsia="en-GB"/>
        </w:rPr>
        <w:br w:type="page"/>
      </w:r>
    </w:p>
    <w:p w14:paraId="741BD811" w14:textId="290D6CEA" w:rsidR="00787F01" w:rsidRPr="007C5FD5" w:rsidRDefault="00181176" w:rsidP="00FD77D8">
      <w:pPr>
        <w:pStyle w:val="Heading1"/>
        <w:numPr>
          <w:ilvl w:val="0"/>
          <w:numId w:val="2"/>
        </w:numPr>
        <w:spacing w:before="0" w:line="240" w:lineRule="auto"/>
        <w:jc w:val="both"/>
        <w:rPr>
          <w:rFonts w:asciiTheme="minorHAnsi" w:eastAsia="Times New Roman" w:hAnsiTheme="minorHAnsi" w:cstheme="minorHAnsi"/>
          <w:lang w:eastAsia="en-GB"/>
        </w:rPr>
      </w:pPr>
      <w:bookmarkStart w:id="1" w:name="_Toc95071548"/>
      <w:bookmarkStart w:id="2" w:name="_Toc104129814"/>
      <w:bookmarkStart w:id="3" w:name="_Toc105945042"/>
      <w:r w:rsidRPr="007C5FD5">
        <w:rPr>
          <w:rFonts w:asciiTheme="minorHAnsi" w:eastAsia="Times New Roman" w:hAnsiTheme="minorHAnsi" w:cstheme="minorHAnsi"/>
          <w:lang w:eastAsia="en-GB"/>
        </w:rPr>
        <w:lastRenderedPageBreak/>
        <w:t>Introduction</w:t>
      </w:r>
      <w:bookmarkEnd w:id="1"/>
      <w:bookmarkEnd w:id="2"/>
      <w:bookmarkEnd w:id="3"/>
      <w:r w:rsidRPr="007C5FD5">
        <w:rPr>
          <w:rFonts w:asciiTheme="minorHAnsi" w:eastAsia="Times New Roman" w:hAnsiTheme="minorHAnsi" w:cstheme="minorHAnsi"/>
          <w:lang w:eastAsia="en-GB"/>
        </w:rPr>
        <w:t xml:space="preserve"> </w:t>
      </w:r>
    </w:p>
    <w:p w14:paraId="725854BA" w14:textId="77777777" w:rsidR="00A962AF" w:rsidRPr="007C5FD5" w:rsidRDefault="00A962AF" w:rsidP="00FD77D8">
      <w:pPr>
        <w:autoSpaceDE w:val="0"/>
        <w:autoSpaceDN w:val="0"/>
        <w:adjustRightInd w:val="0"/>
        <w:spacing w:after="0" w:line="240" w:lineRule="auto"/>
        <w:jc w:val="both"/>
        <w:rPr>
          <w:rFonts w:cstheme="minorHAnsi"/>
          <w:lang w:eastAsia="en-GB"/>
        </w:rPr>
      </w:pPr>
    </w:p>
    <w:p w14:paraId="64C24032" w14:textId="13344E35" w:rsidR="00E97988" w:rsidRPr="007C5FD5" w:rsidRDefault="00454B63" w:rsidP="00FD77D8">
      <w:pPr>
        <w:autoSpaceDE w:val="0"/>
        <w:autoSpaceDN w:val="0"/>
        <w:adjustRightInd w:val="0"/>
        <w:spacing w:after="0" w:line="240" w:lineRule="auto"/>
        <w:jc w:val="both"/>
        <w:rPr>
          <w:rFonts w:cstheme="minorHAnsi"/>
          <w:lang w:eastAsia="en-GB"/>
        </w:rPr>
      </w:pPr>
      <w:r w:rsidRPr="007C5FD5">
        <w:rPr>
          <w:rFonts w:cstheme="minorHAnsi"/>
          <w:lang w:eastAsia="en-GB"/>
        </w:rPr>
        <w:t>The persistence of digital personal data and information</w:t>
      </w:r>
      <w:r w:rsidR="00E97988" w:rsidRPr="007C5FD5">
        <w:rPr>
          <w:rFonts w:cstheme="minorHAnsi"/>
          <w:lang w:eastAsia="en-GB"/>
        </w:rPr>
        <w:t xml:space="preserve"> </w:t>
      </w:r>
      <w:r w:rsidR="009956DD" w:rsidRPr="007C5FD5">
        <w:rPr>
          <w:rFonts w:cstheme="minorHAnsi"/>
          <w:lang w:eastAsia="en-GB"/>
        </w:rPr>
        <w:t xml:space="preserve">in global online networks </w:t>
      </w:r>
      <w:r w:rsidR="00774A0B" w:rsidRPr="007C5FD5">
        <w:rPr>
          <w:rFonts w:cstheme="minorHAnsi"/>
          <w:lang w:eastAsia="en-GB"/>
        </w:rPr>
        <w:t>has tested</w:t>
      </w:r>
      <w:r w:rsidR="00A52015" w:rsidRPr="007C5FD5">
        <w:rPr>
          <w:rFonts w:cstheme="minorHAnsi"/>
          <w:lang w:eastAsia="en-GB"/>
        </w:rPr>
        <w:t xml:space="preserve"> the</w:t>
      </w:r>
      <w:r w:rsidR="00A42A70" w:rsidRPr="007C5FD5">
        <w:rPr>
          <w:rFonts w:cstheme="minorHAnsi"/>
          <w:lang w:eastAsia="en-GB"/>
        </w:rPr>
        <w:t xml:space="preserve"> </w:t>
      </w:r>
      <w:r w:rsidR="0097494D" w:rsidRPr="007C5FD5">
        <w:rPr>
          <w:rFonts w:cstheme="minorHAnsi"/>
          <w:lang w:eastAsia="en-GB"/>
        </w:rPr>
        <w:t xml:space="preserve">functional and temporal </w:t>
      </w:r>
      <w:r w:rsidRPr="007C5FD5">
        <w:rPr>
          <w:rFonts w:cstheme="minorHAnsi"/>
          <w:lang w:eastAsia="en-GB"/>
        </w:rPr>
        <w:t xml:space="preserve">boundaries </w:t>
      </w:r>
      <w:r w:rsidR="00A52015" w:rsidRPr="007C5FD5">
        <w:rPr>
          <w:rFonts w:cstheme="minorHAnsi"/>
          <w:lang w:eastAsia="en-GB"/>
        </w:rPr>
        <w:t>of privacy protection</w:t>
      </w:r>
      <w:r w:rsidRPr="007C5FD5">
        <w:rPr>
          <w:rFonts w:cstheme="minorHAnsi"/>
          <w:lang w:eastAsia="en-GB"/>
        </w:rPr>
        <w:t xml:space="preserve">. </w:t>
      </w:r>
      <w:r w:rsidR="006D2B4F" w:rsidRPr="007C5FD5">
        <w:rPr>
          <w:rFonts w:cstheme="minorHAnsi"/>
          <w:lang w:eastAsia="en-GB"/>
        </w:rPr>
        <w:t xml:space="preserve">Such </w:t>
      </w:r>
      <w:r w:rsidR="00EC7E91" w:rsidRPr="007C5FD5">
        <w:rPr>
          <w:rFonts w:cstheme="minorHAnsi"/>
          <w:lang w:eastAsia="en-GB"/>
        </w:rPr>
        <w:t>persistence</w:t>
      </w:r>
      <w:r w:rsidR="00774A0B" w:rsidRPr="007C5FD5">
        <w:rPr>
          <w:rFonts w:cstheme="minorHAnsi"/>
          <w:lang w:eastAsia="en-GB"/>
        </w:rPr>
        <w:t xml:space="preserve"> </w:t>
      </w:r>
      <w:r w:rsidR="00F35250" w:rsidRPr="007C5FD5">
        <w:rPr>
          <w:rFonts w:cstheme="minorHAnsi"/>
          <w:lang w:eastAsia="en-GB"/>
        </w:rPr>
        <w:t>can have</w:t>
      </w:r>
      <w:r w:rsidR="00D047ED" w:rsidRPr="007C5FD5">
        <w:rPr>
          <w:rFonts w:cstheme="minorHAnsi"/>
          <w:lang w:eastAsia="en-GB"/>
        </w:rPr>
        <w:t xml:space="preserve"> dire</w:t>
      </w:r>
      <w:r w:rsidR="006D2B4F" w:rsidRPr="007C5FD5">
        <w:rPr>
          <w:rFonts w:cstheme="minorHAnsi"/>
          <w:lang w:eastAsia="en-GB"/>
        </w:rPr>
        <w:t xml:space="preserve"> personal and professional</w:t>
      </w:r>
      <w:r w:rsidR="003F5D8C" w:rsidRPr="007C5FD5">
        <w:rPr>
          <w:rFonts w:cstheme="minorHAnsi"/>
          <w:lang w:eastAsia="en-GB"/>
        </w:rPr>
        <w:t xml:space="preserve"> consequences</w:t>
      </w:r>
      <w:r w:rsidR="00774A0B" w:rsidRPr="007C5FD5">
        <w:rPr>
          <w:rFonts w:cstheme="minorHAnsi"/>
          <w:lang w:eastAsia="en-GB"/>
        </w:rPr>
        <w:t xml:space="preserve"> for </w:t>
      </w:r>
      <w:r w:rsidR="00A42A70" w:rsidRPr="007C5FD5">
        <w:rPr>
          <w:rFonts w:cstheme="minorHAnsi"/>
          <w:lang w:eastAsia="en-GB"/>
        </w:rPr>
        <w:t xml:space="preserve">individuals </w:t>
      </w:r>
      <w:r w:rsidR="00945323">
        <w:rPr>
          <w:rFonts w:cstheme="minorHAnsi"/>
          <w:lang w:eastAsia="en-GB"/>
        </w:rPr>
        <w:t>if</w:t>
      </w:r>
      <w:r w:rsidR="006D2B4F" w:rsidRPr="007C5FD5">
        <w:rPr>
          <w:rFonts w:cstheme="minorHAnsi"/>
          <w:lang w:eastAsia="en-GB"/>
        </w:rPr>
        <w:t xml:space="preserve"> </w:t>
      </w:r>
      <w:r w:rsidRPr="007C5FD5">
        <w:rPr>
          <w:rFonts w:cstheme="minorHAnsi"/>
          <w:lang w:eastAsia="en-GB"/>
        </w:rPr>
        <w:t>unfavourable personal information enters the</w:t>
      </w:r>
      <w:r w:rsidR="006D2B4F" w:rsidRPr="007C5FD5">
        <w:rPr>
          <w:rFonts w:cstheme="minorHAnsi"/>
          <w:lang w:eastAsia="en-GB"/>
        </w:rPr>
        <w:t xml:space="preserve"> </w:t>
      </w:r>
      <w:r w:rsidRPr="007C5FD5">
        <w:rPr>
          <w:rFonts w:cstheme="minorHAnsi"/>
          <w:lang w:eastAsia="en-GB"/>
        </w:rPr>
        <w:t>online domain</w:t>
      </w:r>
      <w:r w:rsidR="002A6D56" w:rsidRPr="007C5FD5">
        <w:rPr>
          <w:rFonts w:cstheme="minorHAnsi"/>
          <w:lang w:eastAsia="en-GB"/>
        </w:rPr>
        <w:t xml:space="preserve">. </w:t>
      </w:r>
      <w:r w:rsidR="00E67B2C" w:rsidRPr="007C5FD5">
        <w:rPr>
          <w:rFonts w:cstheme="minorHAnsi"/>
          <w:lang w:eastAsia="en-GB"/>
        </w:rPr>
        <w:t xml:space="preserve">Digital </w:t>
      </w:r>
      <w:r w:rsidR="00B7578D" w:rsidRPr="007C5FD5">
        <w:rPr>
          <w:rFonts w:cstheme="minorHAnsi"/>
          <w:lang w:eastAsia="en-GB"/>
        </w:rPr>
        <w:t>memory</w:t>
      </w:r>
      <w:r w:rsidR="00445CBE" w:rsidRPr="007C5FD5">
        <w:rPr>
          <w:rFonts w:cstheme="minorHAnsi"/>
          <w:lang w:eastAsia="en-GB"/>
        </w:rPr>
        <w:t xml:space="preserve"> </w:t>
      </w:r>
      <w:r w:rsidR="00B7578D" w:rsidRPr="007C5FD5">
        <w:rPr>
          <w:rFonts w:cstheme="minorHAnsi"/>
          <w:lang w:eastAsia="en-GB"/>
        </w:rPr>
        <w:t>lacks the ‘natural’ forgetfulness of humans as protective mechanism</w:t>
      </w:r>
      <w:r w:rsidR="00E67B2C" w:rsidRPr="007C5FD5">
        <w:rPr>
          <w:rFonts w:cstheme="minorHAnsi"/>
          <w:lang w:eastAsia="en-GB"/>
        </w:rPr>
        <w:t xml:space="preserve"> upon which </w:t>
      </w:r>
      <w:r w:rsidR="00E97988" w:rsidRPr="007C5FD5">
        <w:rPr>
          <w:rFonts w:cstheme="minorHAnsi"/>
          <w:lang w:eastAsia="en-GB"/>
        </w:rPr>
        <w:t>privacy</w:t>
      </w:r>
      <w:r w:rsidR="00E67B2C" w:rsidRPr="007C5FD5">
        <w:rPr>
          <w:rFonts w:cstheme="minorHAnsi"/>
          <w:lang w:eastAsia="en-GB"/>
        </w:rPr>
        <w:t xml:space="preserve"> law </w:t>
      </w:r>
      <w:r w:rsidR="009956DD" w:rsidRPr="007C5FD5">
        <w:rPr>
          <w:rFonts w:cstheme="minorHAnsi"/>
          <w:lang w:eastAsia="en-GB"/>
        </w:rPr>
        <w:t>has</w:t>
      </w:r>
      <w:r w:rsidR="00E67B2C" w:rsidRPr="007C5FD5">
        <w:rPr>
          <w:rFonts w:cstheme="minorHAnsi"/>
          <w:lang w:eastAsia="en-GB"/>
        </w:rPr>
        <w:t xml:space="preserve"> previously rel</w:t>
      </w:r>
      <w:r w:rsidR="009956DD" w:rsidRPr="007C5FD5">
        <w:rPr>
          <w:rFonts w:cstheme="minorHAnsi"/>
          <w:lang w:eastAsia="en-GB"/>
        </w:rPr>
        <w:t>ied</w:t>
      </w:r>
      <w:r w:rsidR="00E67B2C" w:rsidRPr="007C5FD5">
        <w:rPr>
          <w:rFonts w:cstheme="minorHAnsi"/>
          <w:lang w:eastAsia="en-GB"/>
        </w:rPr>
        <w:t>.</w:t>
      </w:r>
      <w:r w:rsidRPr="007C5FD5">
        <w:rPr>
          <w:rFonts w:cstheme="minorHAnsi"/>
          <w:lang w:eastAsia="en-GB"/>
        </w:rPr>
        <w:t xml:space="preserve"> Some relief is </w:t>
      </w:r>
      <w:r w:rsidR="006D2B4F" w:rsidRPr="007C5FD5">
        <w:rPr>
          <w:rFonts w:cstheme="minorHAnsi"/>
          <w:lang w:eastAsia="en-GB"/>
        </w:rPr>
        <w:t xml:space="preserve">now </w:t>
      </w:r>
      <w:r w:rsidRPr="007C5FD5">
        <w:rPr>
          <w:rFonts w:cstheme="minorHAnsi"/>
          <w:lang w:eastAsia="en-GB"/>
        </w:rPr>
        <w:t xml:space="preserve">provided </w:t>
      </w:r>
      <w:r w:rsidR="00B7578D" w:rsidRPr="007C5FD5">
        <w:rPr>
          <w:rFonts w:cstheme="minorHAnsi"/>
          <w:lang w:eastAsia="en-GB"/>
        </w:rPr>
        <w:t>in the EU through</w:t>
      </w:r>
      <w:r w:rsidRPr="007C5FD5">
        <w:rPr>
          <w:rFonts w:cstheme="minorHAnsi"/>
          <w:lang w:eastAsia="en-GB"/>
        </w:rPr>
        <w:t xml:space="preserve"> the</w:t>
      </w:r>
      <w:r w:rsidR="00774A0B" w:rsidRPr="007C5FD5">
        <w:rPr>
          <w:rFonts w:cstheme="minorHAnsi"/>
          <w:lang w:eastAsia="en-GB"/>
        </w:rPr>
        <w:t xml:space="preserve"> </w:t>
      </w:r>
      <w:r w:rsidR="00774A0B" w:rsidRPr="007C5FD5">
        <w:rPr>
          <w:rFonts w:cstheme="minorHAnsi"/>
        </w:rPr>
        <w:t>right-to-</w:t>
      </w:r>
      <w:r w:rsidR="00453C5E" w:rsidRPr="007C5FD5">
        <w:rPr>
          <w:rFonts w:cstheme="minorHAnsi"/>
        </w:rPr>
        <w:t>be-</w:t>
      </w:r>
      <w:r w:rsidR="00774A0B" w:rsidRPr="007C5FD5">
        <w:rPr>
          <w:rFonts w:cstheme="minorHAnsi"/>
        </w:rPr>
        <w:t>forgotten under the General Data Protection Regulation [GDPR]</w:t>
      </w:r>
      <w:r w:rsidR="00774A0B" w:rsidRPr="007C5FD5">
        <w:rPr>
          <w:rStyle w:val="FootnoteReference"/>
          <w:rFonts w:cstheme="minorHAnsi"/>
        </w:rPr>
        <w:footnoteReference w:id="1"/>
      </w:r>
      <w:r w:rsidR="00774A0B" w:rsidRPr="007C5FD5">
        <w:rPr>
          <w:rFonts w:cstheme="minorHAnsi"/>
        </w:rPr>
        <w:t xml:space="preserve"> </w:t>
      </w:r>
      <w:r w:rsidR="0097494D" w:rsidRPr="007C5FD5">
        <w:rPr>
          <w:rFonts w:cstheme="minorHAnsi"/>
        </w:rPr>
        <w:t xml:space="preserve">which </w:t>
      </w:r>
      <w:r w:rsidR="00774A0B" w:rsidRPr="007C5FD5">
        <w:rPr>
          <w:rFonts w:cstheme="minorHAnsi"/>
        </w:rPr>
        <w:t>allows individual</w:t>
      </w:r>
      <w:r w:rsidR="00B7578D" w:rsidRPr="007C5FD5">
        <w:rPr>
          <w:rFonts w:cstheme="minorHAnsi"/>
        </w:rPr>
        <w:t>s</w:t>
      </w:r>
      <w:r w:rsidR="00774A0B" w:rsidRPr="007C5FD5">
        <w:rPr>
          <w:rFonts w:cstheme="minorHAnsi"/>
        </w:rPr>
        <w:t xml:space="preserve"> to request search engines to ‘forget’ outdated or </w:t>
      </w:r>
      <w:r w:rsidR="00457156" w:rsidRPr="007C5FD5">
        <w:rPr>
          <w:rFonts w:cstheme="minorHAnsi"/>
        </w:rPr>
        <w:t>inaccurate</w:t>
      </w:r>
      <w:r w:rsidR="00774A0B" w:rsidRPr="007C5FD5">
        <w:rPr>
          <w:rFonts w:cstheme="minorHAnsi"/>
        </w:rPr>
        <w:t xml:space="preserve"> personal information in the results produced in response to name searches, and </w:t>
      </w:r>
      <w:r w:rsidR="009956DD" w:rsidRPr="007C5FD5">
        <w:rPr>
          <w:rFonts w:cstheme="minorHAnsi"/>
        </w:rPr>
        <w:t xml:space="preserve">gives them </w:t>
      </w:r>
      <w:r w:rsidR="00F46F05" w:rsidRPr="007C5FD5">
        <w:rPr>
          <w:rFonts w:cstheme="minorHAnsi"/>
        </w:rPr>
        <w:t xml:space="preserve">thereby </w:t>
      </w:r>
      <w:r w:rsidR="009956DD" w:rsidRPr="007C5FD5">
        <w:rPr>
          <w:rFonts w:cstheme="minorHAnsi"/>
        </w:rPr>
        <w:t>some control over</w:t>
      </w:r>
      <w:r w:rsidR="00EC7E91" w:rsidRPr="007C5FD5">
        <w:rPr>
          <w:rFonts w:cstheme="minorHAnsi"/>
        </w:rPr>
        <w:t xml:space="preserve"> </w:t>
      </w:r>
      <w:r w:rsidR="00B7578D" w:rsidRPr="007C5FD5">
        <w:rPr>
          <w:rFonts w:cstheme="minorHAnsi"/>
        </w:rPr>
        <w:t xml:space="preserve">their </w:t>
      </w:r>
      <w:r w:rsidR="00EC7E91" w:rsidRPr="007C5FD5">
        <w:rPr>
          <w:rFonts w:cstheme="minorHAnsi"/>
        </w:rPr>
        <w:t xml:space="preserve">personal </w:t>
      </w:r>
      <w:r w:rsidR="00D047ED" w:rsidRPr="007C5FD5">
        <w:rPr>
          <w:rFonts w:cstheme="minorHAnsi"/>
        </w:rPr>
        <w:t>narrative</w:t>
      </w:r>
      <w:r w:rsidR="00F46F05" w:rsidRPr="007C5FD5">
        <w:rPr>
          <w:rFonts w:cstheme="minorHAnsi"/>
        </w:rPr>
        <w:t>s</w:t>
      </w:r>
      <w:r w:rsidR="00D047ED" w:rsidRPr="007C5FD5">
        <w:rPr>
          <w:rFonts w:cstheme="minorHAnsi"/>
        </w:rPr>
        <w:t xml:space="preserve"> in the</w:t>
      </w:r>
      <w:r w:rsidR="00774A0B" w:rsidRPr="007C5FD5">
        <w:rPr>
          <w:rFonts w:cstheme="minorHAnsi"/>
        </w:rPr>
        <w:t xml:space="preserve"> public domain</w:t>
      </w:r>
      <w:r w:rsidR="00336196" w:rsidRPr="007C5FD5">
        <w:rPr>
          <w:rFonts w:cstheme="minorHAnsi"/>
        </w:rPr>
        <w:t>.</w:t>
      </w:r>
      <w:r w:rsidR="001B770B" w:rsidRPr="007C5FD5">
        <w:rPr>
          <w:rStyle w:val="FootnoteReference"/>
          <w:rFonts w:cstheme="minorHAnsi"/>
        </w:rPr>
        <w:footnoteReference w:id="2"/>
      </w:r>
      <w:r w:rsidR="007F6568" w:rsidRPr="007C5FD5">
        <w:rPr>
          <w:rStyle w:val="FootnoteReference"/>
          <w:rFonts w:cstheme="minorHAnsi"/>
        </w:rPr>
        <w:t xml:space="preserve"> </w:t>
      </w:r>
      <w:r w:rsidR="00E67B2C" w:rsidRPr="007C5FD5">
        <w:rPr>
          <w:rFonts w:cstheme="minorHAnsi"/>
        </w:rPr>
        <w:t>Yet, t</w:t>
      </w:r>
      <w:r w:rsidR="00D047ED" w:rsidRPr="007C5FD5">
        <w:rPr>
          <w:rFonts w:cstheme="minorHAnsi"/>
        </w:rPr>
        <w:t>h</w:t>
      </w:r>
      <w:r w:rsidR="006D2B4F" w:rsidRPr="007C5FD5">
        <w:rPr>
          <w:rFonts w:cstheme="minorHAnsi"/>
        </w:rPr>
        <w:t>e</w:t>
      </w:r>
      <w:r w:rsidR="00D047ED" w:rsidRPr="007C5FD5">
        <w:rPr>
          <w:rFonts w:cstheme="minorHAnsi"/>
        </w:rPr>
        <w:t xml:space="preserve"> problematic </w:t>
      </w:r>
      <w:r w:rsidR="006D2B4F" w:rsidRPr="007C5FD5">
        <w:rPr>
          <w:rFonts w:cstheme="minorHAnsi"/>
        </w:rPr>
        <w:t>of information</w:t>
      </w:r>
      <w:r w:rsidR="00445CBE" w:rsidRPr="007C5FD5">
        <w:rPr>
          <w:rFonts w:cstheme="minorHAnsi"/>
        </w:rPr>
        <w:t>al</w:t>
      </w:r>
      <w:r w:rsidR="006D2B4F" w:rsidRPr="007C5FD5">
        <w:rPr>
          <w:rFonts w:cstheme="minorHAnsi"/>
        </w:rPr>
        <w:t xml:space="preserve"> persistence </w:t>
      </w:r>
      <w:r w:rsidR="00B7578D" w:rsidRPr="007C5FD5">
        <w:rPr>
          <w:rFonts w:cstheme="minorHAnsi"/>
        </w:rPr>
        <w:t xml:space="preserve">also </w:t>
      </w:r>
      <w:r w:rsidR="00D047ED" w:rsidRPr="007C5FD5">
        <w:rPr>
          <w:rFonts w:cstheme="minorHAnsi"/>
        </w:rPr>
        <w:t>continues after death</w:t>
      </w:r>
      <w:r w:rsidR="00C07252" w:rsidRPr="007C5FD5">
        <w:rPr>
          <w:rFonts w:cstheme="minorHAnsi"/>
        </w:rPr>
        <w:t xml:space="preserve"> </w:t>
      </w:r>
      <w:r w:rsidR="00D047ED" w:rsidRPr="007C5FD5">
        <w:rPr>
          <w:rFonts w:cstheme="minorHAnsi"/>
        </w:rPr>
        <w:t xml:space="preserve">precisely </w:t>
      </w:r>
      <w:r w:rsidR="00D047ED" w:rsidRPr="007C5FD5">
        <w:rPr>
          <w:rFonts w:cstheme="minorHAnsi"/>
          <w:lang w:eastAsia="en-GB"/>
        </w:rPr>
        <w:t>because personal</w:t>
      </w:r>
      <w:r w:rsidR="006D2B4F" w:rsidRPr="007C5FD5">
        <w:rPr>
          <w:rFonts w:cstheme="minorHAnsi"/>
          <w:lang w:eastAsia="en-GB"/>
        </w:rPr>
        <w:t xml:space="preserve"> </w:t>
      </w:r>
      <w:r w:rsidR="00D047ED" w:rsidRPr="007C5FD5">
        <w:rPr>
          <w:rFonts w:cstheme="minorHAnsi"/>
          <w:lang w:eastAsia="en-GB"/>
        </w:rPr>
        <w:t>data and information remains</w:t>
      </w:r>
      <w:r w:rsidR="009956DD" w:rsidRPr="007C5FD5">
        <w:rPr>
          <w:rFonts w:cstheme="minorHAnsi"/>
          <w:lang w:eastAsia="en-GB"/>
        </w:rPr>
        <w:t xml:space="preserve"> unaltered</w:t>
      </w:r>
      <w:r w:rsidR="00D047ED" w:rsidRPr="007C5FD5">
        <w:rPr>
          <w:rFonts w:cstheme="minorHAnsi"/>
          <w:lang w:eastAsia="en-GB"/>
        </w:rPr>
        <w:t xml:space="preserve"> in situ</w:t>
      </w:r>
      <w:r w:rsidR="009956DD" w:rsidRPr="007C5FD5">
        <w:rPr>
          <w:rFonts w:cstheme="minorHAnsi"/>
          <w:lang w:eastAsia="en-GB"/>
        </w:rPr>
        <w:t>, and the rightsholder is no longer there to give directions.</w:t>
      </w:r>
      <w:r w:rsidR="00A04A76" w:rsidRPr="007C5FD5">
        <w:rPr>
          <w:rFonts w:cstheme="minorHAnsi"/>
          <w:lang w:eastAsia="en-GB"/>
        </w:rPr>
        <w:t xml:space="preserve"> Whilst </w:t>
      </w:r>
      <w:r w:rsidR="00F35250" w:rsidRPr="007C5FD5">
        <w:rPr>
          <w:rFonts w:cstheme="minorHAnsi"/>
          <w:lang w:eastAsia="en-GB"/>
        </w:rPr>
        <w:t xml:space="preserve">the issue </w:t>
      </w:r>
      <w:r w:rsidR="00A04A76" w:rsidRPr="007C5FD5">
        <w:rPr>
          <w:rFonts w:cstheme="minorHAnsi"/>
          <w:lang w:eastAsia="en-GB"/>
        </w:rPr>
        <w:t xml:space="preserve">of </w:t>
      </w:r>
      <w:r w:rsidR="006A627A" w:rsidRPr="007C5FD5">
        <w:rPr>
          <w:rFonts w:cstheme="minorHAnsi"/>
          <w:lang w:eastAsia="en-GB"/>
        </w:rPr>
        <w:t xml:space="preserve">personal </w:t>
      </w:r>
      <w:r w:rsidR="00A04A76" w:rsidRPr="007C5FD5">
        <w:rPr>
          <w:rFonts w:cstheme="minorHAnsi"/>
          <w:lang w:eastAsia="en-GB"/>
        </w:rPr>
        <w:t xml:space="preserve">legacies is not inherently new, digital </w:t>
      </w:r>
      <w:r w:rsidR="006A627A" w:rsidRPr="007C5FD5">
        <w:rPr>
          <w:rFonts w:cstheme="minorHAnsi"/>
          <w:lang w:eastAsia="en-GB"/>
        </w:rPr>
        <w:t>remains</w:t>
      </w:r>
      <w:r w:rsidR="000D1F6B" w:rsidRPr="007C5FD5">
        <w:rPr>
          <w:rFonts w:cstheme="minorHAnsi"/>
          <w:lang w:eastAsia="en-GB"/>
        </w:rPr>
        <w:t xml:space="preserve"> exceed</w:t>
      </w:r>
      <w:r w:rsidR="00A04A76" w:rsidRPr="007C5FD5">
        <w:rPr>
          <w:rFonts w:cstheme="minorHAnsi"/>
          <w:lang w:eastAsia="en-GB"/>
        </w:rPr>
        <w:t>, in depth and breadth,</w:t>
      </w:r>
      <w:r w:rsidR="000D1F6B" w:rsidRPr="007C5FD5">
        <w:rPr>
          <w:rFonts w:cstheme="minorHAnsi"/>
          <w:lang w:eastAsia="en-GB"/>
        </w:rPr>
        <w:t xml:space="preserve"> the amount and sensitivity of previous</w:t>
      </w:r>
      <w:r w:rsidR="00A04A76" w:rsidRPr="007C5FD5">
        <w:rPr>
          <w:rFonts w:cstheme="minorHAnsi"/>
          <w:lang w:eastAsia="en-GB"/>
        </w:rPr>
        <w:t xml:space="preserve"> </w:t>
      </w:r>
      <w:r w:rsidR="000D1F6B" w:rsidRPr="007C5FD5">
        <w:rPr>
          <w:rFonts w:cstheme="minorHAnsi"/>
          <w:lang w:eastAsia="en-GB"/>
        </w:rPr>
        <w:t>analogue records</w:t>
      </w:r>
      <w:r w:rsidR="00E97988" w:rsidRPr="007C5FD5">
        <w:rPr>
          <w:rFonts w:cstheme="minorHAnsi"/>
          <w:lang w:eastAsia="en-GB"/>
        </w:rPr>
        <w:t>.</w:t>
      </w:r>
      <w:r w:rsidR="005B7963" w:rsidRPr="007C5FD5">
        <w:rPr>
          <w:rFonts w:cstheme="minorHAnsi"/>
          <w:lang w:eastAsia="en-GB"/>
        </w:rPr>
        <w:t xml:space="preserve"> </w:t>
      </w:r>
      <w:r w:rsidR="00E97988" w:rsidRPr="007C5FD5">
        <w:rPr>
          <w:rFonts w:cstheme="minorHAnsi"/>
          <w:lang w:eastAsia="en-GB"/>
        </w:rPr>
        <w:t>Th</w:t>
      </w:r>
      <w:r w:rsidR="000D1F6B" w:rsidRPr="007C5FD5">
        <w:rPr>
          <w:rFonts w:cstheme="minorHAnsi"/>
          <w:lang w:eastAsia="en-GB"/>
        </w:rPr>
        <w:t>is</w:t>
      </w:r>
      <w:r w:rsidR="003B7CD9" w:rsidRPr="007C5FD5">
        <w:rPr>
          <w:rFonts w:cstheme="minorHAnsi"/>
          <w:lang w:eastAsia="en-GB"/>
        </w:rPr>
        <w:t xml:space="preserve"> has</w:t>
      </w:r>
      <w:r w:rsidR="001B770B" w:rsidRPr="007C5FD5">
        <w:rPr>
          <w:rFonts w:cstheme="minorHAnsi"/>
          <w:lang w:eastAsia="en-GB"/>
        </w:rPr>
        <w:t xml:space="preserve"> </w:t>
      </w:r>
      <w:r w:rsidR="00A42A70" w:rsidRPr="007C5FD5">
        <w:rPr>
          <w:rFonts w:cstheme="minorHAnsi"/>
          <w:lang w:eastAsia="en-GB"/>
        </w:rPr>
        <w:t xml:space="preserve">led to </w:t>
      </w:r>
      <w:r w:rsidR="0097494D" w:rsidRPr="007C5FD5">
        <w:rPr>
          <w:rFonts w:cstheme="minorHAnsi"/>
          <w:lang w:eastAsia="en-GB"/>
        </w:rPr>
        <w:t xml:space="preserve">renewed </w:t>
      </w:r>
      <w:r w:rsidR="00F35250" w:rsidRPr="007C5FD5">
        <w:rPr>
          <w:rFonts w:cstheme="minorHAnsi"/>
          <w:lang w:eastAsia="en-GB"/>
        </w:rPr>
        <w:t>dis</w:t>
      </w:r>
      <w:r w:rsidR="008E088D" w:rsidRPr="007C5FD5">
        <w:rPr>
          <w:rFonts w:cstheme="minorHAnsi"/>
          <w:lang w:eastAsia="en-GB"/>
        </w:rPr>
        <w:t>cussions on the merits, or otherwise, of</w:t>
      </w:r>
      <w:r w:rsidR="003B7CD9" w:rsidRPr="007C5FD5">
        <w:rPr>
          <w:rFonts w:cstheme="minorHAnsi"/>
          <w:lang w:eastAsia="en-GB"/>
        </w:rPr>
        <w:t xml:space="preserve"> </w:t>
      </w:r>
      <w:r w:rsidR="00C51D10" w:rsidRPr="007C5FD5">
        <w:rPr>
          <w:rFonts w:cstheme="minorHAnsi"/>
          <w:lang w:eastAsia="en-GB"/>
        </w:rPr>
        <w:t>post-mortem privacy</w:t>
      </w:r>
      <w:r w:rsidR="00235DF6" w:rsidRPr="007C5FD5">
        <w:rPr>
          <w:rFonts w:cstheme="minorHAnsi"/>
          <w:lang w:eastAsia="en-GB"/>
        </w:rPr>
        <w:t xml:space="preserve"> protection</w:t>
      </w:r>
      <w:r w:rsidR="005A26A1" w:rsidRPr="007C5FD5">
        <w:rPr>
          <w:rFonts w:cstheme="minorHAnsi"/>
          <w:lang w:eastAsia="en-GB"/>
        </w:rPr>
        <w:t>.</w:t>
      </w:r>
      <w:r w:rsidR="000D1F6B" w:rsidRPr="007C5FD5">
        <w:rPr>
          <w:rStyle w:val="FootnoteReference"/>
          <w:rFonts w:cstheme="minorHAnsi"/>
          <w:lang w:eastAsia="en-GB"/>
        </w:rPr>
        <w:footnoteReference w:id="3"/>
      </w:r>
      <w:r w:rsidR="005A26A1" w:rsidRPr="007C5FD5">
        <w:rPr>
          <w:rFonts w:cstheme="minorHAnsi"/>
          <w:lang w:eastAsia="en-GB"/>
        </w:rPr>
        <w:t xml:space="preserve"> Such post-mortem privacy would address itself</w:t>
      </w:r>
      <w:r w:rsidR="00ED0286" w:rsidRPr="007C5FD5">
        <w:rPr>
          <w:rFonts w:cstheme="minorHAnsi"/>
          <w:lang w:eastAsia="en-GB"/>
        </w:rPr>
        <w:t xml:space="preserve">, in the first place, </w:t>
      </w:r>
      <w:r w:rsidR="005A26A1" w:rsidRPr="007C5FD5">
        <w:rPr>
          <w:rFonts w:cstheme="minorHAnsi"/>
          <w:lang w:eastAsia="en-GB"/>
        </w:rPr>
        <w:t xml:space="preserve">to </w:t>
      </w:r>
      <w:r w:rsidR="00ED0286" w:rsidRPr="007C5FD5">
        <w:rPr>
          <w:rFonts w:cstheme="minorHAnsi"/>
          <w:lang w:eastAsia="en-GB"/>
        </w:rPr>
        <w:t>‘</w:t>
      </w:r>
      <w:r w:rsidR="005A26A1" w:rsidRPr="007C5FD5">
        <w:rPr>
          <w:rFonts w:cstheme="minorHAnsi"/>
          <w:lang w:eastAsia="en-GB"/>
        </w:rPr>
        <w:t xml:space="preserve">digital legacies’ </w:t>
      </w:r>
      <w:r w:rsidR="00E966E0" w:rsidRPr="007C5FD5">
        <w:rPr>
          <w:rFonts w:cstheme="minorHAnsi"/>
          <w:lang w:eastAsia="en-GB"/>
        </w:rPr>
        <w:t>or ‘</w:t>
      </w:r>
      <w:r w:rsidR="00ED0286" w:rsidRPr="007C5FD5">
        <w:rPr>
          <w:rFonts w:cstheme="minorHAnsi"/>
          <w:lang w:eastAsia="en-GB"/>
        </w:rPr>
        <w:t xml:space="preserve">digital </w:t>
      </w:r>
      <w:r w:rsidR="00E966E0" w:rsidRPr="007C5FD5">
        <w:rPr>
          <w:rFonts w:cstheme="minorHAnsi"/>
          <w:lang w:eastAsia="en-GB"/>
        </w:rPr>
        <w:t xml:space="preserve">remains’ </w:t>
      </w:r>
      <w:r w:rsidR="005A26A1" w:rsidRPr="007C5FD5">
        <w:rPr>
          <w:rFonts w:cstheme="minorHAnsi"/>
          <w:lang w:eastAsia="en-GB"/>
        </w:rPr>
        <w:t>– such as email histories</w:t>
      </w:r>
      <w:r w:rsidR="00826313" w:rsidRPr="007C5FD5">
        <w:rPr>
          <w:rFonts w:cstheme="minorHAnsi"/>
          <w:lang w:eastAsia="en-GB"/>
        </w:rPr>
        <w:t>,</w:t>
      </w:r>
      <w:r w:rsidR="000D1F6B" w:rsidRPr="007C5FD5">
        <w:rPr>
          <w:rStyle w:val="FootnoteReference"/>
          <w:rFonts w:cstheme="minorHAnsi"/>
          <w:lang w:eastAsia="en-GB"/>
        </w:rPr>
        <w:footnoteReference w:id="4"/>
      </w:r>
      <w:r w:rsidR="005A26A1" w:rsidRPr="007C5FD5">
        <w:rPr>
          <w:rFonts w:cstheme="minorHAnsi"/>
          <w:lang w:eastAsia="en-GB"/>
        </w:rPr>
        <w:t xml:space="preserve"> social media accounts</w:t>
      </w:r>
      <w:r w:rsidR="00826313" w:rsidRPr="007C5FD5">
        <w:rPr>
          <w:rFonts w:cstheme="minorHAnsi"/>
          <w:lang w:eastAsia="en-GB"/>
        </w:rPr>
        <w:t>,</w:t>
      </w:r>
      <w:r w:rsidR="008B6B73" w:rsidRPr="007C5FD5">
        <w:rPr>
          <w:rStyle w:val="FootnoteReference"/>
          <w:rFonts w:cstheme="minorHAnsi"/>
          <w:lang w:eastAsia="en-GB"/>
        </w:rPr>
        <w:footnoteReference w:id="5"/>
      </w:r>
      <w:r w:rsidR="005A26A1" w:rsidRPr="007C5FD5">
        <w:rPr>
          <w:rFonts w:cstheme="minorHAnsi"/>
          <w:lang w:eastAsia="en-GB"/>
        </w:rPr>
        <w:t xml:space="preserve"> documents and files, search histories</w:t>
      </w:r>
      <w:r w:rsidR="00CE78B4" w:rsidRPr="007C5FD5">
        <w:rPr>
          <w:rFonts w:cstheme="minorHAnsi"/>
          <w:lang w:eastAsia="en-GB"/>
        </w:rPr>
        <w:t xml:space="preserve">, </w:t>
      </w:r>
      <w:r w:rsidR="005A26A1" w:rsidRPr="007C5FD5">
        <w:rPr>
          <w:rFonts w:cstheme="minorHAnsi"/>
          <w:lang w:eastAsia="en-GB"/>
        </w:rPr>
        <w:t xml:space="preserve">personal </w:t>
      </w:r>
      <w:r w:rsidR="00A44BB9" w:rsidRPr="007C5FD5">
        <w:rPr>
          <w:rFonts w:cstheme="minorHAnsi"/>
          <w:lang w:eastAsia="en-GB"/>
        </w:rPr>
        <w:t xml:space="preserve">DNA or health </w:t>
      </w:r>
      <w:r w:rsidR="005A26A1" w:rsidRPr="007C5FD5">
        <w:rPr>
          <w:rFonts w:cstheme="minorHAnsi"/>
          <w:lang w:eastAsia="en-GB"/>
        </w:rPr>
        <w:t>profiles</w:t>
      </w:r>
      <w:r w:rsidR="00A44BB9" w:rsidRPr="007C5FD5">
        <w:rPr>
          <w:rFonts w:cstheme="minorHAnsi"/>
          <w:lang w:eastAsia="en-GB"/>
        </w:rPr>
        <w:t xml:space="preserve"> </w:t>
      </w:r>
      <w:r w:rsidR="00CE78B4" w:rsidRPr="007C5FD5">
        <w:rPr>
          <w:rFonts w:cstheme="minorHAnsi"/>
          <w:lang w:eastAsia="en-GB"/>
        </w:rPr>
        <w:t>and digital footprints more generally</w:t>
      </w:r>
      <w:r w:rsidR="008B6B73" w:rsidRPr="007C5FD5">
        <w:rPr>
          <w:rFonts w:cstheme="minorHAnsi"/>
          <w:lang w:eastAsia="en-GB"/>
        </w:rPr>
        <w:t>.</w:t>
      </w:r>
      <w:r w:rsidR="00E903C2" w:rsidRPr="007C5FD5">
        <w:rPr>
          <w:rFonts w:cstheme="minorHAnsi"/>
          <w:lang w:eastAsia="en-GB"/>
        </w:rPr>
        <w:t xml:space="preserve"> </w:t>
      </w:r>
      <w:r w:rsidR="005D032C" w:rsidRPr="007C5FD5">
        <w:rPr>
          <w:rFonts w:cstheme="minorHAnsi"/>
          <w:lang w:eastAsia="en-GB"/>
        </w:rPr>
        <w:t>P</w:t>
      </w:r>
      <w:r w:rsidR="00ED0286" w:rsidRPr="007C5FD5">
        <w:rPr>
          <w:rFonts w:cstheme="minorHAnsi"/>
          <w:lang w:eastAsia="en-GB"/>
        </w:rPr>
        <w:t>ost-</w:t>
      </w:r>
      <w:r w:rsidR="006A627A" w:rsidRPr="007C5FD5">
        <w:rPr>
          <w:rFonts w:cstheme="minorHAnsi"/>
          <w:lang w:eastAsia="en-GB"/>
        </w:rPr>
        <w:t xml:space="preserve">mortem </w:t>
      </w:r>
      <w:r w:rsidR="00ED0286" w:rsidRPr="007C5FD5">
        <w:rPr>
          <w:rFonts w:cstheme="minorHAnsi"/>
          <w:lang w:eastAsia="en-GB"/>
        </w:rPr>
        <w:t xml:space="preserve">privacy </w:t>
      </w:r>
      <w:r w:rsidR="006A627A" w:rsidRPr="007C5FD5">
        <w:rPr>
          <w:rFonts w:cstheme="minorHAnsi"/>
          <w:lang w:eastAsia="en-GB"/>
        </w:rPr>
        <w:t xml:space="preserve">has </w:t>
      </w:r>
      <w:r w:rsidR="005D032C" w:rsidRPr="007C5FD5">
        <w:rPr>
          <w:rFonts w:cstheme="minorHAnsi"/>
          <w:lang w:eastAsia="en-GB"/>
        </w:rPr>
        <w:t xml:space="preserve">also </w:t>
      </w:r>
      <w:r w:rsidR="006A627A" w:rsidRPr="007C5FD5">
        <w:rPr>
          <w:rFonts w:cstheme="minorHAnsi"/>
          <w:lang w:eastAsia="en-GB"/>
        </w:rPr>
        <w:t>been called</w:t>
      </w:r>
      <w:r w:rsidR="0051492E" w:rsidRPr="007C5FD5">
        <w:rPr>
          <w:rFonts w:cstheme="minorHAnsi"/>
          <w:lang w:eastAsia="en-GB"/>
        </w:rPr>
        <w:t xml:space="preserve"> upon</w:t>
      </w:r>
      <w:r w:rsidR="00941D1B">
        <w:rPr>
          <w:rFonts w:cstheme="minorHAnsi"/>
          <w:lang w:eastAsia="en-GB"/>
        </w:rPr>
        <w:t xml:space="preserve"> by relatives to prevent public access to death scene images, with large online circulation threatening as a background scenario.</w:t>
      </w:r>
      <w:r w:rsidR="005D032C" w:rsidRPr="007C5FD5">
        <w:rPr>
          <w:rStyle w:val="FootnoteReference"/>
          <w:rFonts w:cstheme="minorHAnsi"/>
          <w:lang w:eastAsia="en-GB"/>
        </w:rPr>
        <w:footnoteReference w:id="6"/>
      </w:r>
      <w:r w:rsidR="006A627A" w:rsidRPr="007C5FD5">
        <w:rPr>
          <w:rFonts w:cstheme="minorHAnsi"/>
          <w:lang w:eastAsia="en-GB"/>
        </w:rPr>
        <w:t xml:space="preserve"> </w:t>
      </w:r>
      <w:r w:rsidR="00F46F05" w:rsidRPr="007C5FD5">
        <w:rPr>
          <w:rFonts w:cstheme="minorHAnsi"/>
          <w:lang w:eastAsia="en-GB"/>
        </w:rPr>
        <w:t>Furthermore, p</w:t>
      </w:r>
      <w:r w:rsidR="005D032C" w:rsidRPr="007C5FD5">
        <w:rPr>
          <w:rFonts w:cstheme="minorHAnsi"/>
          <w:lang w:eastAsia="en-GB"/>
        </w:rPr>
        <w:t xml:space="preserve">ersonal </w:t>
      </w:r>
      <w:r w:rsidR="000726E4" w:rsidRPr="007C5FD5">
        <w:rPr>
          <w:rFonts w:cstheme="minorHAnsi"/>
          <w:lang w:eastAsia="en-GB"/>
        </w:rPr>
        <w:t xml:space="preserve">big </w:t>
      </w:r>
      <w:r w:rsidR="005D032C" w:rsidRPr="007C5FD5">
        <w:rPr>
          <w:rFonts w:cstheme="minorHAnsi"/>
          <w:lang w:eastAsia="en-GB"/>
        </w:rPr>
        <w:t>data ha</w:t>
      </w:r>
      <w:r w:rsidR="000726E4" w:rsidRPr="007C5FD5">
        <w:rPr>
          <w:rFonts w:cstheme="minorHAnsi"/>
          <w:lang w:eastAsia="en-GB"/>
        </w:rPr>
        <w:t>s</w:t>
      </w:r>
      <w:r w:rsidR="005D032C" w:rsidRPr="007C5FD5">
        <w:rPr>
          <w:rFonts w:cstheme="minorHAnsi"/>
          <w:lang w:eastAsia="en-GB"/>
        </w:rPr>
        <w:t xml:space="preserve"> created </w:t>
      </w:r>
      <w:r w:rsidR="0051492E" w:rsidRPr="007C5FD5">
        <w:rPr>
          <w:rFonts w:cstheme="minorHAnsi"/>
          <w:lang w:eastAsia="en-GB"/>
        </w:rPr>
        <w:t xml:space="preserve">entirely new </w:t>
      </w:r>
      <w:r w:rsidR="006A627A" w:rsidRPr="007C5FD5">
        <w:rPr>
          <w:rFonts w:cstheme="minorHAnsi"/>
          <w:lang w:eastAsia="en-GB"/>
        </w:rPr>
        <w:t xml:space="preserve">post-mortem </w:t>
      </w:r>
      <w:r w:rsidR="005D032C" w:rsidRPr="007C5FD5">
        <w:rPr>
          <w:rFonts w:cstheme="minorHAnsi"/>
          <w:lang w:eastAsia="en-GB"/>
        </w:rPr>
        <w:t xml:space="preserve">possibilities with </w:t>
      </w:r>
      <w:r w:rsidR="006A627A" w:rsidRPr="007C5FD5">
        <w:rPr>
          <w:rFonts w:cstheme="minorHAnsi"/>
          <w:lang w:eastAsia="en-GB"/>
        </w:rPr>
        <w:t>privacy</w:t>
      </w:r>
      <w:r w:rsidR="005D032C" w:rsidRPr="007C5FD5">
        <w:rPr>
          <w:rFonts w:cstheme="minorHAnsi"/>
          <w:lang w:eastAsia="en-GB"/>
        </w:rPr>
        <w:t xml:space="preserve"> implications. </w:t>
      </w:r>
      <w:r w:rsidR="00D84968" w:rsidRPr="007C5FD5">
        <w:rPr>
          <w:rFonts w:cstheme="minorHAnsi"/>
          <w:lang w:eastAsia="en-GB"/>
        </w:rPr>
        <w:t>For example, d</w:t>
      </w:r>
      <w:r w:rsidR="00ED0286" w:rsidRPr="007C5FD5">
        <w:rPr>
          <w:rFonts w:cstheme="minorHAnsi"/>
          <w:lang w:eastAsia="en-GB"/>
        </w:rPr>
        <w:t>eepfakes</w:t>
      </w:r>
      <w:r w:rsidR="006108AF" w:rsidRPr="007C5FD5">
        <w:rPr>
          <w:rFonts w:cstheme="minorHAnsi"/>
          <w:lang w:eastAsia="en-GB"/>
        </w:rPr>
        <w:t xml:space="preserve">, </w:t>
      </w:r>
      <w:r w:rsidR="00D84968" w:rsidRPr="007C5FD5">
        <w:rPr>
          <w:rFonts w:cstheme="minorHAnsi"/>
          <w:lang w:eastAsia="en-GB"/>
        </w:rPr>
        <w:t xml:space="preserve">that is </w:t>
      </w:r>
      <w:r w:rsidR="006108AF" w:rsidRPr="007C5FD5">
        <w:rPr>
          <w:rFonts w:cstheme="minorHAnsi"/>
          <w:lang w:eastAsia="en-GB"/>
        </w:rPr>
        <w:t xml:space="preserve">AI-generated impersonations based on existing </w:t>
      </w:r>
      <w:r w:rsidR="00ED0286" w:rsidRPr="007C5FD5">
        <w:rPr>
          <w:rFonts w:cstheme="minorHAnsi"/>
          <w:lang w:eastAsia="en-GB"/>
        </w:rPr>
        <w:t>personal digital footage</w:t>
      </w:r>
      <w:r w:rsidR="006108AF" w:rsidRPr="007C5FD5">
        <w:rPr>
          <w:rFonts w:cstheme="minorHAnsi"/>
          <w:lang w:eastAsia="en-GB"/>
        </w:rPr>
        <w:t xml:space="preserve">, </w:t>
      </w:r>
      <w:r w:rsidR="005D032C" w:rsidRPr="007C5FD5">
        <w:rPr>
          <w:rFonts w:cstheme="minorHAnsi"/>
          <w:lang w:eastAsia="en-GB"/>
        </w:rPr>
        <w:t>can bring the deceased back to life</w:t>
      </w:r>
      <w:r w:rsidR="0051492E" w:rsidRPr="007C5FD5">
        <w:rPr>
          <w:rFonts w:cstheme="minorHAnsi"/>
          <w:lang w:eastAsia="en-GB"/>
        </w:rPr>
        <w:t xml:space="preserve">, with both innocuous and </w:t>
      </w:r>
      <w:r w:rsidR="006108AF" w:rsidRPr="007C5FD5">
        <w:rPr>
          <w:rFonts w:cstheme="minorHAnsi"/>
          <w:lang w:eastAsia="en-GB"/>
        </w:rPr>
        <w:t>abusive potentials which once</w:t>
      </w:r>
      <w:r w:rsidR="00D84968" w:rsidRPr="007C5FD5">
        <w:rPr>
          <w:rFonts w:cstheme="minorHAnsi"/>
          <w:lang w:eastAsia="en-GB"/>
        </w:rPr>
        <w:t xml:space="preserve"> again</w:t>
      </w:r>
      <w:r w:rsidR="006108AF" w:rsidRPr="007C5FD5">
        <w:rPr>
          <w:rFonts w:cstheme="minorHAnsi"/>
          <w:lang w:eastAsia="en-GB"/>
        </w:rPr>
        <w:t xml:space="preserve"> fall within the</w:t>
      </w:r>
      <w:r w:rsidR="0051492E" w:rsidRPr="007C5FD5">
        <w:rPr>
          <w:rFonts w:cstheme="minorHAnsi"/>
          <w:lang w:eastAsia="en-GB"/>
        </w:rPr>
        <w:t xml:space="preserve"> possible</w:t>
      </w:r>
      <w:r w:rsidR="006108AF" w:rsidRPr="007C5FD5">
        <w:rPr>
          <w:rFonts w:cstheme="minorHAnsi"/>
          <w:lang w:eastAsia="en-GB"/>
        </w:rPr>
        <w:t xml:space="preserve"> ambit of privacy </w:t>
      </w:r>
      <w:r w:rsidR="00D84968" w:rsidRPr="007C5FD5">
        <w:rPr>
          <w:rFonts w:cstheme="minorHAnsi"/>
          <w:lang w:eastAsia="en-GB"/>
        </w:rPr>
        <w:t>protection</w:t>
      </w:r>
      <w:r w:rsidR="000360CA" w:rsidRPr="007C5FD5">
        <w:rPr>
          <w:rFonts w:cstheme="minorHAnsi"/>
          <w:lang w:eastAsia="en-GB"/>
        </w:rPr>
        <w:t>.</w:t>
      </w:r>
      <w:r w:rsidR="00ED0286" w:rsidRPr="007C5FD5">
        <w:rPr>
          <w:rStyle w:val="FootnoteReference"/>
          <w:rFonts w:cstheme="minorHAnsi"/>
          <w:lang w:eastAsia="en-GB"/>
        </w:rPr>
        <w:footnoteReference w:id="7"/>
      </w:r>
      <w:r w:rsidR="00ED0286" w:rsidRPr="007C5FD5">
        <w:rPr>
          <w:rFonts w:cstheme="minorHAnsi"/>
          <w:lang w:eastAsia="en-GB"/>
        </w:rPr>
        <w:t xml:space="preserve"> </w:t>
      </w:r>
      <w:r w:rsidR="00A04A76" w:rsidRPr="007C5FD5">
        <w:rPr>
          <w:rFonts w:cstheme="minorHAnsi"/>
          <w:lang w:eastAsia="en-GB"/>
        </w:rPr>
        <w:t>Copyright</w:t>
      </w:r>
      <w:r w:rsidR="006C0FD6" w:rsidRPr="007C5FD5">
        <w:rPr>
          <w:rFonts w:cstheme="minorHAnsi"/>
          <w:lang w:eastAsia="en-GB"/>
        </w:rPr>
        <w:t xml:space="preserve"> </w:t>
      </w:r>
      <w:r w:rsidR="00C62BE6" w:rsidRPr="007C5FD5">
        <w:rPr>
          <w:rFonts w:cstheme="minorHAnsi"/>
          <w:lang w:eastAsia="en-GB"/>
        </w:rPr>
        <w:t xml:space="preserve">and other intellectual property rights </w:t>
      </w:r>
      <w:r w:rsidR="000360CA" w:rsidRPr="007C5FD5">
        <w:rPr>
          <w:rFonts w:cstheme="minorHAnsi"/>
          <w:lang w:eastAsia="en-GB"/>
        </w:rPr>
        <w:t>which serve</w:t>
      </w:r>
      <w:r w:rsidR="005D032C" w:rsidRPr="007C5FD5">
        <w:rPr>
          <w:rFonts w:cstheme="minorHAnsi"/>
          <w:lang w:eastAsia="en-GB"/>
        </w:rPr>
        <w:t xml:space="preserve"> economic </w:t>
      </w:r>
      <w:r w:rsidR="000360CA" w:rsidRPr="007C5FD5">
        <w:rPr>
          <w:rFonts w:cstheme="minorHAnsi"/>
          <w:lang w:eastAsia="en-GB"/>
        </w:rPr>
        <w:t>interest</w:t>
      </w:r>
      <w:r w:rsidR="005D032C" w:rsidRPr="007C5FD5">
        <w:rPr>
          <w:rFonts w:cstheme="minorHAnsi"/>
          <w:lang w:eastAsia="en-GB"/>
        </w:rPr>
        <w:t xml:space="preserve">s, </w:t>
      </w:r>
      <w:r w:rsidR="00A04A76" w:rsidRPr="007C5FD5">
        <w:rPr>
          <w:rFonts w:cstheme="minorHAnsi"/>
          <w:lang w:eastAsia="en-GB"/>
        </w:rPr>
        <w:t xml:space="preserve">outlast the death of </w:t>
      </w:r>
      <w:r w:rsidR="00A04A76" w:rsidRPr="007C5FD5">
        <w:rPr>
          <w:rFonts w:cstheme="minorHAnsi"/>
          <w:lang w:eastAsia="en-GB"/>
        </w:rPr>
        <w:lastRenderedPageBreak/>
        <w:t>the rightsholder</w:t>
      </w:r>
      <w:r w:rsidR="000726E4" w:rsidRPr="007C5FD5">
        <w:rPr>
          <w:rFonts w:cstheme="minorHAnsi"/>
          <w:lang w:eastAsia="en-GB"/>
        </w:rPr>
        <w:t>, but</w:t>
      </w:r>
      <w:r w:rsidR="00A04A76" w:rsidRPr="007C5FD5">
        <w:rPr>
          <w:rFonts w:cstheme="minorHAnsi"/>
          <w:lang w:eastAsia="en-GB"/>
        </w:rPr>
        <w:t xml:space="preserve"> should </w:t>
      </w:r>
      <w:r w:rsidR="001F786A" w:rsidRPr="007C5FD5">
        <w:rPr>
          <w:rFonts w:cstheme="minorHAnsi"/>
          <w:lang w:eastAsia="en-GB"/>
        </w:rPr>
        <w:t>privacy</w:t>
      </w:r>
      <w:r w:rsidR="000360CA" w:rsidRPr="007C5FD5">
        <w:rPr>
          <w:rFonts w:cstheme="minorHAnsi"/>
          <w:lang w:eastAsia="en-GB"/>
        </w:rPr>
        <w:t xml:space="preserve"> underwritten by dignitary concerns</w:t>
      </w:r>
      <w:r w:rsidR="001F786A" w:rsidRPr="007C5FD5">
        <w:rPr>
          <w:rFonts w:cstheme="minorHAnsi"/>
          <w:lang w:eastAsia="en-GB"/>
        </w:rPr>
        <w:t xml:space="preserve"> </w:t>
      </w:r>
      <w:r w:rsidR="00A04A76" w:rsidRPr="007C5FD5">
        <w:rPr>
          <w:rFonts w:cstheme="minorHAnsi"/>
          <w:lang w:eastAsia="en-GB"/>
        </w:rPr>
        <w:t xml:space="preserve">also </w:t>
      </w:r>
      <w:r w:rsidR="001F786A" w:rsidRPr="007C5FD5">
        <w:rPr>
          <w:rFonts w:cstheme="minorHAnsi"/>
          <w:lang w:eastAsia="en-GB"/>
        </w:rPr>
        <w:t xml:space="preserve">remain intact </w:t>
      </w:r>
      <w:r w:rsidR="0012524D" w:rsidRPr="007C5FD5">
        <w:rPr>
          <w:rFonts w:cstheme="minorHAnsi"/>
          <w:lang w:eastAsia="en-GB"/>
        </w:rPr>
        <w:t>post-mortem</w:t>
      </w:r>
      <w:r w:rsidR="00A04A76" w:rsidRPr="007C5FD5">
        <w:rPr>
          <w:rFonts w:cstheme="minorHAnsi"/>
          <w:lang w:eastAsia="en-GB"/>
        </w:rPr>
        <w:t xml:space="preserve"> </w:t>
      </w:r>
      <w:r w:rsidR="001F786A" w:rsidRPr="007C5FD5">
        <w:rPr>
          <w:rFonts w:cstheme="minorHAnsi"/>
          <w:lang w:eastAsia="en-GB"/>
        </w:rPr>
        <w:t>and</w:t>
      </w:r>
      <w:r w:rsidR="001B73FE" w:rsidRPr="007C5FD5">
        <w:rPr>
          <w:rFonts w:cstheme="minorHAnsi"/>
          <w:lang w:eastAsia="en-GB"/>
        </w:rPr>
        <w:t>,</w:t>
      </w:r>
      <w:r w:rsidR="001F786A" w:rsidRPr="007C5FD5">
        <w:rPr>
          <w:rFonts w:cstheme="minorHAnsi"/>
          <w:lang w:eastAsia="en-GB"/>
        </w:rPr>
        <w:t xml:space="preserve"> if so,</w:t>
      </w:r>
      <w:r w:rsidR="008E088D" w:rsidRPr="007C5FD5">
        <w:rPr>
          <w:rFonts w:cstheme="minorHAnsi"/>
          <w:lang w:eastAsia="en-GB"/>
        </w:rPr>
        <w:t xml:space="preserve"> how long and guarded by whom? </w:t>
      </w:r>
    </w:p>
    <w:p w14:paraId="6990C007" w14:textId="77777777" w:rsidR="00564485" w:rsidRPr="007C5FD5" w:rsidRDefault="00564485" w:rsidP="00FD77D8">
      <w:pPr>
        <w:autoSpaceDE w:val="0"/>
        <w:autoSpaceDN w:val="0"/>
        <w:adjustRightInd w:val="0"/>
        <w:spacing w:after="0" w:line="240" w:lineRule="auto"/>
        <w:jc w:val="both"/>
        <w:rPr>
          <w:rFonts w:cstheme="minorHAnsi"/>
          <w:lang w:eastAsia="en-GB"/>
        </w:rPr>
      </w:pPr>
    </w:p>
    <w:p w14:paraId="4B39A443" w14:textId="73484606" w:rsidR="00EE13EA" w:rsidRPr="007C5FD5" w:rsidRDefault="00823C86" w:rsidP="00FD77D8">
      <w:pPr>
        <w:autoSpaceDE w:val="0"/>
        <w:autoSpaceDN w:val="0"/>
        <w:adjustRightInd w:val="0"/>
        <w:spacing w:after="0" w:line="240" w:lineRule="auto"/>
        <w:jc w:val="both"/>
        <w:rPr>
          <w:rStyle w:val="acopre"/>
          <w:rFonts w:cstheme="minorHAnsi"/>
        </w:rPr>
      </w:pPr>
      <w:r w:rsidRPr="007C5FD5">
        <w:rPr>
          <w:rFonts w:cstheme="minorHAnsi"/>
          <w:lang w:eastAsia="en-GB"/>
        </w:rPr>
        <w:t>In</w:t>
      </w:r>
      <w:r w:rsidR="005A26A1" w:rsidRPr="007C5FD5">
        <w:rPr>
          <w:rFonts w:cstheme="minorHAnsi"/>
          <w:lang w:eastAsia="en-GB"/>
        </w:rPr>
        <w:t xml:space="preserve"> </w:t>
      </w:r>
      <w:r w:rsidR="004262C8" w:rsidRPr="007C5FD5">
        <w:rPr>
          <w:rFonts w:cstheme="minorHAnsi"/>
          <w:lang w:eastAsia="en-GB"/>
        </w:rPr>
        <w:t xml:space="preserve">some </w:t>
      </w:r>
      <w:r w:rsidR="005A26A1" w:rsidRPr="007C5FD5">
        <w:rPr>
          <w:rFonts w:cstheme="minorHAnsi"/>
          <w:lang w:eastAsia="en-GB"/>
        </w:rPr>
        <w:t>civil law jurisdictions</w:t>
      </w:r>
      <w:r w:rsidR="004262C8" w:rsidRPr="007C5FD5">
        <w:rPr>
          <w:rFonts w:cstheme="minorHAnsi"/>
          <w:lang w:eastAsia="en-GB"/>
        </w:rPr>
        <w:t xml:space="preserve">, </w:t>
      </w:r>
      <w:r w:rsidRPr="007C5FD5">
        <w:rPr>
          <w:rFonts w:cstheme="minorHAnsi"/>
          <w:lang w:eastAsia="en-GB"/>
        </w:rPr>
        <w:t xml:space="preserve">such as </w:t>
      </w:r>
      <w:r w:rsidR="004262C8" w:rsidRPr="007C5FD5">
        <w:rPr>
          <w:rFonts w:cstheme="minorHAnsi"/>
          <w:lang w:eastAsia="en-GB"/>
        </w:rPr>
        <w:t xml:space="preserve">Germany, </w:t>
      </w:r>
      <w:r w:rsidR="005A26A1" w:rsidRPr="007C5FD5">
        <w:rPr>
          <w:rFonts w:cstheme="minorHAnsi"/>
          <w:lang w:eastAsia="en-GB"/>
        </w:rPr>
        <w:t>personality rights</w:t>
      </w:r>
      <w:r w:rsidR="008E088D" w:rsidRPr="007C5FD5">
        <w:rPr>
          <w:rFonts w:cstheme="minorHAnsi"/>
          <w:lang w:eastAsia="en-GB"/>
        </w:rPr>
        <w:t xml:space="preserve"> </w:t>
      </w:r>
      <w:r w:rsidR="005A26A1" w:rsidRPr="007C5FD5">
        <w:rPr>
          <w:rFonts w:cstheme="minorHAnsi"/>
          <w:lang w:eastAsia="en-GB"/>
        </w:rPr>
        <w:t>do not automatically expire upon death</w:t>
      </w:r>
      <w:r w:rsidR="00BF2415" w:rsidRPr="007C5FD5">
        <w:rPr>
          <w:rFonts w:cstheme="minorHAnsi"/>
          <w:lang w:eastAsia="en-GB"/>
        </w:rPr>
        <w:t>,</w:t>
      </w:r>
      <w:r w:rsidRPr="007C5FD5">
        <w:rPr>
          <w:rStyle w:val="FootnoteReference"/>
          <w:rFonts w:cstheme="minorHAnsi"/>
          <w:lang w:eastAsia="en-GB"/>
        </w:rPr>
        <w:footnoteReference w:id="8"/>
      </w:r>
      <w:r w:rsidR="005A26A1" w:rsidRPr="007C5FD5">
        <w:rPr>
          <w:rFonts w:cstheme="minorHAnsi"/>
          <w:lang w:eastAsia="en-GB"/>
        </w:rPr>
        <w:t xml:space="preserve"> </w:t>
      </w:r>
      <w:r w:rsidR="004262C8" w:rsidRPr="007C5FD5">
        <w:rPr>
          <w:rFonts w:cstheme="minorHAnsi"/>
          <w:lang w:eastAsia="en-GB"/>
        </w:rPr>
        <w:t>which</w:t>
      </w:r>
      <w:r w:rsidR="00BF2415" w:rsidRPr="007C5FD5">
        <w:rPr>
          <w:rFonts w:cstheme="minorHAnsi"/>
          <w:lang w:eastAsia="en-GB"/>
        </w:rPr>
        <w:t xml:space="preserve"> gives th</w:t>
      </w:r>
      <w:r w:rsidR="001B73FE" w:rsidRPr="007C5FD5">
        <w:rPr>
          <w:rFonts w:cstheme="minorHAnsi"/>
          <w:lang w:eastAsia="en-GB"/>
        </w:rPr>
        <w:t xml:space="preserve">ose jurisdictions </w:t>
      </w:r>
      <w:r w:rsidR="00BF2415" w:rsidRPr="007C5FD5">
        <w:rPr>
          <w:rFonts w:cstheme="minorHAnsi"/>
          <w:lang w:eastAsia="en-GB"/>
        </w:rPr>
        <w:t>a</w:t>
      </w:r>
      <w:r w:rsidR="00357667">
        <w:rPr>
          <w:rFonts w:cstheme="minorHAnsi"/>
          <w:lang w:eastAsia="en-GB"/>
        </w:rPr>
        <w:t xml:space="preserve"> solid</w:t>
      </w:r>
      <w:r w:rsidR="000D07C3" w:rsidRPr="007C5FD5">
        <w:rPr>
          <w:rFonts w:cstheme="minorHAnsi"/>
          <w:lang w:eastAsia="en-GB"/>
        </w:rPr>
        <w:t xml:space="preserve"> foundation</w:t>
      </w:r>
      <w:r w:rsidR="00BF2415" w:rsidRPr="007C5FD5">
        <w:rPr>
          <w:rFonts w:cstheme="minorHAnsi"/>
          <w:lang w:eastAsia="en-GB"/>
        </w:rPr>
        <w:t xml:space="preserve"> for</w:t>
      </w:r>
      <w:r w:rsidR="004262C8" w:rsidRPr="007C5FD5">
        <w:rPr>
          <w:rFonts w:cstheme="minorHAnsi"/>
          <w:lang w:eastAsia="en-GB"/>
        </w:rPr>
        <w:t xml:space="preserve"> </w:t>
      </w:r>
      <w:r w:rsidR="002F0DF5" w:rsidRPr="007C5FD5">
        <w:rPr>
          <w:rFonts w:cstheme="minorHAnsi"/>
          <w:lang w:eastAsia="en-GB"/>
        </w:rPr>
        <w:t>navigat</w:t>
      </w:r>
      <w:r w:rsidR="00BF2415" w:rsidRPr="007C5FD5">
        <w:rPr>
          <w:rFonts w:cstheme="minorHAnsi"/>
          <w:lang w:eastAsia="en-GB"/>
        </w:rPr>
        <w:t>ing</w:t>
      </w:r>
      <w:r w:rsidR="005A26A1" w:rsidRPr="007C5FD5">
        <w:rPr>
          <w:rFonts w:cstheme="minorHAnsi"/>
          <w:lang w:eastAsia="en-GB"/>
        </w:rPr>
        <w:t xml:space="preserve"> the raised</w:t>
      </w:r>
      <w:r w:rsidR="002A6D56" w:rsidRPr="007C5FD5">
        <w:rPr>
          <w:rFonts w:cstheme="minorHAnsi"/>
          <w:lang w:eastAsia="en-GB"/>
        </w:rPr>
        <w:t xml:space="preserve"> </w:t>
      </w:r>
      <w:r w:rsidR="005A26A1" w:rsidRPr="007C5FD5">
        <w:rPr>
          <w:rFonts w:cstheme="minorHAnsi"/>
          <w:lang w:eastAsia="en-GB"/>
        </w:rPr>
        <w:t xml:space="preserve">stakes of personal digital </w:t>
      </w:r>
      <w:r w:rsidR="00D36976" w:rsidRPr="007C5FD5">
        <w:rPr>
          <w:rFonts w:cstheme="minorHAnsi"/>
          <w:lang w:eastAsia="en-GB"/>
        </w:rPr>
        <w:t>remains</w:t>
      </w:r>
      <w:r w:rsidR="00F3333A" w:rsidRPr="007C5FD5">
        <w:rPr>
          <w:rFonts w:cstheme="minorHAnsi"/>
          <w:lang w:eastAsia="en-GB"/>
        </w:rPr>
        <w:t>.</w:t>
      </w:r>
      <w:r w:rsidR="002A6D56" w:rsidRPr="007C5FD5">
        <w:rPr>
          <w:rFonts w:cstheme="minorHAnsi"/>
          <w:lang w:eastAsia="en-GB"/>
        </w:rPr>
        <w:t xml:space="preserve"> </w:t>
      </w:r>
      <w:r w:rsidRPr="007C5FD5">
        <w:rPr>
          <w:rFonts w:cstheme="minorHAnsi"/>
          <w:lang w:eastAsia="en-GB"/>
        </w:rPr>
        <w:t>Meanwhile</w:t>
      </w:r>
      <w:r w:rsidR="001F3BBE" w:rsidRPr="007C5FD5">
        <w:rPr>
          <w:rFonts w:cstheme="minorHAnsi"/>
          <w:lang w:eastAsia="en-GB"/>
        </w:rPr>
        <w:t xml:space="preserve"> </w:t>
      </w:r>
      <w:r w:rsidR="00235DF6" w:rsidRPr="007C5FD5">
        <w:rPr>
          <w:rFonts w:cstheme="minorHAnsi"/>
          <w:lang w:eastAsia="en-GB"/>
        </w:rPr>
        <w:t>common law</w:t>
      </w:r>
      <w:r w:rsidR="005A26A1" w:rsidRPr="007C5FD5">
        <w:rPr>
          <w:rFonts w:cstheme="minorHAnsi"/>
          <w:lang w:eastAsia="en-GB"/>
        </w:rPr>
        <w:t xml:space="preserve"> </w:t>
      </w:r>
      <w:r w:rsidR="001B73FE" w:rsidRPr="007C5FD5">
        <w:rPr>
          <w:rFonts w:cstheme="minorHAnsi"/>
          <w:lang w:eastAsia="en-GB"/>
        </w:rPr>
        <w:t>countries</w:t>
      </w:r>
      <w:r w:rsidR="00785D17" w:rsidRPr="007C5FD5">
        <w:rPr>
          <w:rFonts w:cstheme="minorHAnsi"/>
          <w:lang w:eastAsia="en-GB"/>
        </w:rPr>
        <w:t xml:space="preserve"> are</w:t>
      </w:r>
      <w:r w:rsidR="00357667">
        <w:rPr>
          <w:rFonts w:cstheme="minorHAnsi"/>
          <w:lang w:eastAsia="en-GB"/>
        </w:rPr>
        <w:t xml:space="preserve"> especially</w:t>
      </w:r>
      <w:r w:rsidR="005A26A1" w:rsidRPr="007C5FD5">
        <w:rPr>
          <w:rFonts w:cstheme="minorHAnsi"/>
          <w:lang w:eastAsia="en-GB"/>
        </w:rPr>
        <w:t xml:space="preserve"> </w:t>
      </w:r>
      <w:r w:rsidR="001F3BBE" w:rsidRPr="007C5FD5">
        <w:rPr>
          <w:rFonts w:cstheme="minorHAnsi"/>
          <w:lang w:eastAsia="en-GB"/>
        </w:rPr>
        <w:t>ill-</w:t>
      </w:r>
      <w:r w:rsidR="005A26A1" w:rsidRPr="007C5FD5">
        <w:rPr>
          <w:rFonts w:cstheme="minorHAnsi"/>
          <w:lang w:eastAsia="en-GB"/>
        </w:rPr>
        <w:t>equipped to deal with t</w:t>
      </w:r>
      <w:r w:rsidR="00E97988" w:rsidRPr="007C5FD5">
        <w:rPr>
          <w:rFonts w:cstheme="minorHAnsi"/>
          <w:lang w:eastAsia="en-GB"/>
        </w:rPr>
        <w:t>h</w:t>
      </w:r>
      <w:r w:rsidR="002A6D56" w:rsidRPr="007C5FD5">
        <w:rPr>
          <w:rFonts w:cstheme="minorHAnsi"/>
          <w:lang w:eastAsia="en-GB"/>
        </w:rPr>
        <w:t>e</w:t>
      </w:r>
      <w:r w:rsidR="000D1F6B" w:rsidRPr="007C5FD5">
        <w:rPr>
          <w:rFonts w:cstheme="minorHAnsi"/>
          <w:lang w:eastAsia="en-GB"/>
        </w:rPr>
        <w:t xml:space="preserve"> </w:t>
      </w:r>
      <w:r w:rsidR="00E97988" w:rsidRPr="007C5FD5">
        <w:rPr>
          <w:rFonts w:cstheme="minorHAnsi"/>
          <w:lang w:eastAsia="en-GB"/>
        </w:rPr>
        <w:t>new phenomenon</w:t>
      </w:r>
      <w:r w:rsidR="009956DD" w:rsidRPr="007C5FD5">
        <w:rPr>
          <w:rFonts w:cstheme="minorHAnsi"/>
          <w:lang w:eastAsia="en-GB"/>
        </w:rPr>
        <w:t>, given</w:t>
      </w:r>
      <w:r w:rsidR="00224BEC" w:rsidRPr="007C5FD5">
        <w:rPr>
          <w:rFonts w:cstheme="minorHAnsi"/>
          <w:lang w:eastAsia="en-GB"/>
        </w:rPr>
        <w:t xml:space="preserve"> </w:t>
      </w:r>
      <w:r w:rsidR="00431E16" w:rsidRPr="007C5FD5">
        <w:rPr>
          <w:rFonts w:cstheme="minorHAnsi"/>
          <w:lang w:eastAsia="en-GB"/>
        </w:rPr>
        <w:t>the absence</w:t>
      </w:r>
      <w:r w:rsidR="00224BEC" w:rsidRPr="007C5FD5">
        <w:rPr>
          <w:rFonts w:cstheme="minorHAnsi"/>
          <w:lang w:eastAsia="en-GB"/>
        </w:rPr>
        <w:t xml:space="preserve"> of a </w:t>
      </w:r>
      <w:r w:rsidR="00431E16" w:rsidRPr="007C5FD5">
        <w:rPr>
          <w:rFonts w:cstheme="minorHAnsi"/>
          <w:lang w:eastAsia="en-GB"/>
        </w:rPr>
        <w:t xml:space="preserve">developed </w:t>
      </w:r>
      <w:r w:rsidR="00224BEC" w:rsidRPr="007C5FD5">
        <w:rPr>
          <w:rFonts w:cstheme="minorHAnsi"/>
          <w:lang w:eastAsia="en-GB"/>
        </w:rPr>
        <w:t>personality rights jurisprudence and</w:t>
      </w:r>
      <w:r w:rsidR="009956DD" w:rsidRPr="007C5FD5">
        <w:rPr>
          <w:rFonts w:cstheme="minorHAnsi"/>
          <w:lang w:eastAsia="en-GB"/>
        </w:rPr>
        <w:t xml:space="preserve"> </w:t>
      </w:r>
      <w:r w:rsidR="00431E16" w:rsidRPr="007C5FD5">
        <w:rPr>
          <w:rFonts w:cstheme="minorHAnsi"/>
          <w:lang w:eastAsia="en-GB"/>
        </w:rPr>
        <w:t>the</w:t>
      </w:r>
      <w:r w:rsidR="00D84968" w:rsidRPr="007C5FD5">
        <w:rPr>
          <w:rFonts w:cstheme="minorHAnsi"/>
          <w:lang w:eastAsia="en-GB"/>
        </w:rPr>
        <w:t>ir</w:t>
      </w:r>
      <w:r w:rsidR="00431E16" w:rsidRPr="007C5FD5">
        <w:rPr>
          <w:rFonts w:cstheme="minorHAnsi"/>
          <w:lang w:eastAsia="en-GB"/>
        </w:rPr>
        <w:t xml:space="preserve"> </w:t>
      </w:r>
      <w:r w:rsidR="009956DD" w:rsidRPr="007C5FD5">
        <w:rPr>
          <w:rFonts w:cstheme="minorHAnsi"/>
          <w:lang w:eastAsia="en-GB"/>
        </w:rPr>
        <w:t xml:space="preserve">adherence </w:t>
      </w:r>
      <w:r w:rsidR="00F3333A" w:rsidRPr="007C5FD5">
        <w:rPr>
          <w:rFonts w:cstheme="minorHAnsi"/>
          <w:lang w:eastAsia="en-GB"/>
        </w:rPr>
        <w:t>(but for</w:t>
      </w:r>
      <w:r w:rsidR="000023B8" w:rsidRPr="007C5FD5">
        <w:rPr>
          <w:rFonts w:cstheme="minorHAnsi"/>
          <w:lang w:eastAsia="en-GB"/>
        </w:rPr>
        <w:t xml:space="preserve"> some</w:t>
      </w:r>
      <w:r w:rsidR="00F3333A" w:rsidRPr="007C5FD5">
        <w:rPr>
          <w:rFonts w:cstheme="minorHAnsi"/>
          <w:lang w:eastAsia="en-GB"/>
        </w:rPr>
        <w:t xml:space="preserve"> statutory interventions) </w:t>
      </w:r>
      <w:r w:rsidR="00E97988" w:rsidRPr="007C5FD5">
        <w:rPr>
          <w:rFonts w:cstheme="minorHAnsi"/>
          <w:lang w:eastAsia="en-GB"/>
        </w:rPr>
        <w:t xml:space="preserve">to the </w:t>
      </w:r>
      <w:r w:rsidRPr="007C5FD5">
        <w:rPr>
          <w:rFonts w:cstheme="minorHAnsi"/>
          <w:lang w:eastAsia="en-GB"/>
        </w:rPr>
        <w:t>long-standing</w:t>
      </w:r>
      <w:r w:rsidR="00224BEC" w:rsidRPr="007C5FD5">
        <w:rPr>
          <w:rFonts w:cstheme="minorHAnsi"/>
          <w:lang w:eastAsia="en-GB"/>
        </w:rPr>
        <w:t xml:space="preserve"> </w:t>
      </w:r>
      <w:r w:rsidR="002815AA" w:rsidRPr="007C5FD5">
        <w:rPr>
          <w:rFonts w:cstheme="minorHAnsi"/>
          <w:lang w:eastAsia="en-GB"/>
        </w:rPr>
        <w:t xml:space="preserve">maxim </w:t>
      </w:r>
      <w:proofErr w:type="spellStart"/>
      <w:r w:rsidR="002815AA" w:rsidRPr="007C5FD5">
        <w:rPr>
          <w:rStyle w:val="Emphasis"/>
          <w:rFonts w:cstheme="minorHAnsi"/>
        </w:rPr>
        <w:t>actio</w:t>
      </w:r>
      <w:proofErr w:type="spellEnd"/>
      <w:r w:rsidR="002815AA" w:rsidRPr="007C5FD5">
        <w:rPr>
          <w:rStyle w:val="Emphasis"/>
          <w:rFonts w:cstheme="minorHAnsi"/>
        </w:rPr>
        <w:t xml:space="preserve"> </w:t>
      </w:r>
      <w:proofErr w:type="spellStart"/>
      <w:r w:rsidR="002815AA" w:rsidRPr="007C5FD5">
        <w:rPr>
          <w:rStyle w:val="Emphasis"/>
          <w:rFonts w:cstheme="minorHAnsi"/>
        </w:rPr>
        <w:t>personalis</w:t>
      </w:r>
      <w:proofErr w:type="spellEnd"/>
      <w:r w:rsidR="002815AA" w:rsidRPr="007C5FD5">
        <w:rPr>
          <w:rStyle w:val="Emphasis"/>
          <w:rFonts w:cstheme="minorHAnsi"/>
        </w:rPr>
        <w:t xml:space="preserve"> </w:t>
      </w:r>
      <w:proofErr w:type="spellStart"/>
      <w:r w:rsidR="002815AA" w:rsidRPr="007C5FD5">
        <w:rPr>
          <w:rStyle w:val="Emphasis"/>
          <w:rFonts w:cstheme="minorHAnsi"/>
        </w:rPr>
        <w:t>moritur</w:t>
      </w:r>
      <w:proofErr w:type="spellEnd"/>
      <w:r w:rsidR="002815AA" w:rsidRPr="007C5FD5">
        <w:rPr>
          <w:rStyle w:val="Emphasis"/>
          <w:rFonts w:cstheme="minorHAnsi"/>
        </w:rPr>
        <w:t xml:space="preserve"> cum persona</w:t>
      </w:r>
      <w:r w:rsidR="002F0DF5" w:rsidRPr="007C5FD5">
        <w:rPr>
          <w:rStyle w:val="Emphasis"/>
          <w:rFonts w:cstheme="minorHAnsi"/>
          <w:i w:val="0"/>
          <w:iCs w:val="0"/>
        </w:rPr>
        <w:t xml:space="preserve">, that is </w:t>
      </w:r>
      <w:r w:rsidR="001F3BBE" w:rsidRPr="007C5FD5">
        <w:rPr>
          <w:rFonts w:cstheme="minorHAnsi"/>
          <w:lang w:eastAsia="en-GB"/>
        </w:rPr>
        <w:t>personal</w:t>
      </w:r>
      <w:r w:rsidR="00BF2415" w:rsidRPr="007C5FD5">
        <w:rPr>
          <w:rFonts w:cstheme="minorHAnsi"/>
          <w:lang w:eastAsia="en-GB"/>
        </w:rPr>
        <w:t xml:space="preserve">, </w:t>
      </w:r>
      <w:r w:rsidR="004E416C" w:rsidRPr="007C5FD5">
        <w:rPr>
          <w:rFonts w:cstheme="minorHAnsi"/>
          <w:lang w:eastAsia="en-GB"/>
        </w:rPr>
        <w:t>as opposed t</w:t>
      </w:r>
      <w:r w:rsidR="00A44BB9" w:rsidRPr="007C5FD5">
        <w:rPr>
          <w:rFonts w:cstheme="minorHAnsi"/>
          <w:lang w:eastAsia="en-GB"/>
        </w:rPr>
        <w:t>o</w:t>
      </w:r>
      <w:r w:rsidR="001F3BBE" w:rsidRPr="007C5FD5">
        <w:rPr>
          <w:rFonts w:cstheme="minorHAnsi"/>
          <w:lang w:eastAsia="en-GB"/>
        </w:rPr>
        <w:t xml:space="preserve"> proprietary</w:t>
      </w:r>
      <w:r w:rsidR="00BF2415" w:rsidRPr="007C5FD5">
        <w:rPr>
          <w:rFonts w:cstheme="minorHAnsi"/>
          <w:lang w:eastAsia="en-GB"/>
        </w:rPr>
        <w:t>,</w:t>
      </w:r>
      <w:r w:rsidR="003958D8" w:rsidRPr="007C5FD5">
        <w:rPr>
          <w:rFonts w:cstheme="minorHAnsi"/>
          <w:lang w:eastAsia="en-GB"/>
        </w:rPr>
        <w:t xml:space="preserve"> </w:t>
      </w:r>
      <w:r w:rsidR="003F09D0" w:rsidRPr="007C5FD5">
        <w:rPr>
          <w:rFonts w:cstheme="minorHAnsi"/>
          <w:lang w:eastAsia="en-GB"/>
        </w:rPr>
        <w:t>actions</w:t>
      </w:r>
      <w:r w:rsidR="00E97988" w:rsidRPr="007C5FD5">
        <w:rPr>
          <w:rFonts w:cstheme="minorHAnsi"/>
          <w:lang w:eastAsia="en-GB"/>
        </w:rPr>
        <w:t xml:space="preserve"> </w:t>
      </w:r>
      <w:r w:rsidR="002815AA" w:rsidRPr="007C5FD5">
        <w:rPr>
          <w:rFonts w:cstheme="minorHAnsi"/>
          <w:lang w:eastAsia="en-GB"/>
        </w:rPr>
        <w:t>di</w:t>
      </w:r>
      <w:r w:rsidR="00B96E3A" w:rsidRPr="007C5FD5">
        <w:rPr>
          <w:rFonts w:cstheme="minorHAnsi"/>
          <w:lang w:eastAsia="en-GB"/>
        </w:rPr>
        <w:t xml:space="preserve">e </w:t>
      </w:r>
      <w:r w:rsidR="002815AA" w:rsidRPr="007C5FD5">
        <w:rPr>
          <w:rFonts w:cstheme="minorHAnsi"/>
          <w:lang w:eastAsia="en-GB"/>
        </w:rPr>
        <w:t xml:space="preserve">with </w:t>
      </w:r>
      <w:r w:rsidR="003F09D0" w:rsidRPr="007C5FD5">
        <w:rPr>
          <w:rFonts w:cstheme="minorHAnsi"/>
          <w:lang w:eastAsia="en-GB"/>
        </w:rPr>
        <w:t>the</w:t>
      </w:r>
      <w:r w:rsidR="00740CFE" w:rsidRPr="007C5FD5">
        <w:rPr>
          <w:rFonts w:cstheme="minorHAnsi"/>
          <w:lang w:eastAsia="en-GB"/>
        </w:rPr>
        <w:t xml:space="preserve"> perso</w:t>
      </w:r>
      <w:r w:rsidR="001F3BBE" w:rsidRPr="007C5FD5">
        <w:rPr>
          <w:rFonts w:cstheme="minorHAnsi"/>
          <w:lang w:eastAsia="en-GB"/>
        </w:rPr>
        <w:t>n</w:t>
      </w:r>
      <w:r w:rsidR="0095394A" w:rsidRPr="007C5FD5">
        <w:rPr>
          <w:rFonts w:cstheme="minorHAnsi"/>
          <w:lang w:eastAsia="en-GB"/>
        </w:rPr>
        <w:t>.</w:t>
      </w:r>
      <w:r w:rsidR="00B33B9A" w:rsidRPr="007C5FD5">
        <w:rPr>
          <w:rStyle w:val="FootnoteReference"/>
          <w:rFonts w:cstheme="minorHAnsi"/>
          <w:lang w:eastAsia="en-GB"/>
        </w:rPr>
        <w:footnoteReference w:id="9"/>
      </w:r>
      <w:r w:rsidR="0095394A" w:rsidRPr="007C5FD5">
        <w:rPr>
          <w:rFonts w:cstheme="minorHAnsi"/>
          <w:lang w:eastAsia="en-GB"/>
        </w:rPr>
        <w:t xml:space="preserve"> </w:t>
      </w:r>
      <w:r w:rsidR="002F0DF5" w:rsidRPr="007C5FD5">
        <w:rPr>
          <w:rFonts w:cstheme="minorHAnsi"/>
          <w:lang w:eastAsia="en-GB"/>
        </w:rPr>
        <w:t>This maxim</w:t>
      </w:r>
      <w:r w:rsidRPr="007C5FD5">
        <w:rPr>
          <w:rFonts w:cstheme="minorHAnsi"/>
          <w:lang w:eastAsia="en-GB"/>
        </w:rPr>
        <w:t xml:space="preserve"> </w:t>
      </w:r>
      <w:r w:rsidR="009956DD" w:rsidRPr="007C5FD5">
        <w:rPr>
          <w:rFonts w:cstheme="minorHAnsi"/>
          <w:lang w:eastAsia="en-GB"/>
        </w:rPr>
        <w:t xml:space="preserve">which </w:t>
      </w:r>
      <w:r w:rsidR="002815AA" w:rsidRPr="007C5FD5">
        <w:rPr>
          <w:rStyle w:val="Emphasis"/>
          <w:rFonts w:cstheme="minorHAnsi"/>
          <w:i w:val="0"/>
          <w:iCs w:val="0"/>
        </w:rPr>
        <w:t>goes</w:t>
      </w:r>
      <w:r w:rsidR="00B502E6" w:rsidRPr="007C5FD5">
        <w:rPr>
          <w:rStyle w:val="Emphasis"/>
          <w:rFonts w:cstheme="minorHAnsi"/>
          <w:i w:val="0"/>
          <w:iCs w:val="0"/>
        </w:rPr>
        <w:t xml:space="preserve">, at least, </w:t>
      </w:r>
      <w:r w:rsidR="000023B8" w:rsidRPr="007C5FD5">
        <w:rPr>
          <w:rStyle w:val="Emphasis"/>
          <w:rFonts w:cstheme="minorHAnsi"/>
          <w:i w:val="0"/>
          <w:iCs w:val="0"/>
        </w:rPr>
        <w:t xml:space="preserve">as far </w:t>
      </w:r>
      <w:r w:rsidR="002815AA" w:rsidRPr="007C5FD5">
        <w:rPr>
          <w:rStyle w:val="Emphasis"/>
          <w:rFonts w:cstheme="minorHAnsi"/>
          <w:i w:val="0"/>
          <w:iCs w:val="0"/>
        </w:rPr>
        <w:t>back</w:t>
      </w:r>
      <w:r w:rsidR="000023B8" w:rsidRPr="007C5FD5">
        <w:rPr>
          <w:rStyle w:val="Emphasis"/>
          <w:rFonts w:cstheme="minorHAnsi"/>
          <w:i w:val="0"/>
          <w:iCs w:val="0"/>
        </w:rPr>
        <w:t xml:space="preserve"> as</w:t>
      </w:r>
      <w:r w:rsidR="000D1F6B" w:rsidRPr="007C5FD5">
        <w:rPr>
          <w:rStyle w:val="Emphasis"/>
          <w:rFonts w:cstheme="minorHAnsi"/>
          <w:i w:val="0"/>
          <w:iCs w:val="0"/>
        </w:rPr>
        <w:t xml:space="preserve"> </w:t>
      </w:r>
      <w:proofErr w:type="spellStart"/>
      <w:r w:rsidR="002815AA" w:rsidRPr="007C5FD5">
        <w:rPr>
          <w:rStyle w:val="reference-text"/>
          <w:rFonts w:cstheme="minorHAnsi"/>
          <w:i/>
          <w:iCs/>
        </w:rPr>
        <w:t>Hambly</w:t>
      </w:r>
      <w:proofErr w:type="spellEnd"/>
      <w:r w:rsidR="002815AA" w:rsidRPr="007C5FD5">
        <w:rPr>
          <w:rStyle w:val="reference-text"/>
          <w:rFonts w:cstheme="minorHAnsi"/>
          <w:i/>
          <w:iCs/>
        </w:rPr>
        <w:t xml:space="preserve"> v Trott </w:t>
      </w:r>
      <w:r w:rsidR="002815AA" w:rsidRPr="007C5FD5">
        <w:rPr>
          <w:rStyle w:val="reference-text"/>
          <w:rFonts w:cstheme="minorHAnsi"/>
        </w:rPr>
        <w:t>(1776)</w:t>
      </w:r>
      <w:r w:rsidR="002815AA" w:rsidRPr="007C5FD5">
        <w:rPr>
          <w:rStyle w:val="FootnoteReference"/>
          <w:rFonts w:cstheme="minorHAnsi"/>
        </w:rPr>
        <w:footnoteReference w:id="10"/>
      </w:r>
      <w:r w:rsidRPr="007C5FD5">
        <w:rPr>
          <w:rStyle w:val="reference-text"/>
          <w:rFonts w:cstheme="minorHAnsi"/>
        </w:rPr>
        <w:t xml:space="preserve"> </w:t>
      </w:r>
      <w:r w:rsidR="002F0DF5" w:rsidRPr="007C5FD5">
        <w:rPr>
          <w:rStyle w:val="reference-text"/>
          <w:rFonts w:cstheme="minorHAnsi"/>
        </w:rPr>
        <w:t>is based on the</w:t>
      </w:r>
      <w:r w:rsidR="00431E16" w:rsidRPr="007C5FD5">
        <w:rPr>
          <w:rStyle w:val="reference-text"/>
          <w:rFonts w:cstheme="minorHAnsi"/>
        </w:rPr>
        <w:t xml:space="preserve"> idea that ‘personal rights’ are by their very design attached to the person and </w:t>
      </w:r>
      <w:r w:rsidR="00FD77D8" w:rsidRPr="007C5FD5">
        <w:rPr>
          <w:rStyle w:val="reference-text"/>
          <w:rFonts w:cstheme="minorHAnsi"/>
        </w:rPr>
        <w:t xml:space="preserve">thus not </w:t>
      </w:r>
      <w:r w:rsidR="00431E16" w:rsidRPr="007C5FD5">
        <w:rPr>
          <w:rStyle w:val="reference-text"/>
          <w:rFonts w:cstheme="minorHAnsi"/>
        </w:rPr>
        <w:t>transferr</w:t>
      </w:r>
      <w:r w:rsidR="00FD77D8" w:rsidRPr="007C5FD5">
        <w:rPr>
          <w:rStyle w:val="reference-text"/>
          <w:rFonts w:cstheme="minorHAnsi"/>
        </w:rPr>
        <w:t xml:space="preserve">able. By implication, </w:t>
      </w:r>
      <w:r w:rsidR="00431E16" w:rsidRPr="007C5FD5">
        <w:rPr>
          <w:rStyle w:val="reference-text"/>
          <w:rFonts w:cstheme="minorHAnsi"/>
        </w:rPr>
        <w:t xml:space="preserve">any </w:t>
      </w:r>
      <w:r w:rsidR="002F0DF5" w:rsidRPr="007C5FD5">
        <w:rPr>
          <w:rStyle w:val="reference-text"/>
          <w:rFonts w:cstheme="minorHAnsi"/>
        </w:rPr>
        <w:t>post-mortem recovery would be</w:t>
      </w:r>
      <w:r w:rsidRPr="007C5FD5">
        <w:rPr>
          <w:rStyle w:val="reference-text"/>
          <w:rFonts w:cstheme="minorHAnsi"/>
        </w:rPr>
        <w:t xml:space="preserve"> ‘</w:t>
      </w:r>
      <w:proofErr w:type="gramStart"/>
      <w:r w:rsidR="00E05923" w:rsidRPr="007C5FD5">
        <w:rPr>
          <w:rFonts w:cstheme="minorHAnsi"/>
          <w:lang w:eastAsia="en-GB"/>
        </w:rPr>
        <w:t>in the nature of a</w:t>
      </w:r>
      <w:proofErr w:type="gramEnd"/>
      <w:r w:rsidR="00E05923" w:rsidRPr="007C5FD5">
        <w:rPr>
          <w:rFonts w:cstheme="minorHAnsi"/>
          <w:lang w:eastAsia="en-GB"/>
        </w:rPr>
        <w:t xml:space="preserve"> penalty rather than compensatory</w:t>
      </w:r>
      <w:r w:rsidR="00D84968" w:rsidRPr="007C5FD5">
        <w:rPr>
          <w:rFonts w:cstheme="minorHAnsi"/>
          <w:lang w:eastAsia="en-GB"/>
        </w:rPr>
        <w:t>.</w:t>
      </w:r>
      <w:r w:rsidR="00E05923" w:rsidRPr="007C5FD5">
        <w:rPr>
          <w:rFonts w:cstheme="minorHAnsi"/>
          <w:lang w:eastAsia="en-GB"/>
        </w:rPr>
        <w:t>’</w:t>
      </w:r>
      <w:r w:rsidR="00E05923" w:rsidRPr="007C5FD5">
        <w:rPr>
          <w:rStyle w:val="FootnoteReference"/>
          <w:rFonts w:cstheme="minorHAnsi"/>
          <w:lang w:eastAsia="en-GB"/>
        </w:rPr>
        <w:footnoteReference w:id="11"/>
      </w:r>
      <w:r w:rsidR="00431E16" w:rsidRPr="007C5FD5">
        <w:rPr>
          <w:rFonts w:cstheme="minorHAnsi"/>
          <w:lang w:eastAsia="en-GB"/>
        </w:rPr>
        <w:t xml:space="preserve"> </w:t>
      </w:r>
      <w:r w:rsidR="00431E16" w:rsidRPr="007C5FD5">
        <w:rPr>
          <w:rStyle w:val="reference-text"/>
          <w:rFonts w:cstheme="minorHAnsi"/>
        </w:rPr>
        <w:t xml:space="preserve">The maxim </w:t>
      </w:r>
      <w:r w:rsidRPr="007C5FD5">
        <w:rPr>
          <w:rStyle w:val="reference-text"/>
          <w:rFonts w:cstheme="minorHAnsi"/>
        </w:rPr>
        <w:t xml:space="preserve">captures </w:t>
      </w:r>
      <w:r w:rsidRPr="007C5FD5">
        <w:rPr>
          <w:rFonts w:cstheme="minorHAnsi"/>
          <w:lang w:eastAsia="en-GB"/>
        </w:rPr>
        <w:t>injuries</w:t>
      </w:r>
      <w:r w:rsidR="000779FF" w:rsidRPr="007C5FD5">
        <w:rPr>
          <w:rFonts w:cstheme="minorHAnsi"/>
          <w:lang w:eastAsia="en-GB"/>
        </w:rPr>
        <w:t xml:space="preserve"> to intangible interests of personality</w:t>
      </w:r>
      <w:r w:rsidR="002F0DF5" w:rsidRPr="007C5FD5">
        <w:rPr>
          <w:rFonts w:cstheme="minorHAnsi"/>
          <w:lang w:eastAsia="en-GB"/>
        </w:rPr>
        <w:t>, of which privacy</w:t>
      </w:r>
      <w:r w:rsidR="000D1F6B" w:rsidRPr="007C5FD5">
        <w:rPr>
          <w:rFonts w:cstheme="minorHAnsi"/>
          <w:lang w:eastAsia="en-GB"/>
        </w:rPr>
        <w:t xml:space="preserve"> </w:t>
      </w:r>
      <w:r w:rsidR="00A96B56" w:rsidRPr="007C5FD5">
        <w:rPr>
          <w:rFonts w:cstheme="minorHAnsi"/>
          <w:lang w:eastAsia="en-GB"/>
        </w:rPr>
        <w:t>is</w:t>
      </w:r>
      <w:r w:rsidR="00EF651D" w:rsidRPr="007C5FD5">
        <w:rPr>
          <w:rFonts w:cstheme="minorHAnsi"/>
          <w:lang w:eastAsia="en-GB"/>
        </w:rPr>
        <w:t xml:space="preserve"> </w:t>
      </w:r>
      <w:r w:rsidR="00E97988" w:rsidRPr="007C5FD5">
        <w:rPr>
          <w:rFonts w:cstheme="minorHAnsi"/>
          <w:lang w:eastAsia="en-GB"/>
        </w:rPr>
        <w:t>a</w:t>
      </w:r>
      <w:r w:rsidR="00A2110A" w:rsidRPr="007C5FD5">
        <w:rPr>
          <w:rFonts w:cstheme="minorHAnsi"/>
          <w:lang w:eastAsia="en-GB"/>
        </w:rPr>
        <w:t>n</w:t>
      </w:r>
      <w:r w:rsidR="00E97988" w:rsidRPr="007C5FD5">
        <w:rPr>
          <w:rFonts w:cstheme="minorHAnsi"/>
          <w:lang w:eastAsia="en-GB"/>
        </w:rPr>
        <w:t xml:space="preserve"> </w:t>
      </w:r>
      <w:r w:rsidR="00A2110A" w:rsidRPr="007C5FD5">
        <w:rPr>
          <w:rFonts w:cstheme="minorHAnsi"/>
          <w:lang w:eastAsia="en-GB"/>
        </w:rPr>
        <w:t>example</w:t>
      </w:r>
      <w:r w:rsidR="00E97988" w:rsidRPr="007C5FD5">
        <w:rPr>
          <w:rFonts w:cstheme="minorHAnsi"/>
          <w:lang w:eastAsia="en-GB"/>
        </w:rPr>
        <w:t xml:space="preserve"> </w:t>
      </w:r>
      <w:r w:rsidR="00E97988" w:rsidRPr="007C5FD5">
        <w:rPr>
          <w:rFonts w:cstheme="minorHAnsi"/>
          <w:i/>
          <w:iCs/>
          <w:lang w:eastAsia="en-GB"/>
        </w:rPr>
        <w:t>par excellence</w:t>
      </w:r>
      <w:r w:rsidR="00BF2415" w:rsidRPr="007C5FD5">
        <w:rPr>
          <w:rFonts w:cstheme="minorHAnsi"/>
          <w:lang w:eastAsia="en-GB"/>
        </w:rPr>
        <w:t>:</w:t>
      </w:r>
      <w:r w:rsidR="00785D17" w:rsidRPr="007C5FD5">
        <w:rPr>
          <w:rFonts w:cstheme="minorHAnsi"/>
          <w:lang w:eastAsia="en-GB"/>
        </w:rPr>
        <w:t xml:space="preserve"> ‘[</w:t>
      </w:r>
      <w:proofErr w:type="spellStart"/>
      <w:r w:rsidR="00785D17" w:rsidRPr="007C5FD5">
        <w:rPr>
          <w:rFonts w:cstheme="minorHAnsi"/>
          <w:lang w:eastAsia="en-GB"/>
        </w:rPr>
        <w:t>i</w:t>
      </w:r>
      <w:proofErr w:type="spellEnd"/>
      <w:r w:rsidR="00785D17" w:rsidRPr="007C5FD5">
        <w:rPr>
          <w:rFonts w:cstheme="minorHAnsi"/>
          <w:lang w:eastAsia="en-GB"/>
        </w:rPr>
        <w:t>]</w:t>
      </w:r>
      <w:r w:rsidR="00A44BB9" w:rsidRPr="007C5FD5">
        <w:rPr>
          <w:rFonts w:cstheme="minorHAnsi"/>
          <w:lang w:eastAsia="en-GB"/>
        </w:rPr>
        <w:t>t is well settled that the right to privacy is purely a personal one; it cannot be asserted by anyone other than the person whose privacy has been invaded</w:t>
      </w:r>
      <w:r w:rsidR="00FF2F0C" w:rsidRPr="007C5FD5">
        <w:rPr>
          <w:rFonts w:cstheme="minorHAnsi"/>
          <w:lang w:eastAsia="en-GB"/>
        </w:rPr>
        <w:t>.</w:t>
      </w:r>
      <w:r w:rsidR="00A44BB9" w:rsidRPr="007C5FD5">
        <w:rPr>
          <w:rFonts w:cstheme="minorHAnsi"/>
          <w:lang w:eastAsia="en-GB"/>
        </w:rPr>
        <w:t>’</w:t>
      </w:r>
      <w:r w:rsidR="00A44BB9" w:rsidRPr="007C5FD5">
        <w:rPr>
          <w:rStyle w:val="FootnoteReference"/>
          <w:rFonts w:cstheme="minorHAnsi"/>
        </w:rPr>
        <w:footnoteReference w:id="12"/>
      </w:r>
      <w:r w:rsidR="004E416C" w:rsidRPr="007C5FD5">
        <w:rPr>
          <w:rStyle w:val="acopre"/>
          <w:rFonts w:cstheme="minorHAnsi"/>
        </w:rPr>
        <w:t xml:space="preserve"> </w:t>
      </w:r>
    </w:p>
    <w:p w14:paraId="54E8337B" w14:textId="77777777" w:rsidR="00EE13EA" w:rsidRPr="007C5FD5" w:rsidRDefault="00EE13EA" w:rsidP="00FD77D8">
      <w:pPr>
        <w:autoSpaceDE w:val="0"/>
        <w:autoSpaceDN w:val="0"/>
        <w:adjustRightInd w:val="0"/>
        <w:spacing w:after="0" w:line="240" w:lineRule="auto"/>
        <w:jc w:val="both"/>
        <w:rPr>
          <w:rStyle w:val="acopre"/>
          <w:rFonts w:cstheme="minorHAnsi"/>
        </w:rPr>
      </w:pPr>
    </w:p>
    <w:p w14:paraId="42EB1082" w14:textId="0048044A" w:rsidR="00B51DDD" w:rsidRPr="007C5FD5" w:rsidRDefault="00453C5E" w:rsidP="00FD77D8">
      <w:pPr>
        <w:autoSpaceDE w:val="0"/>
        <w:autoSpaceDN w:val="0"/>
        <w:adjustRightInd w:val="0"/>
        <w:spacing w:after="0" w:line="240" w:lineRule="auto"/>
        <w:jc w:val="both"/>
        <w:rPr>
          <w:rFonts w:cstheme="minorHAnsi"/>
        </w:rPr>
      </w:pPr>
      <w:r w:rsidRPr="007C5FD5">
        <w:rPr>
          <w:rFonts w:cstheme="minorHAnsi"/>
        </w:rPr>
        <w:t xml:space="preserve">This paper examines the call for post-mortem privacy in respect of digital legacies by </w:t>
      </w:r>
      <w:r w:rsidR="0010241B" w:rsidRPr="007C5FD5">
        <w:rPr>
          <w:rFonts w:cstheme="minorHAnsi"/>
        </w:rPr>
        <w:t>mapping</w:t>
      </w:r>
      <w:r w:rsidRPr="007C5FD5">
        <w:rPr>
          <w:rFonts w:cstheme="minorHAnsi"/>
        </w:rPr>
        <w:t xml:space="preserve"> </w:t>
      </w:r>
      <w:r w:rsidR="008278A6" w:rsidRPr="007C5FD5">
        <w:rPr>
          <w:rFonts w:cstheme="minorHAnsi"/>
        </w:rPr>
        <w:t xml:space="preserve">one of the few </w:t>
      </w:r>
      <w:r w:rsidR="00D710D0" w:rsidRPr="007C5FD5">
        <w:rPr>
          <w:rFonts w:cstheme="minorHAnsi"/>
        </w:rPr>
        <w:t>context</w:t>
      </w:r>
      <w:r w:rsidR="008278A6" w:rsidRPr="007C5FD5">
        <w:rPr>
          <w:rFonts w:cstheme="minorHAnsi"/>
        </w:rPr>
        <w:t>s</w:t>
      </w:r>
      <w:r w:rsidR="00D710D0" w:rsidRPr="007C5FD5">
        <w:rPr>
          <w:rFonts w:cstheme="minorHAnsi"/>
        </w:rPr>
        <w:t xml:space="preserve"> </w:t>
      </w:r>
      <w:r w:rsidR="004076BA" w:rsidRPr="007C5FD5">
        <w:rPr>
          <w:rFonts w:cstheme="minorHAnsi"/>
        </w:rPr>
        <w:t xml:space="preserve">where </w:t>
      </w:r>
      <w:r w:rsidR="00D710D0" w:rsidRPr="007C5FD5">
        <w:rPr>
          <w:rFonts w:cstheme="minorHAnsi"/>
        </w:rPr>
        <w:t>even common law jurisdictions ha</w:t>
      </w:r>
      <w:r w:rsidR="00B502E6" w:rsidRPr="007C5FD5">
        <w:rPr>
          <w:rFonts w:cstheme="minorHAnsi"/>
        </w:rPr>
        <w:t xml:space="preserve">ve </w:t>
      </w:r>
      <w:r w:rsidR="00D710D0" w:rsidRPr="007C5FD5">
        <w:rPr>
          <w:rFonts w:cstheme="minorHAnsi"/>
        </w:rPr>
        <w:t xml:space="preserve">recognised the possibility of </w:t>
      </w:r>
      <w:r w:rsidR="00785D17" w:rsidRPr="007C5FD5">
        <w:rPr>
          <w:rFonts w:cstheme="minorHAnsi"/>
        </w:rPr>
        <w:t>privacy</w:t>
      </w:r>
      <w:r w:rsidR="00A96B56" w:rsidRPr="007C5FD5">
        <w:rPr>
          <w:rFonts w:cstheme="minorHAnsi"/>
        </w:rPr>
        <w:t xml:space="preserve"> </w:t>
      </w:r>
      <w:r w:rsidR="00D710D0" w:rsidRPr="007C5FD5">
        <w:rPr>
          <w:rFonts w:cstheme="minorHAnsi"/>
        </w:rPr>
        <w:t>surviving the death of the rights</w:t>
      </w:r>
      <w:r w:rsidR="00A04A76" w:rsidRPr="007C5FD5">
        <w:rPr>
          <w:rFonts w:cstheme="minorHAnsi"/>
        </w:rPr>
        <w:t>holder</w:t>
      </w:r>
      <w:r w:rsidR="008C378B" w:rsidRPr="007C5FD5">
        <w:rPr>
          <w:rFonts w:cstheme="minorHAnsi"/>
        </w:rPr>
        <w:t>, that is</w:t>
      </w:r>
      <w:r w:rsidR="000B0FCA" w:rsidRPr="007C5FD5">
        <w:rPr>
          <w:rFonts w:cstheme="minorHAnsi"/>
        </w:rPr>
        <w:t xml:space="preserve"> in respect of </w:t>
      </w:r>
      <w:r w:rsidR="005A26A1" w:rsidRPr="007C5FD5">
        <w:rPr>
          <w:rFonts w:cstheme="minorHAnsi"/>
        </w:rPr>
        <w:t>medical confidences</w:t>
      </w:r>
      <w:r w:rsidR="008278A6" w:rsidRPr="007C5FD5">
        <w:rPr>
          <w:rFonts w:cstheme="minorHAnsi"/>
        </w:rPr>
        <w:t>.</w:t>
      </w:r>
      <w:r w:rsidR="000549EF" w:rsidRPr="007C5FD5">
        <w:rPr>
          <w:rStyle w:val="FootnoteReference"/>
          <w:rFonts w:cstheme="minorHAnsi"/>
        </w:rPr>
        <w:footnoteReference w:id="13"/>
      </w:r>
      <w:r w:rsidR="005A26A1" w:rsidRPr="007C5FD5">
        <w:rPr>
          <w:rFonts w:cstheme="minorHAnsi"/>
        </w:rPr>
        <w:t xml:space="preserve"> </w:t>
      </w:r>
      <w:r w:rsidRPr="007C5FD5">
        <w:rPr>
          <w:rFonts w:cstheme="minorHAnsi"/>
        </w:rPr>
        <w:t>Whilst its</w:t>
      </w:r>
      <w:r w:rsidR="006B2130" w:rsidRPr="007C5FD5">
        <w:rPr>
          <w:rFonts w:cstheme="minorHAnsi"/>
        </w:rPr>
        <w:t xml:space="preserve"> almost</w:t>
      </w:r>
      <w:r w:rsidRPr="007C5FD5">
        <w:rPr>
          <w:rFonts w:cstheme="minorHAnsi"/>
        </w:rPr>
        <w:t xml:space="preserve"> unique status</w:t>
      </w:r>
      <w:r w:rsidR="000549EF" w:rsidRPr="007C5FD5">
        <w:rPr>
          <w:rFonts w:cstheme="minorHAnsi"/>
        </w:rPr>
        <w:t xml:space="preserve"> </w:t>
      </w:r>
      <w:r w:rsidRPr="007C5FD5">
        <w:rPr>
          <w:rFonts w:cstheme="minorHAnsi"/>
        </w:rPr>
        <w:t>may suggest an outlier case the rationale of which is not transferrable to other subject-matters,</w:t>
      </w:r>
      <w:r w:rsidR="000B0FCA" w:rsidRPr="007C5FD5">
        <w:rPr>
          <w:rStyle w:val="FootnoteReference"/>
          <w:rFonts w:cstheme="minorHAnsi"/>
        </w:rPr>
        <w:footnoteReference w:id="14"/>
      </w:r>
      <w:r w:rsidR="000B0FCA" w:rsidRPr="007C5FD5">
        <w:rPr>
          <w:rFonts w:cstheme="minorHAnsi"/>
        </w:rPr>
        <w:t xml:space="preserve"> </w:t>
      </w:r>
      <w:r w:rsidRPr="007C5FD5">
        <w:rPr>
          <w:rFonts w:cstheme="minorHAnsi"/>
        </w:rPr>
        <w:t xml:space="preserve">the argument here is that the animating forces behind post-mortem medical </w:t>
      </w:r>
      <w:r w:rsidR="006108AF" w:rsidRPr="007C5FD5">
        <w:rPr>
          <w:rFonts w:cstheme="minorHAnsi"/>
        </w:rPr>
        <w:t xml:space="preserve">confidentiality </w:t>
      </w:r>
      <w:r w:rsidRPr="007C5FD5">
        <w:rPr>
          <w:rFonts w:cstheme="minorHAnsi"/>
        </w:rPr>
        <w:t xml:space="preserve">are instructive about </w:t>
      </w:r>
      <w:r w:rsidR="006108AF" w:rsidRPr="007C5FD5">
        <w:rPr>
          <w:rFonts w:cstheme="minorHAnsi"/>
        </w:rPr>
        <w:t>post-mortem</w:t>
      </w:r>
      <w:r w:rsidR="00D84968" w:rsidRPr="007C5FD5">
        <w:rPr>
          <w:rFonts w:cstheme="minorHAnsi"/>
        </w:rPr>
        <w:t xml:space="preserve"> </w:t>
      </w:r>
      <w:r w:rsidRPr="007C5FD5">
        <w:rPr>
          <w:rFonts w:cstheme="minorHAnsi"/>
        </w:rPr>
        <w:t>privacy</w:t>
      </w:r>
      <w:r w:rsidR="00226C90">
        <w:rPr>
          <w:rFonts w:cstheme="minorHAnsi"/>
        </w:rPr>
        <w:t xml:space="preserve"> generally</w:t>
      </w:r>
      <w:r w:rsidR="00D84968" w:rsidRPr="007C5FD5">
        <w:rPr>
          <w:rFonts w:cstheme="minorHAnsi"/>
        </w:rPr>
        <w:t xml:space="preserve">. The </w:t>
      </w:r>
      <w:r w:rsidR="006108AF" w:rsidRPr="007C5FD5">
        <w:rPr>
          <w:rFonts w:cstheme="minorHAnsi"/>
        </w:rPr>
        <w:t xml:space="preserve">microcosm of medical confidentiality </w:t>
      </w:r>
      <w:r w:rsidR="00123807" w:rsidRPr="007C5FD5">
        <w:rPr>
          <w:rFonts w:cstheme="minorHAnsi"/>
        </w:rPr>
        <w:t>delivers</w:t>
      </w:r>
      <w:r w:rsidR="000B7ECD" w:rsidRPr="007C5FD5">
        <w:rPr>
          <w:rFonts w:cstheme="minorHAnsi"/>
        </w:rPr>
        <w:t xml:space="preserve"> </w:t>
      </w:r>
      <w:r w:rsidR="008278A6" w:rsidRPr="007C5FD5">
        <w:rPr>
          <w:rFonts w:cstheme="minorHAnsi"/>
        </w:rPr>
        <w:t>an opportunity</w:t>
      </w:r>
      <w:r w:rsidRPr="007C5FD5">
        <w:rPr>
          <w:rFonts w:cstheme="minorHAnsi"/>
        </w:rPr>
        <w:t xml:space="preserve"> </w:t>
      </w:r>
      <w:r w:rsidR="0051492E" w:rsidRPr="007C5FD5">
        <w:rPr>
          <w:rFonts w:cstheme="minorHAnsi"/>
        </w:rPr>
        <w:t xml:space="preserve">for </w:t>
      </w:r>
      <w:r w:rsidR="00961B60" w:rsidRPr="007C5FD5">
        <w:rPr>
          <w:rFonts w:cstheme="minorHAnsi"/>
        </w:rPr>
        <w:t>interrogating</w:t>
      </w:r>
      <w:r w:rsidR="00D710D0" w:rsidRPr="007C5FD5">
        <w:rPr>
          <w:rFonts w:cstheme="minorHAnsi"/>
        </w:rPr>
        <w:t xml:space="preserve"> </w:t>
      </w:r>
      <w:r w:rsidR="007E13AE" w:rsidRPr="007C5FD5">
        <w:rPr>
          <w:rFonts w:cstheme="minorHAnsi"/>
        </w:rPr>
        <w:t xml:space="preserve">why and how </w:t>
      </w:r>
      <w:r w:rsidR="00D84968" w:rsidRPr="007C5FD5">
        <w:rPr>
          <w:rFonts w:cstheme="minorHAnsi"/>
        </w:rPr>
        <w:t>the law recognises post-mortem</w:t>
      </w:r>
      <w:r w:rsidRPr="007C5FD5">
        <w:rPr>
          <w:rFonts w:cstheme="minorHAnsi"/>
        </w:rPr>
        <w:t xml:space="preserve"> </w:t>
      </w:r>
      <w:r w:rsidR="00961B60" w:rsidRPr="007C5FD5">
        <w:rPr>
          <w:rFonts w:cstheme="minorHAnsi"/>
        </w:rPr>
        <w:t>medical privacies</w:t>
      </w:r>
      <w:r w:rsidR="006108AF" w:rsidRPr="007C5FD5">
        <w:rPr>
          <w:rFonts w:cstheme="minorHAnsi"/>
        </w:rPr>
        <w:t xml:space="preserve"> </w:t>
      </w:r>
      <w:r w:rsidR="007E13AE" w:rsidRPr="007C5FD5">
        <w:rPr>
          <w:rFonts w:cstheme="minorHAnsi"/>
        </w:rPr>
        <w:t>despite</w:t>
      </w:r>
      <w:r w:rsidRPr="007C5FD5">
        <w:rPr>
          <w:rFonts w:cstheme="minorHAnsi"/>
        </w:rPr>
        <w:t xml:space="preserve"> the standard reason</w:t>
      </w:r>
      <w:r w:rsidR="008278A6" w:rsidRPr="007C5FD5">
        <w:rPr>
          <w:rFonts w:cstheme="minorHAnsi"/>
        </w:rPr>
        <w:t>ing</w:t>
      </w:r>
      <w:r w:rsidRPr="007C5FD5">
        <w:rPr>
          <w:rFonts w:cstheme="minorHAnsi"/>
        </w:rPr>
        <w:t xml:space="preserve"> for rejecting</w:t>
      </w:r>
      <w:r w:rsidR="006108AF" w:rsidRPr="007C5FD5">
        <w:rPr>
          <w:rFonts w:cstheme="minorHAnsi"/>
        </w:rPr>
        <w:t xml:space="preserve"> </w:t>
      </w:r>
      <w:r w:rsidR="007E13AE" w:rsidRPr="007C5FD5">
        <w:rPr>
          <w:rFonts w:cstheme="minorHAnsi"/>
        </w:rPr>
        <w:t>i</w:t>
      </w:r>
      <w:r w:rsidR="006108AF" w:rsidRPr="007C5FD5">
        <w:rPr>
          <w:rFonts w:cstheme="minorHAnsi"/>
        </w:rPr>
        <w:t>t</w:t>
      </w:r>
      <w:r w:rsidR="004076BA" w:rsidRPr="007C5FD5">
        <w:rPr>
          <w:rFonts w:cstheme="minorHAnsi"/>
        </w:rPr>
        <w:t>.</w:t>
      </w:r>
      <w:r w:rsidRPr="007C5FD5">
        <w:rPr>
          <w:rFonts w:cstheme="minorHAnsi"/>
        </w:rPr>
        <w:t xml:space="preserve"> How does </w:t>
      </w:r>
      <w:r w:rsidR="00D84968" w:rsidRPr="007C5FD5">
        <w:rPr>
          <w:rFonts w:cstheme="minorHAnsi"/>
        </w:rPr>
        <w:t>it</w:t>
      </w:r>
      <w:r w:rsidR="007E13AE" w:rsidRPr="007C5FD5">
        <w:rPr>
          <w:rFonts w:cstheme="minorHAnsi"/>
        </w:rPr>
        <w:t xml:space="preserve"> </w:t>
      </w:r>
      <w:r w:rsidR="00EE13EA" w:rsidRPr="007C5FD5">
        <w:rPr>
          <w:rFonts w:cstheme="minorHAnsi"/>
        </w:rPr>
        <w:t xml:space="preserve">deal with </w:t>
      </w:r>
      <w:r w:rsidR="005A26A1" w:rsidRPr="007C5FD5">
        <w:rPr>
          <w:rFonts w:cstheme="minorHAnsi"/>
        </w:rPr>
        <w:t>the</w:t>
      </w:r>
      <w:r w:rsidRPr="007C5FD5">
        <w:rPr>
          <w:rFonts w:cstheme="minorHAnsi"/>
        </w:rPr>
        <w:t xml:space="preserve"> argument </w:t>
      </w:r>
      <w:r w:rsidRPr="007C5FD5">
        <w:rPr>
          <w:rFonts w:cstheme="minorHAnsi"/>
          <w:lang w:eastAsia="en-GB"/>
        </w:rPr>
        <w:t>that in the absence of a subject there is no victim</w:t>
      </w:r>
      <w:r w:rsidR="0010241B" w:rsidRPr="007C5FD5">
        <w:rPr>
          <w:rFonts w:cstheme="minorHAnsi"/>
          <w:lang w:eastAsia="en-GB"/>
        </w:rPr>
        <w:t xml:space="preserve"> </w:t>
      </w:r>
      <w:r w:rsidRPr="007C5FD5">
        <w:rPr>
          <w:rFonts w:cstheme="minorHAnsi"/>
          <w:lang w:eastAsia="en-GB"/>
        </w:rPr>
        <w:t>and thus no possibility of any wrongdoing</w:t>
      </w:r>
      <w:r w:rsidR="000B0FCA" w:rsidRPr="007C5FD5">
        <w:rPr>
          <w:rFonts w:cstheme="minorHAnsi"/>
          <w:lang w:eastAsia="en-GB"/>
        </w:rPr>
        <w:t>?</w:t>
      </w:r>
      <w:r w:rsidR="006F40E4" w:rsidRPr="007C5FD5">
        <w:rPr>
          <w:rFonts w:cstheme="minorHAnsi"/>
          <w:lang w:eastAsia="en-GB"/>
        </w:rPr>
        <w:t xml:space="preserve"> </w:t>
      </w:r>
      <w:r w:rsidR="00EE13EA" w:rsidRPr="007C5FD5">
        <w:rPr>
          <w:rFonts w:cstheme="minorHAnsi"/>
          <w:lang w:eastAsia="en-GB"/>
        </w:rPr>
        <w:t xml:space="preserve">After all a </w:t>
      </w:r>
      <w:r w:rsidR="006F40E4" w:rsidRPr="007C5FD5">
        <w:rPr>
          <w:rFonts w:cstheme="minorHAnsi"/>
          <w:lang w:eastAsia="en-GB"/>
        </w:rPr>
        <w:t>duty must be ‘owed to someone, and… once that person has died, there is no one capable of enforcing it</w:t>
      </w:r>
      <w:r w:rsidR="00B96E3A" w:rsidRPr="007C5FD5">
        <w:rPr>
          <w:rFonts w:cstheme="minorHAnsi"/>
          <w:lang w:eastAsia="en-GB"/>
        </w:rPr>
        <w:t>.</w:t>
      </w:r>
      <w:r w:rsidR="006F40E4" w:rsidRPr="007C5FD5">
        <w:rPr>
          <w:rFonts w:cstheme="minorHAnsi"/>
          <w:lang w:eastAsia="en-GB"/>
        </w:rPr>
        <w:t>’</w:t>
      </w:r>
      <w:r w:rsidR="006F40E4" w:rsidRPr="007C5FD5">
        <w:rPr>
          <w:rStyle w:val="FootnoteReference"/>
          <w:rFonts w:cstheme="minorHAnsi"/>
          <w:lang w:eastAsia="en-GB"/>
        </w:rPr>
        <w:footnoteReference w:id="15"/>
      </w:r>
      <w:r w:rsidR="006F40E4" w:rsidRPr="007C5FD5">
        <w:rPr>
          <w:rFonts w:cstheme="minorHAnsi"/>
          <w:lang w:eastAsia="en-GB"/>
        </w:rPr>
        <w:t xml:space="preserve"> </w:t>
      </w:r>
      <w:r w:rsidR="00550955" w:rsidRPr="007C5FD5">
        <w:rPr>
          <w:rFonts w:cstheme="minorHAnsi"/>
          <w:lang w:eastAsia="en-GB"/>
        </w:rPr>
        <w:t>P</w:t>
      </w:r>
      <w:r w:rsidR="00B96E3A" w:rsidRPr="007C5FD5">
        <w:rPr>
          <w:rFonts w:cstheme="minorHAnsi"/>
          <w:lang w:eastAsia="en-GB"/>
        </w:rPr>
        <w:t>ractically and theoretically privacy must come to an end on death:</w:t>
      </w:r>
    </w:p>
    <w:p w14:paraId="78E5CF39" w14:textId="77777777" w:rsidR="00E17991" w:rsidRPr="007C5FD5" w:rsidRDefault="00E17991" w:rsidP="00FD77D8">
      <w:pPr>
        <w:autoSpaceDE w:val="0"/>
        <w:autoSpaceDN w:val="0"/>
        <w:adjustRightInd w:val="0"/>
        <w:spacing w:after="0" w:line="240" w:lineRule="auto"/>
        <w:jc w:val="both"/>
        <w:rPr>
          <w:rFonts w:cstheme="minorHAnsi"/>
        </w:rPr>
      </w:pPr>
    </w:p>
    <w:p w14:paraId="5B46B971" w14:textId="40D62F4E" w:rsidR="006F40E4" w:rsidRPr="007C5FD5" w:rsidRDefault="006F40E4" w:rsidP="00FD77D8">
      <w:pPr>
        <w:autoSpaceDE w:val="0"/>
        <w:autoSpaceDN w:val="0"/>
        <w:adjustRightInd w:val="0"/>
        <w:spacing w:after="0" w:line="240" w:lineRule="auto"/>
        <w:ind w:left="720"/>
        <w:jc w:val="both"/>
        <w:rPr>
          <w:rFonts w:cstheme="minorHAnsi"/>
          <w:lang w:eastAsia="en-GB"/>
        </w:rPr>
      </w:pPr>
      <w:r w:rsidRPr="007C5FD5">
        <w:rPr>
          <w:rFonts w:cstheme="minorHAnsi"/>
        </w:rPr>
        <w:t xml:space="preserve">‘The rationale for the rule, good or bad, is plain: The dead do not experience privacy, or its deprivation, at least in the same sense that the living </w:t>
      </w:r>
      <w:proofErr w:type="gramStart"/>
      <w:r w:rsidRPr="007C5FD5">
        <w:rPr>
          <w:rFonts w:cstheme="minorHAnsi"/>
        </w:rPr>
        <w:t>do</w:t>
      </w:r>
      <w:proofErr w:type="gramEnd"/>
      <w:r w:rsidRPr="007C5FD5">
        <w:rPr>
          <w:rFonts w:cstheme="minorHAnsi"/>
        </w:rPr>
        <w:t xml:space="preserve">. More elegantly put, “The Creator has </w:t>
      </w:r>
      <w:r w:rsidRPr="007C5FD5">
        <w:rPr>
          <w:rFonts w:cstheme="minorHAnsi"/>
        </w:rPr>
        <w:lastRenderedPageBreak/>
        <w:t xml:space="preserve">made the earth for the living, not the dead. Rights and powers can only belong to persons, not to things, not to mere matter, </w:t>
      </w:r>
      <w:proofErr w:type="spellStart"/>
      <w:r w:rsidRPr="007C5FD5">
        <w:rPr>
          <w:rFonts w:cstheme="minorHAnsi"/>
        </w:rPr>
        <w:t>unendowed</w:t>
      </w:r>
      <w:proofErr w:type="spellEnd"/>
      <w:r w:rsidRPr="007C5FD5">
        <w:rPr>
          <w:rFonts w:cstheme="minorHAnsi"/>
        </w:rPr>
        <w:t xml:space="preserve"> with will.” </w:t>
      </w:r>
      <w:r w:rsidRPr="007C5FD5">
        <w:rPr>
          <w:rStyle w:val="Emphasis"/>
          <w:rFonts w:cstheme="minorHAnsi"/>
        </w:rPr>
        <w:t>Letter from Thomas Jefferson to Major John Cartwright,</w:t>
      </w:r>
      <w:r w:rsidRPr="007C5FD5">
        <w:rPr>
          <w:rFonts w:cstheme="minorHAnsi"/>
        </w:rPr>
        <w:t xml:space="preserve"> (June 5, 1824)’</w:t>
      </w:r>
      <w:r w:rsidRPr="007C5FD5">
        <w:rPr>
          <w:rStyle w:val="FootnoteReference"/>
          <w:rFonts w:cstheme="minorHAnsi"/>
        </w:rPr>
        <w:footnoteReference w:id="16"/>
      </w:r>
    </w:p>
    <w:p w14:paraId="4F7F5656" w14:textId="77777777" w:rsidR="006F40E4" w:rsidRPr="007C5FD5" w:rsidRDefault="006F40E4" w:rsidP="00FD77D8">
      <w:pPr>
        <w:autoSpaceDE w:val="0"/>
        <w:autoSpaceDN w:val="0"/>
        <w:adjustRightInd w:val="0"/>
        <w:spacing w:after="0" w:line="240" w:lineRule="auto"/>
        <w:jc w:val="both"/>
        <w:rPr>
          <w:rFonts w:cstheme="minorHAnsi"/>
          <w:lang w:eastAsia="en-GB"/>
        </w:rPr>
      </w:pPr>
    </w:p>
    <w:p w14:paraId="58C9B53A" w14:textId="1C0BEABD" w:rsidR="00FC577A" w:rsidRPr="007C5FD5" w:rsidRDefault="006A50D9" w:rsidP="00FD77D8">
      <w:pPr>
        <w:autoSpaceDE w:val="0"/>
        <w:autoSpaceDN w:val="0"/>
        <w:adjustRightInd w:val="0"/>
        <w:spacing w:after="0" w:line="240" w:lineRule="auto"/>
        <w:jc w:val="both"/>
        <w:rPr>
          <w:rFonts w:cstheme="minorHAnsi"/>
          <w:lang w:eastAsia="en-GB"/>
        </w:rPr>
      </w:pPr>
      <w:r w:rsidRPr="007C5FD5">
        <w:rPr>
          <w:rFonts w:cstheme="minorHAnsi"/>
          <w:lang w:eastAsia="en-GB"/>
        </w:rPr>
        <w:t>Also</w:t>
      </w:r>
      <w:r w:rsidR="00550955" w:rsidRPr="007C5FD5">
        <w:rPr>
          <w:rFonts w:cstheme="minorHAnsi"/>
          <w:lang w:eastAsia="en-GB"/>
        </w:rPr>
        <w:t xml:space="preserve">, </w:t>
      </w:r>
      <w:r w:rsidRPr="007C5FD5">
        <w:rPr>
          <w:rFonts w:cstheme="minorHAnsi"/>
          <w:lang w:eastAsia="en-GB"/>
        </w:rPr>
        <w:t xml:space="preserve">as privacy is inextricably linked with the subjectivities of the rightsholder, deliberating on a post-mortem privacy breach would appear to require second-guessing the deceased’s wishes and sensibilities. </w:t>
      </w:r>
      <w:r w:rsidR="006F40E4" w:rsidRPr="007C5FD5">
        <w:rPr>
          <w:rFonts w:cstheme="minorHAnsi"/>
          <w:lang w:eastAsia="en-GB"/>
        </w:rPr>
        <w:t xml:space="preserve">Meanwhile, any </w:t>
      </w:r>
      <w:r w:rsidR="00453C5E" w:rsidRPr="007C5FD5">
        <w:rPr>
          <w:rFonts w:cstheme="minorHAnsi"/>
          <w:lang w:eastAsia="en-GB"/>
        </w:rPr>
        <w:t>offen</w:t>
      </w:r>
      <w:r w:rsidR="00B26874" w:rsidRPr="007C5FD5">
        <w:rPr>
          <w:rFonts w:cstheme="minorHAnsi"/>
          <w:lang w:eastAsia="en-GB"/>
        </w:rPr>
        <w:t>se</w:t>
      </w:r>
      <w:r w:rsidR="00453C5E" w:rsidRPr="007C5FD5">
        <w:rPr>
          <w:rFonts w:cstheme="minorHAnsi"/>
          <w:lang w:eastAsia="en-GB"/>
        </w:rPr>
        <w:t xml:space="preserve"> caused to the deceased’s family </w:t>
      </w:r>
      <w:r w:rsidR="00B26874" w:rsidRPr="007C5FD5">
        <w:rPr>
          <w:rFonts w:cstheme="minorHAnsi"/>
          <w:lang w:eastAsia="en-GB"/>
        </w:rPr>
        <w:t>appears</w:t>
      </w:r>
      <w:r w:rsidR="00453C5E" w:rsidRPr="007C5FD5">
        <w:rPr>
          <w:rFonts w:cstheme="minorHAnsi"/>
          <w:lang w:eastAsia="en-GB"/>
        </w:rPr>
        <w:t xml:space="preserve"> </w:t>
      </w:r>
      <w:r w:rsidR="000B7ECD" w:rsidRPr="007C5FD5">
        <w:rPr>
          <w:rFonts w:cstheme="minorHAnsi"/>
          <w:lang w:eastAsia="en-GB"/>
        </w:rPr>
        <w:t xml:space="preserve">derivative and </w:t>
      </w:r>
      <w:r w:rsidR="006F40E4" w:rsidRPr="007C5FD5">
        <w:rPr>
          <w:rFonts w:cstheme="minorHAnsi"/>
          <w:lang w:eastAsia="en-GB"/>
        </w:rPr>
        <w:t xml:space="preserve">may </w:t>
      </w:r>
      <w:r w:rsidR="00AA7106" w:rsidRPr="007C5FD5">
        <w:rPr>
          <w:rFonts w:cstheme="minorHAnsi"/>
          <w:lang w:eastAsia="en-GB"/>
        </w:rPr>
        <w:t xml:space="preserve">or may not </w:t>
      </w:r>
      <w:r w:rsidR="006F40E4" w:rsidRPr="007C5FD5">
        <w:rPr>
          <w:rFonts w:cstheme="minorHAnsi"/>
          <w:lang w:eastAsia="en-GB"/>
        </w:rPr>
        <w:t xml:space="preserve">be allowed as a </w:t>
      </w:r>
      <w:proofErr w:type="gramStart"/>
      <w:r w:rsidR="00453C5E" w:rsidRPr="007C5FD5">
        <w:rPr>
          <w:rFonts w:cstheme="minorHAnsi"/>
          <w:lang w:eastAsia="en-GB"/>
        </w:rPr>
        <w:t>claim in its own right</w:t>
      </w:r>
      <w:r w:rsidR="00F26CAE" w:rsidRPr="007C5FD5">
        <w:rPr>
          <w:rFonts w:cstheme="minorHAnsi"/>
          <w:lang w:eastAsia="en-GB"/>
        </w:rPr>
        <w:t xml:space="preserve">, </w:t>
      </w:r>
      <w:r w:rsidR="00C461C0" w:rsidRPr="007C5FD5">
        <w:rPr>
          <w:rFonts w:cstheme="minorHAnsi"/>
          <w:lang w:eastAsia="en-GB"/>
        </w:rPr>
        <w:t>as</w:t>
      </w:r>
      <w:proofErr w:type="gramEnd"/>
      <w:r w:rsidR="00453C5E" w:rsidRPr="007C5FD5">
        <w:rPr>
          <w:rFonts w:cstheme="minorHAnsi"/>
          <w:lang w:eastAsia="en-GB"/>
        </w:rPr>
        <w:t xml:space="preserve"> distinct from the deceased</w:t>
      </w:r>
      <w:r w:rsidR="008278A6" w:rsidRPr="007C5FD5">
        <w:rPr>
          <w:rFonts w:cstheme="minorHAnsi"/>
          <w:lang w:eastAsia="en-GB"/>
        </w:rPr>
        <w:t xml:space="preserve">’s </w:t>
      </w:r>
      <w:r w:rsidR="000B7ECD" w:rsidRPr="007C5FD5">
        <w:rPr>
          <w:rFonts w:cstheme="minorHAnsi"/>
          <w:lang w:eastAsia="en-GB"/>
        </w:rPr>
        <w:t>right</w:t>
      </w:r>
      <w:r w:rsidR="00453C5E" w:rsidRPr="007C5FD5">
        <w:rPr>
          <w:rFonts w:cstheme="minorHAnsi"/>
          <w:lang w:eastAsia="en-GB"/>
        </w:rPr>
        <w:t>.</w:t>
      </w:r>
      <w:r w:rsidR="00A2110A" w:rsidRPr="007C5FD5">
        <w:rPr>
          <w:rStyle w:val="FootnoteReference"/>
          <w:rFonts w:cstheme="minorHAnsi"/>
          <w:lang w:eastAsia="en-GB"/>
        </w:rPr>
        <w:footnoteReference w:id="17"/>
      </w:r>
      <w:r w:rsidR="00453C5E" w:rsidRPr="007C5FD5">
        <w:rPr>
          <w:rFonts w:cstheme="minorHAnsi"/>
          <w:lang w:eastAsia="en-GB"/>
        </w:rPr>
        <w:t xml:space="preserve"> </w:t>
      </w:r>
      <w:r w:rsidR="0010241B" w:rsidRPr="007C5FD5">
        <w:rPr>
          <w:rFonts w:cstheme="minorHAnsi"/>
          <w:lang w:eastAsia="en-GB"/>
        </w:rPr>
        <w:t>Finally, g</w:t>
      </w:r>
      <w:r w:rsidR="0089408B" w:rsidRPr="007C5FD5">
        <w:rPr>
          <w:rFonts w:cstheme="minorHAnsi"/>
          <w:lang w:eastAsia="en-GB"/>
        </w:rPr>
        <w:t xml:space="preserve">iven that </w:t>
      </w:r>
      <w:r w:rsidR="00453C5E" w:rsidRPr="007C5FD5">
        <w:rPr>
          <w:rFonts w:cstheme="minorHAnsi"/>
          <w:lang w:eastAsia="en-GB"/>
        </w:rPr>
        <w:t xml:space="preserve">privacy is </w:t>
      </w:r>
      <w:r w:rsidR="00123807" w:rsidRPr="007C5FD5">
        <w:rPr>
          <w:rFonts w:cstheme="minorHAnsi"/>
          <w:lang w:eastAsia="en-GB"/>
        </w:rPr>
        <w:t xml:space="preserve">invariably </w:t>
      </w:r>
      <w:r w:rsidR="00453C5E" w:rsidRPr="007C5FD5">
        <w:rPr>
          <w:rFonts w:cstheme="minorHAnsi"/>
          <w:lang w:eastAsia="en-GB"/>
        </w:rPr>
        <w:t xml:space="preserve">asserted against competing rights, the death of </w:t>
      </w:r>
      <w:r w:rsidR="0010241B" w:rsidRPr="007C5FD5">
        <w:rPr>
          <w:rFonts w:cstheme="minorHAnsi"/>
          <w:lang w:eastAsia="en-GB"/>
        </w:rPr>
        <w:t xml:space="preserve">the rightsholder </w:t>
      </w:r>
      <w:r w:rsidR="00453C5E" w:rsidRPr="007C5FD5">
        <w:rPr>
          <w:rFonts w:cstheme="minorHAnsi"/>
          <w:lang w:eastAsia="en-GB"/>
        </w:rPr>
        <w:t xml:space="preserve">cannot but also affect the continued legitimacy of the balance struck </w:t>
      </w:r>
      <w:r w:rsidR="0033782B" w:rsidRPr="007C5FD5">
        <w:rPr>
          <w:rFonts w:cstheme="minorHAnsi"/>
          <w:lang w:eastAsia="en-GB"/>
        </w:rPr>
        <w:t>ante-mortem</w:t>
      </w:r>
      <w:r w:rsidR="00F15223" w:rsidRPr="007C5FD5">
        <w:rPr>
          <w:rFonts w:cstheme="minorHAnsi"/>
          <w:lang w:eastAsia="en-GB"/>
        </w:rPr>
        <w:t>.</w:t>
      </w:r>
      <w:r w:rsidR="00C461C0" w:rsidRPr="007C5FD5">
        <w:rPr>
          <w:rFonts w:cstheme="minorHAnsi"/>
          <w:lang w:eastAsia="en-GB"/>
        </w:rPr>
        <w:t xml:space="preserve"> </w:t>
      </w:r>
      <w:r w:rsidR="00675488" w:rsidRPr="007C5FD5">
        <w:rPr>
          <w:rFonts w:cstheme="minorHAnsi"/>
          <w:lang w:eastAsia="en-GB"/>
        </w:rPr>
        <w:t>So</w:t>
      </w:r>
      <w:r w:rsidR="00C461C0" w:rsidRPr="007C5FD5">
        <w:rPr>
          <w:rFonts w:cstheme="minorHAnsi"/>
          <w:lang w:eastAsia="en-GB"/>
        </w:rPr>
        <w:t xml:space="preserve"> how </w:t>
      </w:r>
      <w:r w:rsidR="0051492E" w:rsidRPr="007C5FD5">
        <w:rPr>
          <w:rFonts w:cstheme="minorHAnsi"/>
          <w:lang w:eastAsia="en-GB"/>
        </w:rPr>
        <w:t>does t</w:t>
      </w:r>
      <w:r w:rsidR="009509A1" w:rsidRPr="007C5FD5">
        <w:rPr>
          <w:rFonts w:cstheme="minorHAnsi"/>
          <w:lang w:eastAsia="en-GB"/>
        </w:rPr>
        <w:t xml:space="preserve">he </w:t>
      </w:r>
      <w:r w:rsidR="00C461C0" w:rsidRPr="007C5FD5">
        <w:rPr>
          <w:rFonts w:cstheme="minorHAnsi"/>
          <w:lang w:eastAsia="en-GB"/>
        </w:rPr>
        <w:t xml:space="preserve">duty of </w:t>
      </w:r>
      <w:r w:rsidR="000360CA" w:rsidRPr="007C5FD5">
        <w:rPr>
          <w:rFonts w:cstheme="minorHAnsi"/>
          <w:lang w:eastAsia="en-GB"/>
        </w:rPr>
        <w:t xml:space="preserve">medical </w:t>
      </w:r>
      <w:r w:rsidR="00C461C0" w:rsidRPr="007C5FD5">
        <w:rPr>
          <w:rFonts w:cstheme="minorHAnsi"/>
          <w:lang w:eastAsia="en-GB"/>
        </w:rPr>
        <w:t>confide</w:t>
      </w:r>
      <w:r w:rsidR="000360CA" w:rsidRPr="007C5FD5">
        <w:rPr>
          <w:rFonts w:cstheme="minorHAnsi"/>
          <w:lang w:eastAsia="en-GB"/>
        </w:rPr>
        <w:t>ntiality</w:t>
      </w:r>
      <w:r w:rsidR="00C461C0" w:rsidRPr="007C5FD5">
        <w:rPr>
          <w:rFonts w:cstheme="minorHAnsi"/>
          <w:lang w:eastAsia="en-GB"/>
        </w:rPr>
        <w:t xml:space="preserve"> navigate</w:t>
      </w:r>
      <w:r w:rsidR="0051492E" w:rsidRPr="007C5FD5">
        <w:rPr>
          <w:rFonts w:cstheme="minorHAnsi"/>
          <w:lang w:eastAsia="en-GB"/>
        </w:rPr>
        <w:t xml:space="preserve"> </w:t>
      </w:r>
      <w:r w:rsidR="00C461C0" w:rsidRPr="007C5FD5">
        <w:rPr>
          <w:rFonts w:cstheme="minorHAnsi"/>
          <w:lang w:eastAsia="en-GB"/>
        </w:rPr>
        <w:t xml:space="preserve">these arguments to the effect of allowing post-mortem </w:t>
      </w:r>
      <w:r w:rsidR="007E13AE" w:rsidRPr="007C5FD5">
        <w:rPr>
          <w:rFonts w:cstheme="minorHAnsi"/>
          <w:lang w:eastAsia="en-GB"/>
        </w:rPr>
        <w:t>protection</w:t>
      </w:r>
      <w:r w:rsidR="00675488" w:rsidRPr="007C5FD5">
        <w:rPr>
          <w:rFonts w:cstheme="minorHAnsi"/>
          <w:lang w:eastAsia="en-GB"/>
        </w:rPr>
        <w:t>?</w:t>
      </w:r>
    </w:p>
    <w:p w14:paraId="73668AA7" w14:textId="77777777" w:rsidR="00547757" w:rsidRPr="007C5FD5" w:rsidRDefault="00547757" w:rsidP="00FD77D8">
      <w:pPr>
        <w:autoSpaceDE w:val="0"/>
        <w:autoSpaceDN w:val="0"/>
        <w:adjustRightInd w:val="0"/>
        <w:spacing w:after="0" w:line="240" w:lineRule="auto"/>
        <w:jc w:val="both"/>
        <w:rPr>
          <w:rFonts w:cstheme="minorHAnsi"/>
          <w:i/>
          <w:iCs/>
          <w:lang w:eastAsia="en-GB"/>
        </w:rPr>
      </w:pPr>
    </w:p>
    <w:p w14:paraId="2E7922B0" w14:textId="4B9A6B34" w:rsidR="00E261D6" w:rsidRPr="007C5FD5" w:rsidRDefault="00D84968" w:rsidP="00FD77D8">
      <w:pPr>
        <w:autoSpaceDE w:val="0"/>
        <w:autoSpaceDN w:val="0"/>
        <w:adjustRightInd w:val="0"/>
        <w:spacing w:after="0" w:line="240" w:lineRule="auto"/>
        <w:jc w:val="both"/>
        <w:rPr>
          <w:rFonts w:cstheme="minorHAnsi"/>
          <w:color w:val="000000"/>
        </w:rPr>
      </w:pPr>
      <w:r w:rsidRPr="007C5FD5">
        <w:rPr>
          <w:rFonts w:cstheme="minorHAnsi"/>
          <w:lang w:eastAsia="en-GB"/>
        </w:rPr>
        <w:t>The</w:t>
      </w:r>
      <w:r w:rsidR="00013452" w:rsidRPr="007C5FD5">
        <w:rPr>
          <w:rFonts w:cstheme="minorHAnsi"/>
          <w:lang w:eastAsia="en-GB"/>
        </w:rPr>
        <w:t xml:space="preserve"> </w:t>
      </w:r>
      <w:r w:rsidR="00ED5358" w:rsidRPr="007C5FD5">
        <w:rPr>
          <w:rFonts w:cstheme="minorHAnsi"/>
          <w:lang w:eastAsia="en-GB"/>
        </w:rPr>
        <w:t>outlier of</w:t>
      </w:r>
      <w:r w:rsidR="000B7ECD" w:rsidRPr="007C5FD5">
        <w:rPr>
          <w:rFonts w:cstheme="minorHAnsi"/>
          <w:lang w:eastAsia="en-GB"/>
        </w:rPr>
        <w:t xml:space="preserve"> post-mortem</w:t>
      </w:r>
      <w:r w:rsidR="00ED5358" w:rsidRPr="007C5FD5">
        <w:rPr>
          <w:rFonts w:cstheme="minorHAnsi"/>
          <w:lang w:eastAsia="en-GB"/>
        </w:rPr>
        <w:t xml:space="preserve"> medical</w:t>
      </w:r>
      <w:r w:rsidR="000B7ECD" w:rsidRPr="007C5FD5">
        <w:rPr>
          <w:rFonts w:cstheme="minorHAnsi"/>
          <w:lang w:eastAsia="en-GB"/>
        </w:rPr>
        <w:t xml:space="preserve"> </w:t>
      </w:r>
      <w:r w:rsidR="006B2130" w:rsidRPr="007C5FD5">
        <w:rPr>
          <w:rFonts w:cstheme="minorHAnsi"/>
          <w:lang w:eastAsia="en-GB"/>
        </w:rPr>
        <w:t>confiden</w:t>
      </w:r>
      <w:r w:rsidR="009E0E9A">
        <w:rPr>
          <w:rFonts w:cstheme="minorHAnsi"/>
          <w:lang w:eastAsia="en-GB"/>
        </w:rPr>
        <w:t>tiality</w:t>
      </w:r>
      <w:r w:rsidR="006B2130" w:rsidRPr="007C5FD5">
        <w:rPr>
          <w:rFonts w:cstheme="minorHAnsi"/>
          <w:lang w:eastAsia="en-GB"/>
        </w:rPr>
        <w:t xml:space="preserve"> </w:t>
      </w:r>
      <w:r w:rsidRPr="007C5FD5">
        <w:rPr>
          <w:rFonts w:cstheme="minorHAnsi"/>
          <w:lang w:eastAsia="en-GB"/>
        </w:rPr>
        <w:t xml:space="preserve">also </w:t>
      </w:r>
      <w:r w:rsidR="000116D3" w:rsidRPr="007C5FD5">
        <w:rPr>
          <w:rFonts w:cstheme="minorHAnsi"/>
          <w:lang w:eastAsia="en-GB"/>
        </w:rPr>
        <w:t xml:space="preserve">delivers </w:t>
      </w:r>
      <w:r w:rsidR="00F15223" w:rsidRPr="007C5FD5">
        <w:rPr>
          <w:rFonts w:cstheme="minorHAnsi"/>
          <w:lang w:eastAsia="en-GB"/>
        </w:rPr>
        <w:t xml:space="preserve">a stress test for </w:t>
      </w:r>
      <w:r w:rsidR="00FC577A" w:rsidRPr="007C5FD5">
        <w:rPr>
          <w:rFonts w:cstheme="minorHAnsi"/>
          <w:lang w:eastAsia="en-GB"/>
        </w:rPr>
        <w:t xml:space="preserve">the </w:t>
      </w:r>
      <w:r w:rsidR="006B2130" w:rsidRPr="007C5FD5">
        <w:rPr>
          <w:rFonts w:cstheme="minorHAnsi"/>
          <w:lang w:eastAsia="en-GB"/>
        </w:rPr>
        <w:t xml:space="preserve">general </w:t>
      </w:r>
      <w:r w:rsidR="00FC577A" w:rsidRPr="007C5FD5">
        <w:rPr>
          <w:rFonts w:cstheme="minorHAnsi"/>
          <w:lang w:eastAsia="en-GB"/>
        </w:rPr>
        <w:t xml:space="preserve">conception </w:t>
      </w:r>
      <w:r w:rsidR="00ED5358" w:rsidRPr="007C5FD5">
        <w:rPr>
          <w:rFonts w:cstheme="minorHAnsi"/>
          <w:lang w:eastAsia="en-GB"/>
        </w:rPr>
        <w:t>o</w:t>
      </w:r>
      <w:r w:rsidR="00FC577A" w:rsidRPr="007C5FD5">
        <w:rPr>
          <w:rFonts w:cstheme="minorHAnsi"/>
          <w:lang w:eastAsia="en-GB"/>
        </w:rPr>
        <w:t xml:space="preserve">f </w:t>
      </w:r>
      <w:r w:rsidR="00F15223" w:rsidRPr="007C5FD5">
        <w:rPr>
          <w:rFonts w:cstheme="minorHAnsi"/>
          <w:lang w:eastAsia="en-GB"/>
        </w:rPr>
        <w:t xml:space="preserve">privacy </w:t>
      </w:r>
      <w:r w:rsidR="006B2130" w:rsidRPr="007C5FD5">
        <w:rPr>
          <w:rFonts w:cstheme="minorHAnsi"/>
          <w:lang w:eastAsia="en-GB"/>
        </w:rPr>
        <w:t>which</w:t>
      </w:r>
      <w:r w:rsidR="000116D3" w:rsidRPr="007C5FD5">
        <w:rPr>
          <w:rFonts w:cstheme="minorHAnsi"/>
          <w:lang w:eastAsia="en-GB"/>
        </w:rPr>
        <w:t xml:space="preserve"> tends</w:t>
      </w:r>
      <w:r w:rsidR="003958D8" w:rsidRPr="007C5FD5">
        <w:rPr>
          <w:rFonts w:cstheme="minorHAnsi"/>
          <w:lang w:eastAsia="en-GB"/>
        </w:rPr>
        <w:t xml:space="preserve"> to be </w:t>
      </w:r>
      <w:r w:rsidR="00123807" w:rsidRPr="007C5FD5">
        <w:rPr>
          <w:rFonts w:cstheme="minorHAnsi"/>
          <w:lang w:eastAsia="en-GB"/>
        </w:rPr>
        <w:t xml:space="preserve">constructed </w:t>
      </w:r>
      <w:r w:rsidR="00BA0AF8" w:rsidRPr="007C5FD5">
        <w:rPr>
          <w:rFonts w:cstheme="minorHAnsi"/>
          <w:lang w:eastAsia="en-GB"/>
        </w:rPr>
        <w:t xml:space="preserve">not just as a personal right, </w:t>
      </w:r>
      <w:r w:rsidR="00226C90">
        <w:rPr>
          <w:rFonts w:cstheme="minorHAnsi"/>
          <w:lang w:eastAsia="en-GB"/>
        </w:rPr>
        <w:t>such as a</w:t>
      </w:r>
      <w:r w:rsidR="00BA0AF8" w:rsidRPr="007C5FD5">
        <w:rPr>
          <w:rFonts w:cstheme="minorHAnsi"/>
          <w:lang w:eastAsia="en-GB"/>
        </w:rPr>
        <w:t xml:space="preserve"> contractual right, but </w:t>
      </w:r>
      <w:r w:rsidR="00123807" w:rsidRPr="007C5FD5">
        <w:rPr>
          <w:rFonts w:cstheme="minorHAnsi"/>
          <w:lang w:eastAsia="en-GB"/>
        </w:rPr>
        <w:t xml:space="preserve">as a </w:t>
      </w:r>
      <w:r w:rsidR="00226C90">
        <w:rPr>
          <w:rFonts w:cstheme="minorHAnsi"/>
          <w:lang w:eastAsia="en-GB"/>
        </w:rPr>
        <w:t>hyper-</w:t>
      </w:r>
      <w:r w:rsidR="00123807" w:rsidRPr="007C5FD5">
        <w:rPr>
          <w:rFonts w:cstheme="minorHAnsi"/>
          <w:lang w:eastAsia="en-GB"/>
        </w:rPr>
        <w:t>personal</w:t>
      </w:r>
      <w:r w:rsidR="004103B1" w:rsidRPr="007C5FD5">
        <w:rPr>
          <w:rFonts w:cstheme="minorHAnsi"/>
          <w:lang w:eastAsia="en-GB"/>
        </w:rPr>
        <w:t xml:space="preserve"> </w:t>
      </w:r>
      <w:r w:rsidR="00226C90">
        <w:rPr>
          <w:rFonts w:cstheme="minorHAnsi"/>
          <w:lang w:eastAsia="en-GB"/>
        </w:rPr>
        <w:t>one</w:t>
      </w:r>
      <w:r w:rsidR="00BA0AF8" w:rsidRPr="007C5FD5">
        <w:rPr>
          <w:rFonts w:cstheme="minorHAnsi"/>
          <w:lang w:eastAsia="en-GB"/>
        </w:rPr>
        <w:t>,</w:t>
      </w:r>
      <w:r w:rsidR="00F26CAE" w:rsidRPr="007C5FD5">
        <w:rPr>
          <w:rStyle w:val="FootnoteReference"/>
          <w:rFonts w:cstheme="minorHAnsi"/>
          <w:lang w:eastAsia="en-GB"/>
        </w:rPr>
        <w:footnoteReference w:id="18"/>
      </w:r>
      <w:r w:rsidR="00123807" w:rsidRPr="007C5FD5">
        <w:rPr>
          <w:rFonts w:cstheme="minorHAnsi"/>
          <w:lang w:eastAsia="en-GB"/>
        </w:rPr>
        <w:t xml:space="preserve"> </w:t>
      </w:r>
      <w:r w:rsidR="00FA2478" w:rsidRPr="007C5FD5">
        <w:rPr>
          <w:rFonts w:cstheme="minorHAnsi"/>
          <w:lang w:eastAsia="en-GB"/>
        </w:rPr>
        <w:t>that</w:t>
      </w:r>
      <w:r w:rsidR="00123807" w:rsidRPr="007C5FD5">
        <w:rPr>
          <w:rFonts w:cstheme="minorHAnsi"/>
          <w:lang w:eastAsia="en-GB"/>
        </w:rPr>
        <w:t xml:space="preserve"> is</w:t>
      </w:r>
      <w:r w:rsidR="004103B1" w:rsidRPr="007C5FD5">
        <w:rPr>
          <w:rFonts w:cstheme="minorHAnsi"/>
          <w:lang w:eastAsia="en-GB"/>
        </w:rPr>
        <w:t xml:space="preserve"> one</w:t>
      </w:r>
      <w:r w:rsidR="00123807" w:rsidRPr="007C5FD5">
        <w:rPr>
          <w:rFonts w:cstheme="minorHAnsi"/>
          <w:lang w:eastAsia="en-GB"/>
        </w:rPr>
        <w:t xml:space="preserve"> asserted </w:t>
      </w:r>
      <w:r w:rsidR="00123807" w:rsidRPr="007C5FD5">
        <w:rPr>
          <w:rFonts w:cstheme="minorHAnsi"/>
          <w:i/>
          <w:iCs/>
          <w:lang w:eastAsia="en-GB"/>
        </w:rPr>
        <w:t xml:space="preserve">against </w:t>
      </w:r>
      <w:r w:rsidR="00123807" w:rsidRPr="007C5FD5">
        <w:rPr>
          <w:rFonts w:cstheme="minorHAnsi"/>
          <w:lang w:eastAsia="en-GB"/>
        </w:rPr>
        <w:t xml:space="preserve">the community: ‘the right </w:t>
      </w:r>
      <w:r w:rsidR="00123807" w:rsidRPr="007C5FD5">
        <w:rPr>
          <w:rFonts w:cstheme="minorHAnsi"/>
          <w:i/>
          <w:iCs/>
          <w:lang w:eastAsia="en-GB"/>
        </w:rPr>
        <w:t>not</w:t>
      </w:r>
      <w:r w:rsidR="00123807" w:rsidRPr="007C5FD5">
        <w:rPr>
          <w:rFonts w:cstheme="minorHAnsi"/>
          <w:lang w:eastAsia="en-GB"/>
        </w:rPr>
        <w:t xml:space="preserve"> to participate in the collective life – the right to shut out the community.’</w:t>
      </w:r>
      <w:r w:rsidR="00123807" w:rsidRPr="007C5FD5">
        <w:rPr>
          <w:rStyle w:val="FootnoteReference"/>
          <w:rFonts w:cstheme="minorHAnsi"/>
          <w:lang w:eastAsia="en-GB"/>
        </w:rPr>
        <w:footnoteReference w:id="19"/>
      </w:r>
      <w:r w:rsidR="00E17991" w:rsidRPr="007C5FD5">
        <w:rPr>
          <w:rFonts w:cstheme="minorHAnsi"/>
          <w:color w:val="000000"/>
        </w:rPr>
        <w:t xml:space="preserve"> </w:t>
      </w:r>
      <w:r w:rsidR="005D5061" w:rsidRPr="007C5FD5">
        <w:rPr>
          <w:rFonts w:cstheme="minorHAnsi"/>
          <w:color w:val="000000"/>
        </w:rPr>
        <w:t>Whilst rights such as freedom of expression, assembly or religion have obvious</w:t>
      </w:r>
      <w:r w:rsidR="00AA7106" w:rsidRPr="007C5FD5">
        <w:rPr>
          <w:rFonts w:cstheme="minorHAnsi"/>
          <w:color w:val="000000"/>
        </w:rPr>
        <w:t xml:space="preserve"> collective </w:t>
      </w:r>
      <w:r w:rsidR="0004585A" w:rsidRPr="007C5FD5">
        <w:rPr>
          <w:rFonts w:cstheme="minorHAnsi"/>
          <w:color w:val="000000"/>
        </w:rPr>
        <w:t>or</w:t>
      </w:r>
      <w:r w:rsidR="00C336D5" w:rsidRPr="007C5FD5">
        <w:rPr>
          <w:rFonts w:cstheme="minorHAnsi"/>
          <w:color w:val="000000"/>
        </w:rPr>
        <w:t xml:space="preserve"> </w:t>
      </w:r>
      <w:r w:rsidR="00FA2478" w:rsidRPr="007C5FD5">
        <w:rPr>
          <w:rFonts w:cstheme="minorHAnsi"/>
          <w:color w:val="000000"/>
        </w:rPr>
        <w:t xml:space="preserve">public </w:t>
      </w:r>
      <w:r w:rsidR="005D5061" w:rsidRPr="007C5FD5">
        <w:rPr>
          <w:rFonts w:cstheme="minorHAnsi"/>
          <w:color w:val="000000"/>
        </w:rPr>
        <w:t>dimensions</w:t>
      </w:r>
      <w:r w:rsidR="00013452" w:rsidRPr="007C5FD5">
        <w:rPr>
          <w:rFonts w:cstheme="minorHAnsi"/>
          <w:color w:val="000000"/>
        </w:rPr>
        <w:t xml:space="preserve"> </w:t>
      </w:r>
      <w:r w:rsidR="004C4C81" w:rsidRPr="007C5FD5">
        <w:rPr>
          <w:rFonts w:cstheme="minorHAnsi"/>
          <w:color w:val="000000"/>
        </w:rPr>
        <w:t xml:space="preserve">closely </w:t>
      </w:r>
      <w:r w:rsidR="00C379BD" w:rsidRPr="007C5FD5">
        <w:rPr>
          <w:rFonts w:cstheme="minorHAnsi"/>
          <w:color w:val="000000"/>
        </w:rPr>
        <w:t>linked</w:t>
      </w:r>
      <w:r w:rsidR="00D561C6" w:rsidRPr="007C5FD5">
        <w:rPr>
          <w:rFonts w:cstheme="minorHAnsi"/>
          <w:color w:val="000000"/>
        </w:rPr>
        <w:t xml:space="preserve"> </w:t>
      </w:r>
      <w:r w:rsidR="00FA2478" w:rsidRPr="007C5FD5">
        <w:rPr>
          <w:rFonts w:cstheme="minorHAnsi"/>
          <w:color w:val="000000"/>
        </w:rPr>
        <w:t xml:space="preserve">with </w:t>
      </w:r>
      <w:r w:rsidR="005D5061" w:rsidRPr="007C5FD5">
        <w:rPr>
          <w:rFonts w:cstheme="minorHAnsi"/>
          <w:color w:val="000000"/>
        </w:rPr>
        <w:t xml:space="preserve">the </w:t>
      </w:r>
      <w:r w:rsidR="003958D8" w:rsidRPr="007C5FD5">
        <w:rPr>
          <w:rFonts w:cstheme="minorHAnsi"/>
          <w:color w:val="000000"/>
        </w:rPr>
        <w:t xml:space="preserve">exercise of the individual </w:t>
      </w:r>
      <w:r w:rsidR="00FA2478" w:rsidRPr="007C5FD5">
        <w:rPr>
          <w:rFonts w:cstheme="minorHAnsi"/>
          <w:color w:val="000000"/>
        </w:rPr>
        <w:t>right</w:t>
      </w:r>
      <w:r w:rsidR="003958D8" w:rsidRPr="007C5FD5">
        <w:rPr>
          <w:rFonts w:cstheme="minorHAnsi"/>
          <w:color w:val="000000"/>
        </w:rPr>
        <w:t xml:space="preserve">, </w:t>
      </w:r>
      <w:r w:rsidR="005D5061" w:rsidRPr="007C5FD5">
        <w:rPr>
          <w:rFonts w:cstheme="minorHAnsi"/>
          <w:color w:val="000000"/>
        </w:rPr>
        <w:t>privacy appear</w:t>
      </w:r>
      <w:r w:rsidR="00FA2478" w:rsidRPr="007C5FD5">
        <w:rPr>
          <w:rFonts w:cstheme="minorHAnsi"/>
          <w:color w:val="000000"/>
        </w:rPr>
        <w:t>s</w:t>
      </w:r>
      <w:r w:rsidR="00013452" w:rsidRPr="007C5FD5">
        <w:rPr>
          <w:rFonts w:cstheme="minorHAnsi"/>
          <w:color w:val="000000"/>
        </w:rPr>
        <w:t xml:space="preserve"> to</w:t>
      </w:r>
      <w:r w:rsidR="00FA2478" w:rsidRPr="007C5FD5">
        <w:rPr>
          <w:rFonts w:cstheme="minorHAnsi"/>
          <w:color w:val="000000"/>
        </w:rPr>
        <w:t xml:space="preserve"> </w:t>
      </w:r>
      <w:r w:rsidR="00013452" w:rsidRPr="007C5FD5">
        <w:rPr>
          <w:rFonts w:cstheme="minorHAnsi"/>
          <w:color w:val="000000"/>
        </w:rPr>
        <w:t xml:space="preserve">be profoundly </w:t>
      </w:r>
      <w:r w:rsidR="005D5061" w:rsidRPr="007C5FD5">
        <w:rPr>
          <w:rFonts w:cstheme="minorHAnsi"/>
          <w:color w:val="000000"/>
        </w:rPr>
        <w:t>ant</w:t>
      </w:r>
      <w:r w:rsidR="00FA2478" w:rsidRPr="007C5FD5">
        <w:rPr>
          <w:rFonts w:cstheme="minorHAnsi"/>
          <w:color w:val="000000"/>
        </w:rPr>
        <w:t>i</w:t>
      </w:r>
      <w:r w:rsidR="005D5061" w:rsidRPr="007C5FD5">
        <w:rPr>
          <w:rFonts w:cstheme="minorHAnsi"/>
          <w:color w:val="000000"/>
        </w:rPr>
        <w:t>-social</w:t>
      </w:r>
      <w:r w:rsidR="00E67B2C" w:rsidRPr="007C5FD5">
        <w:rPr>
          <w:rFonts w:cstheme="minorHAnsi"/>
          <w:color w:val="000000"/>
        </w:rPr>
        <w:t xml:space="preserve"> </w:t>
      </w:r>
      <w:r w:rsidR="00ED5358" w:rsidRPr="007C5FD5">
        <w:rPr>
          <w:rFonts w:cstheme="minorHAnsi"/>
          <w:color w:val="000000"/>
        </w:rPr>
        <w:t>-</w:t>
      </w:r>
      <w:r w:rsidR="00D561C6" w:rsidRPr="007C5FD5">
        <w:rPr>
          <w:rFonts w:cstheme="minorHAnsi"/>
          <w:color w:val="000000"/>
        </w:rPr>
        <w:t xml:space="preserve"> </w:t>
      </w:r>
      <w:r w:rsidR="00FA2478" w:rsidRPr="007C5FD5">
        <w:rPr>
          <w:rFonts w:cstheme="minorHAnsi"/>
          <w:color w:val="000000"/>
        </w:rPr>
        <w:t>not just in terms of allowing the individual to withdraw</w:t>
      </w:r>
      <w:r w:rsidR="00013452" w:rsidRPr="007C5FD5">
        <w:rPr>
          <w:rFonts w:cstheme="minorHAnsi"/>
          <w:color w:val="000000"/>
        </w:rPr>
        <w:t xml:space="preserve"> from the community</w:t>
      </w:r>
      <w:r w:rsidR="00FA2478" w:rsidRPr="007C5FD5">
        <w:rPr>
          <w:rFonts w:cstheme="minorHAnsi"/>
          <w:color w:val="000000"/>
        </w:rPr>
        <w:t xml:space="preserve">, but also </w:t>
      </w:r>
      <w:r w:rsidR="00D561C6" w:rsidRPr="007C5FD5">
        <w:rPr>
          <w:rFonts w:cstheme="minorHAnsi"/>
          <w:color w:val="000000"/>
        </w:rPr>
        <w:t>by locating its core objective in self-sovereignty or self-authorship.</w:t>
      </w:r>
      <w:r w:rsidR="000116D3" w:rsidRPr="007C5FD5">
        <w:rPr>
          <w:rStyle w:val="FootnoteReference"/>
          <w:rFonts w:cstheme="minorHAnsi"/>
          <w:color w:val="000000"/>
        </w:rPr>
        <w:footnoteReference w:id="20"/>
      </w:r>
      <w:r w:rsidR="00355006" w:rsidRPr="007C5FD5">
        <w:rPr>
          <w:rFonts w:cstheme="minorHAnsi"/>
          <w:color w:val="000000"/>
        </w:rPr>
        <w:t xml:space="preserve"> </w:t>
      </w:r>
      <w:r w:rsidR="00B96E3A" w:rsidRPr="007C5FD5">
        <w:rPr>
          <w:rFonts w:cstheme="minorHAnsi"/>
        </w:rPr>
        <w:t>P</w:t>
      </w:r>
      <w:r w:rsidR="00934DC1" w:rsidRPr="007C5FD5">
        <w:rPr>
          <w:rFonts w:cstheme="minorHAnsi"/>
        </w:rPr>
        <w:t>rivacy</w:t>
      </w:r>
      <w:r w:rsidR="00007C94" w:rsidRPr="007C5FD5">
        <w:rPr>
          <w:rFonts w:cstheme="minorHAnsi"/>
        </w:rPr>
        <w:t xml:space="preserve"> </w:t>
      </w:r>
      <w:r w:rsidR="000116D3" w:rsidRPr="007C5FD5">
        <w:rPr>
          <w:rFonts w:cstheme="minorHAnsi"/>
        </w:rPr>
        <w:t>seems</w:t>
      </w:r>
      <w:r w:rsidR="00007C94" w:rsidRPr="007C5FD5">
        <w:rPr>
          <w:rFonts w:cstheme="minorHAnsi"/>
        </w:rPr>
        <w:t xml:space="preserve"> to be</w:t>
      </w:r>
      <w:r w:rsidR="00934DC1" w:rsidRPr="007C5FD5">
        <w:rPr>
          <w:rFonts w:cstheme="minorHAnsi"/>
        </w:rPr>
        <w:t xml:space="preserve">, </w:t>
      </w:r>
      <w:r w:rsidR="00E77106" w:rsidRPr="007C5FD5">
        <w:rPr>
          <w:rFonts w:cstheme="minorHAnsi"/>
        </w:rPr>
        <w:t>in its very essence</w:t>
      </w:r>
      <w:r w:rsidR="00934DC1" w:rsidRPr="007C5FD5">
        <w:rPr>
          <w:rFonts w:cstheme="minorHAnsi"/>
        </w:rPr>
        <w:t>,</w:t>
      </w:r>
      <w:r w:rsidR="000116D3" w:rsidRPr="007C5FD5">
        <w:rPr>
          <w:rFonts w:cstheme="minorHAnsi"/>
        </w:rPr>
        <w:t xml:space="preserve"> </w:t>
      </w:r>
      <w:r w:rsidR="00ED5358" w:rsidRPr="007C5FD5">
        <w:rPr>
          <w:rFonts w:cstheme="minorHAnsi"/>
        </w:rPr>
        <w:t>about the individual</w:t>
      </w:r>
      <w:r w:rsidR="00C9459C" w:rsidRPr="007C5FD5">
        <w:rPr>
          <w:rFonts w:cstheme="minorHAnsi"/>
        </w:rPr>
        <w:t xml:space="preserve"> and</w:t>
      </w:r>
      <w:r w:rsidR="00E67B2C" w:rsidRPr="007C5FD5">
        <w:rPr>
          <w:rFonts w:cstheme="minorHAnsi"/>
        </w:rPr>
        <w:t>, moreover,</w:t>
      </w:r>
      <w:r w:rsidR="00013452" w:rsidRPr="007C5FD5">
        <w:rPr>
          <w:rFonts w:cstheme="minorHAnsi"/>
        </w:rPr>
        <w:t xml:space="preserve"> </w:t>
      </w:r>
      <w:r w:rsidR="00934DC1" w:rsidRPr="007C5FD5">
        <w:rPr>
          <w:rFonts w:cstheme="minorHAnsi"/>
        </w:rPr>
        <w:t xml:space="preserve">the </w:t>
      </w:r>
      <w:r w:rsidR="00FC577A" w:rsidRPr="007C5FD5">
        <w:rPr>
          <w:rFonts w:cstheme="minorHAnsi"/>
        </w:rPr>
        <w:t>living</w:t>
      </w:r>
      <w:r w:rsidR="00E77106" w:rsidRPr="007C5FD5">
        <w:rPr>
          <w:rFonts w:cstheme="minorHAnsi"/>
        </w:rPr>
        <w:t xml:space="preserve"> individual</w:t>
      </w:r>
      <w:r w:rsidR="00934DC1" w:rsidRPr="007C5FD5">
        <w:rPr>
          <w:rFonts w:cstheme="minorHAnsi"/>
        </w:rPr>
        <w:t xml:space="preserve">, </w:t>
      </w:r>
      <w:r w:rsidR="00E77106" w:rsidRPr="007C5FD5">
        <w:rPr>
          <w:rFonts w:cstheme="minorHAnsi"/>
        </w:rPr>
        <w:t>giving them</w:t>
      </w:r>
      <w:r w:rsidR="00FC577A" w:rsidRPr="007C5FD5">
        <w:rPr>
          <w:rFonts w:cstheme="minorHAnsi"/>
        </w:rPr>
        <w:t xml:space="preserve"> </w:t>
      </w:r>
      <w:r w:rsidR="00E77106" w:rsidRPr="007C5FD5">
        <w:rPr>
          <w:rFonts w:cstheme="minorHAnsi"/>
        </w:rPr>
        <w:t xml:space="preserve">an instrument </w:t>
      </w:r>
      <w:r w:rsidR="00FC577A" w:rsidRPr="007C5FD5">
        <w:rPr>
          <w:rFonts w:cstheme="minorHAnsi"/>
        </w:rPr>
        <w:t xml:space="preserve">to allow </w:t>
      </w:r>
      <w:r w:rsidR="00013452" w:rsidRPr="007C5FD5">
        <w:rPr>
          <w:rFonts w:cstheme="minorHAnsi"/>
        </w:rPr>
        <w:t>them</w:t>
      </w:r>
      <w:r w:rsidR="00FC577A" w:rsidRPr="007C5FD5">
        <w:rPr>
          <w:rFonts w:cstheme="minorHAnsi"/>
        </w:rPr>
        <w:t xml:space="preserve"> to flourish by delineating the </w:t>
      </w:r>
      <w:r w:rsidR="00C461C0" w:rsidRPr="007C5FD5">
        <w:rPr>
          <w:rFonts w:cstheme="minorHAnsi"/>
        </w:rPr>
        <w:t xml:space="preserve">boundaries of </w:t>
      </w:r>
      <w:r w:rsidR="00FC577A" w:rsidRPr="007C5FD5">
        <w:rPr>
          <w:rFonts w:cstheme="minorHAnsi"/>
        </w:rPr>
        <w:t xml:space="preserve">private-public </w:t>
      </w:r>
      <w:r w:rsidR="00C461C0" w:rsidRPr="007C5FD5">
        <w:rPr>
          <w:rFonts w:cstheme="minorHAnsi"/>
        </w:rPr>
        <w:t>space</w:t>
      </w:r>
      <w:r w:rsidR="00FC577A" w:rsidRPr="007C5FD5">
        <w:rPr>
          <w:rFonts w:cstheme="minorHAnsi"/>
        </w:rPr>
        <w:t>s</w:t>
      </w:r>
      <w:r w:rsidR="00ED5358" w:rsidRPr="007C5FD5">
        <w:rPr>
          <w:rFonts w:cstheme="minorHAnsi"/>
        </w:rPr>
        <w:t>.</w:t>
      </w:r>
      <w:r w:rsidR="00FC577A" w:rsidRPr="007C5FD5">
        <w:rPr>
          <w:rStyle w:val="FootnoteReference"/>
          <w:rFonts w:cstheme="minorHAnsi"/>
        </w:rPr>
        <w:footnoteReference w:id="21"/>
      </w:r>
      <w:r w:rsidR="00FC577A" w:rsidRPr="007C5FD5">
        <w:rPr>
          <w:rFonts w:cstheme="minorHAnsi"/>
        </w:rPr>
        <w:t xml:space="preserve"> David Feldman observed</w:t>
      </w:r>
      <w:r w:rsidR="00ED5358" w:rsidRPr="007C5FD5">
        <w:rPr>
          <w:rFonts w:cstheme="minorHAnsi"/>
        </w:rPr>
        <w:t xml:space="preserve"> in the context of Art 8 of the European Convention of Human Rights [ECHR]</w:t>
      </w:r>
      <w:r w:rsidR="00013452" w:rsidRPr="007C5FD5">
        <w:rPr>
          <w:rFonts w:cstheme="minorHAnsi"/>
        </w:rPr>
        <w:t>:</w:t>
      </w:r>
      <w:r w:rsidR="00FC577A" w:rsidRPr="007C5FD5">
        <w:rPr>
          <w:rFonts w:cstheme="minorHAnsi"/>
        </w:rPr>
        <w:t xml:space="preserve"> </w:t>
      </w:r>
      <w:r w:rsidR="00E67B2C" w:rsidRPr="007C5FD5">
        <w:rPr>
          <w:rFonts w:cstheme="minorHAnsi"/>
        </w:rPr>
        <w:t>‘[</w:t>
      </w:r>
      <w:r w:rsidR="00FC577A" w:rsidRPr="007C5FD5">
        <w:rPr>
          <w:rFonts w:cstheme="minorHAnsi"/>
        </w:rPr>
        <w:t>privacy is about</w:t>
      </w:r>
      <w:r w:rsidR="00E67B2C" w:rsidRPr="007C5FD5">
        <w:rPr>
          <w:rFonts w:cstheme="minorHAnsi"/>
        </w:rPr>
        <w:t xml:space="preserve">] </w:t>
      </w:r>
      <w:r w:rsidR="00FC577A" w:rsidRPr="007C5FD5">
        <w:rPr>
          <w:rFonts w:cstheme="minorHAnsi"/>
        </w:rPr>
        <w:t>doing and living, not about maintaining dignity for its own sake</w:t>
      </w:r>
      <w:r w:rsidR="00E67B2C" w:rsidRPr="007C5FD5">
        <w:rPr>
          <w:rFonts w:cstheme="minorHAnsi"/>
        </w:rPr>
        <w:t>.</w:t>
      </w:r>
      <w:r w:rsidR="00FC577A" w:rsidRPr="007C5FD5">
        <w:rPr>
          <w:rFonts w:cstheme="minorHAnsi"/>
        </w:rPr>
        <w:t>’</w:t>
      </w:r>
      <w:r w:rsidR="00FC577A" w:rsidRPr="007C5FD5">
        <w:rPr>
          <w:rStyle w:val="FootnoteReference"/>
          <w:rFonts w:cstheme="minorHAnsi"/>
        </w:rPr>
        <w:footnoteReference w:id="22"/>
      </w:r>
      <w:r w:rsidR="00C461C0" w:rsidRPr="007C5FD5">
        <w:rPr>
          <w:rFonts w:cstheme="minorHAnsi"/>
          <w:color w:val="000000"/>
        </w:rPr>
        <w:t xml:space="preserve"> </w:t>
      </w:r>
      <w:r w:rsidR="00ED5358" w:rsidRPr="007C5FD5">
        <w:rPr>
          <w:rFonts w:cstheme="minorHAnsi"/>
          <w:color w:val="000000"/>
        </w:rPr>
        <w:t>T</w:t>
      </w:r>
      <w:r w:rsidR="00FA2478" w:rsidRPr="007C5FD5">
        <w:rPr>
          <w:rFonts w:cstheme="minorHAnsi"/>
          <w:color w:val="000000"/>
        </w:rPr>
        <w:t xml:space="preserve">his </w:t>
      </w:r>
      <w:r w:rsidR="00C9459C" w:rsidRPr="007C5FD5">
        <w:rPr>
          <w:rFonts w:cstheme="minorHAnsi"/>
          <w:color w:val="000000"/>
        </w:rPr>
        <w:t xml:space="preserve">then </w:t>
      </w:r>
      <w:r w:rsidR="00FA2478" w:rsidRPr="007C5FD5">
        <w:rPr>
          <w:rFonts w:cstheme="minorHAnsi"/>
          <w:color w:val="000000"/>
        </w:rPr>
        <w:t xml:space="preserve">means that post-mortem </w:t>
      </w:r>
      <w:r w:rsidR="00C9459C" w:rsidRPr="007C5FD5">
        <w:rPr>
          <w:rFonts w:cstheme="minorHAnsi"/>
          <w:color w:val="000000"/>
        </w:rPr>
        <w:t>privacy</w:t>
      </w:r>
      <w:r w:rsidR="00FA2478" w:rsidRPr="007C5FD5">
        <w:rPr>
          <w:rFonts w:cstheme="minorHAnsi"/>
          <w:color w:val="000000"/>
        </w:rPr>
        <w:t xml:space="preserve"> </w:t>
      </w:r>
      <w:r w:rsidR="0089408B" w:rsidRPr="007C5FD5">
        <w:rPr>
          <w:rFonts w:cstheme="minorHAnsi"/>
          <w:color w:val="000000"/>
        </w:rPr>
        <w:t>appears</w:t>
      </w:r>
      <w:r w:rsidR="00013452" w:rsidRPr="007C5FD5">
        <w:rPr>
          <w:rFonts w:cstheme="minorHAnsi"/>
          <w:color w:val="000000"/>
        </w:rPr>
        <w:t xml:space="preserve"> </w:t>
      </w:r>
      <w:r w:rsidR="00013452" w:rsidRPr="007C5FD5">
        <w:rPr>
          <w:rFonts w:cstheme="minorHAnsi"/>
          <w:i/>
          <w:iCs/>
          <w:color w:val="000000"/>
        </w:rPr>
        <w:t>prima facie</w:t>
      </w:r>
      <w:r w:rsidR="00013452" w:rsidRPr="007C5FD5">
        <w:rPr>
          <w:rFonts w:cstheme="minorHAnsi"/>
          <w:color w:val="000000"/>
        </w:rPr>
        <w:t xml:space="preserve"> </w:t>
      </w:r>
      <w:r w:rsidR="00FA2478" w:rsidRPr="007C5FD5">
        <w:rPr>
          <w:rFonts w:cstheme="minorHAnsi"/>
          <w:color w:val="000000"/>
        </w:rPr>
        <w:t xml:space="preserve">bereft of </w:t>
      </w:r>
      <w:r w:rsidR="00ED5358" w:rsidRPr="007C5FD5">
        <w:rPr>
          <w:rFonts w:cstheme="minorHAnsi"/>
          <w:color w:val="000000"/>
        </w:rPr>
        <w:t>its</w:t>
      </w:r>
      <w:r w:rsidR="00FA2478" w:rsidRPr="007C5FD5">
        <w:rPr>
          <w:rFonts w:cstheme="minorHAnsi"/>
          <w:color w:val="000000"/>
        </w:rPr>
        <w:t xml:space="preserve"> main</w:t>
      </w:r>
      <w:r w:rsidR="00C9459C" w:rsidRPr="007C5FD5">
        <w:rPr>
          <w:rFonts w:cstheme="minorHAnsi"/>
          <w:color w:val="000000"/>
        </w:rPr>
        <w:t xml:space="preserve"> and only</w:t>
      </w:r>
      <w:r w:rsidR="00FA2478" w:rsidRPr="007C5FD5">
        <w:rPr>
          <w:rFonts w:cstheme="minorHAnsi"/>
          <w:color w:val="000000"/>
        </w:rPr>
        <w:t xml:space="preserve"> protagonist</w:t>
      </w:r>
      <w:r w:rsidR="00ED5358" w:rsidRPr="007C5FD5">
        <w:rPr>
          <w:rFonts w:cstheme="minorHAnsi"/>
          <w:color w:val="000000"/>
        </w:rPr>
        <w:t xml:space="preserve">, </w:t>
      </w:r>
      <w:r w:rsidR="00013452" w:rsidRPr="007C5FD5">
        <w:rPr>
          <w:rFonts w:cstheme="minorHAnsi"/>
          <w:color w:val="000000"/>
        </w:rPr>
        <w:t>the living individual</w:t>
      </w:r>
      <w:r w:rsidR="001B73FE" w:rsidRPr="007C5FD5">
        <w:rPr>
          <w:rFonts w:cstheme="minorHAnsi"/>
          <w:color w:val="000000"/>
        </w:rPr>
        <w:t>,</w:t>
      </w:r>
      <w:r w:rsidR="00E67B2C" w:rsidRPr="007C5FD5">
        <w:rPr>
          <w:rFonts w:cstheme="minorHAnsi"/>
          <w:color w:val="000000"/>
        </w:rPr>
        <w:t xml:space="preserve"> </w:t>
      </w:r>
      <w:r w:rsidR="00ED5358" w:rsidRPr="007C5FD5">
        <w:rPr>
          <w:rFonts w:cstheme="minorHAnsi"/>
          <w:color w:val="000000"/>
        </w:rPr>
        <w:t>with no</w:t>
      </w:r>
      <w:r w:rsidR="00E67B2C" w:rsidRPr="007C5FD5">
        <w:rPr>
          <w:rFonts w:cstheme="minorHAnsi"/>
          <w:color w:val="000000"/>
        </w:rPr>
        <w:t xml:space="preserve"> </w:t>
      </w:r>
      <w:r w:rsidR="00ED5358" w:rsidRPr="007C5FD5">
        <w:rPr>
          <w:rFonts w:cstheme="minorHAnsi"/>
          <w:color w:val="000000"/>
        </w:rPr>
        <w:t>residual purpose</w:t>
      </w:r>
      <w:r w:rsidR="00C9459C" w:rsidRPr="007C5FD5">
        <w:rPr>
          <w:rFonts w:cstheme="minorHAnsi"/>
          <w:color w:val="000000"/>
        </w:rPr>
        <w:t xml:space="preserve"> to discharge</w:t>
      </w:r>
      <w:r w:rsidR="00F26CAE" w:rsidRPr="007C5FD5">
        <w:rPr>
          <w:rFonts w:cstheme="minorHAnsi"/>
          <w:color w:val="000000"/>
        </w:rPr>
        <w:t>; a</w:t>
      </w:r>
      <w:r w:rsidR="00AA7106" w:rsidRPr="007C5FD5">
        <w:rPr>
          <w:rFonts w:cstheme="minorHAnsi"/>
          <w:color w:val="000000"/>
        </w:rPr>
        <w:t>nd y</w:t>
      </w:r>
      <w:r w:rsidR="00FC577A" w:rsidRPr="007C5FD5">
        <w:rPr>
          <w:rFonts w:cstheme="minorHAnsi"/>
          <w:color w:val="000000"/>
        </w:rPr>
        <w:t>et</w:t>
      </w:r>
      <w:r w:rsidR="00013452" w:rsidRPr="007C5FD5">
        <w:rPr>
          <w:rFonts w:cstheme="minorHAnsi"/>
          <w:color w:val="000000"/>
        </w:rPr>
        <w:t>,</w:t>
      </w:r>
      <w:r w:rsidR="00FC577A" w:rsidRPr="007C5FD5">
        <w:rPr>
          <w:rFonts w:cstheme="minorHAnsi"/>
          <w:color w:val="000000"/>
        </w:rPr>
        <w:t xml:space="preserve"> </w:t>
      </w:r>
      <w:r w:rsidR="004D4D61" w:rsidRPr="007C5FD5">
        <w:rPr>
          <w:rFonts w:cstheme="minorHAnsi"/>
          <w:color w:val="000000"/>
        </w:rPr>
        <w:t xml:space="preserve">the duty of </w:t>
      </w:r>
      <w:r w:rsidR="00FC577A" w:rsidRPr="007C5FD5">
        <w:rPr>
          <w:rFonts w:cstheme="minorHAnsi"/>
          <w:color w:val="000000"/>
        </w:rPr>
        <w:t>medical confid</w:t>
      </w:r>
      <w:r w:rsidR="00675488" w:rsidRPr="007C5FD5">
        <w:rPr>
          <w:rFonts w:cstheme="minorHAnsi"/>
          <w:color w:val="000000"/>
        </w:rPr>
        <w:t>entiality</w:t>
      </w:r>
      <w:r w:rsidR="00AA7106" w:rsidRPr="007C5FD5">
        <w:rPr>
          <w:rFonts w:cstheme="minorHAnsi"/>
          <w:color w:val="000000"/>
        </w:rPr>
        <w:t xml:space="preserve"> </w:t>
      </w:r>
      <w:r w:rsidR="00013452" w:rsidRPr="007C5FD5">
        <w:rPr>
          <w:rFonts w:cstheme="minorHAnsi"/>
          <w:color w:val="000000"/>
        </w:rPr>
        <w:t>survive</w:t>
      </w:r>
      <w:r w:rsidR="00675488" w:rsidRPr="007C5FD5">
        <w:rPr>
          <w:rFonts w:cstheme="minorHAnsi"/>
          <w:color w:val="000000"/>
        </w:rPr>
        <w:t>s</w:t>
      </w:r>
      <w:r w:rsidR="00AA7106" w:rsidRPr="007C5FD5">
        <w:rPr>
          <w:rFonts w:cstheme="minorHAnsi"/>
          <w:color w:val="000000"/>
        </w:rPr>
        <w:t xml:space="preserve"> </w:t>
      </w:r>
      <w:r w:rsidR="00013452" w:rsidRPr="007C5FD5">
        <w:rPr>
          <w:rFonts w:cstheme="minorHAnsi"/>
          <w:color w:val="000000"/>
        </w:rPr>
        <w:t xml:space="preserve">the death of </w:t>
      </w:r>
      <w:r w:rsidR="00675488" w:rsidRPr="007C5FD5">
        <w:rPr>
          <w:rFonts w:cstheme="minorHAnsi"/>
          <w:color w:val="000000"/>
        </w:rPr>
        <w:t>its</w:t>
      </w:r>
      <w:r w:rsidR="000116D3" w:rsidRPr="007C5FD5">
        <w:rPr>
          <w:rFonts w:cstheme="minorHAnsi"/>
          <w:color w:val="000000"/>
        </w:rPr>
        <w:t xml:space="preserve"> </w:t>
      </w:r>
      <w:r w:rsidR="00C05722" w:rsidRPr="007C5FD5">
        <w:rPr>
          <w:rFonts w:cstheme="minorHAnsi"/>
          <w:color w:val="000000"/>
        </w:rPr>
        <w:t xml:space="preserve">main </w:t>
      </w:r>
      <w:r w:rsidR="00013452" w:rsidRPr="007C5FD5">
        <w:rPr>
          <w:rFonts w:cstheme="minorHAnsi"/>
          <w:color w:val="000000"/>
        </w:rPr>
        <w:t>protagonist</w:t>
      </w:r>
      <w:r w:rsidR="000116D3" w:rsidRPr="007C5FD5">
        <w:rPr>
          <w:rFonts w:cstheme="minorHAnsi"/>
          <w:color w:val="000000"/>
        </w:rPr>
        <w:t>.</w:t>
      </w:r>
      <w:r w:rsidR="00FA2478" w:rsidRPr="007C5FD5">
        <w:rPr>
          <w:rFonts w:cstheme="minorHAnsi"/>
          <w:color w:val="000000"/>
        </w:rPr>
        <w:t xml:space="preserve"> </w:t>
      </w:r>
    </w:p>
    <w:p w14:paraId="1A56C84C" w14:textId="0E4EC8E7" w:rsidR="00934DC1" w:rsidRPr="007C5FD5" w:rsidRDefault="00934DC1" w:rsidP="00FD77D8">
      <w:pPr>
        <w:autoSpaceDE w:val="0"/>
        <w:autoSpaceDN w:val="0"/>
        <w:adjustRightInd w:val="0"/>
        <w:spacing w:after="0" w:line="240" w:lineRule="auto"/>
        <w:jc w:val="both"/>
        <w:rPr>
          <w:rFonts w:cstheme="minorHAnsi"/>
          <w:color w:val="000000"/>
        </w:rPr>
      </w:pPr>
    </w:p>
    <w:p w14:paraId="7F7E93FF" w14:textId="4385F678" w:rsidR="00A63054" w:rsidRPr="007C5FD5" w:rsidRDefault="00AF09B2" w:rsidP="00FD77D8">
      <w:pPr>
        <w:autoSpaceDE w:val="0"/>
        <w:autoSpaceDN w:val="0"/>
        <w:adjustRightInd w:val="0"/>
        <w:spacing w:after="0" w:line="240" w:lineRule="auto"/>
        <w:jc w:val="both"/>
        <w:rPr>
          <w:rFonts w:cstheme="minorHAnsi"/>
        </w:rPr>
      </w:pPr>
      <w:r w:rsidRPr="007C5FD5">
        <w:rPr>
          <w:rFonts w:cstheme="minorHAnsi"/>
          <w:color w:val="000000"/>
        </w:rPr>
        <w:t>This paper</w:t>
      </w:r>
      <w:r w:rsidR="004D4D61" w:rsidRPr="007C5FD5">
        <w:rPr>
          <w:rFonts w:cstheme="minorHAnsi"/>
          <w:color w:val="000000"/>
        </w:rPr>
        <w:t xml:space="preserve"> approaches the thematic through two complementary perspectives. </w:t>
      </w:r>
      <w:r w:rsidR="004D4D61" w:rsidRPr="007C5FD5">
        <w:rPr>
          <w:rFonts w:cstheme="minorHAnsi"/>
          <w:i/>
          <w:iCs/>
          <w:color w:val="000000"/>
        </w:rPr>
        <w:t xml:space="preserve">First, </w:t>
      </w:r>
      <w:r w:rsidR="004D4D61" w:rsidRPr="007C5FD5">
        <w:rPr>
          <w:rFonts w:cstheme="minorHAnsi"/>
          <w:color w:val="000000"/>
        </w:rPr>
        <w:t xml:space="preserve">it locates the post-mortem duty of medical confidentiality in </w:t>
      </w:r>
      <w:r w:rsidR="008518C6" w:rsidRPr="007C5FD5">
        <w:rPr>
          <w:rFonts w:cstheme="minorHAnsi"/>
          <w:color w:val="000000"/>
        </w:rPr>
        <w:t xml:space="preserve">the </w:t>
      </w:r>
      <w:r w:rsidR="00A63054" w:rsidRPr="007C5FD5">
        <w:rPr>
          <w:rFonts w:cstheme="minorHAnsi"/>
          <w:color w:val="000000"/>
        </w:rPr>
        <w:t>professional</w:t>
      </w:r>
      <w:r w:rsidR="00883D45" w:rsidRPr="007C5FD5">
        <w:rPr>
          <w:rFonts w:cstheme="minorHAnsi"/>
          <w:color w:val="000000"/>
        </w:rPr>
        <w:t xml:space="preserve"> duty</w:t>
      </w:r>
      <w:r w:rsidR="000E6C98" w:rsidRPr="007C5FD5">
        <w:rPr>
          <w:rFonts w:cstheme="minorHAnsi"/>
          <w:color w:val="000000"/>
        </w:rPr>
        <w:t xml:space="preserve">, </w:t>
      </w:r>
      <w:r w:rsidR="008518C6" w:rsidRPr="007C5FD5">
        <w:rPr>
          <w:rFonts w:cstheme="minorHAnsi"/>
          <w:color w:val="000000"/>
        </w:rPr>
        <w:t>as enshrined in the Hippocratic Oath</w:t>
      </w:r>
      <w:r w:rsidR="00B543E9" w:rsidRPr="007C5FD5">
        <w:rPr>
          <w:rFonts w:cstheme="minorHAnsi"/>
          <w:color w:val="000000"/>
        </w:rPr>
        <w:t>,</w:t>
      </w:r>
      <w:r w:rsidR="00C1526E" w:rsidRPr="007C5FD5">
        <w:rPr>
          <w:rFonts w:cstheme="minorHAnsi"/>
          <w:color w:val="000000"/>
        </w:rPr>
        <w:t xml:space="preserve"> </w:t>
      </w:r>
      <w:r w:rsidR="008518C6" w:rsidRPr="007C5FD5">
        <w:rPr>
          <w:rFonts w:cstheme="minorHAnsi"/>
          <w:color w:val="000000"/>
        </w:rPr>
        <w:t>and its</w:t>
      </w:r>
      <w:r w:rsidR="00D66312" w:rsidRPr="007C5FD5">
        <w:rPr>
          <w:rFonts w:cstheme="minorHAnsi"/>
          <w:color w:val="000000"/>
        </w:rPr>
        <w:t xml:space="preserve"> relatively</w:t>
      </w:r>
      <w:r w:rsidR="008518C6" w:rsidRPr="007C5FD5">
        <w:rPr>
          <w:rFonts w:cstheme="minorHAnsi"/>
          <w:color w:val="000000"/>
        </w:rPr>
        <w:t xml:space="preserve"> recent elevation to a legal </w:t>
      </w:r>
      <w:r w:rsidR="000E6C98" w:rsidRPr="007C5FD5">
        <w:rPr>
          <w:rFonts w:cstheme="minorHAnsi"/>
          <w:color w:val="000000"/>
        </w:rPr>
        <w:t>obligation</w:t>
      </w:r>
      <w:r w:rsidR="008518C6" w:rsidRPr="007C5FD5">
        <w:rPr>
          <w:rFonts w:cstheme="minorHAnsi"/>
          <w:color w:val="000000"/>
        </w:rPr>
        <w:t xml:space="preserve"> </w:t>
      </w:r>
      <w:r w:rsidR="00A63054" w:rsidRPr="007C5FD5">
        <w:rPr>
          <w:rFonts w:cstheme="minorHAnsi"/>
          <w:color w:val="000000"/>
        </w:rPr>
        <w:t xml:space="preserve">in the jurisprudence </w:t>
      </w:r>
      <w:r w:rsidR="00FD33F2" w:rsidRPr="007C5FD5">
        <w:rPr>
          <w:rFonts w:cstheme="minorHAnsi"/>
          <w:color w:val="000000"/>
        </w:rPr>
        <w:t xml:space="preserve">of </w:t>
      </w:r>
      <w:r w:rsidRPr="007C5FD5">
        <w:rPr>
          <w:rFonts w:cstheme="minorHAnsi"/>
          <w:color w:val="000000"/>
        </w:rPr>
        <w:t>England and Wales</w:t>
      </w:r>
      <w:r w:rsidR="00224BEC" w:rsidRPr="007C5FD5">
        <w:rPr>
          <w:rFonts w:cstheme="minorHAnsi"/>
          <w:color w:val="000000"/>
        </w:rPr>
        <w:t xml:space="preserve"> </w:t>
      </w:r>
      <w:r w:rsidR="0004585A" w:rsidRPr="007C5FD5">
        <w:rPr>
          <w:rFonts w:cstheme="minorHAnsi"/>
          <w:color w:val="000000"/>
        </w:rPr>
        <w:t xml:space="preserve">and the European Court of Human Right. </w:t>
      </w:r>
      <w:r w:rsidR="008518C6" w:rsidRPr="007C5FD5">
        <w:rPr>
          <w:rFonts w:cstheme="minorHAnsi"/>
          <w:color w:val="000000"/>
        </w:rPr>
        <w:t>The</w:t>
      </w:r>
      <w:r w:rsidR="004D4D61" w:rsidRPr="007C5FD5">
        <w:rPr>
          <w:rFonts w:cstheme="minorHAnsi"/>
          <w:color w:val="000000"/>
        </w:rPr>
        <w:t xml:space="preserve"> </w:t>
      </w:r>
      <w:r w:rsidR="00AC3702" w:rsidRPr="007C5FD5">
        <w:rPr>
          <w:rFonts w:cstheme="minorHAnsi"/>
          <w:color w:val="000000"/>
        </w:rPr>
        <w:t>legal duty’s provenance in</w:t>
      </w:r>
      <w:r w:rsidR="004D4D61" w:rsidRPr="007C5FD5">
        <w:rPr>
          <w:rFonts w:cstheme="minorHAnsi"/>
          <w:color w:val="000000"/>
        </w:rPr>
        <w:t xml:space="preserve"> the </w:t>
      </w:r>
      <w:r w:rsidR="0089408B" w:rsidRPr="007C5FD5">
        <w:rPr>
          <w:rFonts w:cstheme="minorHAnsi"/>
          <w:color w:val="000000"/>
        </w:rPr>
        <w:t>Oath</w:t>
      </w:r>
      <w:r w:rsidR="004D4D61" w:rsidRPr="007C5FD5">
        <w:rPr>
          <w:rFonts w:cstheme="minorHAnsi"/>
          <w:color w:val="000000"/>
        </w:rPr>
        <w:t xml:space="preserve">, as </w:t>
      </w:r>
      <w:r w:rsidR="00BD75C6" w:rsidRPr="007C5FD5">
        <w:rPr>
          <w:rFonts w:cstheme="minorHAnsi"/>
          <w:color w:val="000000"/>
        </w:rPr>
        <w:t>a</w:t>
      </w:r>
      <w:r w:rsidR="00D17FAD" w:rsidRPr="007C5FD5">
        <w:rPr>
          <w:rFonts w:cstheme="minorHAnsi"/>
          <w:color w:val="000000"/>
        </w:rPr>
        <w:t>n original</w:t>
      </w:r>
      <w:r w:rsidR="004D4D61" w:rsidRPr="007C5FD5">
        <w:rPr>
          <w:rFonts w:cstheme="minorHAnsi"/>
          <w:color w:val="000000"/>
        </w:rPr>
        <w:t xml:space="preserve"> </w:t>
      </w:r>
      <w:r w:rsidR="00BD75C6" w:rsidRPr="007C5FD5">
        <w:rPr>
          <w:rFonts w:cstheme="minorHAnsi"/>
          <w:color w:val="000000"/>
        </w:rPr>
        <w:t xml:space="preserve">site of </w:t>
      </w:r>
      <w:r w:rsidR="004D4D61" w:rsidRPr="007C5FD5">
        <w:rPr>
          <w:rFonts w:cstheme="minorHAnsi"/>
          <w:color w:val="000000"/>
        </w:rPr>
        <w:t xml:space="preserve">information privacy, </w:t>
      </w:r>
      <w:r w:rsidR="008518C6" w:rsidRPr="007C5FD5">
        <w:rPr>
          <w:rFonts w:cstheme="minorHAnsi"/>
          <w:color w:val="000000"/>
        </w:rPr>
        <w:t xml:space="preserve">reveals its primary role as a trust mechanism between doctor and patient </w:t>
      </w:r>
      <w:r w:rsidR="00A63054" w:rsidRPr="007C5FD5">
        <w:rPr>
          <w:rFonts w:cstheme="minorHAnsi"/>
        </w:rPr>
        <w:t>based on a reciprocity of interests</w:t>
      </w:r>
      <w:r w:rsidR="008518C6" w:rsidRPr="007C5FD5">
        <w:rPr>
          <w:rFonts w:cstheme="minorHAnsi"/>
        </w:rPr>
        <w:t>. Yet, it is its</w:t>
      </w:r>
      <w:r w:rsidR="00BD75C6" w:rsidRPr="007C5FD5">
        <w:rPr>
          <w:rFonts w:cstheme="minorHAnsi"/>
        </w:rPr>
        <w:t xml:space="preserve"> role</w:t>
      </w:r>
      <w:r w:rsidR="00C1526E" w:rsidRPr="007C5FD5">
        <w:rPr>
          <w:rFonts w:cstheme="minorHAnsi"/>
        </w:rPr>
        <w:t xml:space="preserve"> </w:t>
      </w:r>
      <w:r w:rsidR="008518C6" w:rsidRPr="007C5FD5">
        <w:rPr>
          <w:rFonts w:cstheme="minorHAnsi"/>
        </w:rPr>
        <w:t>as</w:t>
      </w:r>
      <w:r w:rsidR="00BD75C6" w:rsidRPr="007C5FD5">
        <w:rPr>
          <w:rFonts w:cstheme="minorHAnsi"/>
        </w:rPr>
        <w:t xml:space="preserve"> an </w:t>
      </w:r>
      <w:r w:rsidR="00A63054" w:rsidRPr="007C5FD5">
        <w:rPr>
          <w:rFonts w:cstheme="minorHAnsi"/>
        </w:rPr>
        <w:t>institutional</w:t>
      </w:r>
      <w:r w:rsidR="009A5903" w:rsidRPr="007C5FD5">
        <w:rPr>
          <w:rFonts w:cstheme="minorHAnsi"/>
        </w:rPr>
        <w:t xml:space="preserve"> </w:t>
      </w:r>
      <w:r w:rsidR="008518C6" w:rsidRPr="007C5FD5">
        <w:rPr>
          <w:rFonts w:cstheme="minorHAnsi"/>
        </w:rPr>
        <w:t>kitemark</w:t>
      </w:r>
      <w:r w:rsidR="009A5903" w:rsidRPr="007C5FD5">
        <w:rPr>
          <w:rFonts w:cstheme="minorHAnsi"/>
        </w:rPr>
        <w:t xml:space="preserve"> and </w:t>
      </w:r>
      <w:r w:rsidR="000E6C98" w:rsidRPr="007C5FD5">
        <w:rPr>
          <w:rFonts w:cstheme="minorHAnsi"/>
        </w:rPr>
        <w:t xml:space="preserve">its </w:t>
      </w:r>
      <w:r w:rsidR="00BD75C6" w:rsidRPr="007C5FD5">
        <w:rPr>
          <w:rFonts w:cstheme="minorHAnsi"/>
        </w:rPr>
        <w:t xml:space="preserve">secondary </w:t>
      </w:r>
      <w:r w:rsidR="00A63054" w:rsidRPr="007C5FD5">
        <w:rPr>
          <w:rFonts w:cstheme="minorHAnsi"/>
        </w:rPr>
        <w:t>protecti</w:t>
      </w:r>
      <w:r w:rsidR="008518C6" w:rsidRPr="007C5FD5">
        <w:rPr>
          <w:rFonts w:cstheme="minorHAnsi"/>
        </w:rPr>
        <w:t>v</w:t>
      </w:r>
      <w:r w:rsidR="00BD75C6" w:rsidRPr="007C5FD5">
        <w:rPr>
          <w:rFonts w:cstheme="minorHAnsi"/>
        </w:rPr>
        <w:t>e</w:t>
      </w:r>
      <w:r w:rsidR="008518C6" w:rsidRPr="007C5FD5">
        <w:rPr>
          <w:rFonts w:cstheme="minorHAnsi"/>
        </w:rPr>
        <w:t xml:space="preserve"> </w:t>
      </w:r>
      <w:r w:rsidR="00C1526E" w:rsidRPr="007C5FD5">
        <w:rPr>
          <w:rFonts w:cstheme="minorHAnsi"/>
        </w:rPr>
        <w:t>cloak</w:t>
      </w:r>
      <w:r w:rsidR="00A63054" w:rsidRPr="007C5FD5">
        <w:rPr>
          <w:rFonts w:cstheme="minorHAnsi"/>
        </w:rPr>
        <w:t xml:space="preserve"> </w:t>
      </w:r>
      <w:r w:rsidR="00BD75C6" w:rsidRPr="007C5FD5">
        <w:rPr>
          <w:rFonts w:cstheme="minorHAnsi"/>
        </w:rPr>
        <w:t>of</w:t>
      </w:r>
      <w:r w:rsidR="00D648DB" w:rsidRPr="007C5FD5">
        <w:rPr>
          <w:rFonts w:cstheme="minorHAnsi"/>
        </w:rPr>
        <w:t xml:space="preserve"> </w:t>
      </w:r>
      <w:r w:rsidR="00A63054" w:rsidRPr="007C5FD5">
        <w:rPr>
          <w:rFonts w:cstheme="minorHAnsi"/>
        </w:rPr>
        <w:t>duty bearer</w:t>
      </w:r>
      <w:r w:rsidR="00D648DB" w:rsidRPr="007C5FD5">
        <w:rPr>
          <w:rFonts w:cstheme="minorHAnsi"/>
        </w:rPr>
        <w:t>s</w:t>
      </w:r>
      <w:r w:rsidR="00C1526E" w:rsidRPr="007C5FD5">
        <w:rPr>
          <w:rFonts w:cstheme="minorHAnsi"/>
        </w:rPr>
        <w:t xml:space="preserve"> </w:t>
      </w:r>
      <w:r w:rsidR="008518C6" w:rsidRPr="007C5FD5">
        <w:rPr>
          <w:rFonts w:cstheme="minorHAnsi"/>
        </w:rPr>
        <w:t>that</w:t>
      </w:r>
      <w:r w:rsidR="00A63054" w:rsidRPr="007C5FD5">
        <w:rPr>
          <w:rFonts w:cstheme="minorHAnsi"/>
        </w:rPr>
        <w:t xml:space="preserve"> signal</w:t>
      </w:r>
      <w:r w:rsidR="00D17FAD" w:rsidRPr="007C5FD5">
        <w:rPr>
          <w:rFonts w:cstheme="minorHAnsi"/>
        </w:rPr>
        <w:t>s</w:t>
      </w:r>
      <w:r w:rsidR="00D648DB" w:rsidRPr="007C5FD5">
        <w:rPr>
          <w:rFonts w:cstheme="minorHAnsi"/>
        </w:rPr>
        <w:t xml:space="preserve"> </w:t>
      </w:r>
      <w:r w:rsidR="00A63054" w:rsidRPr="007C5FD5">
        <w:rPr>
          <w:rFonts w:cstheme="minorHAnsi"/>
        </w:rPr>
        <w:t>more</w:t>
      </w:r>
      <w:r w:rsidR="00D66312" w:rsidRPr="007C5FD5">
        <w:rPr>
          <w:rFonts w:cstheme="minorHAnsi"/>
        </w:rPr>
        <w:t xml:space="preserve"> </w:t>
      </w:r>
      <w:r w:rsidR="00A63054" w:rsidRPr="007C5FD5">
        <w:rPr>
          <w:rFonts w:cstheme="minorHAnsi"/>
        </w:rPr>
        <w:t>multi-layered operational dynamics.</w:t>
      </w:r>
      <w:r w:rsidR="008F0E0C" w:rsidRPr="007C5FD5">
        <w:rPr>
          <w:rFonts w:cstheme="minorHAnsi"/>
        </w:rPr>
        <w:t xml:space="preserve"> </w:t>
      </w:r>
      <w:r w:rsidR="00A63054" w:rsidRPr="007C5FD5">
        <w:rPr>
          <w:rFonts w:cstheme="minorHAnsi"/>
        </w:rPr>
        <w:t>The post-mortem continuation of the duty in turn brings the</w:t>
      </w:r>
      <w:r w:rsidR="00D66312" w:rsidRPr="007C5FD5">
        <w:rPr>
          <w:rFonts w:cstheme="minorHAnsi"/>
        </w:rPr>
        <w:t>se</w:t>
      </w:r>
      <w:r w:rsidR="00C1526E" w:rsidRPr="007C5FD5">
        <w:rPr>
          <w:rFonts w:cstheme="minorHAnsi"/>
        </w:rPr>
        <w:t xml:space="preserve"> </w:t>
      </w:r>
      <w:r w:rsidR="00A63054" w:rsidRPr="007C5FD5">
        <w:rPr>
          <w:rFonts w:cstheme="minorHAnsi"/>
        </w:rPr>
        <w:t xml:space="preserve">other </w:t>
      </w:r>
      <w:r w:rsidR="00455305" w:rsidRPr="007C5FD5">
        <w:rPr>
          <w:rFonts w:cstheme="minorHAnsi"/>
        </w:rPr>
        <w:t>interests</w:t>
      </w:r>
      <w:r w:rsidR="00A63054" w:rsidRPr="007C5FD5">
        <w:rPr>
          <w:rFonts w:cstheme="minorHAnsi"/>
        </w:rPr>
        <w:t xml:space="preserve"> </w:t>
      </w:r>
      <w:r w:rsidR="00455305" w:rsidRPr="007C5FD5">
        <w:rPr>
          <w:rFonts w:cstheme="minorHAnsi"/>
        </w:rPr>
        <w:t xml:space="preserve">and </w:t>
      </w:r>
      <w:r w:rsidR="00A63054" w:rsidRPr="007C5FD5">
        <w:rPr>
          <w:rFonts w:cstheme="minorHAnsi"/>
        </w:rPr>
        <w:t xml:space="preserve">relationships </w:t>
      </w:r>
      <w:r w:rsidR="008F0E0C" w:rsidRPr="007C5FD5">
        <w:rPr>
          <w:rFonts w:cstheme="minorHAnsi"/>
        </w:rPr>
        <w:t>to the surface</w:t>
      </w:r>
      <w:r w:rsidR="00A63054" w:rsidRPr="007C5FD5">
        <w:rPr>
          <w:rFonts w:cstheme="minorHAnsi"/>
        </w:rPr>
        <w:t xml:space="preserve">. </w:t>
      </w:r>
      <w:r w:rsidR="00C1526E" w:rsidRPr="007C5FD5">
        <w:rPr>
          <w:rFonts w:cstheme="minorHAnsi"/>
          <w:i/>
          <w:iCs/>
        </w:rPr>
        <w:t>Second,</w:t>
      </w:r>
      <w:r w:rsidR="00C1526E" w:rsidRPr="007C5FD5">
        <w:rPr>
          <w:rFonts w:cstheme="minorHAnsi"/>
        </w:rPr>
        <w:t xml:space="preserve"> the paper</w:t>
      </w:r>
      <w:r w:rsidR="00E959B6" w:rsidRPr="007C5FD5">
        <w:rPr>
          <w:rFonts w:cstheme="minorHAnsi"/>
        </w:rPr>
        <w:t xml:space="preserve"> argues</w:t>
      </w:r>
      <w:r w:rsidR="00D66312" w:rsidRPr="007C5FD5">
        <w:rPr>
          <w:rFonts w:cstheme="minorHAnsi"/>
        </w:rPr>
        <w:t xml:space="preserve"> </w:t>
      </w:r>
      <w:r w:rsidR="00C1526E" w:rsidRPr="007C5FD5">
        <w:rPr>
          <w:rFonts w:cstheme="minorHAnsi"/>
        </w:rPr>
        <w:t>that medical confidentiality is</w:t>
      </w:r>
      <w:r w:rsidR="000E6C98" w:rsidRPr="007C5FD5">
        <w:rPr>
          <w:rFonts w:cstheme="minorHAnsi"/>
        </w:rPr>
        <w:t xml:space="preserve"> </w:t>
      </w:r>
      <w:r w:rsidR="00C1526E" w:rsidRPr="007C5FD5">
        <w:rPr>
          <w:rFonts w:cstheme="minorHAnsi"/>
          <w:color w:val="000000"/>
        </w:rPr>
        <w:t xml:space="preserve">the poster child of information </w:t>
      </w:r>
      <w:r w:rsidR="00D66312" w:rsidRPr="007C5FD5">
        <w:rPr>
          <w:rFonts w:cstheme="minorHAnsi"/>
          <w:color w:val="000000"/>
        </w:rPr>
        <w:t>privacy</w:t>
      </w:r>
      <w:r w:rsidR="006172A1" w:rsidRPr="007C5FD5">
        <w:rPr>
          <w:rFonts w:cstheme="minorHAnsi"/>
          <w:color w:val="000000"/>
        </w:rPr>
        <w:t xml:space="preserve">, whether constructed </w:t>
      </w:r>
      <w:r w:rsidR="000E6C98" w:rsidRPr="007C5FD5">
        <w:rPr>
          <w:rFonts w:cstheme="minorHAnsi"/>
          <w:color w:val="000000"/>
        </w:rPr>
        <w:t>as</w:t>
      </w:r>
      <w:r w:rsidR="008F0E0C" w:rsidRPr="007C5FD5">
        <w:rPr>
          <w:rFonts w:cstheme="minorHAnsi"/>
          <w:color w:val="000000"/>
        </w:rPr>
        <w:t xml:space="preserve"> a quasi-</w:t>
      </w:r>
      <w:r w:rsidR="00C1526E" w:rsidRPr="007C5FD5">
        <w:rPr>
          <w:rFonts w:cstheme="minorHAnsi"/>
          <w:color w:val="000000"/>
        </w:rPr>
        <w:t xml:space="preserve">proprietary </w:t>
      </w:r>
      <w:r w:rsidR="004103B1" w:rsidRPr="007C5FD5">
        <w:rPr>
          <w:rFonts w:cstheme="minorHAnsi"/>
          <w:color w:val="000000"/>
        </w:rPr>
        <w:t xml:space="preserve">right </w:t>
      </w:r>
      <w:r w:rsidR="00C1526E" w:rsidRPr="007C5FD5">
        <w:rPr>
          <w:rFonts w:cstheme="minorHAnsi"/>
          <w:color w:val="000000"/>
        </w:rPr>
        <w:t>or shield for ‘embodied vulnerability’</w:t>
      </w:r>
      <w:r w:rsidR="000E6C98" w:rsidRPr="007C5FD5">
        <w:rPr>
          <w:rFonts w:cstheme="minorHAnsi"/>
          <w:color w:val="000000"/>
        </w:rPr>
        <w:t xml:space="preserve">. Whilst either conception </w:t>
      </w:r>
      <w:r w:rsidR="00DD1727" w:rsidRPr="007C5FD5">
        <w:rPr>
          <w:rFonts w:cstheme="minorHAnsi"/>
          <w:color w:val="000000"/>
        </w:rPr>
        <w:t>betray</w:t>
      </w:r>
      <w:r w:rsidR="000E6C98" w:rsidRPr="007C5FD5">
        <w:rPr>
          <w:rFonts w:cstheme="minorHAnsi"/>
          <w:color w:val="000000"/>
        </w:rPr>
        <w:t xml:space="preserve">s </w:t>
      </w:r>
      <w:r w:rsidR="00E959B6" w:rsidRPr="007C5FD5">
        <w:rPr>
          <w:rFonts w:cstheme="minorHAnsi"/>
          <w:color w:val="000000"/>
        </w:rPr>
        <w:t xml:space="preserve">privacy’s </w:t>
      </w:r>
      <w:r w:rsidR="00DD1727" w:rsidRPr="007C5FD5">
        <w:rPr>
          <w:rFonts w:cstheme="minorHAnsi"/>
          <w:color w:val="000000"/>
        </w:rPr>
        <w:t>orientation</w:t>
      </w:r>
      <w:r w:rsidR="000E6C98" w:rsidRPr="007C5FD5">
        <w:rPr>
          <w:rFonts w:cstheme="minorHAnsi"/>
          <w:color w:val="000000"/>
        </w:rPr>
        <w:t xml:space="preserve"> </w:t>
      </w:r>
      <w:r w:rsidR="00DD1727" w:rsidRPr="007C5FD5">
        <w:rPr>
          <w:rFonts w:cstheme="minorHAnsi"/>
          <w:color w:val="000000"/>
        </w:rPr>
        <w:t>towards the living</w:t>
      </w:r>
      <w:r w:rsidR="000E6C98" w:rsidRPr="007C5FD5">
        <w:rPr>
          <w:rFonts w:cstheme="minorHAnsi"/>
          <w:color w:val="000000"/>
        </w:rPr>
        <w:t xml:space="preserve">, the </w:t>
      </w:r>
      <w:r w:rsidR="00B543E9" w:rsidRPr="007C5FD5">
        <w:rPr>
          <w:rFonts w:cstheme="minorHAnsi"/>
        </w:rPr>
        <w:t xml:space="preserve">post-mortem </w:t>
      </w:r>
      <w:r w:rsidR="000E6C98" w:rsidRPr="007C5FD5">
        <w:rPr>
          <w:rFonts w:cstheme="minorHAnsi"/>
        </w:rPr>
        <w:t>survival</w:t>
      </w:r>
      <w:r w:rsidR="00B543E9" w:rsidRPr="007C5FD5">
        <w:rPr>
          <w:rFonts w:cstheme="minorHAnsi"/>
        </w:rPr>
        <w:t xml:space="preserve"> of </w:t>
      </w:r>
      <w:r w:rsidR="000E6C98" w:rsidRPr="007C5FD5">
        <w:rPr>
          <w:rFonts w:cstheme="minorHAnsi"/>
        </w:rPr>
        <w:t xml:space="preserve">medical </w:t>
      </w:r>
      <w:r w:rsidR="000E6C98" w:rsidRPr="007C5FD5">
        <w:rPr>
          <w:rFonts w:cstheme="minorHAnsi"/>
        </w:rPr>
        <w:lastRenderedPageBreak/>
        <w:t>privacy</w:t>
      </w:r>
      <w:r w:rsidR="00B543E9" w:rsidRPr="007C5FD5">
        <w:rPr>
          <w:rFonts w:cstheme="minorHAnsi"/>
        </w:rPr>
        <w:t xml:space="preserve"> </w:t>
      </w:r>
      <w:r w:rsidR="000E6C98" w:rsidRPr="007C5FD5">
        <w:rPr>
          <w:rFonts w:cstheme="minorHAnsi"/>
        </w:rPr>
        <w:t>reveals</w:t>
      </w:r>
      <w:r w:rsidR="00E959B6" w:rsidRPr="007C5FD5">
        <w:rPr>
          <w:rFonts w:cstheme="minorHAnsi"/>
        </w:rPr>
        <w:t xml:space="preserve"> its</w:t>
      </w:r>
      <w:r w:rsidR="00B543E9" w:rsidRPr="007C5FD5">
        <w:rPr>
          <w:rFonts w:cstheme="minorHAnsi"/>
        </w:rPr>
        <w:t xml:space="preserve"> </w:t>
      </w:r>
      <w:r w:rsidR="000E6C98" w:rsidRPr="007C5FD5">
        <w:rPr>
          <w:rFonts w:cstheme="minorHAnsi"/>
        </w:rPr>
        <w:t>interlocking</w:t>
      </w:r>
      <w:r w:rsidR="00B543E9" w:rsidRPr="007C5FD5">
        <w:rPr>
          <w:rFonts w:cstheme="minorHAnsi"/>
        </w:rPr>
        <w:t xml:space="preserve"> relationships</w:t>
      </w:r>
      <w:r w:rsidR="000E6C98" w:rsidRPr="007C5FD5">
        <w:rPr>
          <w:rFonts w:cstheme="minorHAnsi"/>
        </w:rPr>
        <w:t xml:space="preserve"> of mutual dependencies and attendant harm potentials. </w:t>
      </w:r>
      <w:r w:rsidR="00226C90">
        <w:rPr>
          <w:rFonts w:cstheme="minorHAnsi"/>
        </w:rPr>
        <w:t>The</w:t>
      </w:r>
      <w:r w:rsidR="00B543E9" w:rsidRPr="007C5FD5">
        <w:rPr>
          <w:rFonts w:cstheme="minorHAnsi"/>
        </w:rPr>
        <w:t xml:space="preserve"> post-mortemness amplifies that information privacy can rarely </w:t>
      </w:r>
      <w:proofErr w:type="gramStart"/>
      <w:r w:rsidR="00B543E9" w:rsidRPr="007C5FD5">
        <w:rPr>
          <w:rFonts w:cstheme="minorHAnsi"/>
        </w:rPr>
        <w:t>be located in</w:t>
      </w:r>
      <w:proofErr w:type="gramEnd"/>
      <w:r w:rsidR="00B543E9" w:rsidRPr="007C5FD5">
        <w:rPr>
          <w:rFonts w:cstheme="minorHAnsi"/>
        </w:rPr>
        <w:t xml:space="preserve"> an isolated, singular binary relationship between a duty bearer and a rightsholder but is entangled in the great messy sociality of life</w:t>
      </w:r>
      <w:r w:rsidR="00EA7BD9">
        <w:rPr>
          <w:rFonts w:cstheme="minorHAnsi"/>
        </w:rPr>
        <w:t>. The</w:t>
      </w:r>
      <w:r w:rsidR="00B543E9" w:rsidRPr="007C5FD5">
        <w:rPr>
          <w:rFonts w:cstheme="minorHAnsi"/>
        </w:rPr>
        <w:t xml:space="preserve"> multiple overlapping, </w:t>
      </w:r>
      <w:r w:rsidR="00D320A4" w:rsidRPr="007C5FD5">
        <w:rPr>
          <w:rFonts w:cstheme="minorHAnsi"/>
        </w:rPr>
        <w:t>inter</w:t>
      </w:r>
      <w:r w:rsidR="00B543E9" w:rsidRPr="007C5FD5">
        <w:rPr>
          <w:rFonts w:cstheme="minorHAnsi"/>
        </w:rPr>
        <w:t xml:space="preserve">dependent </w:t>
      </w:r>
      <w:r w:rsidR="00D320A4" w:rsidRPr="007C5FD5">
        <w:rPr>
          <w:rFonts w:cstheme="minorHAnsi"/>
        </w:rPr>
        <w:t xml:space="preserve">or </w:t>
      </w:r>
      <w:r w:rsidR="00B543E9" w:rsidRPr="007C5FD5">
        <w:rPr>
          <w:rFonts w:cstheme="minorHAnsi"/>
        </w:rPr>
        <w:t>conflicting relationships of relative trust</w:t>
      </w:r>
      <w:r w:rsidR="00827497" w:rsidRPr="007C5FD5">
        <w:rPr>
          <w:rFonts w:cstheme="minorHAnsi"/>
        </w:rPr>
        <w:t xml:space="preserve"> may</w:t>
      </w:r>
      <w:r w:rsidR="00B543E9" w:rsidRPr="007C5FD5">
        <w:rPr>
          <w:rFonts w:cstheme="minorHAnsi"/>
        </w:rPr>
        <w:t xml:space="preserve"> - upon the death of the primary rightsholder – make an appearance </w:t>
      </w:r>
      <w:r w:rsidR="00827497" w:rsidRPr="007C5FD5">
        <w:rPr>
          <w:rFonts w:cstheme="minorHAnsi"/>
        </w:rPr>
        <w:t xml:space="preserve">as competing claims on her </w:t>
      </w:r>
      <w:r w:rsidR="00A43178" w:rsidRPr="007C5FD5">
        <w:rPr>
          <w:rFonts w:cstheme="minorHAnsi"/>
        </w:rPr>
        <w:t xml:space="preserve">legacies </w:t>
      </w:r>
      <w:r w:rsidR="00827497" w:rsidRPr="007C5FD5">
        <w:rPr>
          <w:rFonts w:cstheme="minorHAnsi"/>
        </w:rPr>
        <w:t>and incidentally</w:t>
      </w:r>
      <w:r w:rsidR="00226C90">
        <w:rPr>
          <w:rFonts w:cstheme="minorHAnsi"/>
        </w:rPr>
        <w:t xml:space="preserve"> and reflexively</w:t>
      </w:r>
      <w:r w:rsidR="00827497" w:rsidRPr="007C5FD5">
        <w:rPr>
          <w:rFonts w:cstheme="minorHAnsi"/>
        </w:rPr>
        <w:t xml:space="preserve"> ‘carry’ </w:t>
      </w:r>
      <w:r w:rsidR="00A43178" w:rsidRPr="007C5FD5">
        <w:rPr>
          <w:rFonts w:cstheme="minorHAnsi"/>
        </w:rPr>
        <w:t xml:space="preserve">her </w:t>
      </w:r>
      <w:r w:rsidR="00827497" w:rsidRPr="007C5FD5">
        <w:rPr>
          <w:rFonts w:cstheme="minorHAnsi"/>
        </w:rPr>
        <w:t>post-mortem privacy</w:t>
      </w:r>
      <w:r w:rsidR="00A43178" w:rsidRPr="007C5FD5">
        <w:rPr>
          <w:rFonts w:cstheme="minorHAnsi"/>
        </w:rPr>
        <w:t>.</w:t>
      </w:r>
      <w:r w:rsidR="00DE11B3" w:rsidRPr="007C5FD5">
        <w:rPr>
          <w:rFonts w:cstheme="minorHAnsi"/>
        </w:rPr>
        <w:t xml:space="preserve"> </w:t>
      </w:r>
      <w:r w:rsidR="00D66312" w:rsidRPr="007C5FD5">
        <w:rPr>
          <w:rFonts w:cstheme="minorHAnsi"/>
        </w:rPr>
        <w:t>How these</w:t>
      </w:r>
      <w:r w:rsidR="00827497" w:rsidRPr="007C5FD5">
        <w:rPr>
          <w:rFonts w:cstheme="minorHAnsi"/>
        </w:rPr>
        <w:t xml:space="preserve"> competing claims</w:t>
      </w:r>
      <w:r w:rsidR="00D66312" w:rsidRPr="007C5FD5">
        <w:rPr>
          <w:rFonts w:cstheme="minorHAnsi"/>
        </w:rPr>
        <w:t xml:space="preserve"> are ultimately resolved speaks to the cultural</w:t>
      </w:r>
      <w:r w:rsidR="00BA0AF8" w:rsidRPr="007C5FD5">
        <w:rPr>
          <w:rFonts w:cstheme="minorHAnsi"/>
        </w:rPr>
        <w:t xml:space="preserve"> and</w:t>
      </w:r>
      <w:r w:rsidR="00D66312" w:rsidRPr="007C5FD5">
        <w:rPr>
          <w:rFonts w:cstheme="minorHAnsi"/>
        </w:rPr>
        <w:t xml:space="preserve"> socio-economic understanding of a society of itself, and the relative weight it attaches to familial, </w:t>
      </w:r>
      <w:proofErr w:type="gramStart"/>
      <w:r w:rsidR="00D66312" w:rsidRPr="007C5FD5">
        <w:rPr>
          <w:rFonts w:cstheme="minorHAnsi"/>
        </w:rPr>
        <w:t>social</w:t>
      </w:r>
      <w:proofErr w:type="gramEnd"/>
      <w:r w:rsidR="00D66312" w:rsidRPr="007C5FD5">
        <w:rPr>
          <w:rFonts w:cstheme="minorHAnsi"/>
        </w:rPr>
        <w:t xml:space="preserve"> and economic unit</w:t>
      </w:r>
      <w:r w:rsidR="00455305" w:rsidRPr="007C5FD5">
        <w:rPr>
          <w:rFonts w:cstheme="minorHAnsi"/>
        </w:rPr>
        <w:t>s</w:t>
      </w:r>
      <w:r w:rsidR="00BA0AF8" w:rsidRPr="007C5FD5">
        <w:rPr>
          <w:rFonts w:cstheme="minorHAnsi"/>
        </w:rPr>
        <w:t xml:space="preserve">. In any event, </w:t>
      </w:r>
      <w:proofErr w:type="gramStart"/>
      <w:r w:rsidR="00BA0AF8" w:rsidRPr="007C5FD5">
        <w:rPr>
          <w:rFonts w:cstheme="minorHAnsi"/>
        </w:rPr>
        <w:t>it</w:t>
      </w:r>
      <w:r w:rsidR="00455305" w:rsidRPr="007C5FD5">
        <w:rPr>
          <w:rFonts w:cstheme="minorHAnsi"/>
        </w:rPr>
        <w:t xml:space="preserve"> goes to show that privacy</w:t>
      </w:r>
      <w:proofErr w:type="gramEnd"/>
      <w:r w:rsidR="00455305" w:rsidRPr="007C5FD5">
        <w:rPr>
          <w:rFonts w:cstheme="minorHAnsi"/>
        </w:rPr>
        <w:t xml:space="preserve"> is after all deeply social</w:t>
      </w:r>
      <w:r w:rsidR="00D66312" w:rsidRPr="007C5FD5">
        <w:rPr>
          <w:rFonts w:cstheme="minorHAnsi"/>
        </w:rPr>
        <w:t>.</w:t>
      </w:r>
    </w:p>
    <w:p w14:paraId="6FBA242C" w14:textId="77777777" w:rsidR="00D63A8F" w:rsidRPr="007C5FD5" w:rsidRDefault="00D63A8F" w:rsidP="00FD77D8">
      <w:pPr>
        <w:autoSpaceDE w:val="0"/>
        <w:autoSpaceDN w:val="0"/>
        <w:adjustRightInd w:val="0"/>
        <w:spacing w:after="0" w:line="240" w:lineRule="auto"/>
        <w:jc w:val="both"/>
        <w:rPr>
          <w:rFonts w:cstheme="minorHAnsi"/>
          <w:color w:val="000000"/>
        </w:rPr>
      </w:pPr>
    </w:p>
    <w:p w14:paraId="1CF81BD9" w14:textId="70831BBD" w:rsidR="00787F01" w:rsidRPr="007C5FD5" w:rsidRDefault="00C461C0" w:rsidP="00FD77D8">
      <w:pPr>
        <w:pStyle w:val="Heading1"/>
        <w:numPr>
          <w:ilvl w:val="0"/>
          <w:numId w:val="2"/>
        </w:numPr>
        <w:spacing w:before="0" w:line="240" w:lineRule="auto"/>
        <w:jc w:val="both"/>
        <w:rPr>
          <w:rFonts w:asciiTheme="minorHAnsi" w:eastAsia="Times New Roman" w:hAnsiTheme="minorHAnsi" w:cstheme="minorHAnsi"/>
          <w:lang w:eastAsia="en-GB"/>
        </w:rPr>
      </w:pPr>
      <w:bookmarkStart w:id="4" w:name="_Toc104129815"/>
      <w:bookmarkStart w:id="5" w:name="_Toc105945043"/>
      <w:r w:rsidRPr="007C5FD5">
        <w:rPr>
          <w:rFonts w:asciiTheme="minorHAnsi" w:eastAsia="Times New Roman" w:hAnsiTheme="minorHAnsi" w:cstheme="minorHAnsi"/>
          <w:lang w:eastAsia="en-GB"/>
        </w:rPr>
        <w:t xml:space="preserve">Post-Mortem </w:t>
      </w:r>
      <w:r w:rsidR="00A41127" w:rsidRPr="007C5FD5">
        <w:rPr>
          <w:rFonts w:asciiTheme="minorHAnsi" w:eastAsia="Times New Roman" w:hAnsiTheme="minorHAnsi" w:cstheme="minorHAnsi"/>
          <w:lang w:eastAsia="en-GB"/>
        </w:rPr>
        <w:t>Medical Confiden</w:t>
      </w:r>
      <w:r w:rsidR="003F4768" w:rsidRPr="007C5FD5">
        <w:rPr>
          <w:rFonts w:asciiTheme="minorHAnsi" w:eastAsia="Times New Roman" w:hAnsiTheme="minorHAnsi" w:cstheme="minorHAnsi"/>
          <w:lang w:eastAsia="en-GB"/>
        </w:rPr>
        <w:t>tiality</w:t>
      </w:r>
      <w:r w:rsidR="0084487F" w:rsidRPr="007C5FD5">
        <w:rPr>
          <w:rFonts w:asciiTheme="minorHAnsi" w:eastAsia="Times New Roman" w:hAnsiTheme="minorHAnsi" w:cstheme="minorHAnsi"/>
          <w:lang w:eastAsia="en-GB"/>
        </w:rPr>
        <w:t xml:space="preserve"> -</w:t>
      </w:r>
      <w:r w:rsidR="004D4D61" w:rsidRPr="007C5FD5">
        <w:rPr>
          <w:rFonts w:asciiTheme="minorHAnsi" w:eastAsia="Times New Roman" w:hAnsiTheme="minorHAnsi" w:cstheme="minorHAnsi"/>
          <w:lang w:eastAsia="en-GB"/>
        </w:rPr>
        <w:t xml:space="preserve"> an Industry Standard</w:t>
      </w:r>
      <w:bookmarkEnd w:id="4"/>
      <w:bookmarkEnd w:id="5"/>
      <w:r w:rsidR="000114EF" w:rsidRPr="007C5FD5">
        <w:rPr>
          <w:rFonts w:asciiTheme="minorHAnsi" w:eastAsia="Times New Roman" w:hAnsiTheme="minorHAnsi" w:cstheme="minorHAnsi"/>
          <w:lang w:eastAsia="en-GB"/>
        </w:rPr>
        <w:t xml:space="preserve"> </w:t>
      </w:r>
    </w:p>
    <w:p w14:paraId="5E5DF819" w14:textId="0EB007AA" w:rsidR="00A44CCB" w:rsidRPr="007C5FD5" w:rsidRDefault="00A44CCB" w:rsidP="00FD77D8">
      <w:pPr>
        <w:spacing w:after="0" w:line="240" w:lineRule="auto"/>
        <w:jc w:val="both"/>
        <w:rPr>
          <w:rFonts w:eastAsia="Times New Roman" w:cstheme="minorHAnsi"/>
          <w:b/>
          <w:iCs/>
          <w:lang w:eastAsia="en-GB"/>
        </w:rPr>
      </w:pPr>
    </w:p>
    <w:p w14:paraId="79C19D81" w14:textId="683947BF" w:rsidR="009F3E84" w:rsidRPr="007C5FD5" w:rsidRDefault="009F3E84" w:rsidP="00FD77D8">
      <w:pPr>
        <w:pStyle w:val="Heading2"/>
        <w:spacing w:before="0" w:line="240" w:lineRule="auto"/>
        <w:rPr>
          <w:rFonts w:asciiTheme="minorHAnsi" w:eastAsia="Times New Roman" w:hAnsiTheme="minorHAnsi" w:cstheme="minorHAnsi"/>
          <w:lang w:eastAsia="en-GB"/>
        </w:rPr>
      </w:pPr>
      <w:bookmarkStart w:id="6" w:name="_Toc104129816"/>
      <w:bookmarkStart w:id="7" w:name="_Toc105945044"/>
      <w:r w:rsidRPr="007C5FD5">
        <w:rPr>
          <w:rFonts w:asciiTheme="minorHAnsi" w:eastAsia="Times New Roman" w:hAnsiTheme="minorHAnsi" w:cstheme="minorHAnsi"/>
          <w:lang w:eastAsia="en-GB"/>
        </w:rPr>
        <w:t>2.1. From a Professional Post-Mortem Duty of Medical Confiden</w:t>
      </w:r>
      <w:r w:rsidR="00895D8A" w:rsidRPr="007C5FD5">
        <w:rPr>
          <w:rFonts w:asciiTheme="minorHAnsi" w:eastAsia="Times New Roman" w:hAnsiTheme="minorHAnsi" w:cstheme="minorHAnsi"/>
          <w:lang w:eastAsia="en-GB"/>
        </w:rPr>
        <w:t xml:space="preserve">ce </w:t>
      </w:r>
      <w:r w:rsidRPr="007C5FD5">
        <w:rPr>
          <w:rFonts w:asciiTheme="minorHAnsi" w:eastAsia="Times New Roman" w:hAnsiTheme="minorHAnsi" w:cstheme="minorHAnsi"/>
          <w:lang w:eastAsia="en-GB"/>
        </w:rPr>
        <w:t>to a Legal One</w:t>
      </w:r>
      <w:bookmarkEnd w:id="6"/>
      <w:bookmarkEnd w:id="7"/>
    </w:p>
    <w:p w14:paraId="6CC7419C" w14:textId="77777777" w:rsidR="009F3E84" w:rsidRPr="007C5FD5" w:rsidRDefault="009F3E84" w:rsidP="00FD77D8">
      <w:pPr>
        <w:spacing w:after="0" w:line="240" w:lineRule="auto"/>
        <w:jc w:val="both"/>
        <w:rPr>
          <w:rFonts w:eastAsia="Times New Roman" w:cstheme="minorHAnsi"/>
          <w:bCs/>
          <w:iCs/>
          <w:lang w:eastAsia="en-GB"/>
        </w:rPr>
      </w:pPr>
    </w:p>
    <w:p w14:paraId="593AB941" w14:textId="4850EB4B" w:rsidR="00D63A8F" w:rsidRPr="007C5FD5" w:rsidRDefault="001B00FC" w:rsidP="00FD77D8">
      <w:pPr>
        <w:spacing w:after="0" w:line="240" w:lineRule="auto"/>
        <w:jc w:val="both"/>
        <w:rPr>
          <w:rFonts w:cstheme="minorHAnsi"/>
        </w:rPr>
      </w:pPr>
      <w:r w:rsidRPr="007C5FD5">
        <w:rPr>
          <w:rFonts w:eastAsia="Times New Roman" w:cstheme="minorHAnsi"/>
          <w:bCs/>
          <w:iCs/>
          <w:lang w:eastAsia="en-GB"/>
        </w:rPr>
        <w:t xml:space="preserve">It is </w:t>
      </w:r>
      <w:r w:rsidR="006B2130" w:rsidRPr="007C5FD5">
        <w:rPr>
          <w:rFonts w:eastAsia="Times New Roman" w:cstheme="minorHAnsi"/>
          <w:bCs/>
          <w:iCs/>
          <w:lang w:eastAsia="en-GB"/>
        </w:rPr>
        <w:t>somewhat surprising</w:t>
      </w:r>
      <w:r w:rsidR="00A13598" w:rsidRPr="007C5FD5">
        <w:rPr>
          <w:rFonts w:eastAsia="Times New Roman" w:cstheme="minorHAnsi"/>
          <w:bCs/>
          <w:iCs/>
          <w:lang w:eastAsia="en-GB"/>
        </w:rPr>
        <w:t xml:space="preserve"> </w:t>
      </w:r>
      <w:r w:rsidR="00007C94" w:rsidRPr="007C5FD5">
        <w:rPr>
          <w:rFonts w:eastAsia="Times New Roman" w:cstheme="minorHAnsi"/>
          <w:bCs/>
          <w:iCs/>
          <w:lang w:eastAsia="en-GB"/>
        </w:rPr>
        <w:t>that</w:t>
      </w:r>
      <w:r w:rsidRPr="007C5FD5">
        <w:rPr>
          <w:rFonts w:eastAsia="Times New Roman" w:cstheme="minorHAnsi"/>
          <w:bCs/>
          <w:iCs/>
          <w:lang w:eastAsia="en-GB"/>
        </w:rPr>
        <w:t xml:space="preserve"> the first cited case to engage with post-mortem medical confiden</w:t>
      </w:r>
      <w:r w:rsidR="00D6308E">
        <w:rPr>
          <w:rFonts w:eastAsia="Times New Roman" w:cstheme="minorHAnsi"/>
          <w:bCs/>
          <w:iCs/>
          <w:lang w:eastAsia="en-GB"/>
        </w:rPr>
        <w:t>tiality</w:t>
      </w:r>
      <w:r w:rsidRPr="007C5FD5">
        <w:rPr>
          <w:rFonts w:eastAsia="Times New Roman" w:cstheme="minorHAnsi"/>
          <w:bCs/>
          <w:iCs/>
          <w:lang w:eastAsia="en-GB"/>
        </w:rPr>
        <w:t xml:space="preserve"> in England</w:t>
      </w:r>
      <w:r w:rsidR="00D63A8F" w:rsidRPr="007C5FD5">
        <w:rPr>
          <w:rFonts w:eastAsia="Times New Roman" w:cstheme="minorHAnsi"/>
          <w:bCs/>
          <w:iCs/>
          <w:lang w:eastAsia="en-GB"/>
        </w:rPr>
        <w:t xml:space="preserve"> and Wales</w:t>
      </w:r>
      <w:r w:rsidR="003E46B9" w:rsidRPr="007C5FD5">
        <w:rPr>
          <w:rFonts w:eastAsia="Times New Roman" w:cstheme="minorHAnsi"/>
          <w:bCs/>
          <w:iCs/>
          <w:lang w:eastAsia="en-GB"/>
        </w:rPr>
        <w:t xml:space="preserve"> is as recent as 1996</w:t>
      </w:r>
      <w:r w:rsidR="00FE17B2" w:rsidRPr="007C5FD5">
        <w:rPr>
          <w:rFonts w:eastAsia="Times New Roman" w:cstheme="minorHAnsi"/>
          <w:bCs/>
          <w:iCs/>
          <w:lang w:eastAsia="en-GB"/>
        </w:rPr>
        <w:t>. In</w:t>
      </w:r>
      <w:r w:rsidRPr="007C5FD5">
        <w:rPr>
          <w:rFonts w:cstheme="minorHAnsi"/>
        </w:rPr>
        <w:t xml:space="preserve"> </w:t>
      </w:r>
      <w:r w:rsidRPr="007C5FD5">
        <w:rPr>
          <w:rFonts w:cstheme="minorHAnsi"/>
          <w:i/>
          <w:iCs/>
        </w:rPr>
        <w:t xml:space="preserve">Re C (Adult Patient: </w:t>
      </w:r>
      <w:r w:rsidR="00D63A8F" w:rsidRPr="007C5FD5">
        <w:rPr>
          <w:rFonts w:cstheme="minorHAnsi"/>
          <w:i/>
          <w:iCs/>
        </w:rPr>
        <w:t>p</w:t>
      </w:r>
      <w:r w:rsidRPr="007C5FD5">
        <w:rPr>
          <w:rFonts w:cstheme="minorHAnsi"/>
          <w:i/>
          <w:iCs/>
        </w:rPr>
        <w:t>ublicity</w:t>
      </w:r>
      <w:r w:rsidR="00B1206B" w:rsidRPr="007C5FD5">
        <w:rPr>
          <w:rFonts w:cstheme="minorHAnsi"/>
          <w:i/>
          <w:iCs/>
        </w:rPr>
        <w:t>)</w:t>
      </w:r>
      <w:r w:rsidRPr="007C5FD5">
        <w:rPr>
          <w:rStyle w:val="FootnoteReference"/>
          <w:rFonts w:cstheme="minorHAnsi"/>
        </w:rPr>
        <w:footnoteReference w:id="23"/>
      </w:r>
      <w:r w:rsidRPr="007C5FD5">
        <w:rPr>
          <w:rFonts w:eastAsia="Times New Roman" w:cstheme="minorHAnsi"/>
          <w:bCs/>
          <w:lang w:eastAsia="en-GB"/>
        </w:rPr>
        <w:t xml:space="preserve"> </w:t>
      </w:r>
      <w:r w:rsidR="00FB0923" w:rsidRPr="007C5FD5">
        <w:rPr>
          <w:rFonts w:cstheme="minorHAnsi"/>
        </w:rPr>
        <w:t>Sir Stephen Brown had to d</w:t>
      </w:r>
      <w:r w:rsidR="006340C2" w:rsidRPr="007C5FD5">
        <w:rPr>
          <w:rFonts w:cstheme="minorHAnsi"/>
        </w:rPr>
        <w:t>ecide</w:t>
      </w:r>
      <w:r w:rsidR="00FB0923" w:rsidRPr="007C5FD5">
        <w:rPr>
          <w:rFonts w:cstheme="minorHAnsi"/>
        </w:rPr>
        <w:t xml:space="preserve"> whether an order restricting publicity about a young man in a permanent vegetative state should continue after his death</w:t>
      </w:r>
      <w:r w:rsidR="006340C2" w:rsidRPr="007C5FD5">
        <w:rPr>
          <w:rFonts w:cstheme="minorHAnsi"/>
        </w:rPr>
        <w:t xml:space="preserve"> following</w:t>
      </w:r>
      <w:r w:rsidR="00B1206B" w:rsidRPr="007C5FD5">
        <w:rPr>
          <w:rFonts w:cstheme="minorHAnsi"/>
        </w:rPr>
        <w:t xml:space="preserve"> an order that authorised the discontinuation </w:t>
      </w:r>
      <w:r w:rsidR="00E73DCB" w:rsidRPr="007C5FD5">
        <w:rPr>
          <w:rFonts w:cstheme="minorHAnsi"/>
        </w:rPr>
        <w:t>of</w:t>
      </w:r>
      <w:r w:rsidR="00B1206B" w:rsidRPr="007C5FD5">
        <w:rPr>
          <w:rFonts w:cstheme="minorHAnsi"/>
        </w:rPr>
        <w:t xml:space="preserve"> all life-sustaining treatment</w:t>
      </w:r>
      <w:r w:rsidR="00FB0923" w:rsidRPr="007C5FD5">
        <w:rPr>
          <w:rFonts w:cstheme="minorHAnsi"/>
        </w:rPr>
        <w:t xml:space="preserve">. </w:t>
      </w:r>
      <w:r w:rsidR="00827497" w:rsidRPr="007C5FD5">
        <w:rPr>
          <w:rFonts w:cstheme="minorHAnsi"/>
        </w:rPr>
        <w:t>The</w:t>
      </w:r>
      <w:r w:rsidR="00FB0923" w:rsidRPr="007C5FD5">
        <w:rPr>
          <w:rFonts w:cstheme="minorHAnsi"/>
        </w:rPr>
        <w:t xml:space="preserve"> </w:t>
      </w:r>
      <w:bookmarkStart w:id="8" w:name="para17"/>
      <w:r w:rsidR="00027648" w:rsidRPr="007C5FD5">
        <w:rPr>
          <w:rFonts w:cstheme="minorHAnsi"/>
        </w:rPr>
        <w:t xml:space="preserve">purpose of </w:t>
      </w:r>
      <w:r w:rsidR="006340C2" w:rsidRPr="007C5FD5">
        <w:rPr>
          <w:rFonts w:cstheme="minorHAnsi"/>
        </w:rPr>
        <w:t xml:space="preserve">the order </w:t>
      </w:r>
      <w:r w:rsidR="00027648" w:rsidRPr="007C5FD5">
        <w:rPr>
          <w:rFonts w:cstheme="minorHAnsi"/>
        </w:rPr>
        <w:t>restricting publicity</w:t>
      </w:r>
      <w:r w:rsidR="006340C2" w:rsidRPr="007C5FD5">
        <w:rPr>
          <w:rFonts w:cstheme="minorHAnsi"/>
        </w:rPr>
        <w:t xml:space="preserve"> before his death</w:t>
      </w:r>
      <w:r w:rsidR="00027648" w:rsidRPr="007C5FD5">
        <w:rPr>
          <w:rFonts w:cstheme="minorHAnsi"/>
        </w:rPr>
        <w:t xml:space="preserve"> was to protect the patient, his relatives and hospital staff</w:t>
      </w:r>
      <w:r w:rsidR="00FB0923" w:rsidRPr="007C5FD5">
        <w:rPr>
          <w:rFonts w:cstheme="minorHAnsi"/>
        </w:rPr>
        <w:t xml:space="preserve"> and </w:t>
      </w:r>
      <w:bookmarkEnd w:id="8"/>
      <w:r w:rsidR="00E73DCB" w:rsidRPr="007C5FD5">
        <w:rPr>
          <w:rFonts w:cstheme="minorHAnsi"/>
        </w:rPr>
        <w:t>th</w:t>
      </w:r>
      <w:r w:rsidR="00A43178" w:rsidRPr="007C5FD5">
        <w:rPr>
          <w:rFonts w:cstheme="minorHAnsi"/>
        </w:rPr>
        <w:t>at</w:t>
      </w:r>
      <w:r w:rsidR="00027648" w:rsidRPr="007C5FD5">
        <w:rPr>
          <w:rFonts w:cstheme="minorHAnsi"/>
        </w:rPr>
        <w:t xml:space="preserve"> purpose</w:t>
      </w:r>
      <w:r w:rsidR="00827497" w:rsidRPr="007C5FD5">
        <w:rPr>
          <w:rFonts w:cstheme="minorHAnsi"/>
        </w:rPr>
        <w:t>, so he held,</w:t>
      </w:r>
      <w:r w:rsidR="00027648" w:rsidRPr="007C5FD5">
        <w:rPr>
          <w:rFonts w:cstheme="minorHAnsi"/>
        </w:rPr>
        <w:t xml:space="preserve"> </w:t>
      </w:r>
      <w:r w:rsidR="003E46B9" w:rsidRPr="007C5FD5">
        <w:rPr>
          <w:rFonts w:cstheme="minorHAnsi"/>
        </w:rPr>
        <w:t>endured:</w:t>
      </w:r>
    </w:p>
    <w:p w14:paraId="0BEC8EC2" w14:textId="77777777" w:rsidR="009509A1" w:rsidRPr="007C5FD5" w:rsidRDefault="009509A1" w:rsidP="00FD77D8">
      <w:pPr>
        <w:spacing w:after="0" w:line="240" w:lineRule="auto"/>
        <w:jc w:val="both"/>
        <w:rPr>
          <w:rFonts w:cstheme="minorHAnsi"/>
        </w:rPr>
      </w:pPr>
    </w:p>
    <w:p w14:paraId="3E43625F" w14:textId="3DB1E48B" w:rsidR="00027648" w:rsidRPr="007C5FD5" w:rsidRDefault="00FB0923" w:rsidP="00FD77D8">
      <w:pPr>
        <w:spacing w:after="0" w:line="240" w:lineRule="auto"/>
        <w:ind w:left="720"/>
        <w:jc w:val="both"/>
        <w:rPr>
          <w:rFonts w:cstheme="minorHAnsi"/>
        </w:rPr>
      </w:pPr>
      <w:r w:rsidRPr="007C5FD5">
        <w:rPr>
          <w:rFonts w:cstheme="minorHAnsi"/>
        </w:rPr>
        <w:t>‘</w:t>
      </w:r>
      <w:r w:rsidR="00027648" w:rsidRPr="007C5FD5">
        <w:rPr>
          <w:rFonts w:cstheme="minorHAnsi"/>
        </w:rPr>
        <w:t xml:space="preserve">I have already referred to the potential effect on </w:t>
      </w:r>
      <w:r w:rsidR="00027648" w:rsidRPr="007C5FD5">
        <w:rPr>
          <w:rFonts w:cstheme="minorHAnsi"/>
          <w:i/>
          <w:iCs/>
        </w:rPr>
        <w:t>medical and other staff</w:t>
      </w:r>
      <w:r w:rsidR="00027648" w:rsidRPr="007C5FD5">
        <w:rPr>
          <w:rFonts w:cstheme="minorHAnsi"/>
        </w:rPr>
        <w:t xml:space="preserve">, knowing that on the death of the patient their anonymity would be lost and that that might well have some detrimental effect upon the way in which they might care for the patient. I believe that that consideration also applies to the </w:t>
      </w:r>
      <w:r w:rsidR="00027648" w:rsidRPr="007C5FD5">
        <w:rPr>
          <w:rFonts w:cstheme="minorHAnsi"/>
          <w:i/>
          <w:iCs/>
        </w:rPr>
        <w:t>parents and members of the family</w:t>
      </w:r>
      <w:r w:rsidR="00027648" w:rsidRPr="007C5FD5">
        <w:rPr>
          <w:rFonts w:cstheme="minorHAnsi"/>
        </w:rPr>
        <w:t xml:space="preserve"> of the patient</w:t>
      </w:r>
      <w:r w:rsidR="00A37F6B" w:rsidRPr="007C5FD5">
        <w:rPr>
          <w:rFonts w:cstheme="minorHAnsi"/>
        </w:rPr>
        <w:t xml:space="preserve">… </w:t>
      </w:r>
      <w:r w:rsidR="00027648" w:rsidRPr="007C5FD5">
        <w:rPr>
          <w:rFonts w:cstheme="minorHAnsi"/>
        </w:rPr>
        <w:t xml:space="preserve">I am </w:t>
      </w:r>
      <w:r w:rsidR="00027648" w:rsidRPr="007C5FD5">
        <w:rPr>
          <w:rFonts w:cstheme="minorHAnsi"/>
          <w:i/>
          <w:iCs/>
        </w:rPr>
        <w:t>also</w:t>
      </w:r>
      <w:r w:rsidR="00027648" w:rsidRPr="007C5FD5">
        <w:rPr>
          <w:rFonts w:cstheme="minorHAnsi"/>
        </w:rPr>
        <w:t xml:space="preserve"> satisfied that there is a principle of medical confidentiality which is relevant in the context of the facts of this case and similar cases. It is a further matter of public interest that those who</w:t>
      </w:r>
      <w:r w:rsidRPr="007C5FD5">
        <w:rPr>
          <w:rFonts w:cstheme="minorHAnsi"/>
        </w:rPr>
        <w:t xml:space="preserve">… [seek continued confidentiality] </w:t>
      </w:r>
      <w:r w:rsidR="00027648" w:rsidRPr="007C5FD5">
        <w:rPr>
          <w:rFonts w:cstheme="minorHAnsi"/>
        </w:rPr>
        <w:t>should be untrammelled by the fear of publicity in coming to the very sensitive and fundamental decision which it involves.</w:t>
      </w:r>
      <w:r w:rsidRPr="007C5FD5">
        <w:rPr>
          <w:rFonts w:cstheme="minorHAnsi"/>
        </w:rPr>
        <w:t>’</w:t>
      </w:r>
      <w:r w:rsidRPr="007C5FD5">
        <w:rPr>
          <w:rStyle w:val="FootnoteReference"/>
          <w:rFonts w:cstheme="minorHAnsi"/>
        </w:rPr>
        <w:footnoteReference w:id="24"/>
      </w:r>
    </w:p>
    <w:p w14:paraId="31B95A1C" w14:textId="7E9F46BB" w:rsidR="00845A18" w:rsidRPr="007C5FD5" w:rsidRDefault="00845A18" w:rsidP="00FD77D8">
      <w:pPr>
        <w:spacing w:after="0" w:line="240" w:lineRule="auto"/>
        <w:jc w:val="both"/>
        <w:rPr>
          <w:rFonts w:cstheme="minorHAnsi"/>
        </w:rPr>
      </w:pPr>
    </w:p>
    <w:p w14:paraId="677B9162" w14:textId="0E6DD2E8" w:rsidR="0046563A" w:rsidRPr="007C5FD5" w:rsidRDefault="00E17DEB" w:rsidP="00FD77D8">
      <w:pPr>
        <w:autoSpaceDE w:val="0"/>
        <w:autoSpaceDN w:val="0"/>
        <w:adjustRightInd w:val="0"/>
        <w:spacing w:after="0" w:line="240" w:lineRule="auto"/>
        <w:jc w:val="both"/>
        <w:rPr>
          <w:rFonts w:cstheme="minorHAnsi"/>
        </w:rPr>
      </w:pPr>
      <w:r w:rsidRPr="007C5FD5">
        <w:rPr>
          <w:rFonts w:cstheme="minorHAnsi"/>
        </w:rPr>
        <w:t xml:space="preserve">This reasoning, </w:t>
      </w:r>
      <w:r w:rsidR="00F2729E" w:rsidRPr="007C5FD5">
        <w:rPr>
          <w:rFonts w:cstheme="minorHAnsi"/>
        </w:rPr>
        <w:t xml:space="preserve">firstly, </w:t>
      </w:r>
      <w:r w:rsidR="002A6D56" w:rsidRPr="007C5FD5">
        <w:rPr>
          <w:rFonts w:cstheme="minorHAnsi"/>
        </w:rPr>
        <w:t>identifies</w:t>
      </w:r>
      <w:r w:rsidRPr="007C5FD5">
        <w:rPr>
          <w:rFonts w:cstheme="minorHAnsi"/>
        </w:rPr>
        <w:t xml:space="preserve"> the pre-mortem </w:t>
      </w:r>
      <w:r w:rsidR="00CA4B2D" w:rsidRPr="007C5FD5">
        <w:rPr>
          <w:rFonts w:cstheme="minorHAnsi"/>
        </w:rPr>
        <w:t>significance</w:t>
      </w:r>
      <w:r w:rsidR="003C2FE3" w:rsidRPr="007C5FD5">
        <w:rPr>
          <w:rFonts w:cstheme="minorHAnsi"/>
        </w:rPr>
        <w:t xml:space="preserve"> </w:t>
      </w:r>
      <w:r w:rsidRPr="007C5FD5">
        <w:rPr>
          <w:rFonts w:cstheme="minorHAnsi"/>
        </w:rPr>
        <w:t>of the post-mortem duty,</w:t>
      </w:r>
      <w:r w:rsidR="001F2B7A" w:rsidRPr="007C5FD5">
        <w:rPr>
          <w:rStyle w:val="FootnoteReference"/>
          <w:rFonts w:cstheme="minorHAnsi"/>
        </w:rPr>
        <w:footnoteReference w:id="25"/>
      </w:r>
      <w:r w:rsidRPr="007C5FD5">
        <w:rPr>
          <w:rFonts w:cstheme="minorHAnsi"/>
        </w:rPr>
        <w:t xml:space="preserve"> and t</w:t>
      </w:r>
      <w:r w:rsidR="002B0604" w:rsidRPr="007C5FD5">
        <w:rPr>
          <w:rFonts w:cstheme="minorHAnsi"/>
        </w:rPr>
        <w:t xml:space="preserve">hereby </w:t>
      </w:r>
      <w:r w:rsidR="002B2A95" w:rsidRPr="007C5FD5">
        <w:rPr>
          <w:rFonts w:cstheme="minorHAnsi"/>
        </w:rPr>
        <w:t>acknowledges</w:t>
      </w:r>
      <w:r w:rsidR="00CA4B2D" w:rsidRPr="007C5FD5">
        <w:rPr>
          <w:rFonts w:cstheme="minorHAnsi"/>
        </w:rPr>
        <w:t xml:space="preserve"> </w:t>
      </w:r>
      <w:r w:rsidR="0034061F" w:rsidRPr="007C5FD5">
        <w:rPr>
          <w:rFonts w:cstheme="minorHAnsi"/>
        </w:rPr>
        <w:t>the</w:t>
      </w:r>
      <w:r w:rsidR="00F2729E" w:rsidRPr="007C5FD5">
        <w:rPr>
          <w:rFonts w:cstheme="minorHAnsi"/>
        </w:rPr>
        <w:t xml:space="preserve"> </w:t>
      </w:r>
      <w:r w:rsidR="00CA4B2D" w:rsidRPr="007C5FD5">
        <w:rPr>
          <w:rFonts w:cstheme="minorHAnsi"/>
        </w:rPr>
        <w:t xml:space="preserve">forward-looking effect of </w:t>
      </w:r>
      <w:r w:rsidR="002B0604" w:rsidRPr="007C5FD5">
        <w:rPr>
          <w:rFonts w:cstheme="minorHAnsi"/>
        </w:rPr>
        <w:t xml:space="preserve">legal </w:t>
      </w:r>
      <w:r w:rsidR="00AD62B1" w:rsidRPr="007C5FD5">
        <w:rPr>
          <w:rFonts w:cstheme="minorHAnsi"/>
        </w:rPr>
        <w:t>obligations</w:t>
      </w:r>
      <w:r w:rsidR="00CA4B2D" w:rsidRPr="007C5FD5">
        <w:rPr>
          <w:rFonts w:cstheme="minorHAnsi"/>
        </w:rPr>
        <w:t xml:space="preserve"> as guiding </w:t>
      </w:r>
      <w:r w:rsidRPr="007C5FD5">
        <w:rPr>
          <w:rFonts w:cstheme="minorHAnsi"/>
        </w:rPr>
        <w:t>behaviour</w:t>
      </w:r>
      <w:r w:rsidR="00283066" w:rsidRPr="007C5FD5">
        <w:rPr>
          <w:rFonts w:cstheme="minorHAnsi"/>
        </w:rPr>
        <w:t xml:space="preserve"> rather than just retrospective</w:t>
      </w:r>
      <w:r w:rsidR="002A6D56" w:rsidRPr="007C5FD5">
        <w:rPr>
          <w:rFonts w:cstheme="minorHAnsi"/>
        </w:rPr>
        <w:t>ly</w:t>
      </w:r>
      <w:r w:rsidR="00283066" w:rsidRPr="007C5FD5">
        <w:rPr>
          <w:rFonts w:cstheme="minorHAnsi"/>
        </w:rPr>
        <w:t xml:space="preserve"> </w:t>
      </w:r>
      <w:r w:rsidR="00B51DDD" w:rsidRPr="007C5FD5">
        <w:rPr>
          <w:rFonts w:cstheme="minorHAnsi"/>
        </w:rPr>
        <w:t>compensating for</w:t>
      </w:r>
      <w:r w:rsidR="00283066" w:rsidRPr="007C5FD5">
        <w:rPr>
          <w:rFonts w:cstheme="minorHAnsi"/>
        </w:rPr>
        <w:t xml:space="preserve"> wrongdoing.</w:t>
      </w:r>
      <w:r w:rsidR="00BE16F9" w:rsidRPr="007C5FD5">
        <w:rPr>
          <w:rFonts w:cstheme="minorHAnsi"/>
        </w:rPr>
        <w:t xml:space="preserve"> Second</w:t>
      </w:r>
      <w:r w:rsidR="002B2A95" w:rsidRPr="007C5FD5">
        <w:rPr>
          <w:rFonts w:cstheme="minorHAnsi"/>
        </w:rPr>
        <w:t>,</w:t>
      </w:r>
      <w:r w:rsidR="00BE16F9" w:rsidRPr="007C5FD5">
        <w:rPr>
          <w:rFonts w:cstheme="minorHAnsi"/>
        </w:rPr>
        <w:t xml:space="preserve"> Justice Brown recognise</w:t>
      </w:r>
      <w:r w:rsidR="006B7DE5">
        <w:rPr>
          <w:rFonts w:cstheme="minorHAnsi"/>
        </w:rPr>
        <w:t>s</w:t>
      </w:r>
      <w:r w:rsidR="002B2A95" w:rsidRPr="007C5FD5">
        <w:rPr>
          <w:rFonts w:cstheme="minorHAnsi"/>
        </w:rPr>
        <w:t xml:space="preserve"> that</w:t>
      </w:r>
      <w:r w:rsidR="00BE16F9" w:rsidRPr="007C5FD5">
        <w:rPr>
          <w:rFonts w:cstheme="minorHAnsi"/>
        </w:rPr>
        <w:t xml:space="preserve"> confidentiality</w:t>
      </w:r>
      <w:r w:rsidRPr="007C5FD5">
        <w:rPr>
          <w:rFonts w:cstheme="minorHAnsi"/>
        </w:rPr>
        <w:t xml:space="preserve"> </w:t>
      </w:r>
      <w:r w:rsidR="002B2A95" w:rsidRPr="007C5FD5">
        <w:rPr>
          <w:rFonts w:cstheme="minorHAnsi"/>
        </w:rPr>
        <w:t>is</w:t>
      </w:r>
      <w:r w:rsidR="00BE16F9" w:rsidRPr="007C5FD5">
        <w:rPr>
          <w:rFonts w:cstheme="minorHAnsi"/>
        </w:rPr>
        <w:t xml:space="preserve"> </w:t>
      </w:r>
      <w:r w:rsidR="00827497" w:rsidRPr="007C5FD5">
        <w:rPr>
          <w:rFonts w:cstheme="minorHAnsi"/>
        </w:rPr>
        <w:t xml:space="preserve">also </w:t>
      </w:r>
      <w:r w:rsidR="00BE16F9" w:rsidRPr="007C5FD5">
        <w:rPr>
          <w:rFonts w:cstheme="minorHAnsi"/>
        </w:rPr>
        <w:t>protective of medical and care staff and</w:t>
      </w:r>
      <w:r w:rsidR="002B2A95" w:rsidRPr="007C5FD5">
        <w:rPr>
          <w:rFonts w:cstheme="minorHAnsi"/>
        </w:rPr>
        <w:t xml:space="preserve"> the</w:t>
      </w:r>
      <w:r w:rsidR="00BE16F9" w:rsidRPr="007C5FD5">
        <w:rPr>
          <w:rFonts w:cstheme="minorHAnsi"/>
        </w:rPr>
        <w:t xml:space="preserve"> family</w:t>
      </w:r>
      <w:r w:rsidR="002B2A95" w:rsidRPr="007C5FD5">
        <w:rPr>
          <w:rFonts w:cstheme="minorHAnsi"/>
        </w:rPr>
        <w:t xml:space="preserve">, and </w:t>
      </w:r>
      <w:r w:rsidR="006B7DE5">
        <w:rPr>
          <w:rFonts w:cstheme="minorHAnsi"/>
        </w:rPr>
        <w:t>so</w:t>
      </w:r>
      <w:r w:rsidR="002B2A95" w:rsidRPr="007C5FD5">
        <w:rPr>
          <w:rFonts w:cstheme="minorHAnsi"/>
        </w:rPr>
        <w:t xml:space="preserve"> </w:t>
      </w:r>
      <w:proofErr w:type="gramStart"/>
      <w:r w:rsidR="002B2A95" w:rsidRPr="007C5FD5">
        <w:rPr>
          <w:rFonts w:cstheme="minorHAnsi"/>
        </w:rPr>
        <w:t>open</w:t>
      </w:r>
      <w:r w:rsidR="006B7DE5">
        <w:rPr>
          <w:rFonts w:cstheme="minorHAnsi"/>
        </w:rPr>
        <w:t>s</w:t>
      </w:r>
      <w:r w:rsidR="002B2A95" w:rsidRPr="007C5FD5">
        <w:rPr>
          <w:rFonts w:cstheme="minorHAnsi"/>
        </w:rPr>
        <w:t xml:space="preserve"> up</w:t>
      </w:r>
      <w:proofErr w:type="gramEnd"/>
      <w:r w:rsidR="002B2A95" w:rsidRPr="007C5FD5">
        <w:rPr>
          <w:rFonts w:cstheme="minorHAnsi"/>
        </w:rPr>
        <w:t xml:space="preserve"> the group of</w:t>
      </w:r>
      <w:r w:rsidR="00F2729E" w:rsidRPr="007C5FD5">
        <w:rPr>
          <w:rFonts w:cstheme="minorHAnsi"/>
        </w:rPr>
        <w:t xml:space="preserve"> </w:t>
      </w:r>
      <w:r w:rsidR="002B2A95" w:rsidRPr="007C5FD5">
        <w:rPr>
          <w:rFonts w:cstheme="minorHAnsi"/>
        </w:rPr>
        <w:t>beneficiar</w:t>
      </w:r>
      <w:r w:rsidR="00F2729E" w:rsidRPr="007C5FD5">
        <w:rPr>
          <w:rFonts w:cstheme="minorHAnsi"/>
        </w:rPr>
        <w:t xml:space="preserve">ies </w:t>
      </w:r>
      <w:r w:rsidR="002B2A95" w:rsidRPr="007C5FD5">
        <w:rPr>
          <w:rFonts w:cstheme="minorHAnsi"/>
        </w:rPr>
        <w:t>beyond the patient</w:t>
      </w:r>
      <w:r w:rsidR="00BE16F9" w:rsidRPr="007C5FD5">
        <w:rPr>
          <w:rFonts w:cstheme="minorHAnsi"/>
        </w:rPr>
        <w:t>.</w:t>
      </w:r>
      <w:r w:rsidR="00827497" w:rsidRPr="007C5FD5">
        <w:rPr>
          <w:rFonts w:cstheme="minorHAnsi"/>
        </w:rPr>
        <w:t xml:space="preserve"> Indeed</w:t>
      </w:r>
      <w:r w:rsidR="00C32685">
        <w:rPr>
          <w:rFonts w:cstheme="minorHAnsi"/>
        </w:rPr>
        <w:t>,</w:t>
      </w:r>
      <w:r w:rsidR="00827497" w:rsidRPr="007C5FD5">
        <w:rPr>
          <w:rFonts w:cstheme="minorHAnsi"/>
        </w:rPr>
        <w:t xml:space="preserve"> he d</w:t>
      </w:r>
      <w:r w:rsidR="006B7DE5">
        <w:rPr>
          <w:rFonts w:cstheme="minorHAnsi"/>
        </w:rPr>
        <w:t>oes</w:t>
      </w:r>
      <w:r w:rsidR="00827497" w:rsidRPr="007C5FD5">
        <w:rPr>
          <w:rFonts w:cstheme="minorHAnsi"/>
        </w:rPr>
        <w:t xml:space="preserve"> not specifically mention the deceased.</w:t>
      </w:r>
      <w:r w:rsidR="00BE16F9" w:rsidRPr="007C5FD5">
        <w:rPr>
          <w:rFonts w:cstheme="minorHAnsi"/>
        </w:rPr>
        <w:t xml:space="preserve"> </w:t>
      </w:r>
      <w:r w:rsidR="00D45878">
        <w:rPr>
          <w:rStyle w:val="FootnoteReference"/>
          <w:rFonts w:cstheme="minorHAnsi"/>
        </w:rPr>
        <w:footnoteReference w:id="26"/>
      </w:r>
      <w:r w:rsidR="00C32685">
        <w:rPr>
          <w:rFonts w:cstheme="minorHAnsi"/>
        </w:rPr>
        <w:t xml:space="preserve"> </w:t>
      </w:r>
      <w:r w:rsidR="00BE16F9" w:rsidRPr="007C5FD5">
        <w:rPr>
          <w:rFonts w:cstheme="minorHAnsi"/>
        </w:rPr>
        <w:t>Third,</w:t>
      </w:r>
      <w:r w:rsidR="000360CA" w:rsidRPr="007C5FD5">
        <w:rPr>
          <w:rFonts w:cstheme="minorHAnsi"/>
        </w:rPr>
        <w:t xml:space="preserve"> whilst </w:t>
      </w:r>
      <w:r w:rsidR="00CF50E6" w:rsidRPr="007C5FD5">
        <w:rPr>
          <w:rFonts w:cstheme="minorHAnsi"/>
        </w:rPr>
        <w:t>medical confidentiality</w:t>
      </w:r>
      <w:r w:rsidR="002B2A95" w:rsidRPr="007C5FD5">
        <w:rPr>
          <w:rFonts w:cstheme="minorHAnsi"/>
        </w:rPr>
        <w:t xml:space="preserve"> </w:t>
      </w:r>
      <w:r w:rsidR="000360CA" w:rsidRPr="007C5FD5">
        <w:rPr>
          <w:rFonts w:cstheme="minorHAnsi"/>
        </w:rPr>
        <w:t xml:space="preserve">is treated </w:t>
      </w:r>
      <w:r w:rsidR="00CF50E6" w:rsidRPr="007C5FD5">
        <w:rPr>
          <w:rFonts w:cstheme="minorHAnsi"/>
        </w:rPr>
        <w:t xml:space="preserve">as </w:t>
      </w:r>
      <w:r w:rsidR="00934DC1" w:rsidRPr="007C5FD5">
        <w:rPr>
          <w:rFonts w:cstheme="minorHAnsi"/>
        </w:rPr>
        <w:t xml:space="preserve">only </w:t>
      </w:r>
      <w:r w:rsidR="006340C2" w:rsidRPr="007C5FD5">
        <w:rPr>
          <w:rFonts w:cstheme="minorHAnsi"/>
        </w:rPr>
        <w:t>one</w:t>
      </w:r>
      <w:r w:rsidR="00CF50E6" w:rsidRPr="007C5FD5">
        <w:rPr>
          <w:rFonts w:cstheme="minorHAnsi"/>
        </w:rPr>
        <w:t xml:space="preserve"> factor that </w:t>
      </w:r>
      <w:r w:rsidR="003E46B9" w:rsidRPr="007C5FD5">
        <w:rPr>
          <w:rFonts w:cstheme="minorHAnsi"/>
        </w:rPr>
        <w:t>went</w:t>
      </w:r>
      <w:r w:rsidR="00CF50E6" w:rsidRPr="007C5FD5">
        <w:rPr>
          <w:rFonts w:cstheme="minorHAnsi"/>
        </w:rPr>
        <w:t xml:space="preserve"> towards </w:t>
      </w:r>
      <w:r w:rsidR="008B54F5" w:rsidRPr="007C5FD5">
        <w:rPr>
          <w:rFonts w:cstheme="minorHAnsi"/>
        </w:rPr>
        <w:t xml:space="preserve">the </w:t>
      </w:r>
      <w:r w:rsidR="00CF50E6" w:rsidRPr="007C5FD5">
        <w:rPr>
          <w:rFonts w:cstheme="minorHAnsi"/>
        </w:rPr>
        <w:t>post-mortem</w:t>
      </w:r>
      <w:r w:rsidR="00C67ADD" w:rsidRPr="007C5FD5">
        <w:rPr>
          <w:rFonts w:cstheme="minorHAnsi"/>
        </w:rPr>
        <w:t xml:space="preserve"> </w:t>
      </w:r>
      <w:r w:rsidR="001A63DD" w:rsidRPr="007C5FD5">
        <w:rPr>
          <w:rFonts w:cstheme="minorHAnsi"/>
        </w:rPr>
        <w:t>p</w:t>
      </w:r>
      <w:r w:rsidR="005A78B5" w:rsidRPr="007C5FD5">
        <w:rPr>
          <w:rFonts w:cstheme="minorHAnsi"/>
        </w:rPr>
        <w:t xml:space="preserve">ublicity </w:t>
      </w:r>
      <w:r w:rsidR="001A63DD" w:rsidRPr="007C5FD5">
        <w:rPr>
          <w:rFonts w:cstheme="minorHAnsi"/>
        </w:rPr>
        <w:t>order</w:t>
      </w:r>
      <w:r w:rsidR="00CF50E6" w:rsidRPr="007C5FD5">
        <w:rPr>
          <w:rFonts w:cstheme="minorHAnsi"/>
        </w:rPr>
        <w:t xml:space="preserve">, </w:t>
      </w:r>
      <w:r w:rsidRPr="007C5FD5">
        <w:rPr>
          <w:rFonts w:cstheme="minorHAnsi"/>
        </w:rPr>
        <w:t xml:space="preserve">the </w:t>
      </w:r>
      <w:r w:rsidR="00CF50E6" w:rsidRPr="007C5FD5">
        <w:rPr>
          <w:rFonts w:cstheme="minorHAnsi"/>
        </w:rPr>
        <w:t>other factors</w:t>
      </w:r>
      <w:r w:rsidR="00895D8A" w:rsidRPr="007C5FD5">
        <w:rPr>
          <w:rFonts w:cstheme="minorHAnsi"/>
        </w:rPr>
        <w:t xml:space="preserve"> </w:t>
      </w:r>
      <w:r w:rsidRPr="007C5FD5">
        <w:rPr>
          <w:rFonts w:cstheme="minorHAnsi"/>
        </w:rPr>
        <w:t>spell</w:t>
      </w:r>
      <w:r w:rsidR="002B2A95" w:rsidRPr="007C5FD5">
        <w:rPr>
          <w:rFonts w:cstheme="minorHAnsi"/>
        </w:rPr>
        <w:t xml:space="preserve"> </w:t>
      </w:r>
      <w:r w:rsidRPr="007C5FD5">
        <w:rPr>
          <w:rFonts w:cstheme="minorHAnsi"/>
        </w:rPr>
        <w:t>out</w:t>
      </w:r>
      <w:r w:rsidR="008B54F5" w:rsidRPr="007C5FD5">
        <w:rPr>
          <w:rFonts w:cstheme="minorHAnsi"/>
        </w:rPr>
        <w:t xml:space="preserve"> </w:t>
      </w:r>
      <w:r w:rsidR="00CF50E6" w:rsidRPr="007C5FD5">
        <w:rPr>
          <w:rFonts w:cstheme="minorHAnsi"/>
        </w:rPr>
        <w:t xml:space="preserve">the consequences </w:t>
      </w:r>
      <w:r w:rsidR="008B54F5" w:rsidRPr="007C5FD5">
        <w:rPr>
          <w:rFonts w:cstheme="minorHAnsi"/>
        </w:rPr>
        <w:t>were</w:t>
      </w:r>
      <w:r w:rsidR="00CF50E6" w:rsidRPr="007C5FD5">
        <w:rPr>
          <w:rFonts w:cstheme="minorHAnsi"/>
        </w:rPr>
        <w:t xml:space="preserve"> confidentiality to be</w:t>
      </w:r>
      <w:r w:rsidR="00C67ADD" w:rsidRPr="007C5FD5">
        <w:rPr>
          <w:rFonts w:cstheme="minorHAnsi"/>
        </w:rPr>
        <w:t xml:space="preserve"> lost</w:t>
      </w:r>
      <w:r w:rsidR="00CF50E6" w:rsidRPr="007C5FD5">
        <w:rPr>
          <w:rFonts w:cstheme="minorHAnsi"/>
        </w:rPr>
        <w:t>.</w:t>
      </w:r>
      <w:r w:rsidR="004B2143" w:rsidRPr="007C5FD5">
        <w:rPr>
          <w:rFonts w:cstheme="minorHAnsi"/>
        </w:rPr>
        <w:t xml:space="preserve"> </w:t>
      </w:r>
      <w:r w:rsidR="00CF50E6" w:rsidRPr="007C5FD5">
        <w:rPr>
          <w:rFonts w:cstheme="minorHAnsi"/>
        </w:rPr>
        <w:t>S</w:t>
      </w:r>
      <w:r w:rsidR="00C336D5" w:rsidRPr="007C5FD5">
        <w:rPr>
          <w:rFonts w:cstheme="minorHAnsi"/>
        </w:rPr>
        <w:t>tressing</w:t>
      </w:r>
      <w:r w:rsidR="00CF50E6" w:rsidRPr="007C5FD5">
        <w:rPr>
          <w:rFonts w:cstheme="minorHAnsi"/>
        </w:rPr>
        <w:t xml:space="preserve"> medical </w:t>
      </w:r>
      <w:r w:rsidR="00E64A6C" w:rsidRPr="007C5FD5">
        <w:rPr>
          <w:rFonts w:cstheme="minorHAnsi"/>
        </w:rPr>
        <w:lastRenderedPageBreak/>
        <w:t xml:space="preserve">confidentiality </w:t>
      </w:r>
      <w:r w:rsidR="00CF50E6" w:rsidRPr="007C5FD5">
        <w:rPr>
          <w:rFonts w:cstheme="minorHAnsi"/>
        </w:rPr>
        <w:t xml:space="preserve">as a </w:t>
      </w:r>
      <w:r w:rsidR="003E46B9" w:rsidRPr="007C5FD5">
        <w:rPr>
          <w:rFonts w:cstheme="minorHAnsi"/>
        </w:rPr>
        <w:t>separate</w:t>
      </w:r>
      <w:r w:rsidR="00CF50E6" w:rsidRPr="007C5FD5">
        <w:rPr>
          <w:rFonts w:cstheme="minorHAnsi"/>
        </w:rPr>
        <w:t xml:space="preserve"> poin</w:t>
      </w:r>
      <w:r w:rsidR="006340C2" w:rsidRPr="007C5FD5">
        <w:rPr>
          <w:rFonts w:cstheme="minorHAnsi"/>
        </w:rPr>
        <w:t>t highlight</w:t>
      </w:r>
      <w:r w:rsidR="00B51DDD" w:rsidRPr="007C5FD5">
        <w:rPr>
          <w:rFonts w:cstheme="minorHAnsi"/>
        </w:rPr>
        <w:t>ed</w:t>
      </w:r>
      <w:r w:rsidR="00CF50E6" w:rsidRPr="007C5FD5">
        <w:rPr>
          <w:rFonts w:cstheme="minorHAnsi"/>
        </w:rPr>
        <w:t xml:space="preserve"> </w:t>
      </w:r>
      <w:r w:rsidR="003F4768" w:rsidRPr="007C5FD5">
        <w:rPr>
          <w:rFonts w:cstheme="minorHAnsi"/>
        </w:rPr>
        <w:t>its</w:t>
      </w:r>
      <w:r w:rsidR="003E46B9" w:rsidRPr="007C5FD5">
        <w:rPr>
          <w:rFonts w:cstheme="minorHAnsi"/>
        </w:rPr>
        <w:t xml:space="preserve"> distinct</w:t>
      </w:r>
      <w:r w:rsidR="00C67ADD" w:rsidRPr="007C5FD5">
        <w:rPr>
          <w:rFonts w:cstheme="minorHAnsi"/>
        </w:rPr>
        <w:t xml:space="preserve"> </w:t>
      </w:r>
      <w:r w:rsidR="001A0EEF" w:rsidRPr="007C5FD5">
        <w:rPr>
          <w:rFonts w:cstheme="minorHAnsi"/>
        </w:rPr>
        <w:t>professional status</w:t>
      </w:r>
      <w:r w:rsidR="001A0EEF" w:rsidRPr="007C5FD5">
        <w:rPr>
          <w:rStyle w:val="FootnoteReference"/>
          <w:rFonts w:cstheme="minorHAnsi"/>
        </w:rPr>
        <w:footnoteReference w:id="27"/>
      </w:r>
      <w:r w:rsidR="001A0EEF" w:rsidRPr="007C5FD5">
        <w:rPr>
          <w:rFonts w:cstheme="minorHAnsi"/>
        </w:rPr>
        <w:t xml:space="preserve"> and the endurance of </w:t>
      </w:r>
      <w:r w:rsidR="002B0604" w:rsidRPr="007C5FD5">
        <w:rPr>
          <w:rFonts w:cstheme="minorHAnsi"/>
        </w:rPr>
        <w:t xml:space="preserve">that </w:t>
      </w:r>
      <w:r w:rsidR="00F26CAE" w:rsidRPr="007C5FD5">
        <w:rPr>
          <w:rFonts w:cstheme="minorHAnsi"/>
        </w:rPr>
        <w:t xml:space="preserve">professional </w:t>
      </w:r>
      <w:r w:rsidR="001A0EEF" w:rsidRPr="007C5FD5">
        <w:rPr>
          <w:rFonts w:cstheme="minorHAnsi"/>
        </w:rPr>
        <w:t>duty beyond</w:t>
      </w:r>
      <w:r w:rsidR="00A13598" w:rsidRPr="007C5FD5">
        <w:rPr>
          <w:rFonts w:cstheme="minorHAnsi"/>
        </w:rPr>
        <w:t xml:space="preserve"> the death of the patien</w:t>
      </w:r>
      <w:r w:rsidR="00C62479" w:rsidRPr="007C5FD5">
        <w:rPr>
          <w:rFonts w:cstheme="minorHAnsi"/>
        </w:rPr>
        <w:t>t</w:t>
      </w:r>
      <w:r w:rsidR="00C67ADD" w:rsidRPr="007C5FD5">
        <w:rPr>
          <w:rFonts w:cstheme="minorHAnsi"/>
        </w:rPr>
        <w:t>: ‘General Medical Council’s ‘Blue Book’… states that… a patient’s death does not of itself release a doctor from the obligation to maintain confidentiality.’</w:t>
      </w:r>
      <w:r w:rsidR="00C67ADD" w:rsidRPr="007C5FD5">
        <w:rPr>
          <w:rStyle w:val="FootnoteReference"/>
          <w:rFonts w:cstheme="minorHAnsi"/>
        </w:rPr>
        <w:footnoteReference w:id="28"/>
      </w:r>
      <w:r w:rsidR="00852A3E" w:rsidRPr="007C5FD5">
        <w:rPr>
          <w:rFonts w:cstheme="minorHAnsi"/>
        </w:rPr>
        <w:t xml:space="preserve"> </w:t>
      </w:r>
      <w:r w:rsidR="002B0604" w:rsidRPr="007C5FD5">
        <w:rPr>
          <w:rFonts w:cstheme="minorHAnsi"/>
        </w:rPr>
        <w:t xml:space="preserve">In </w:t>
      </w:r>
      <w:r w:rsidR="002B2A95" w:rsidRPr="007C5FD5">
        <w:rPr>
          <w:rFonts w:cstheme="minorHAnsi"/>
        </w:rPr>
        <w:t xml:space="preserve">effect the </w:t>
      </w:r>
      <w:r w:rsidR="00002842" w:rsidRPr="007C5FD5">
        <w:rPr>
          <w:rFonts w:cstheme="minorHAnsi"/>
        </w:rPr>
        <w:t xml:space="preserve">judgment </w:t>
      </w:r>
      <w:r w:rsidR="00852A3E" w:rsidRPr="007C5FD5">
        <w:rPr>
          <w:rFonts w:cstheme="minorHAnsi"/>
        </w:rPr>
        <w:t>elevate</w:t>
      </w:r>
      <w:r w:rsidR="002B0604" w:rsidRPr="007C5FD5">
        <w:rPr>
          <w:rFonts w:cstheme="minorHAnsi"/>
        </w:rPr>
        <w:t>d</w:t>
      </w:r>
      <w:r w:rsidR="002B2A95" w:rsidRPr="007C5FD5">
        <w:rPr>
          <w:rFonts w:cstheme="minorHAnsi"/>
        </w:rPr>
        <w:t xml:space="preserve"> </w:t>
      </w:r>
      <w:r w:rsidR="00852A3E" w:rsidRPr="007C5FD5">
        <w:rPr>
          <w:rFonts w:cstheme="minorHAnsi"/>
        </w:rPr>
        <w:t xml:space="preserve">the </w:t>
      </w:r>
      <w:r w:rsidR="00852A3E" w:rsidRPr="006B7DE5">
        <w:rPr>
          <w:rFonts w:cstheme="minorHAnsi"/>
          <w:i/>
          <w:iCs/>
        </w:rPr>
        <w:t>professional</w:t>
      </w:r>
      <w:r w:rsidR="00852A3E" w:rsidRPr="007C5FD5">
        <w:rPr>
          <w:rFonts w:cstheme="minorHAnsi"/>
        </w:rPr>
        <w:t xml:space="preserve"> post-mortem duty</w:t>
      </w:r>
      <w:r w:rsidR="00A44CCB" w:rsidRPr="007C5FD5">
        <w:rPr>
          <w:rFonts w:cstheme="minorHAnsi"/>
        </w:rPr>
        <w:t xml:space="preserve"> of medical confidentiality</w:t>
      </w:r>
      <w:r w:rsidR="00852A3E" w:rsidRPr="007C5FD5">
        <w:rPr>
          <w:rFonts w:cstheme="minorHAnsi"/>
        </w:rPr>
        <w:t xml:space="preserve"> to a legal one</w:t>
      </w:r>
      <w:r w:rsidR="00F74B3D" w:rsidRPr="007C5FD5">
        <w:rPr>
          <w:rFonts w:cstheme="minorHAnsi"/>
        </w:rPr>
        <w:t xml:space="preserve"> – </w:t>
      </w:r>
      <w:r w:rsidR="00CA4B2D" w:rsidRPr="007C5FD5">
        <w:rPr>
          <w:rFonts w:cstheme="minorHAnsi"/>
        </w:rPr>
        <w:t xml:space="preserve">one might say </w:t>
      </w:r>
      <w:r w:rsidR="005B4D75" w:rsidRPr="007C5FD5">
        <w:rPr>
          <w:rFonts w:cstheme="minorHAnsi"/>
        </w:rPr>
        <w:t>a</w:t>
      </w:r>
      <w:r w:rsidR="00F74B3D" w:rsidRPr="007C5FD5">
        <w:rPr>
          <w:rFonts w:cstheme="minorHAnsi"/>
        </w:rPr>
        <w:t>s a matter</w:t>
      </w:r>
      <w:r w:rsidR="00F7348C" w:rsidRPr="007C5FD5">
        <w:rPr>
          <w:rFonts w:cstheme="minorHAnsi"/>
        </w:rPr>
        <w:t xml:space="preserve"> of </w:t>
      </w:r>
      <w:r w:rsidR="00852A3E" w:rsidRPr="007C5FD5">
        <w:rPr>
          <w:rFonts w:cstheme="minorHAnsi"/>
        </w:rPr>
        <w:t xml:space="preserve">bottom-up law making. </w:t>
      </w:r>
      <w:r w:rsidR="00AF098F" w:rsidRPr="007C5FD5">
        <w:rPr>
          <w:rFonts w:cstheme="minorHAnsi"/>
        </w:rPr>
        <w:t>La</w:t>
      </w:r>
      <w:r w:rsidR="0046563A" w:rsidRPr="007C5FD5">
        <w:rPr>
          <w:rFonts w:cstheme="minorHAnsi"/>
        </w:rPr>
        <w:t xml:space="preserve">ter cases </w:t>
      </w:r>
      <w:r w:rsidR="002B0604" w:rsidRPr="007C5FD5">
        <w:rPr>
          <w:rFonts w:cstheme="minorHAnsi"/>
        </w:rPr>
        <w:t xml:space="preserve">have </w:t>
      </w:r>
      <w:r w:rsidR="0046563A" w:rsidRPr="007C5FD5">
        <w:rPr>
          <w:rFonts w:cstheme="minorHAnsi"/>
        </w:rPr>
        <w:t>sought to find</w:t>
      </w:r>
      <w:r w:rsidR="0085552B" w:rsidRPr="007C5FD5">
        <w:rPr>
          <w:rFonts w:cstheme="minorHAnsi"/>
        </w:rPr>
        <w:t xml:space="preserve"> common law</w:t>
      </w:r>
      <w:r w:rsidR="00AF098F" w:rsidRPr="007C5FD5">
        <w:rPr>
          <w:rFonts w:cstheme="minorHAnsi"/>
        </w:rPr>
        <w:t xml:space="preserve"> precedent</w:t>
      </w:r>
      <w:r w:rsidR="006B6DE8" w:rsidRPr="007C5FD5">
        <w:rPr>
          <w:rFonts w:cstheme="minorHAnsi"/>
        </w:rPr>
        <w:t xml:space="preserve"> for th</w:t>
      </w:r>
      <w:r w:rsidR="006B7DE5">
        <w:rPr>
          <w:rFonts w:cstheme="minorHAnsi"/>
        </w:rPr>
        <w:t xml:space="preserve">is </w:t>
      </w:r>
      <w:r w:rsidR="006B6DE8" w:rsidRPr="007C5FD5">
        <w:rPr>
          <w:rFonts w:cstheme="minorHAnsi"/>
        </w:rPr>
        <w:t>post-mortem</w:t>
      </w:r>
      <w:r w:rsidR="000D5B64" w:rsidRPr="007C5FD5">
        <w:rPr>
          <w:rFonts w:cstheme="minorHAnsi"/>
        </w:rPr>
        <w:t xml:space="preserve"> </w:t>
      </w:r>
      <w:r w:rsidR="006B6DE8" w:rsidRPr="007C5FD5">
        <w:rPr>
          <w:rFonts w:cstheme="minorHAnsi"/>
        </w:rPr>
        <w:t>duty</w:t>
      </w:r>
      <w:r w:rsidR="0046563A" w:rsidRPr="007C5FD5">
        <w:rPr>
          <w:rFonts w:cstheme="minorHAnsi"/>
        </w:rPr>
        <w:t xml:space="preserve"> in the</w:t>
      </w:r>
      <w:r w:rsidR="00E50BCB" w:rsidRPr="007C5FD5">
        <w:rPr>
          <w:rFonts w:cstheme="minorHAnsi"/>
        </w:rPr>
        <w:t xml:space="preserve"> </w:t>
      </w:r>
      <w:r w:rsidR="0046563A" w:rsidRPr="007C5FD5">
        <w:rPr>
          <w:rFonts w:cstheme="minorHAnsi"/>
        </w:rPr>
        <w:t>equitable duty of confidentiality</w:t>
      </w:r>
      <w:r w:rsidR="00AF098F" w:rsidRPr="007C5FD5">
        <w:rPr>
          <w:rFonts w:cstheme="minorHAnsi"/>
        </w:rPr>
        <w:t xml:space="preserve"> </w:t>
      </w:r>
      <w:r w:rsidR="0046563A" w:rsidRPr="007C5FD5">
        <w:rPr>
          <w:rFonts w:cstheme="minorHAnsi"/>
        </w:rPr>
        <w:t xml:space="preserve">based on </w:t>
      </w:r>
      <w:r w:rsidR="0046563A" w:rsidRPr="007C5FD5">
        <w:rPr>
          <w:rFonts w:eastAsia="Times New Roman" w:cstheme="minorHAnsi"/>
          <w:lang w:eastAsia="en-GB"/>
        </w:rPr>
        <w:t>Toulson</w:t>
      </w:r>
      <w:r w:rsidR="00CD7683" w:rsidRPr="007C5FD5">
        <w:rPr>
          <w:rFonts w:eastAsia="Times New Roman" w:cstheme="minorHAnsi"/>
          <w:lang w:eastAsia="en-GB"/>
        </w:rPr>
        <w:t xml:space="preserve"> and</w:t>
      </w:r>
      <w:r w:rsidR="0046563A" w:rsidRPr="007C5FD5">
        <w:rPr>
          <w:rFonts w:eastAsia="Times New Roman" w:cstheme="minorHAnsi"/>
          <w:lang w:eastAsia="en-GB"/>
        </w:rPr>
        <w:t xml:space="preserve"> Phipps</w:t>
      </w:r>
      <w:r w:rsidR="00CD7683" w:rsidRPr="007C5FD5">
        <w:rPr>
          <w:rFonts w:eastAsia="Times New Roman" w:cstheme="minorHAnsi"/>
          <w:lang w:eastAsia="en-GB"/>
        </w:rPr>
        <w:t>’</w:t>
      </w:r>
      <w:r w:rsidR="0046563A" w:rsidRPr="007C5FD5">
        <w:rPr>
          <w:rFonts w:eastAsia="Times New Roman" w:cstheme="minorHAnsi"/>
          <w:i/>
          <w:iCs/>
          <w:lang w:eastAsia="en-GB"/>
        </w:rPr>
        <w:t xml:space="preserve"> Confidentiality</w:t>
      </w:r>
      <w:r w:rsidR="0046563A" w:rsidRPr="007C5FD5">
        <w:rPr>
          <w:rStyle w:val="FootnoteReference"/>
          <w:rFonts w:eastAsia="Times New Roman" w:cstheme="minorHAnsi"/>
          <w:lang w:eastAsia="en-GB"/>
        </w:rPr>
        <w:footnoteReference w:id="29"/>
      </w:r>
      <w:r w:rsidR="0046563A" w:rsidRPr="007C5FD5">
        <w:rPr>
          <w:rFonts w:eastAsia="Times New Roman" w:cstheme="minorHAnsi"/>
          <w:lang w:eastAsia="en-GB"/>
        </w:rPr>
        <w:t xml:space="preserve"> </w:t>
      </w:r>
      <w:r w:rsidR="006B6DE8" w:rsidRPr="007C5FD5">
        <w:rPr>
          <w:rFonts w:eastAsia="Times New Roman" w:cstheme="minorHAnsi"/>
          <w:lang w:eastAsia="en-GB"/>
        </w:rPr>
        <w:t>and</w:t>
      </w:r>
      <w:r w:rsidR="0046563A" w:rsidRPr="007C5FD5">
        <w:rPr>
          <w:rFonts w:eastAsia="Times New Roman" w:cstheme="minorHAnsi"/>
          <w:lang w:eastAsia="en-GB"/>
        </w:rPr>
        <w:t xml:space="preserve"> </w:t>
      </w:r>
      <w:r w:rsidR="00E24BB8" w:rsidRPr="007C5FD5">
        <w:rPr>
          <w:rFonts w:eastAsia="Times New Roman" w:cstheme="minorHAnsi"/>
          <w:lang w:eastAsia="en-GB"/>
        </w:rPr>
        <w:t>their</w:t>
      </w:r>
      <w:r w:rsidR="006B6DE8" w:rsidRPr="007C5FD5">
        <w:rPr>
          <w:rFonts w:eastAsia="Times New Roman" w:cstheme="minorHAnsi"/>
          <w:lang w:eastAsia="en-GB"/>
        </w:rPr>
        <w:t xml:space="preserve"> reliance on</w:t>
      </w:r>
      <w:r w:rsidR="000023B8" w:rsidRPr="007C5FD5">
        <w:rPr>
          <w:rFonts w:eastAsia="Times New Roman" w:cstheme="minorHAnsi"/>
          <w:lang w:eastAsia="en-GB"/>
        </w:rPr>
        <w:t xml:space="preserve"> </w:t>
      </w:r>
      <w:r w:rsidR="0046563A" w:rsidRPr="007C5FD5">
        <w:rPr>
          <w:rFonts w:eastAsia="Times New Roman" w:cstheme="minorHAnsi"/>
          <w:i/>
          <w:iCs/>
          <w:lang w:eastAsia="en-GB"/>
        </w:rPr>
        <w:t>Morison v Moat</w:t>
      </w:r>
      <w:r w:rsidR="0046563A" w:rsidRPr="007C5FD5">
        <w:rPr>
          <w:rFonts w:eastAsia="Times New Roman" w:cstheme="minorHAnsi"/>
          <w:lang w:eastAsia="en-GB"/>
        </w:rPr>
        <w:t xml:space="preserve"> (1851)</w:t>
      </w:r>
      <w:r w:rsidR="006B6DE8" w:rsidRPr="007C5FD5">
        <w:rPr>
          <w:rFonts w:eastAsia="Times New Roman" w:cstheme="minorHAnsi"/>
          <w:lang w:eastAsia="en-GB"/>
        </w:rPr>
        <w:t>.</w:t>
      </w:r>
      <w:r w:rsidR="0046563A" w:rsidRPr="007C5FD5">
        <w:rPr>
          <w:rStyle w:val="FootnoteReference"/>
          <w:rFonts w:eastAsia="Times New Roman" w:cstheme="minorHAnsi"/>
          <w:lang w:eastAsia="en-GB"/>
        </w:rPr>
        <w:footnoteReference w:id="30"/>
      </w:r>
      <w:r w:rsidR="0046563A" w:rsidRPr="007C5FD5">
        <w:rPr>
          <w:rFonts w:eastAsia="Times New Roman" w:cstheme="minorHAnsi"/>
          <w:lang w:eastAsia="en-GB"/>
        </w:rPr>
        <w:t xml:space="preserve"> </w:t>
      </w:r>
      <w:r w:rsidR="006B6DE8" w:rsidRPr="007C5FD5">
        <w:rPr>
          <w:rFonts w:eastAsia="Times New Roman" w:cstheme="minorHAnsi"/>
          <w:lang w:eastAsia="en-GB"/>
        </w:rPr>
        <w:t xml:space="preserve">Yet, </w:t>
      </w:r>
      <w:r w:rsidR="000C67BB" w:rsidRPr="007C5FD5">
        <w:rPr>
          <w:rFonts w:eastAsia="Times New Roman" w:cstheme="minorHAnsi"/>
          <w:lang w:eastAsia="en-GB"/>
        </w:rPr>
        <w:t>that case would at best provide ‘light’ support for the dut</w:t>
      </w:r>
      <w:r w:rsidR="009A7349" w:rsidRPr="007C5FD5">
        <w:rPr>
          <w:rFonts w:eastAsia="Times New Roman" w:cstheme="minorHAnsi"/>
          <w:lang w:eastAsia="en-GB"/>
        </w:rPr>
        <w:t>y</w:t>
      </w:r>
      <w:r w:rsidR="000C67BB" w:rsidRPr="007C5FD5">
        <w:rPr>
          <w:rFonts w:eastAsia="Times New Roman" w:cstheme="minorHAnsi"/>
          <w:lang w:eastAsia="en-GB"/>
        </w:rPr>
        <w:t xml:space="preserve"> of medical confidentiality as it </w:t>
      </w:r>
      <w:r w:rsidR="006B6DE8" w:rsidRPr="007C5FD5">
        <w:rPr>
          <w:rFonts w:eastAsia="Times New Roman" w:cstheme="minorHAnsi"/>
          <w:lang w:eastAsia="en-GB"/>
        </w:rPr>
        <w:t>centred around the</w:t>
      </w:r>
      <w:r w:rsidR="00AF098F" w:rsidRPr="007C5FD5">
        <w:rPr>
          <w:rFonts w:eastAsia="Times New Roman" w:cstheme="minorHAnsi"/>
          <w:lang w:eastAsia="en-GB"/>
        </w:rPr>
        <w:t xml:space="preserve"> commercial</w:t>
      </w:r>
      <w:r w:rsidR="006B6DE8" w:rsidRPr="007C5FD5">
        <w:rPr>
          <w:rFonts w:eastAsia="Times New Roman" w:cstheme="minorHAnsi"/>
          <w:lang w:eastAsia="en-GB"/>
        </w:rPr>
        <w:t xml:space="preserve"> exploitation of </w:t>
      </w:r>
      <w:r w:rsidR="0046563A" w:rsidRPr="007C5FD5">
        <w:rPr>
          <w:rFonts w:eastAsia="Times New Roman" w:cstheme="minorHAnsi"/>
          <w:lang w:eastAsia="en-GB"/>
        </w:rPr>
        <w:t xml:space="preserve">a secret recipe </w:t>
      </w:r>
      <w:r w:rsidR="006B6DE8" w:rsidRPr="007C5FD5">
        <w:rPr>
          <w:rFonts w:eastAsia="Times New Roman" w:cstheme="minorHAnsi"/>
          <w:lang w:eastAsia="en-GB"/>
        </w:rPr>
        <w:t xml:space="preserve">which </w:t>
      </w:r>
      <w:r w:rsidR="002F55E0" w:rsidRPr="007C5FD5">
        <w:rPr>
          <w:rFonts w:eastAsia="Times New Roman" w:cstheme="minorHAnsi"/>
          <w:lang w:eastAsia="en-GB"/>
        </w:rPr>
        <w:t>the</w:t>
      </w:r>
      <w:r w:rsidR="006B6DE8" w:rsidRPr="007C5FD5">
        <w:rPr>
          <w:rFonts w:eastAsia="Times New Roman" w:cstheme="minorHAnsi"/>
          <w:lang w:eastAsia="en-GB"/>
        </w:rPr>
        <w:t xml:space="preserve"> deceased business partner had unlawfully disclosed to his son and as such came much closer to a proprietary interest</w:t>
      </w:r>
      <w:r w:rsidR="005F2358" w:rsidRPr="007C5FD5">
        <w:rPr>
          <w:rFonts w:eastAsia="Times New Roman" w:cstheme="minorHAnsi"/>
          <w:lang w:eastAsia="en-GB"/>
        </w:rPr>
        <w:t>,</w:t>
      </w:r>
      <w:r w:rsidR="00E50BCB" w:rsidRPr="007C5FD5">
        <w:rPr>
          <w:rFonts w:eastAsia="Times New Roman" w:cstheme="minorHAnsi"/>
          <w:lang w:eastAsia="en-GB"/>
        </w:rPr>
        <w:t xml:space="preserve"> </w:t>
      </w:r>
      <w:r w:rsidR="006B6DE8" w:rsidRPr="007C5FD5">
        <w:rPr>
          <w:rFonts w:eastAsia="Times New Roman" w:cstheme="minorHAnsi"/>
          <w:lang w:eastAsia="en-GB"/>
        </w:rPr>
        <w:t>a trade secret</w:t>
      </w:r>
      <w:r w:rsidR="00E50BCB" w:rsidRPr="007C5FD5">
        <w:rPr>
          <w:rFonts w:eastAsia="Times New Roman" w:cstheme="minorHAnsi"/>
          <w:lang w:eastAsia="en-GB"/>
        </w:rPr>
        <w:t xml:space="preserve"> as a</w:t>
      </w:r>
      <w:r w:rsidR="00224BEC" w:rsidRPr="007C5FD5">
        <w:rPr>
          <w:rFonts w:eastAsia="Times New Roman" w:cstheme="minorHAnsi"/>
          <w:lang w:eastAsia="en-GB"/>
        </w:rPr>
        <w:t xml:space="preserve"> type of</w:t>
      </w:r>
      <w:r w:rsidR="00E50BCB" w:rsidRPr="007C5FD5">
        <w:rPr>
          <w:rFonts w:eastAsia="Times New Roman" w:cstheme="minorHAnsi"/>
          <w:lang w:eastAsia="en-GB"/>
        </w:rPr>
        <w:t xml:space="preserve"> intellectual property</w:t>
      </w:r>
      <w:r w:rsidR="005F2358" w:rsidRPr="007C5FD5">
        <w:rPr>
          <w:rFonts w:eastAsia="Times New Roman" w:cstheme="minorHAnsi"/>
          <w:lang w:eastAsia="en-GB"/>
        </w:rPr>
        <w:t>,</w:t>
      </w:r>
      <w:r w:rsidR="006B6DE8" w:rsidRPr="007C5FD5">
        <w:rPr>
          <w:rStyle w:val="FootnoteReference"/>
          <w:rFonts w:eastAsia="Times New Roman" w:cstheme="minorHAnsi"/>
          <w:lang w:eastAsia="en-GB"/>
        </w:rPr>
        <w:footnoteReference w:id="31"/>
      </w:r>
      <w:r w:rsidR="006B6DE8" w:rsidRPr="007C5FD5">
        <w:rPr>
          <w:rFonts w:eastAsia="Times New Roman" w:cstheme="minorHAnsi"/>
          <w:lang w:eastAsia="en-GB"/>
        </w:rPr>
        <w:t xml:space="preserve"> </w:t>
      </w:r>
      <w:r w:rsidR="005F2358" w:rsidRPr="007C5FD5">
        <w:rPr>
          <w:rFonts w:eastAsia="Times New Roman" w:cstheme="minorHAnsi"/>
          <w:lang w:eastAsia="en-GB"/>
        </w:rPr>
        <w:t xml:space="preserve">with </w:t>
      </w:r>
      <w:r w:rsidR="005F2358" w:rsidRPr="007C5FD5">
        <w:rPr>
          <w:rFonts w:eastAsia="Times New Roman" w:cstheme="minorHAnsi"/>
          <w:i/>
          <w:iCs/>
          <w:lang w:eastAsia="en-GB"/>
        </w:rPr>
        <w:t xml:space="preserve">mutual </w:t>
      </w:r>
      <w:r w:rsidR="005F2358" w:rsidRPr="007C5FD5">
        <w:rPr>
          <w:rFonts w:eastAsia="Times New Roman" w:cstheme="minorHAnsi"/>
          <w:lang w:eastAsia="en-GB"/>
        </w:rPr>
        <w:t xml:space="preserve">obligations of confidentiality. </w:t>
      </w:r>
      <w:proofErr w:type="gramStart"/>
      <w:r w:rsidR="006B7DE5">
        <w:rPr>
          <w:rFonts w:eastAsia="Times New Roman" w:cstheme="minorHAnsi"/>
          <w:lang w:eastAsia="en-GB"/>
        </w:rPr>
        <w:t>Thus</w:t>
      </w:r>
      <w:proofErr w:type="gramEnd"/>
      <w:r w:rsidR="006B7DE5">
        <w:rPr>
          <w:rFonts w:eastAsia="Times New Roman" w:cstheme="minorHAnsi"/>
          <w:lang w:eastAsia="en-GB"/>
        </w:rPr>
        <w:t xml:space="preserve"> it</w:t>
      </w:r>
      <w:r w:rsidR="005F2358" w:rsidRPr="007C5FD5">
        <w:rPr>
          <w:rFonts w:eastAsia="Times New Roman" w:cstheme="minorHAnsi"/>
          <w:lang w:eastAsia="en-GB"/>
        </w:rPr>
        <w:t xml:space="preserve"> </w:t>
      </w:r>
      <w:r w:rsidR="006B6DE8" w:rsidRPr="007C5FD5">
        <w:rPr>
          <w:rFonts w:eastAsia="Times New Roman" w:cstheme="minorHAnsi"/>
          <w:lang w:eastAsia="en-GB"/>
        </w:rPr>
        <w:t>would</w:t>
      </w:r>
      <w:r w:rsidR="00A21D1F" w:rsidRPr="007C5FD5">
        <w:rPr>
          <w:rFonts w:eastAsia="Times New Roman" w:cstheme="minorHAnsi"/>
          <w:lang w:eastAsia="en-GB"/>
        </w:rPr>
        <w:t xml:space="preserve"> </w:t>
      </w:r>
      <w:r w:rsidR="006B6DE8" w:rsidRPr="007C5FD5">
        <w:rPr>
          <w:rFonts w:eastAsia="Times New Roman" w:cstheme="minorHAnsi"/>
          <w:lang w:eastAsia="en-GB"/>
        </w:rPr>
        <w:t>be</w:t>
      </w:r>
      <w:r w:rsidR="00AF098F" w:rsidRPr="007C5FD5">
        <w:rPr>
          <w:rFonts w:eastAsia="Times New Roman" w:cstheme="minorHAnsi"/>
          <w:lang w:eastAsia="en-GB"/>
        </w:rPr>
        <w:t xml:space="preserve"> more accurate</w:t>
      </w:r>
      <w:r w:rsidR="006B6DE8" w:rsidRPr="007C5FD5">
        <w:rPr>
          <w:rFonts w:eastAsia="Times New Roman" w:cstheme="minorHAnsi"/>
          <w:lang w:eastAsia="en-GB"/>
        </w:rPr>
        <w:t xml:space="preserve"> to </w:t>
      </w:r>
      <w:r w:rsidR="00AF098F" w:rsidRPr="007C5FD5">
        <w:rPr>
          <w:rFonts w:eastAsia="Times New Roman" w:cstheme="minorHAnsi"/>
          <w:lang w:eastAsia="en-GB"/>
        </w:rPr>
        <w:t>view</w:t>
      </w:r>
      <w:r w:rsidR="006B6DE8" w:rsidRPr="007C5FD5">
        <w:rPr>
          <w:rFonts w:eastAsia="Times New Roman" w:cstheme="minorHAnsi"/>
          <w:lang w:eastAsia="en-GB"/>
        </w:rPr>
        <w:t xml:space="preserve"> </w:t>
      </w:r>
      <w:r w:rsidR="00AF098F" w:rsidRPr="007C5FD5">
        <w:rPr>
          <w:rFonts w:eastAsia="Times New Roman" w:cstheme="minorHAnsi"/>
          <w:lang w:eastAsia="en-GB"/>
        </w:rPr>
        <w:t xml:space="preserve">the </w:t>
      </w:r>
      <w:r w:rsidR="006B6DE8" w:rsidRPr="007C5FD5">
        <w:rPr>
          <w:rFonts w:eastAsia="Times New Roman" w:cstheme="minorHAnsi"/>
          <w:lang w:eastAsia="en-GB"/>
        </w:rPr>
        <w:t xml:space="preserve">post-mortem </w:t>
      </w:r>
      <w:r w:rsidR="00CA4B2D" w:rsidRPr="006B7DE5">
        <w:rPr>
          <w:rFonts w:eastAsia="Times New Roman" w:cstheme="minorHAnsi"/>
          <w:lang w:eastAsia="en-GB"/>
        </w:rPr>
        <w:t>legal</w:t>
      </w:r>
      <w:r w:rsidR="00CA4B2D" w:rsidRPr="007C5FD5">
        <w:rPr>
          <w:rFonts w:eastAsia="Times New Roman" w:cstheme="minorHAnsi"/>
          <w:i/>
          <w:iCs/>
          <w:lang w:eastAsia="en-GB"/>
        </w:rPr>
        <w:t xml:space="preserve"> </w:t>
      </w:r>
      <w:r w:rsidR="00A551A5" w:rsidRPr="007C5FD5">
        <w:rPr>
          <w:rFonts w:eastAsia="Times New Roman" w:cstheme="minorHAnsi"/>
          <w:lang w:eastAsia="en-GB"/>
        </w:rPr>
        <w:t xml:space="preserve">duty of </w:t>
      </w:r>
      <w:r w:rsidR="006B6DE8" w:rsidRPr="007C5FD5">
        <w:rPr>
          <w:rFonts w:eastAsia="Times New Roman" w:cstheme="minorHAnsi"/>
          <w:lang w:eastAsia="en-GB"/>
        </w:rPr>
        <w:t>medical confiden</w:t>
      </w:r>
      <w:r w:rsidR="009A7349" w:rsidRPr="007C5FD5">
        <w:rPr>
          <w:rFonts w:eastAsia="Times New Roman" w:cstheme="minorHAnsi"/>
          <w:lang w:eastAsia="en-GB"/>
        </w:rPr>
        <w:t xml:space="preserve">tiality </w:t>
      </w:r>
      <w:r w:rsidR="00AF098F" w:rsidRPr="007C5FD5">
        <w:rPr>
          <w:rFonts w:eastAsia="Times New Roman" w:cstheme="minorHAnsi"/>
          <w:lang w:eastAsia="en-GB"/>
        </w:rPr>
        <w:t>as</w:t>
      </w:r>
      <w:r w:rsidR="00544AF9" w:rsidRPr="007C5FD5">
        <w:rPr>
          <w:rFonts w:eastAsia="Times New Roman" w:cstheme="minorHAnsi"/>
          <w:lang w:eastAsia="en-GB"/>
        </w:rPr>
        <w:t xml:space="preserve"> a</w:t>
      </w:r>
      <w:r w:rsidR="00A551A5" w:rsidRPr="007C5FD5">
        <w:rPr>
          <w:rFonts w:eastAsia="Times New Roman" w:cstheme="minorHAnsi"/>
          <w:lang w:eastAsia="en-GB"/>
        </w:rPr>
        <w:t xml:space="preserve"> </w:t>
      </w:r>
      <w:r w:rsidR="00AF098F" w:rsidRPr="007C5FD5">
        <w:rPr>
          <w:rFonts w:eastAsia="Times New Roman" w:cstheme="minorHAnsi"/>
          <w:lang w:eastAsia="en-GB"/>
        </w:rPr>
        <w:t>judicial</w:t>
      </w:r>
      <w:r w:rsidR="00A551A5" w:rsidRPr="007C5FD5">
        <w:rPr>
          <w:rFonts w:eastAsia="Times New Roman" w:cstheme="minorHAnsi"/>
          <w:lang w:eastAsia="en-GB"/>
        </w:rPr>
        <w:t xml:space="preserve"> innovation </w:t>
      </w:r>
      <w:r w:rsidR="000D5B64" w:rsidRPr="007C5FD5">
        <w:rPr>
          <w:rFonts w:eastAsia="Times New Roman" w:cstheme="minorHAnsi"/>
          <w:lang w:eastAsia="en-GB"/>
        </w:rPr>
        <w:t>based</w:t>
      </w:r>
      <w:r w:rsidR="00A551A5" w:rsidRPr="007C5FD5">
        <w:rPr>
          <w:rFonts w:eastAsia="Times New Roman" w:cstheme="minorHAnsi"/>
          <w:lang w:eastAsia="en-GB"/>
        </w:rPr>
        <w:t xml:space="preserve"> on </w:t>
      </w:r>
      <w:r w:rsidR="00AF098F" w:rsidRPr="007C5FD5">
        <w:rPr>
          <w:rFonts w:eastAsia="Times New Roman" w:cstheme="minorHAnsi"/>
          <w:lang w:eastAsia="en-GB"/>
        </w:rPr>
        <w:t>the</w:t>
      </w:r>
      <w:r w:rsidR="00A551A5" w:rsidRPr="007C5FD5">
        <w:rPr>
          <w:rFonts w:eastAsia="Times New Roman" w:cstheme="minorHAnsi"/>
          <w:lang w:eastAsia="en-GB"/>
        </w:rPr>
        <w:t xml:space="preserve"> </w:t>
      </w:r>
      <w:r w:rsidR="00544AF9" w:rsidRPr="007C5FD5">
        <w:rPr>
          <w:rFonts w:eastAsia="Times New Roman" w:cstheme="minorHAnsi"/>
          <w:lang w:eastAsia="en-GB"/>
        </w:rPr>
        <w:t>long</w:t>
      </w:r>
      <w:r w:rsidR="00675488" w:rsidRPr="007C5FD5">
        <w:rPr>
          <w:rFonts w:eastAsia="Times New Roman" w:cstheme="minorHAnsi"/>
          <w:lang w:eastAsia="en-GB"/>
        </w:rPr>
        <w:t>-</w:t>
      </w:r>
      <w:r w:rsidR="00544AF9" w:rsidRPr="007C5FD5">
        <w:rPr>
          <w:rFonts w:eastAsia="Times New Roman" w:cstheme="minorHAnsi"/>
          <w:lang w:eastAsia="en-GB"/>
        </w:rPr>
        <w:t xml:space="preserve">standing </w:t>
      </w:r>
      <w:r w:rsidR="00A551A5" w:rsidRPr="007C5FD5">
        <w:rPr>
          <w:rFonts w:eastAsia="Times New Roman" w:cstheme="minorHAnsi"/>
          <w:lang w:eastAsia="en-GB"/>
        </w:rPr>
        <w:t xml:space="preserve">professional duty.  </w:t>
      </w:r>
    </w:p>
    <w:p w14:paraId="668181FF" w14:textId="11650DB3" w:rsidR="00C67ADD" w:rsidRPr="007C5FD5" w:rsidRDefault="00C67ADD" w:rsidP="00FD77D8">
      <w:pPr>
        <w:autoSpaceDE w:val="0"/>
        <w:autoSpaceDN w:val="0"/>
        <w:adjustRightInd w:val="0"/>
        <w:spacing w:after="0" w:line="240" w:lineRule="auto"/>
        <w:jc w:val="both"/>
        <w:rPr>
          <w:rFonts w:cstheme="minorHAnsi"/>
        </w:rPr>
      </w:pPr>
    </w:p>
    <w:p w14:paraId="6CCB3B61" w14:textId="2F99E64F" w:rsidR="00C67ADD" w:rsidRPr="007C5FD5" w:rsidRDefault="00D711CA" w:rsidP="00FD77D8">
      <w:pPr>
        <w:autoSpaceDE w:val="0"/>
        <w:autoSpaceDN w:val="0"/>
        <w:adjustRightInd w:val="0"/>
        <w:spacing w:after="0" w:line="240" w:lineRule="auto"/>
        <w:jc w:val="both"/>
        <w:rPr>
          <w:rFonts w:cstheme="minorHAnsi"/>
        </w:rPr>
      </w:pPr>
      <w:r w:rsidRPr="007C5FD5">
        <w:rPr>
          <w:rFonts w:cstheme="minorHAnsi"/>
        </w:rPr>
        <w:t>Again in 1996</w:t>
      </w:r>
      <w:r w:rsidR="003E46B9" w:rsidRPr="007C5FD5">
        <w:rPr>
          <w:rFonts w:cstheme="minorHAnsi"/>
        </w:rPr>
        <w:t xml:space="preserve">, post-mortem medical confidentiality </w:t>
      </w:r>
      <w:r w:rsidR="00224BEC" w:rsidRPr="007C5FD5">
        <w:rPr>
          <w:rFonts w:cstheme="minorHAnsi"/>
        </w:rPr>
        <w:t>c</w:t>
      </w:r>
      <w:r w:rsidR="00F2729E" w:rsidRPr="007C5FD5">
        <w:rPr>
          <w:rFonts w:cstheme="minorHAnsi"/>
        </w:rPr>
        <w:t>a</w:t>
      </w:r>
      <w:r w:rsidR="00224BEC" w:rsidRPr="007C5FD5">
        <w:rPr>
          <w:rFonts w:cstheme="minorHAnsi"/>
        </w:rPr>
        <w:t>me</w:t>
      </w:r>
      <w:r w:rsidR="006B7DE5">
        <w:rPr>
          <w:rFonts w:cstheme="minorHAnsi"/>
        </w:rPr>
        <w:t xml:space="preserve"> also</w:t>
      </w:r>
      <w:r w:rsidR="00224BEC" w:rsidRPr="007C5FD5">
        <w:rPr>
          <w:rFonts w:cstheme="minorHAnsi"/>
        </w:rPr>
        <w:t xml:space="preserve"> to a head</w:t>
      </w:r>
      <w:r w:rsidR="005B4D75" w:rsidRPr="007C5FD5">
        <w:rPr>
          <w:rFonts w:cstheme="minorHAnsi"/>
        </w:rPr>
        <w:t xml:space="preserve"> in France</w:t>
      </w:r>
      <w:r w:rsidR="004D119B">
        <w:rPr>
          <w:rFonts w:cstheme="minorHAnsi"/>
        </w:rPr>
        <w:t xml:space="preserve"> and ul</w:t>
      </w:r>
      <w:r w:rsidR="00B86D93">
        <w:rPr>
          <w:rFonts w:cstheme="minorHAnsi"/>
        </w:rPr>
        <w:t>timately before the ECtHR</w:t>
      </w:r>
      <w:r w:rsidR="00D6308E">
        <w:rPr>
          <w:rFonts w:cstheme="minorHAnsi"/>
        </w:rPr>
        <w:t>.</w:t>
      </w:r>
      <w:r w:rsidR="00B86D93">
        <w:rPr>
          <w:rStyle w:val="FootnoteReference"/>
          <w:rFonts w:cstheme="minorHAnsi"/>
        </w:rPr>
        <w:footnoteReference w:id="32"/>
      </w:r>
      <w:r w:rsidR="00AF098F" w:rsidRPr="007C5FD5">
        <w:rPr>
          <w:rFonts w:cstheme="minorHAnsi"/>
        </w:rPr>
        <w:t xml:space="preserve"> </w:t>
      </w:r>
      <w:r w:rsidR="00D6308E">
        <w:rPr>
          <w:rFonts w:cstheme="minorHAnsi"/>
        </w:rPr>
        <w:t>H</w:t>
      </w:r>
      <w:r w:rsidR="00AF098F" w:rsidRPr="007C5FD5">
        <w:rPr>
          <w:rFonts w:cstheme="minorHAnsi"/>
        </w:rPr>
        <w:t>ere</w:t>
      </w:r>
      <w:r w:rsidR="00F74B3D" w:rsidRPr="007C5FD5">
        <w:rPr>
          <w:rFonts w:cstheme="minorHAnsi"/>
        </w:rPr>
        <w:t xml:space="preserve"> it </w:t>
      </w:r>
      <w:r w:rsidR="00A13598" w:rsidRPr="007C5FD5">
        <w:rPr>
          <w:rFonts w:cstheme="minorHAnsi"/>
        </w:rPr>
        <w:t>concern</w:t>
      </w:r>
      <w:r w:rsidR="005B4D75" w:rsidRPr="007C5FD5">
        <w:rPr>
          <w:rFonts w:cstheme="minorHAnsi"/>
        </w:rPr>
        <w:t xml:space="preserve">ed </w:t>
      </w:r>
      <w:r w:rsidR="000B0121" w:rsidRPr="007C5FD5">
        <w:rPr>
          <w:rFonts w:cstheme="minorHAnsi"/>
        </w:rPr>
        <w:t>the</w:t>
      </w:r>
      <w:r w:rsidR="003E46B9" w:rsidRPr="007C5FD5">
        <w:rPr>
          <w:rFonts w:cstheme="minorHAnsi"/>
        </w:rPr>
        <w:t xml:space="preserve"> </w:t>
      </w:r>
      <w:r w:rsidR="00007C94" w:rsidRPr="007C5FD5">
        <w:rPr>
          <w:rFonts w:cstheme="minorHAnsi"/>
        </w:rPr>
        <w:t>release</w:t>
      </w:r>
      <w:r w:rsidR="000B0121" w:rsidRPr="007C5FD5">
        <w:rPr>
          <w:rFonts w:cstheme="minorHAnsi"/>
        </w:rPr>
        <w:t xml:space="preserve"> of a b</w:t>
      </w:r>
      <w:r w:rsidR="006330A1" w:rsidRPr="007C5FD5">
        <w:rPr>
          <w:rFonts w:cstheme="minorHAnsi"/>
        </w:rPr>
        <w:t>ook</w:t>
      </w:r>
      <w:r w:rsidR="00467D15" w:rsidRPr="007C5FD5">
        <w:rPr>
          <w:rFonts w:cstheme="minorHAnsi"/>
        </w:rPr>
        <w:t xml:space="preserve">, </w:t>
      </w:r>
      <w:r w:rsidR="000B0121" w:rsidRPr="007C5FD5">
        <w:rPr>
          <w:rFonts w:cstheme="minorHAnsi"/>
          <w:i/>
          <w:iCs/>
        </w:rPr>
        <w:t>Le Grand Secret</w:t>
      </w:r>
      <w:r w:rsidR="00467D15" w:rsidRPr="007C5FD5">
        <w:rPr>
          <w:rFonts w:cstheme="minorHAnsi"/>
          <w:i/>
          <w:iCs/>
        </w:rPr>
        <w:t>,</w:t>
      </w:r>
      <w:r w:rsidR="000B0121" w:rsidRPr="007C5FD5">
        <w:rPr>
          <w:rFonts w:cstheme="minorHAnsi"/>
        </w:rPr>
        <w:t xml:space="preserve"> </w:t>
      </w:r>
      <w:r w:rsidR="000116D3" w:rsidRPr="007C5FD5">
        <w:rPr>
          <w:rFonts w:cstheme="minorHAnsi"/>
        </w:rPr>
        <w:t xml:space="preserve">about President Francois Mitterrand </w:t>
      </w:r>
      <w:r w:rsidR="000B0121" w:rsidRPr="007C5FD5">
        <w:rPr>
          <w:rFonts w:cstheme="minorHAnsi"/>
        </w:rPr>
        <w:t xml:space="preserve">shortly after his death. The book detailed medical confidences </w:t>
      </w:r>
      <w:r w:rsidR="006330A1" w:rsidRPr="007C5FD5">
        <w:rPr>
          <w:rFonts w:cstheme="minorHAnsi"/>
        </w:rPr>
        <w:t>about</w:t>
      </w:r>
      <w:r w:rsidR="000B0121" w:rsidRPr="007C5FD5">
        <w:rPr>
          <w:rFonts w:cstheme="minorHAnsi"/>
        </w:rPr>
        <w:t xml:space="preserve"> </w:t>
      </w:r>
      <w:r w:rsidR="00D24F36" w:rsidRPr="007C5FD5">
        <w:rPr>
          <w:rFonts w:cstheme="minorHAnsi"/>
        </w:rPr>
        <w:t>Mitterrand</w:t>
      </w:r>
      <w:r w:rsidR="006330A1" w:rsidRPr="007C5FD5">
        <w:rPr>
          <w:rFonts w:cstheme="minorHAnsi"/>
        </w:rPr>
        <w:t xml:space="preserve"> by hi</w:t>
      </w:r>
      <w:r w:rsidR="00D24F36" w:rsidRPr="007C5FD5">
        <w:rPr>
          <w:rFonts w:cstheme="minorHAnsi"/>
        </w:rPr>
        <w:t>s</w:t>
      </w:r>
      <w:r w:rsidR="000B0121" w:rsidRPr="007C5FD5">
        <w:rPr>
          <w:rFonts w:cstheme="minorHAnsi"/>
        </w:rPr>
        <w:t xml:space="preserve"> private physician Dr </w:t>
      </w:r>
      <w:proofErr w:type="spellStart"/>
      <w:r w:rsidR="000B0121" w:rsidRPr="007C5FD5">
        <w:rPr>
          <w:rFonts w:cstheme="minorHAnsi"/>
        </w:rPr>
        <w:t>Gubler</w:t>
      </w:r>
      <w:proofErr w:type="spellEnd"/>
      <w:r w:rsidR="000B0121" w:rsidRPr="007C5FD5">
        <w:rPr>
          <w:rFonts w:cstheme="minorHAnsi"/>
        </w:rPr>
        <w:t xml:space="preserve"> and in particular his cancer diagnosis in 1981 </w:t>
      </w:r>
      <w:r w:rsidR="00AF61C5" w:rsidRPr="007C5FD5">
        <w:rPr>
          <w:rFonts w:cstheme="minorHAnsi"/>
        </w:rPr>
        <w:t>a few</w:t>
      </w:r>
      <w:r w:rsidR="000116D3" w:rsidRPr="007C5FD5">
        <w:rPr>
          <w:rFonts w:cstheme="minorHAnsi"/>
        </w:rPr>
        <w:t xml:space="preserve"> months </w:t>
      </w:r>
      <w:r w:rsidR="000B0121" w:rsidRPr="007C5FD5">
        <w:rPr>
          <w:rFonts w:cstheme="minorHAnsi"/>
        </w:rPr>
        <w:t xml:space="preserve">after he </w:t>
      </w:r>
      <w:r w:rsidR="009A1140" w:rsidRPr="007C5FD5">
        <w:rPr>
          <w:rFonts w:cstheme="minorHAnsi"/>
        </w:rPr>
        <w:t>was</w:t>
      </w:r>
      <w:r w:rsidR="000B0121" w:rsidRPr="007C5FD5">
        <w:rPr>
          <w:rFonts w:cstheme="minorHAnsi"/>
        </w:rPr>
        <w:t xml:space="preserve"> elected President of France</w:t>
      </w:r>
      <w:r w:rsidR="00950638" w:rsidRPr="007C5FD5">
        <w:rPr>
          <w:rFonts w:cstheme="minorHAnsi"/>
        </w:rPr>
        <w:t>.</w:t>
      </w:r>
      <w:r w:rsidR="000B0121" w:rsidRPr="007C5FD5">
        <w:rPr>
          <w:rFonts w:cstheme="minorHAnsi"/>
        </w:rPr>
        <w:t xml:space="preserve"> </w:t>
      </w:r>
      <w:r w:rsidR="00950638" w:rsidRPr="007C5FD5">
        <w:rPr>
          <w:rFonts w:cstheme="minorHAnsi"/>
        </w:rPr>
        <w:t xml:space="preserve">In </w:t>
      </w:r>
      <w:r w:rsidR="000B0121" w:rsidRPr="007C5FD5">
        <w:rPr>
          <w:rFonts w:cstheme="minorHAnsi"/>
        </w:rPr>
        <w:t>civil proceedings for a breach of medical confidentiality,</w:t>
      </w:r>
      <w:r w:rsidR="009A1140" w:rsidRPr="007C5FD5">
        <w:rPr>
          <w:rFonts w:cstheme="minorHAnsi"/>
        </w:rPr>
        <w:t xml:space="preserve"> for an</w:t>
      </w:r>
      <w:r w:rsidR="000B0121" w:rsidRPr="007C5FD5">
        <w:rPr>
          <w:rFonts w:cstheme="minorHAnsi"/>
        </w:rPr>
        <w:t xml:space="preserve"> </w:t>
      </w:r>
      <w:r w:rsidR="00950638" w:rsidRPr="007C5FD5">
        <w:rPr>
          <w:rFonts w:cstheme="minorHAnsi"/>
        </w:rPr>
        <w:t xml:space="preserve">invasion </w:t>
      </w:r>
      <w:r w:rsidR="000B0121" w:rsidRPr="007C5FD5">
        <w:rPr>
          <w:rFonts w:cstheme="minorHAnsi"/>
        </w:rPr>
        <w:t xml:space="preserve">of Mitterrand’s privacy and </w:t>
      </w:r>
      <w:r w:rsidR="00007C94" w:rsidRPr="007C5FD5">
        <w:rPr>
          <w:rFonts w:cstheme="minorHAnsi"/>
        </w:rPr>
        <w:t xml:space="preserve">for </w:t>
      </w:r>
      <w:r w:rsidR="000B0121" w:rsidRPr="007C5FD5">
        <w:rPr>
          <w:rFonts w:cstheme="minorHAnsi"/>
        </w:rPr>
        <w:t>injury to his relatives’ feelings</w:t>
      </w:r>
      <w:r w:rsidR="00950638" w:rsidRPr="007C5FD5">
        <w:rPr>
          <w:rFonts w:cstheme="minorHAnsi"/>
        </w:rPr>
        <w:t xml:space="preserve">, the Paris Tribunal de Grande Instance </w:t>
      </w:r>
      <w:r w:rsidR="006C167E" w:rsidRPr="007C5FD5">
        <w:rPr>
          <w:rFonts w:cstheme="minorHAnsi"/>
        </w:rPr>
        <w:t>granted</w:t>
      </w:r>
      <w:r w:rsidR="00950638" w:rsidRPr="007C5FD5">
        <w:rPr>
          <w:rFonts w:cstheme="minorHAnsi"/>
        </w:rPr>
        <w:t xml:space="preserve"> a</w:t>
      </w:r>
      <w:r w:rsidR="00411A5C" w:rsidRPr="007C5FD5">
        <w:rPr>
          <w:rFonts w:cstheme="minorHAnsi"/>
        </w:rPr>
        <w:t>n interim</w:t>
      </w:r>
      <w:r w:rsidR="000A3331" w:rsidRPr="007C5FD5">
        <w:rPr>
          <w:rFonts w:cstheme="minorHAnsi"/>
        </w:rPr>
        <w:t xml:space="preserve"> </w:t>
      </w:r>
      <w:r w:rsidR="00950638" w:rsidRPr="007C5FD5">
        <w:rPr>
          <w:rFonts w:cstheme="minorHAnsi"/>
        </w:rPr>
        <w:t>injunction</w:t>
      </w:r>
      <w:r w:rsidR="009A1140" w:rsidRPr="007C5FD5">
        <w:rPr>
          <w:rFonts w:cstheme="minorHAnsi"/>
        </w:rPr>
        <w:t xml:space="preserve"> on the</w:t>
      </w:r>
      <w:r w:rsidR="00950638" w:rsidRPr="007C5FD5">
        <w:rPr>
          <w:rFonts w:cstheme="minorHAnsi"/>
        </w:rPr>
        <w:t xml:space="preserve"> basis that th</w:t>
      </w:r>
      <w:r w:rsidR="009A1140" w:rsidRPr="007C5FD5">
        <w:rPr>
          <w:rFonts w:cstheme="minorHAnsi"/>
        </w:rPr>
        <w:t>e book</w:t>
      </w:r>
      <w:r w:rsidR="00950638" w:rsidRPr="007C5FD5">
        <w:rPr>
          <w:rFonts w:cstheme="minorHAnsi"/>
        </w:rPr>
        <w:t xml:space="preserve"> was a ‘blatant abuse of freedom of expression</w:t>
      </w:r>
      <w:r w:rsidR="009A1140" w:rsidRPr="007C5FD5">
        <w:rPr>
          <w:rFonts w:cstheme="minorHAnsi"/>
        </w:rPr>
        <w:t>.</w:t>
      </w:r>
      <w:r w:rsidR="00950638" w:rsidRPr="007C5FD5">
        <w:rPr>
          <w:rFonts w:cstheme="minorHAnsi"/>
        </w:rPr>
        <w:t>’</w:t>
      </w:r>
      <w:r w:rsidR="00950638" w:rsidRPr="007C5FD5">
        <w:rPr>
          <w:rStyle w:val="FootnoteReference"/>
          <w:rFonts w:cstheme="minorHAnsi"/>
        </w:rPr>
        <w:footnoteReference w:id="33"/>
      </w:r>
      <w:r w:rsidR="000A3331" w:rsidRPr="007C5FD5">
        <w:rPr>
          <w:rFonts w:cstheme="minorHAnsi"/>
        </w:rPr>
        <w:t xml:space="preserve"> </w:t>
      </w:r>
      <w:r w:rsidR="00411A5C" w:rsidRPr="007C5FD5">
        <w:rPr>
          <w:rFonts w:cstheme="minorHAnsi"/>
        </w:rPr>
        <w:t>In the subsequent main proceedings,</w:t>
      </w:r>
      <w:r w:rsidR="000A3331" w:rsidRPr="007C5FD5">
        <w:rPr>
          <w:rFonts w:cstheme="minorHAnsi"/>
        </w:rPr>
        <w:t xml:space="preserve"> the Court</w:t>
      </w:r>
      <w:r w:rsidR="009A1140" w:rsidRPr="007C5FD5">
        <w:rPr>
          <w:rFonts w:cstheme="minorHAnsi"/>
        </w:rPr>
        <w:t xml:space="preserve"> of Appeal</w:t>
      </w:r>
      <w:r w:rsidR="000A3331" w:rsidRPr="007C5FD5">
        <w:rPr>
          <w:rFonts w:cstheme="minorHAnsi"/>
        </w:rPr>
        <w:t xml:space="preserve"> disallowed</w:t>
      </w:r>
      <w:r w:rsidR="00AE030E" w:rsidRPr="007C5FD5">
        <w:rPr>
          <w:rFonts w:cstheme="minorHAnsi"/>
        </w:rPr>
        <w:t xml:space="preserve"> Mitterrand’s </w:t>
      </w:r>
      <w:r w:rsidR="000A3331" w:rsidRPr="007C5FD5">
        <w:rPr>
          <w:rFonts w:cstheme="minorHAnsi"/>
          <w:i/>
          <w:iCs/>
        </w:rPr>
        <w:t>privacy</w:t>
      </w:r>
      <w:r w:rsidR="000A3331" w:rsidRPr="007C5FD5">
        <w:rPr>
          <w:rFonts w:cstheme="minorHAnsi"/>
        </w:rPr>
        <w:t xml:space="preserve"> </w:t>
      </w:r>
      <w:r w:rsidR="00AE030E" w:rsidRPr="007C5FD5">
        <w:rPr>
          <w:rFonts w:cstheme="minorHAnsi"/>
        </w:rPr>
        <w:t>claim</w:t>
      </w:r>
      <w:r w:rsidR="000A3331" w:rsidRPr="007C5FD5">
        <w:rPr>
          <w:rFonts w:cstheme="minorHAnsi"/>
        </w:rPr>
        <w:t xml:space="preserve"> </w:t>
      </w:r>
      <w:r w:rsidR="001604EE" w:rsidRPr="007C5FD5">
        <w:rPr>
          <w:rFonts w:cstheme="minorHAnsi"/>
        </w:rPr>
        <w:t xml:space="preserve">as </w:t>
      </w:r>
      <w:r w:rsidR="000A3331" w:rsidRPr="007C5FD5">
        <w:rPr>
          <w:rFonts w:cstheme="minorHAnsi"/>
        </w:rPr>
        <w:t>‘the possibility for anyone to prohibit any form of disclosure about [their private life] is only open to the living</w:t>
      </w:r>
      <w:r w:rsidR="001604EE" w:rsidRPr="007C5FD5">
        <w:rPr>
          <w:rFonts w:cstheme="minorHAnsi"/>
        </w:rPr>
        <w:t>,</w:t>
      </w:r>
      <w:r w:rsidR="000A3331" w:rsidRPr="007C5FD5">
        <w:rPr>
          <w:rFonts w:cstheme="minorHAnsi"/>
        </w:rPr>
        <w:t>’</w:t>
      </w:r>
      <w:r w:rsidR="000A3331" w:rsidRPr="007C5FD5">
        <w:rPr>
          <w:rStyle w:val="FootnoteReference"/>
          <w:rFonts w:cstheme="minorHAnsi"/>
        </w:rPr>
        <w:footnoteReference w:id="34"/>
      </w:r>
      <w:r w:rsidR="000116D3" w:rsidRPr="007C5FD5">
        <w:rPr>
          <w:rFonts w:cstheme="minorHAnsi"/>
          <w:i/>
          <w:iCs/>
        </w:rPr>
        <w:t xml:space="preserve"> </w:t>
      </w:r>
      <w:r w:rsidR="000116D3" w:rsidRPr="007C5FD5">
        <w:rPr>
          <w:rFonts w:cstheme="minorHAnsi"/>
        </w:rPr>
        <w:t>but</w:t>
      </w:r>
      <w:r w:rsidR="00D633C9" w:rsidRPr="007C5FD5">
        <w:rPr>
          <w:rFonts w:cstheme="minorHAnsi"/>
        </w:rPr>
        <w:t xml:space="preserve"> </w:t>
      </w:r>
      <w:r w:rsidR="001604EE" w:rsidRPr="007C5FD5">
        <w:rPr>
          <w:rFonts w:cstheme="minorHAnsi"/>
        </w:rPr>
        <w:t xml:space="preserve">allowed </w:t>
      </w:r>
      <w:r w:rsidR="00867C35" w:rsidRPr="007C5FD5">
        <w:rPr>
          <w:rFonts w:cstheme="minorHAnsi"/>
        </w:rPr>
        <w:t>a</w:t>
      </w:r>
      <w:r w:rsidR="00AE030E" w:rsidRPr="007C5FD5">
        <w:rPr>
          <w:rFonts w:cstheme="minorHAnsi"/>
        </w:rPr>
        <w:t xml:space="preserve"> civil</w:t>
      </w:r>
      <w:r w:rsidR="001604EE" w:rsidRPr="007C5FD5">
        <w:rPr>
          <w:rFonts w:cstheme="minorHAnsi"/>
        </w:rPr>
        <w:t xml:space="preserve"> claim </w:t>
      </w:r>
      <w:r w:rsidR="00411A5C" w:rsidRPr="007C5FD5">
        <w:rPr>
          <w:rFonts w:cstheme="minorHAnsi"/>
        </w:rPr>
        <w:t>for</w:t>
      </w:r>
      <w:r w:rsidR="001604EE" w:rsidRPr="007C5FD5">
        <w:rPr>
          <w:rFonts w:cstheme="minorHAnsi"/>
        </w:rPr>
        <w:t xml:space="preserve"> breach </w:t>
      </w:r>
      <w:r w:rsidR="00AE030E" w:rsidRPr="007C5FD5">
        <w:rPr>
          <w:rFonts w:cstheme="minorHAnsi"/>
        </w:rPr>
        <w:t>of the</w:t>
      </w:r>
      <w:r w:rsidR="001604EE" w:rsidRPr="007C5FD5">
        <w:rPr>
          <w:rFonts w:cstheme="minorHAnsi"/>
        </w:rPr>
        <w:t xml:space="preserve"> duty of medical confidentiality</w:t>
      </w:r>
      <w:r w:rsidR="00AE030E" w:rsidRPr="007C5FD5">
        <w:rPr>
          <w:rFonts w:cstheme="minorHAnsi"/>
        </w:rPr>
        <w:t xml:space="preserve"> </w:t>
      </w:r>
      <w:r w:rsidR="00867C35" w:rsidRPr="007C5FD5">
        <w:rPr>
          <w:rFonts w:cstheme="minorHAnsi"/>
        </w:rPr>
        <w:t>(</w:t>
      </w:r>
      <w:r w:rsidR="006330A1" w:rsidRPr="007C5FD5">
        <w:rPr>
          <w:rFonts w:cstheme="minorHAnsi"/>
        </w:rPr>
        <w:t>based on a</w:t>
      </w:r>
      <w:r w:rsidR="000116D3" w:rsidRPr="007C5FD5">
        <w:rPr>
          <w:rFonts w:cstheme="minorHAnsi"/>
        </w:rPr>
        <w:t>n offence under</w:t>
      </w:r>
      <w:r w:rsidR="00FA161F" w:rsidRPr="007C5FD5">
        <w:rPr>
          <w:rFonts w:cstheme="minorHAnsi"/>
        </w:rPr>
        <w:t xml:space="preserve"> Art 226-13 of the</w:t>
      </w:r>
      <w:r w:rsidR="00AE030E" w:rsidRPr="007C5FD5">
        <w:rPr>
          <w:rFonts w:cstheme="minorHAnsi"/>
        </w:rPr>
        <w:t xml:space="preserve"> French</w:t>
      </w:r>
      <w:r w:rsidR="00FA161F" w:rsidRPr="007C5FD5">
        <w:rPr>
          <w:rFonts w:cstheme="minorHAnsi"/>
        </w:rPr>
        <w:t xml:space="preserve"> Criminal Code</w:t>
      </w:r>
      <w:r w:rsidR="00867C35" w:rsidRPr="007C5FD5">
        <w:rPr>
          <w:rFonts w:cstheme="minorHAnsi"/>
        </w:rPr>
        <w:t>)</w:t>
      </w:r>
      <w:r w:rsidR="00AE030E" w:rsidRPr="007C5FD5">
        <w:rPr>
          <w:rFonts w:cstheme="minorHAnsi"/>
        </w:rPr>
        <w:t xml:space="preserve"> </w:t>
      </w:r>
      <w:r w:rsidR="001604EE" w:rsidRPr="007C5FD5">
        <w:rPr>
          <w:rFonts w:cstheme="minorHAnsi"/>
        </w:rPr>
        <w:t>and ban</w:t>
      </w:r>
      <w:r w:rsidR="00867C35" w:rsidRPr="007C5FD5">
        <w:rPr>
          <w:rFonts w:cstheme="minorHAnsi"/>
        </w:rPr>
        <w:t>ned</w:t>
      </w:r>
      <w:r w:rsidR="001604EE" w:rsidRPr="007C5FD5">
        <w:rPr>
          <w:rFonts w:cstheme="minorHAnsi"/>
        </w:rPr>
        <w:t xml:space="preserve"> the distribution of the book</w:t>
      </w:r>
      <w:r w:rsidR="00867C35" w:rsidRPr="007C5FD5">
        <w:rPr>
          <w:rFonts w:cstheme="minorHAnsi"/>
        </w:rPr>
        <w:t xml:space="preserve"> </w:t>
      </w:r>
      <w:r w:rsidR="0085188F" w:rsidRPr="007C5FD5">
        <w:rPr>
          <w:rFonts w:cstheme="minorHAnsi"/>
        </w:rPr>
        <w:t>indefinitely</w:t>
      </w:r>
      <w:r w:rsidR="00FA161F" w:rsidRPr="007C5FD5">
        <w:rPr>
          <w:rFonts w:cstheme="minorHAnsi"/>
        </w:rPr>
        <w:t>:</w:t>
      </w:r>
    </w:p>
    <w:p w14:paraId="49F695BA" w14:textId="77777777" w:rsidR="00FA161F" w:rsidRPr="007C5FD5" w:rsidRDefault="00FA161F" w:rsidP="00FD77D8">
      <w:pPr>
        <w:autoSpaceDE w:val="0"/>
        <w:autoSpaceDN w:val="0"/>
        <w:adjustRightInd w:val="0"/>
        <w:spacing w:after="0" w:line="240" w:lineRule="auto"/>
        <w:jc w:val="both"/>
        <w:rPr>
          <w:rFonts w:cstheme="minorHAnsi"/>
        </w:rPr>
      </w:pPr>
    </w:p>
    <w:p w14:paraId="3A21BB37" w14:textId="5A8C94A2" w:rsidR="00027648" w:rsidRPr="007C5FD5" w:rsidRDefault="00AE030E" w:rsidP="00FD77D8">
      <w:pPr>
        <w:autoSpaceDE w:val="0"/>
        <w:autoSpaceDN w:val="0"/>
        <w:adjustRightInd w:val="0"/>
        <w:spacing w:after="0" w:line="240" w:lineRule="auto"/>
        <w:ind w:left="720"/>
        <w:jc w:val="both"/>
        <w:rPr>
          <w:rFonts w:cstheme="minorHAnsi"/>
        </w:rPr>
      </w:pPr>
      <w:r w:rsidRPr="007C5FD5">
        <w:rPr>
          <w:rFonts w:cstheme="minorHAnsi"/>
        </w:rPr>
        <w:t xml:space="preserve">‘[medical confidentiality is] not only in the public interest but also in the interests of private individuals, </w:t>
      </w:r>
      <w:proofErr w:type="gramStart"/>
      <w:r w:rsidRPr="007C5FD5">
        <w:rPr>
          <w:rFonts w:cstheme="minorHAnsi"/>
        </w:rPr>
        <w:t>in order to</w:t>
      </w:r>
      <w:proofErr w:type="gramEnd"/>
      <w:r w:rsidRPr="007C5FD5">
        <w:rPr>
          <w:rFonts w:cstheme="minorHAnsi"/>
        </w:rPr>
        <w:t xml:space="preserve"> guarantee the security of the confidential information which they are required to entrust to certain persons on account of their status and profession. The duty</w:t>
      </w:r>
      <w:r w:rsidR="00FA161F" w:rsidRPr="007C5FD5">
        <w:rPr>
          <w:rFonts w:cstheme="minorHAnsi"/>
        </w:rPr>
        <w:t xml:space="preserve">… </w:t>
      </w:r>
      <w:r w:rsidRPr="007C5FD5">
        <w:rPr>
          <w:rFonts w:cstheme="minorHAnsi"/>
        </w:rPr>
        <w:t xml:space="preserve">is </w:t>
      </w:r>
      <w:r w:rsidRPr="007C5FD5">
        <w:rPr>
          <w:rFonts w:cstheme="minorHAnsi"/>
          <w:i/>
          <w:iCs/>
        </w:rPr>
        <w:t>founded on the</w:t>
      </w:r>
      <w:r w:rsidRPr="007C5FD5">
        <w:rPr>
          <w:rFonts w:cstheme="minorHAnsi"/>
        </w:rPr>
        <w:t xml:space="preserve"> </w:t>
      </w:r>
      <w:r w:rsidRPr="007C5FD5">
        <w:rPr>
          <w:rFonts w:cstheme="minorHAnsi"/>
          <w:i/>
          <w:iCs/>
        </w:rPr>
        <w:t>relationship of trust</w:t>
      </w:r>
      <w:r w:rsidRPr="007C5FD5">
        <w:rPr>
          <w:rFonts w:cstheme="minorHAnsi"/>
        </w:rPr>
        <w:t xml:space="preserve"> essential to the provision of medical treatment, whereby patients are assured that anything they tell their doctor or cause him to see, hear or understand, as a person in whom such information must be confided, will not be disclosed by him.</w:t>
      </w:r>
      <w:r w:rsidR="00845A18" w:rsidRPr="007C5FD5">
        <w:rPr>
          <w:rFonts w:cstheme="minorHAnsi"/>
        </w:rPr>
        <w:t>’</w:t>
      </w:r>
      <w:r w:rsidR="00845A18" w:rsidRPr="007C5FD5">
        <w:rPr>
          <w:rStyle w:val="FootnoteReference"/>
          <w:rFonts w:cstheme="minorHAnsi"/>
        </w:rPr>
        <w:footnoteReference w:id="35"/>
      </w:r>
      <w:r w:rsidR="00845A18" w:rsidRPr="007C5FD5">
        <w:rPr>
          <w:rFonts w:cstheme="minorHAnsi"/>
        </w:rPr>
        <w:t xml:space="preserve"> </w:t>
      </w:r>
    </w:p>
    <w:p w14:paraId="74CC50E1" w14:textId="13DAEE0B" w:rsidR="00A1185F" w:rsidRPr="007C5FD5" w:rsidRDefault="00A1185F" w:rsidP="00FD77D8">
      <w:pPr>
        <w:spacing w:after="0" w:line="240" w:lineRule="auto"/>
        <w:jc w:val="both"/>
        <w:rPr>
          <w:rFonts w:cstheme="minorHAnsi"/>
        </w:rPr>
      </w:pPr>
    </w:p>
    <w:p w14:paraId="50EADDEF" w14:textId="2DDA047B" w:rsidR="00FA161F" w:rsidRPr="007C5FD5" w:rsidRDefault="003C3ECA" w:rsidP="00FD77D8">
      <w:pPr>
        <w:spacing w:after="0" w:line="240" w:lineRule="auto"/>
        <w:jc w:val="both"/>
        <w:rPr>
          <w:rFonts w:cstheme="minorHAnsi"/>
        </w:rPr>
      </w:pPr>
      <w:r w:rsidRPr="007C5FD5">
        <w:rPr>
          <w:rFonts w:cstheme="minorHAnsi"/>
        </w:rPr>
        <w:t>The</w:t>
      </w:r>
      <w:r w:rsidR="00FA161F" w:rsidRPr="007C5FD5">
        <w:rPr>
          <w:rFonts w:cstheme="minorHAnsi"/>
        </w:rPr>
        <w:t xml:space="preserve"> rights </w:t>
      </w:r>
      <w:r w:rsidRPr="007C5FD5">
        <w:rPr>
          <w:rFonts w:cstheme="minorHAnsi"/>
        </w:rPr>
        <w:t xml:space="preserve">corresponding to the duty </w:t>
      </w:r>
      <w:r w:rsidR="00FA161F" w:rsidRPr="007C5FD5">
        <w:rPr>
          <w:rFonts w:cstheme="minorHAnsi"/>
        </w:rPr>
        <w:t>were inherited by Mitterrand</w:t>
      </w:r>
      <w:r w:rsidR="002C795F" w:rsidRPr="007C5FD5">
        <w:rPr>
          <w:rFonts w:cstheme="minorHAnsi"/>
        </w:rPr>
        <w:t>’s relatives</w:t>
      </w:r>
      <w:r w:rsidR="00DD7241" w:rsidRPr="007C5FD5">
        <w:rPr>
          <w:rFonts w:cstheme="minorHAnsi"/>
        </w:rPr>
        <w:t>.</w:t>
      </w:r>
      <w:r w:rsidR="00FA161F" w:rsidRPr="007C5FD5">
        <w:rPr>
          <w:rStyle w:val="FootnoteReference"/>
          <w:rFonts w:cstheme="minorHAnsi"/>
        </w:rPr>
        <w:footnoteReference w:id="36"/>
      </w:r>
      <w:r w:rsidR="00867C35" w:rsidRPr="007C5FD5">
        <w:rPr>
          <w:rFonts w:cstheme="minorHAnsi"/>
        </w:rPr>
        <w:t xml:space="preserve"> </w:t>
      </w:r>
      <w:r w:rsidR="00D633C9" w:rsidRPr="007C5FD5">
        <w:rPr>
          <w:rFonts w:cstheme="minorHAnsi"/>
        </w:rPr>
        <w:t>So mu</w:t>
      </w:r>
      <w:r w:rsidR="00007C94" w:rsidRPr="007C5FD5">
        <w:rPr>
          <w:rFonts w:cstheme="minorHAnsi"/>
        </w:rPr>
        <w:t>ch like in</w:t>
      </w:r>
      <w:r w:rsidR="00007C94" w:rsidRPr="007C5FD5">
        <w:rPr>
          <w:rFonts w:cstheme="minorHAnsi"/>
          <w:i/>
          <w:iCs/>
        </w:rPr>
        <w:t xml:space="preserve"> Re C</w:t>
      </w:r>
      <w:r w:rsidRPr="007C5FD5">
        <w:rPr>
          <w:rFonts w:cstheme="minorHAnsi"/>
          <w:i/>
          <w:iCs/>
        </w:rPr>
        <w:t xml:space="preserve">, </w:t>
      </w:r>
      <w:r w:rsidR="008B54F5" w:rsidRPr="007C5FD5">
        <w:rPr>
          <w:rFonts w:cstheme="minorHAnsi"/>
        </w:rPr>
        <w:t>medical confidentiality (</w:t>
      </w:r>
      <w:r w:rsidR="00007C94" w:rsidRPr="007C5FD5">
        <w:rPr>
          <w:rFonts w:cstheme="minorHAnsi"/>
        </w:rPr>
        <w:t xml:space="preserve">here </w:t>
      </w:r>
      <w:r w:rsidR="008B54F5" w:rsidRPr="007C5FD5">
        <w:rPr>
          <w:rFonts w:cstheme="minorHAnsi"/>
        </w:rPr>
        <w:t xml:space="preserve">based on a professional </w:t>
      </w:r>
      <w:r w:rsidR="005F3F7A" w:rsidRPr="007C5FD5">
        <w:rPr>
          <w:rFonts w:cstheme="minorHAnsi"/>
        </w:rPr>
        <w:t>C</w:t>
      </w:r>
      <w:r w:rsidR="008B54F5" w:rsidRPr="007C5FD5">
        <w:rPr>
          <w:rFonts w:cstheme="minorHAnsi"/>
        </w:rPr>
        <w:t>ode</w:t>
      </w:r>
      <w:r w:rsidR="008D276A" w:rsidRPr="007C5FD5">
        <w:rPr>
          <w:rFonts w:cstheme="minorHAnsi"/>
        </w:rPr>
        <w:t xml:space="preserve"> backed by criminal law</w:t>
      </w:r>
      <w:r w:rsidR="008B54F5" w:rsidRPr="007C5FD5">
        <w:rPr>
          <w:rFonts w:cstheme="minorHAnsi"/>
        </w:rPr>
        <w:t>) occupied a</w:t>
      </w:r>
      <w:r w:rsidR="00A13598" w:rsidRPr="007C5FD5">
        <w:rPr>
          <w:rFonts w:cstheme="minorHAnsi"/>
        </w:rPr>
        <w:t xml:space="preserve"> </w:t>
      </w:r>
      <w:r w:rsidR="008B54F5" w:rsidRPr="007C5FD5">
        <w:rPr>
          <w:rFonts w:cstheme="minorHAnsi"/>
        </w:rPr>
        <w:t>status in its own right</w:t>
      </w:r>
      <w:r w:rsidR="006330A1" w:rsidRPr="007C5FD5">
        <w:rPr>
          <w:rFonts w:cstheme="minorHAnsi"/>
        </w:rPr>
        <w:t xml:space="preserve"> -</w:t>
      </w:r>
      <w:r w:rsidR="00F3333A" w:rsidRPr="007C5FD5">
        <w:rPr>
          <w:rFonts w:cstheme="minorHAnsi"/>
        </w:rPr>
        <w:t xml:space="preserve"> albeit with a variation in so far as the</w:t>
      </w:r>
      <w:r w:rsidR="003E350D" w:rsidRPr="007C5FD5">
        <w:rPr>
          <w:rFonts w:cstheme="minorHAnsi"/>
        </w:rPr>
        <w:t xml:space="preserve"> </w:t>
      </w:r>
      <w:r w:rsidR="0085188F" w:rsidRPr="007C5FD5">
        <w:rPr>
          <w:rFonts w:cstheme="minorHAnsi"/>
        </w:rPr>
        <w:t xml:space="preserve">French </w:t>
      </w:r>
      <w:r w:rsidR="003E350D" w:rsidRPr="007C5FD5">
        <w:rPr>
          <w:rFonts w:cstheme="minorHAnsi"/>
        </w:rPr>
        <w:t>court</w:t>
      </w:r>
      <w:r w:rsidR="0085188F" w:rsidRPr="007C5FD5">
        <w:rPr>
          <w:rFonts w:cstheme="minorHAnsi"/>
        </w:rPr>
        <w:t xml:space="preserve"> explicitly</w:t>
      </w:r>
      <w:r w:rsidR="003E350D" w:rsidRPr="007C5FD5">
        <w:rPr>
          <w:rFonts w:cstheme="minorHAnsi"/>
        </w:rPr>
        <w:t xml:space="preserve"> distinguished</w:t>
      </w:r>
      <w:r w:rsidR="00621BC3" w:rsidRPr="007C5FD5">
        <w:rPr>
          <w:rFonts w:cstheme="minorHAnsi"/>
        </w:rPr>
        <w:t xml:space="preserve"> post</w:t>
      </w:r>
      <w:r w:rsidR="00D633C9" w:rsidRPr="007C5FD5">
        <w:rPr>
          <w:rFonts w:cstheme="minorHAnsi"/>
        </w:rPr>
        <w:t>-</w:t>
      </w:r>
      <w:r w:rsidR="00621BC3" w:rsidRPr="007C5FD5">
        <w:rPr>
          <w:rFonts w:cstheme="minorHAnsi"/>
        </w:rPr>
        <w:t>mortem</w:t>
      </w:r>
      <w:r w:rsidR="003E350D" w:rsidRPr="007C5FD5">
        <w:rPr>
          <w:rFonts w:cstheme="minorHAnsi"/>
        </w:rPr>
        <w:t xml:space="preserve"> </w:t>
      </w:r>
      <w:r w:rsidR="0085188F" w:rsidRPr="007C5FD5">
        <w:rPr>
          <w:rFonts w:cstheme="minorHAnsi"/>
        </w:rPr>
        <w:t xml:space="preserve">medical confidentiality </w:t>
      </w:r>
      <w:r w:rsidR="003E350D" w:rsidRPr="007C5FD5">
        <w:rPr>
          <w:rFonts w:cstheme="minorHAnsi"/>
        </w:rPr>
        <w:t>from</w:t>
      </w:r>
      <w:r w:rsidR="00B51DDD" w:rsidRPr="007C5FD5">
        <w:rPr>
          <w:rFonts w:cstheme="minorHAnsi"/>
        </w:rPr>
        <w:t xml:space="preserve"> </w:t>
      </w:r>
      <w:r w:rsidR="003E350D" w:rsidRPr="007C5FD5">
        <w:rPr>
          <w:rFonts w:cstheme="minorHAnsi"/>
        </w:rPr>
        <w:t>post</w:t>
      </w:r>
      <w:r w:rsidR="008B54F5" w:rsidRPr="007C5FD5">
        <w:rPr>
          <w:rFonts w:cstheme="minorHAnsi"/>
        </w:rPr>
        <w:t>-mortem privacy</w:t>
      </w:r>
      <w:r w:rsidR="005B60AB" w:rsidRPr="007C5FD5">
        <w:rPr>
          <w:rFonts w:cstheme="minorHAnsi"/>
        </w:rPr>
        <w:t>.</w:t>
      </w:r>
      <w:r w:rsidR="003E350D" w:rsidRPr="007C5FD5">
        <w:rPr>
          <w:rStyle w:val="FootnoteReference"/>
          <w:rFonts w:cstheme="minorHAnsi"/>
        </w:rPr>
        <w:footnoteReference w:id="37"/>
      </w:r>
      <w:r w:rsidR="003E350D" w:rsidRPr="007C5FD5">
        <w:rPr>
          <w:rFonts w:cstheme="minorHAnsi"/>
        </w:rPr>
        <w:t xml:space="preserve"> </w:t>
      </w:r>
      <w:r w:rsidR="00A43178" w:rsidRPr="007C5FD5">
        <w:rPr>
          <w:rFonts w:cstheme="minorHAnsi"/>
        </w:rPr>
        <w:t>However,</w:t>
      </w:r>
      <w:r w:rsidR="00F3333A" w:rsidRPr="007C5FD5">
        <w:rPr>
          <w:rFonts w:cstheme="minorHAnsi"/>
        </w:rPr>
        <w:t xml:space="preserve"> </w:t>
      </w:r>
      <w:r w:rsidR="00A15B62" w:rsidRPr="007C5FD5">
        <w:rPr>
          <w:rFonts w:cstheme="minorHAnsi"/>
        </w:rPr>
        <w:t>when</w:t>
      </w:r>
      <w:r w:rsidR="006330A1" w:rsidRPr="007C5FD5">
        <w:rPr>
          <w:rFonts w:cstheme="minorHAnsi"/>
        </w:rPr>
        <w:t xml:space="preserve"> the case came before</w:t>
      </w:r>
      <w:r w:rsidR="00A15B62" w:rsidRPr="007C5FD5">
        <w:rPr>
          <w:rFonts w:cstheme="minorHAnsi"/>
        </w:rPr>
        <w:t xml:space="preserve"> the ECtHR in </w:t>
      </w:r>
      <w:proofErr w:type="spellStart"/>
      <w:r w:rsidR="00A15B62" w:rsidRPr="007C5FD5">
        <w:rPr>
          <w:rFonts w:cstheme="minorHAnsi"/>
          <w:i/>
          <w:iCs/>
        </w:rPr>
        <w:t>Plon</w:t>
      </w:r>
      <w:proofErr w:type="spellEnd"/>
      <w:r w:rsidR="00A15B62" w:rsidRPr="007C5FD5">
        <w:rPr>
          <w:rFonts w:cstheme="minorHAnsi"/>
          <w:i/>
          <w:iCs/>
        </w:rPr>
        <w:t xml:space="preserve"> (</w:t>
      </w:r>
      <w:r w:rsidR="004D0E29" w:rsidRPr="007C5FD5">
        <w:rPr>
          <w:rFonts w:cstheme="minorHAnsi"/>
          <w:i/>
          <w:iCs/>
        </w:rPr>
        <w:t>Société</w:t>
      </w:r>
      <w:r w:rsidR="00A15B62" w:rsidRPr="007C5FD5">
        <w:rPr>
          <w:rFonts w:cstheme="minorHAnsi"/>
          <w:i/>
          <w:iCs/>
        </w:rPr>
        <w:t xml:space="preserve">) v France </w:t>
      </w:r>
      <w:r w:rsidR="00A15B62" w:rsidRPr="007C5FD5">
        <w:rPr>
          <w:rFonts w:cstheme="minorHAnsi"/>
        </w:rPr>
        <w:t>(2004)</w:t>
      </w:r>
      <w:r w:rsidR="006330A1" w:rsidRPr="007C5FD5">
        <w:rPr>
          <w:rFonts w:cstheme="minorHAnsi"/>
        </w:rPr>
        <w:t xml:space="preserve"> as an alleged breach of Art 10, the Court framed the action in privacy terms:</w:t>
      </w:r>
      <w:r w:rsidR="00A15B62" w:rsidRPr="007C5FD5">
        <w:rPr>
          <w:rFonts w:cstheme="minorHAnsi"/>
        </w:rPr>
        <w:t xml:space="preserve"> ‘[the </w:t>
      </w:r>
      <w:r w:rsidR="003E350D" w:rsidRPr="007C5FD5">
        <w:rPr>
          <w:rFonts w:cstheme="minorHAnsi"/>
        </w:rPr>
        <w:t>ban</w:t>
      </w:r>
      <w:r w:rsidR="006330A1" w:rsidRPr="007C5FD5">
        <w:rPr>
          <w:rFonts w:cstheme="minorHAnsi"/>
        </w:rPr>
        <w:t xml:space="preserve"> of the book</w:t>
      </w:r>
      <w:r w:rsidR="003E350D" w:rsidRPr="007C5FD5">
        <w:rPr>
          <w:rFonts w:cstheme="minorHAnsi"/>
        </w:rPr>
        <w:t xml:space="preserve"> </w:t>
      </w:r>
      <w:r w:rsidR="00A15B62" w:rsidRPr="007C5FD5">
        <w:rPr>
          <w:rFonts w:cstheme="minorHAnsi"/>
        </w:rPr>
        <w:t xml:space="preserve">is] </w:t>
      </w:r>
      <w:r w:rsidR="003E350D" w:rsidRPr="007C5FD5">
        <w:rPr>
          <w:rFonts w:cstheme="minorHAnsi"/>
        </w:rPr>
        <w:t>intended to protect the late President's honour, reputation and privacy, and</w:t>
      </w:r>
      <w:r w:rsidR="002277BB" w:rsidRPr="007C5FD5">
        <w:rPr>
          <w:rFonts w:cstheme="minorHAnsi"/>
        </w:rPr>
        <w:t xml:space="preserve">… </w:t>
      </w:r>
      <w:r w:rsidR="003E350D" w:rsidRPr="007C5FD5">
        <w:rPr>
          <w:rFonts w:cstheme="minorHAnsi"/>
        </w:rPr>
        <w:t>that these “rights of others” were passed on to his family on his death does not appear in any way unreasonable or arbitrary</w:t>
      </w:r>
      <w:r w:rsidR="0085188F" w:rsidRPr="007C5FD5">
        <w:rPr>
          <w:rFonts w:cstheme="minorHAnsi"/>
        </w:rPr>
        <w:t>.</w:t>
      </w:r>
      <w:r w:rsidR="003E350D" w:rsidRPr="007C5FD5">
        <w:rPr>
          <w:rFonts w:cstheme="minorHAnsi"/>
        </w:rPr>
        <w:t>’</w:t>
      </w:r>
      <w:r w:rsidR="003E350D" w:rsidRPr="007C5FD5">
        <w:rPr>
          <w:rStyle w:val="FootnoteReference"/>
          <w:rFonts w:cstheme="minorHAnsi"/>
        </w:rPr>
        <w:footnoteReference w:id="38"/>
      </w:r>
      <w:r w:rsidR="00A15B62" w:rsidRPr="007C5FD5">
        <w:rPr>
          <w:rFonts w:cstheme="minorHAnsi"/>
        </w:rPr>
        <w:t xml:space="preserve"> </w:t>
      </w:r>
      <w:r w:rsidR="006330A1" w:rsidRPr="007C5FD5">
        <w:rPr>
          <w:rFonts w:cstheme="minorHAnsi"/>
        </w:rPr>
        <w:t xml:space="preserve">Moreover, </w:t>
      </w:r>
      <w:r w:rsidR="0085188F" w:rsidRPr="007C5FD5">
        <w:rPr>
          <w:rFonts w:cstheme="minorHAnsi"/>
        </w:rPr>
        <w:t xml:space="preserve">whilst holding that the </w:t>
      </w:r>
      <w:r w:rsidR="0085188F" w:rsidRPr="007C5FD5">
        <w:rPr>
          <w:rFonts w:cstheme="minorHAnsi"/>
          <w:i/>
          <w:iCs/>
        </w:rPr>
        <w:t xml:space="preserve">permanent </w:t>
      </w:r>
      <w:r w:rsidR="0085188F" w:rsidRPr="007C5FD5">
        <w:rPr>
          <w:rFonts w:cstheme="minorHAnsi"/>
        </w:rPr>
        <w:t>ban</w:t>
      </w:r>
      <w:r w:rsidR="00467D15" w:rsidRPr="007C5FD5">
        <w:rPr>
          <w:rFonts w:cstheme="minorHAnsi"/>
        </w:rPr>
        <w:t xml:space="preserve"> of the book</w:t>
      </w:r>
      <w:r w:rsidR="0085188F" w:rsidRPr="007C5FD5">
        <w:rPr>
          <w:rFonts w:cstheme="minorHAnsi"/>
        </w:rPr>
        <w:t xml:space="preserve"> was a disproportionate measure to pursue the legitimate aim of the rights of Mitterrand and his heirs, </w:t>
      </w:r>
      <w:r w:rsidR="00467D15" w:rsidRPr="007C5FD5">
        <w:rPr>
          <w:rFonts w:cstheme="minorHAnsi"/>
        </w:rPr>
        <w:t>the ECtHR</w:t>
      </w:r>
      <w:r w:rsidR="006330A1" w:rsidRPr="007C5FD5">
        <w:rPr>
          <w:rFonts w:cstheme="minorHAnsi"/>
        </w:rPr>
        <w:t xml:space="preserve"> </w:t>
      </w:r>
      <w:r w:rsidR="00952FC7" w:rsidRPr="007C5FD5">
        <w:rPr>
          <w:rFonts w:cstheme="minorHAnsi"/>
        </w:rPr>
        <w:t>upheld the</w:t>
      </w:r>
      <w:r w:rsidR="0085188F" w:rsidRPr="007C5FD5">
        <w:rPr>
          <w:rFonts w:cstheme="minorHAnsi"/>
        </w:rPr>
        <w:t xml:space="preserve"> </w:t>
      </w:r>
      <w:r w:rsidR="0085188F" w:rsidRPr="007C5FD5">
        <w:rPr>
          <w:rFonts w:cstheme="minorHAnsi"/>
          <w:i/>
          <w:iCs/>
        </w:rPr>
        <w:t>temporary</w:t>
      </w:r>
      <w:r w:rsidR="0085188F" w:rsidRPr="007C5FD5">
        <w:rPr>
          <w:rFonts w:cstheme="minorHAnsi"/>
        </w:rPr>
        <w:t xml:space="preserve"> ban and</w:t>
      </w:r>
      <w:r w:rsidR="00A15B62" w:rsidRPr="007C5FD5">
        <w:rPr>
          <w:rFonts w:cstheme="minorHAnsi"/>
        </w:rPr>
        <w:t xml:space="preserve"> </w:t>
      </w:r>
      <w:r w:rsidR="00467D15" w:rsidRPr="007C5FD5">
        <w:rPr>
          <w:rFonts w:cstheme="minorHAnsi"/>
        </w:rPr>
        <w:t>thus</w:t>
      </w:r>
      <w:r w:rsidR="006330A1" w:rsidRPr="007C5FD5">
        <w:rPr>
          <w:rFonts w:cstheme="minorHAnsi"/>
        </w:rPr>
        <w:t xml:space="preserve"> </w:t>
      </w:r>
      <w:r w:rsidR="00C8003C" w:rsidRPr="007C5FD5">
        <w:rPr>
          <w:rFonts w:cstheme="minorHAnsi"/>
        </w:rPr>
        <w:t xml:space="preserve">arguably </w:t>
      </w:r>
      <w:r w:rsidR="00467D15" w:rsidRPr="007C5FD5">
        <w:rPr>
          <w:rFonts w:cstheme="minorHAnsi"/>
        </w:rPr>
        <w:t>allowed for</w:t>
      </w:r>
      <w:r w:rsidR="00621BC3" w:rsidRPr="007C5FD5">
        <w:rPr>
          <w:rFonts w:cstheme="minorHAnsi"/>
        </w:rPr>
        <w:t xml:space="preserve"> </w:t>
      </w:r>
      <w:r w:rsidR="0085188F" w:rsidRPr="007C5FD5">
        <w:rPr>
          <w:rFonts w:cstheme="minorHAnsi"/>
        </w:rPr>
        <w:t>post-mortem privacy</w:t>
      </w:r>
      <w:r w:rsidR="0085188F" w:rsidRPr="007C5FD5">
        <w:rPr>
          <w:rFonts w:cstheme="minorHAnsi"/>
          <w:i/>
          <w:iCs/>
        </w:rPr>
        <w:t xml:space="preserve"> </w:t>
      </w:r>
      <w:r w:rsidR="00A15B62" w:rsidRPr="007C5FD5">
        <w:rPr>
          <w:rFonts w:cstheme="minorHAnsi"/>
        </w:rPr>
        <w:t>claims</w:t>
      </w:r>
      <w:r w:rsidR="00467D15" w:rsidRPr="007C5FD5">
        <w:rPr>
          <w:rFonts w:cstheme="minorHAnsi"/>
        </w:rPr>
        <w:t>, at least in the medical context</w:t>
      </w:r>
      <w:r w:rsidR="0085188F" w:rsidRPr="007C5FD5">
        <w:rPr>
          <w:rFonts w:cstheme="minorHAnsi"/>
        </w:rPr>
        <w:t>.</w:t>
      </w:r>
      <w:r w:rsidR="0085188F" w:rsidRPr="007C5FD5">
        <w:rPr>
          <w:rStyle w:val="FootnoteReference"/>
          <w:rFonts w:cstheme="minorHAnsi"/>
        </w:rPr>
        <w:footnoteReference w:id="39"/>
      </w:r>
    </w:p>
    <w:p w14:paraId="3C0D0057" w14:textId="59D2CE3D" w:rsidR="006E0684" w:rsidRPr="007C5FD5" w:rsidRDefault="006E0684" w:rsidP="00FD77D8">
      <w:pPr>
        <w:spacing w:after="0" w:line="240" w:lineRule="auto"/>
        <w:jc w:val="both"/>
        <w:rPr>
          <w:rFonts w:cstheme="minorHAnsi"/>
        </w:rPr>
      </w:pPr>
    </w:p>
    <w:p w14:paraId="16DAF211" w14:textId="31F95503" w:rsidR="00067FFE" w:rsidRPr="007C5FD5" w:rsidRDefault="006E0684" w:rsidP="00FD77D8">
      <w:pPr>
        <w:spacing w:after="0" w:line="240" w:lineRule="auto"/>
        <w:jc w:val="both"/>
        <w:rPr>
          <w:rFonts w:cstheme="minorHAnsi"/>
        </w:rPr>
      </w:pPr>
      <w:r w:rsidRPr="007C5FD5">
        <w:rPr>
          <w:rFonts w:cstheme="minorHAnsi"/>
        </w:rPr>
        <w:t xml:space="preserve">Although neither </w:t>
      </w:r>
      <w:r w:rsidR="007215BF" w:rsidRPr="007C5FD5">
        <w:rPr>
          <w:rFonts w:cstheme="minorHAnsi"/>
        </w:rPr>
        <w:t xml:space="preserve">of the two cases </w:t>
      </w:r>
      <w:r w:rsidRPr="007C5FD5">
        <w:rPr>
          <w:rFonts w:cstheme="minorHAnsi"/>
        </w:rPr>
        <w:t xml:space="preserve">directly </w:t>
      </w:r>
      <w:r w:rsidR="00D72B53" w:rsidRPr="007C5FD5">
        <w:rPr>
          <w:rFonts w:cstheme="minorHAnsi"/>
        </w:rPr>
        <w:t xml:space="preserve">concerned </w:t>
      </w:r>
      <w:r w:rsidR="006C167E" w:rsidRPr="007C5FD5">
        <w:rPr>
          <w:rFonts w:cstheme="minorHAnsi"/>
        </w:rPr>
        <w:t>digital</w:t>
      </w:r>
      <w:r w:rsidR="00D72B53" w:rsidRPr="007C5FD5">
        <w:rPr>
          <w:rFonts w:cstheme="minorHAnsi"/>
        </w:rPr>
        <w:t xml:space="preserve"> </w:t>
      </w:r>
      <w:r w:rsidR="006C167E" w:rsidRPr="007C5FD5">
        <w:rPr>
          <w:rFonts w:cstheme="minorHAnsi"/>
        </w:rPr>
        <w:t>legacies</w:t>
      </w:r>
      <w:r w:rsidR="00101E49" w:rsidRPr="007C5FD5">
        <w:rPr>
          <w:rFonts w:cstheme="minorHAnsi"/>
        </w:rPr>
        <w:t>,</w:t>
      </w:r>
      <w:r w:rsidRPr="007C5FD5">
        <w:rPr>
          <w:rStyle w:val="FootnoteReference"/>
          <w:rFonts w:cstheme="minorHAnsi"/>
        </w:rPr>
        <w:footnoteReference w:id="40"/>
      </w:r>
      <w:r w:rsidRPr="007C5FD5">
        <w:rPr>
          <w:rFonts w:cstheme="minorHAnsi"/>
        </w:rPr>
        <w:t xml:space="preserve"> the fact that </w:t>
      </w:r>
      <w:r w:rsidR="007215BF" w:rsidRPr="007C5FD5">
        <w:rPr>
          <w:rFonts w:cstheme="minorHAnsi"/>
        </w:rPr>
        <w:t>they</w:t>
      </w:r>
      <w:r w:rsidR="00852A3E" w:rsidRPr="007C5FD5">
        <w:rPr>
          <w:rFonts w:cstheme="minorHAnsi"/>
        </w:rPr>
        <w:t xml:space="preserve"> both</w:t>
      </w:r>
      <w:r w:rsidRPr="007C5FD5">
        <w:rPr>
          <w:rFonts w:cstheme="minorHAnsi"/>
        </w:rPr>
        <w:t xml:space="preserve"> engaged with post-mortem medical confidence as a ‘new’ issue in the</w:t>
      </w:r>
      <w:r w:rsidR="00D711CA" w:rsidRPr="007C5FD5">
        <w:rPr>
          <w:rFonts w:cstheme="minorHAnsi"/>
        </w:rPr>
        <w:t xml:space="preserve"> mid-</w:t>
      </w:r>
      <w:r w:rsidRPr="007C5FD5">
        <w:rPr>
          <w:rFonts w:cstheme="minorHAnsi"/>
        </w:rPr>
        <w:t>1990s</w:t>
      </w:r>
      <w:r w:rsidR="00101E49" w:rsidRPr="007C5FD5">
        <w:rPr>
          <w:rFonts w:cstheme="minorHAnsi"/>
        </w:rPr>
        <w:t xml:space="preserve"> is</w:t>
      </w:r>
      <w:r w:rsidR="007215BF" w:rsidRPr="007C5FD5">
        <w:rPr>
          <w:rFonts w:cstheme="minorHAnsi"/>
        </w:rPr>
        <w:t xml:space="preserve"> </w:t>
      </w:r>
      <w:r w:rsidR="006C167E" w:rsidRPr="007C5FD5">
        <w:rPr>
          <w:rFonts w:cstheme="minorHAnsi"/>
        </w:rPr>
        <w:t>hardly</w:t>
      </w:r>
      <w:r w:rsidR="006F2BF0" w:rsidRPr="007C5FD5">
        <w:rPr>
          <w:rFonts w:cstheme="minorHAnsi"/>
        </w:rPr>
        <w:t xml:space="preserve"> </w:t>
      </w:r>
      <w:r w:rsidR="00101E49" w:rsidRPr="007C5FD5">
        <w:rPr>
          <w:rFonts w:cstheme="minorHAnsi"/>
        </w:rPr>
        <w:t xml:space="preserve">a coincidence. </w:t>
      </w:r>
      <w:r w:rsidR="00581C60" w:rsidRPr="007C5FD5">
        <w:rPr>
          <w:rFonts w:cstheme="minorHAnsi"/>
        </w:rPr>
        <w:t xml:space="preserve">More likely, </w:t>
      </w:r>
      <w:r w:rsidR="00545515" w:rsidRPr="007C5FD5">
        <w:rPr>
          <w:rFonts w:cstheme="minorHAnsi"/>
        </w:rPr>
        <w:t>it</w:t>
      </w:r>
      <w:r w:rsidR="007215BF" w:rsidRPr="007C5FD5">
        <w:rPr>
          <w:rFonts w:cstheme="minorHAnsi"/>
        </w:rPr>
        <w:t xml:space="preserve"> testif</w:t>
      </w:r>
      <w:r w:rsidR="00545515" w:rsidRPr="007C5FD5">
        <w:rPr>
          <w:rFonts w:cstheme="minorHAnsi"/>
        </w:rPr>
        <w:t>ie</w:t>
      </w:r>
      <w:r w:rsidR="0004585A" w:rsidRPr="007C5FD5">
        <w:rPr>
          <w:rFonts w:cstheme="minorHAnsi"/>
        </w:rPr>
        <w:t>s</w:t>
      </w:r>
      <w:r w:rsidR="007215BF" w:rsidRPr="007C5FD5">
        <w:rPr>
          <w:rFonts w:cstheme="minorHAnsi"/>
        </w:rPr>
        <w:t xml:space="preserve"> to</w:t>
      </w:r>
      <w:r w:rsidR="0004585A" w:rsidRPr="007C5FD5">
        <w:rPr>
          <w:rFonts w:cstheme="minorHAnsi"/>
        </w:rPr>
        <w:t xml:space="preserve"> </w:t>
      </w:r>
      <w:r w:rsidR="005F3F7A" w:rsidRPr="007C5FD5">
        <w:rPr>
          <w:rFonts w:cstheme="minorHAnsi"/>
        </w:rPr>
        <w:t>a</w:t>
      </w:r>
      <w:r w:rsidR="00AA7106" w:rsidRPr="007C5FD5">
        <w:rPr>
          <w:rFonts w:cstheme="minorHAnsi"/>
        </w:rPr>
        <w:t xml:space="preserve"> growing</w:t>
      </w:r>
      <w:r w:rsidRPr="007C5FD5">
        <w:rPr>
          <w:rFonts w:cstheme="minorHAnsi"/>
        </w:rPr>
        <w:t xml:space="preserve"> sensitivity to information privacy</w:t>
      </w:r>
      <w:r w:rsidR="000023B8" w:rsidRPr="007C5FD5">
        <w:rPr>
          <w:rFonts w:cstheme="minorHAnsi"/>
        </w:rPr>
        <w:t xml:space="preserve">, </w:t>
      </w:r>
      <w:r w:rsidR="00101E49" w:rsidRPr="007C5FD5">
        <w:rPr>
          <w:rFonts w:cstheme="minorHAnsi"/>
          <w:i/>
          <w:iCs/>
        </w:rPr>
        <w:t xml:space="preserve">and </w:t>
      </w:r>
      <w:r w:rsidR="00101E49" w:rsidRPr="007C5FD5">
        <w:rPr>
          <w:rFonts w:cstheme="minorHAnsi"/>
        </w:rPr>
        <w:t>transparency</w:t>
      </w:r>
      <w:r w:rsidR="00F74B3D" w:rsidRPr="007C5FD5">
        <w:rPr>
          <w:rFonts w:cstheme="minorHAnsi"/>
        </w:rPr>
        <w:t xml:space="preserve"> as</w:t>
      </w:r>
      <w:r w:rsidR="00BF2B14" w:rsidRPr="007C5FD5">
        <w:rPr>
          <w:rFonts w:cstheme="minorHAnsi"/>
        </w:rPr>
        <w:t xml:space="preserve"> </w:t>
      </w:r>
      <w:r w:rsidR="00F74B3D" w:rsidRPr="007C5FD5">
        <w:rPr>
          <w:rFonts w:cstheme="minorHAnsi"/>
        </w:rPr>
        <w:t>its counterpart</w:t>
      </w:r>
      <w:r w:rsidR="00004DFA" w:rsidRPr="007C5FD5">
        <w:rPr>
          <w:rFonts w:cstheme="minorHAnsi"/>
        </w:rPr>
        <w:t>,</w:t>
      </w:r>
      <w:r w:rsidR="00F74B3D" w:rsidRPr="007C5FD5">
        <w:rPr>
          <w:rFonts w:cstheme="minorHAnsi"/>
        </w:rPr>
        <w:t xml:space="preserve"> a</w:t>
      </w:r>
      <w:r w:rsidRPr="007C5FD5">
        <w:rPr>
          <w:rFonts w:cstheme="minorHAnsi"/>
        </w:rPr>
        <w:t>gainst</w:t>
      </w:r>
      <w:r w:rsidR="00F74B3D" w:rsidRPr="007C5FD5">
        <w:rPr>
          <w:rFonts w:cstheme="minorHAnsi"/>
        </w:rPr>
        <w:t xml:space="preserve"> </w:t>
      </w:r>
      <w:r w:rsidR="006A53D6" w:rsidRPr="007C5FD5">
        <w:rPr>
          <w:rFonts w:cstheme="minorHAnsi"/>
        </w:rPr>
        <w:t>a</w:t>
      </w:r>
      <w:r w:rsidR="003355EF" w:rsidRPr="007C5FD5">
        <w:rPr>
          <w:rFonts w:cstheme="minorHAnsi"/>
        </w:rPr>
        <w:t xml:space="preserve"> dramatic expansion</w:t>
      </w:r>
      <w:r w:rsidR="00571EBD" w:rsidRPr="007C5FD5">
        <w:rPr>
          <w:rFonts w:cstheme="minorHAnsi"/>
        </w:rPr>
        <w:t xml:space="preserve"> in the collection</w:t>
      </w:r>
      <w:r w:rsidR="007215BF" w:rsidRPr="007C5FD5">
        <w:rPr>
          <w:rFonts w:cstheme="minorHAnsi"/>
        </w:rPr>
        <w:t xml:space="preserve"> of </w:t>
      </w:r>
      <w:r w:rsidR="00101E49" w:rsidRPr="007C5FD5">
        <w:rPr>
          <w:rFonts w:cstheme="minorHAnsi"/>
        </w:rPr>
        <w:t>personal</w:t>
      </w:r>
      <w:r w:rsidR="00D72B53" w:rsidRPr="007C5FD5">
        <w:rPr>
          <w:rFonts w:cstheme="minorHAnsi"/>
        </w:rPr>
        <w:t xml:space="preserve"> and other</w:t>
      </w:r>
      <w:r w:rsidR="00101E49" w:rsidRPr="007C5FD5">
        <w:rPr>
          <w:rFonts w:cstheme="minorHAnsi"/>
        </w:rPr>
        <w:t xml:space="preserve"> information</w:t>
      </w:r>
      <w:r w:rsidR="003355EF" w:rsidRPr="007C5FD5">
        <w:rPr>
          <w:rFonts w:cstheme="minorHAnsi"/>
        </w:rPr>
        <w:t>.</w:t>
      </w:r>
      <w:r w:rsidR="003355EF" w:rsidRPr="007C5FD5">
        <w:rPr>
          <w:rStyle w:val="FootnoteReference"/>
          <w:rFonts w:cstheme="minorHAnsi"/>
        </w:rPr>
        <w:footnoteReference w:id="41"/>
      </w:r>
      <w:r w:rsidR="007215BF" w:rsidRPr="007C5FD5">
        <w:rPr>
          <w:rFonts w:cstheme="minorHAnsi"/>
        </w:rPr>
        <w:t xml:space="preserve"> </w:t>
      </w:r>
      <w:r w:rsidR="003355EF" w:rsidRPr="007C5FD5">
        <w:rPr>
          <w:rFonts w:cstheme="minorHAnsi"/>
        </w:rPr>
        <w:t>T</w:t>
      </w:r>
      <w:r w:rsidR="007215BF" w:rsidRPr="007C5FD5">
        <w:rPr>
          <w:rFonts w:cstheme="minorHAnsi"/>
        </w:rPr>
        <w:t xml:space="preserve">he </w:t>
      </w:r>
      <w:r w:rsidR="00BF2B14" w:rsidRPr="007C5FD5">
        <w:rPr>
          <w:rFonts w:cstheme="minorHAnsi"/>
        </w:rPr>
        <w:t xml:space="preserve">enactment of the </w:t>
      </w:r>
      <w:r w:rsidR="00521EF1" w:rsidRPr="007C5FD5">
        <w:rPr>
          <w:rFonts w:cstheme="minorHAnsi"/>
        </w:rPr>
        <w:t xml:space="preserve">EU </w:t>
      </w:r>
      <w:r w:rsidR="00101E49" w:rsidRPr="007C5FD5">
        <w:rPr>
          <w:rFonts w:cstheme="minorHAnsi"/>
        </w:rPr>
        <w:t>Data Protection Directive 1995</w:t>
      </w:r>
      <w:r w:rsidR="007215BF" w:rsidRPr="007C5FD5">
        <w:rPr>
          <w:rStyle w:val="FootnoteReference"/>
          <w:rFonts w:cstheme="minorHAnsi"/>
        </w:rPr>
        <w:footnoteReference w:id="42"/>
      </w:r>
      <w:r w:rsidR="007215BF" w:rsidRPr="007C5FD5">
        <w:rPr>
          <w:rFonts w:cstheme="minorHAnsi"/>
        </w:rPr>
        <w:t xml:space="preserve"> </w:t>
      </w:r>
      <w:r w:rsidR="00852A3E" w:rsidRPr="007C5FD5">
        <w:rPr>
          <w:rFonts w:cstheme="minorHAnsi"/>
        </w:rPr>
        <w:t>and</w:t>
      </w:r>
      <w:r w:rsidR="00101E49" w:rsidRPr="007C5FD5">
        <w:rPr>
          <w:rFonts w:cstheme="minorHAnsi"/>
        </w:rPr>
        <w:t xml:space="preserve"> </w:t>
      </w:r>
      <w:r w:rsidR="00BE16F9" w:rsidRPr="007C5FD5">
        <w:rPr>
          <w:rFonts w:cstheme="minorHAnsi"/>
        </w:rPr>
        <w:t xml:space="preserve">the </w:t>
      </w:r>
      <w:r w:rsidR="00101E49" w:rsidRPr="007C5FD5">
        <w:rPr>
          <w:rFonts w:cstheme="minorHAnsi"/>
        </w:rPr>
        <w:t xml:space="preserve">Freedom of Information Act </w:t>
      </w:r>
      <w:r w:rsidR="005278BC" w:rsidRPr="007C5FD5">
        <w:rPr>
          <w:rFonts w:cstheme="minorHAnsi"/>
        </w:rPr>
        <w:t>2000 (UK)</w:t>
      </w:r>
      <w:r w:rsidR="005278BC" w:rsidRPr="007C5FD5">
        <w:rPr>
          <w:rStyle w:val="FootnoteReference"/>
          <w:rFonts w:cstheme="minorHAnsi"/>
        </w:rPr>
        <w:footnoteReference w:id="43"/>
      </w:r>
      <w:r w:rsidR="005278BC" w:rsidRPr="007C5FD5">
        <w:rPr>
          <w:rFonts w:cstheme="minorHAnsi"/>
        </w:rPr>
        <w:t xml:space="preserve"> </w:t>
      </w:r>
      <w:r w:rsidR="00D732BD" w:rsidRPr="007C5FD5">
        <w:rPr>
          <w:rFonts w:cstheme="minorHAnsi"/>
        </w:rPr>
        <w:t>speak to</w:t>
      </w:r>
      <w:r w:rsidR="007215BF" w:rsidRPr="007C5FD5">
        <w:rPr>
          <w:rFonts w:cstheme="minorHAnsi"/>
        </w:rPr>
        <w:t xml:space="preserve"> the </w:t>
      </w:r>
      <w:r w:rsidR="00AD1982" w:rsidRPr="007C5FD5">
        <w:rPr>
          <w:rFonts w:cstheme="minorHAnsi"/>
        </w:rPr>
        <w:t xml:space="preserve">same </w:t>
      </w:r>
      <w:r w:rsidR="00004DFA" w:rsidRPr="007C5FD5">
        <w:rPr>
          <w:rFonts w:cstheme="minorHAnsi"/>
        </w:rPr>
        <w:t>phenomenon</w:t>
      </w:r>
      <w:r w:rsidR="003355EF" w:rsidRPr="007C5FD5">
        <w:rPr>
          <w:rFonts w:cstheme="minorHAnsi"/>
        </w:rPr>
        <w:t xml:space="preserve">. </w:t>
      </w:r>
      <w:r w:rsidR="002B2A95" w:rsidRPr="007C5FD5">
        <w:rPr>
          <w:rFonts w:cstheme="minorHAnsi"/>
        </w:rPr>
        <w:t>Applied to the medical context,</w:t>
      </w:r>
      <w:r w:rsidR="007D55A1" w:rsidRPr="007C5FD5">
        <w:rPr>
          <w:rFonts w:cstheme="minorHAnsi"/>
        </w:rPr>
        <w:t xml:space="preserve"> it</w:t>
      </w:r>
      <w:r w:rsidR="001545EF" w:rsidRPr="007C5FD5">
        <w:rPr>
          <w:rFonts w:cstheme="minorHAnsi"/>
        </w:rPr>
        <w:t xml:space="preserve"> </w:t>
      </w:r>
      <w:r w:rsidR="007D55A1" w:rsidRPr="007C5FD5">
        <w:rPr>
          <w:rFonts w:cstheme="minorHAnsi"/>
        </w:rPr>
        <w:t xml:space="preserve">resulted in a tension </w:t>
      </w:r>
      <w:r w:rsidR="00521EF1" w:rsidRPr="007C5FD5">
        <w:rPr>
          <w:rFonts w:cstheme="minorHAnsi"/>
        </w:rPr>
        <w:t xml:space="preserve">between </w:t>
      </w:r>
      <w:r w:rsidR="001A0EEF" w:rsidRPr="007C5FD5">
        <w:rPr>
          <w:rFonts w:cstheme="minorHAnsi"/>
        </w:rPr>
        <w:t xml:space="preserve">openness and confidentiality: </w:t>
      </w:r>
    </w:p>
    <w:p w14:paraId="074BFF80" w14:textId="453F1A4C" w:rsidR="001F4EDD" w:rsidRPr="007C5FD5" w:rsidRDefault="001F4EDD" w:rsidP="00FD77D8">
      <w:pPr>
        <w:spacing w:after="0" w:line="240" w:lineRule="auto"/>
        <w:jc w:val="both"/>
        <w:rPr>
          <w:rFonts w:cstheme="minorHAnsi"/>
        </w:rPr>
      </w:pPr>
    </w:p>
    <w:p w14:paraId="2CDA8CF5" w14:textId="41F7A6DC" w:rsidR="001F4EDD" w:rsidRPr="007C5FD5" w:rsidRDefault="001F4EDD" w:rsidP="00FD77D8">
      <w:pPr>
        <w:spacing w:after="0" w:line="240" w:lineRule="auto"/>
        <w:ind w:left="720"/>
        <w:jc w:val="both"/>
        <w:rPr>
          <w:rFonts w:cstheme="minorHAnsi"/>
        </w:rPr>
      </w:pPr>
      <w:r w:rsidRPr="007C5FD5">
        <w:rPr>
          <w:rFonts w:cstheme="minorHAnsi"/>
        </w:rPr>
        <w:t>‘One of the paradoxes faced by modern medicine and one of the reasons why the Hippocratic Oath has had to be qualified by so many other Codes and Declarations, is that modern medicine is built not on secrecy and rites of initiation, but on exoteric scientific knowledge, on free publication and open access to the results of medical research.’</w:t>
      </w:r>
      <w:r w:rsidRPr="007C5FD5">
        <w:rPr>
          <w:rStyle w:val="FootnoteReference"/>
          <w:rFonts w:cstheme="minorHAnsi"/>
        </w:rPr>
        <w:footnoteReference w:id="44"/>
      </w:r>
    </w:p>
    <w:p w14:paraId="60A3536F" w14:textId="77777777" w:rsidR="001F4EDD" w:rsidRPr="007C5FD5" w:rsidRDefault="001F4EDD" w:rsidP="00FD77D8">
      <w:pPr>
        <w:spacing w:after="0" w:line="240" w:lineRule="auto"/>
        <w:jc w:val="both"/>
        <w:rPr>
          <w:rFonts w:cstheme="minorHAnsi"/>
        </w:rPr>
      </w:pPr>
    </w:p>
    <w:p w14:paraId="508A7176" w14:textId="357C71A7" w:rsidR="001F4EDD" w:rsidRPr="007C5FD5" w:rsidRDefault="006B7DE5" w:rsidP="00FD77D8">
      <w:pPr>
        <w:spacing w:after="0" w:line="240" w:lineRule="auto"/>
        <w:jc w:val="both"/>
        <w:rPr>
          <w:rFonts w:cstheme="minorHAnsi"/>
        </w:rPr>
      </w:pPr>
      <w:r>
        <w:rPr>
          <w:rFonts w:cstheme="minorHAnsi"/>
        </w:rPr>
        <w:t xml:space="preserve">Still </w:t>
      </w:r>
      <w:r w:rsidR="00BE16F9" w:rsidRPr="007C5FD5">
        <w:rPr>
          <w:rFonts w:cstheme="minorHAnsi"/>
        </w:rPr>
        <w:t xml:space="preserve">medical confidentiality has remained </w:t>
      </w:r>
      <w:r w:rsidR="00AD1982" w:rsidRPr="007C5FD5">
        <w:rPr>
          <w:rFonts w:cstheme="minorHAnsi"/>
        </w:rPr>
        <w:t xml:space="preserve">largely </w:t>
      </w:r>
      <w:r w:rsidR="00BE16F9" w:rsidRPr="007C5FD5">
        <w:rPr>
          <w:rFonts w:cstheme="minorHAnsi"/>
        </w:rPr>
        <w:t>intact</w:t>
      </w:r>
      <w:r w:rsidR="00067FFE" w:rsidRPr="007C5FD5">
        <w:rPr>
          <w:rFonts w:cstheme="minorHAnsi"/>
        </w:rPr>
        <w:t>,</w:t>
      </w:r>
      <w:r w:rsidR="00BB37BB" w:rsidRPr="007C5FD5">
        <w:rPr>
          <w:rFonts w:cstheme="minorHAnsi"/>
        </w:rPr>
        <w:t xml:space="preserve"> albeit with </w:t>
      </w:r>
      <w:r w:rsidR="0004585A" w:rsidRPr="007C5FD5">
        <w:rPr>
          <w:rFonts w:cstheme="minorHAnsi"/>
        </w:rPr>
        <w:t xml:space="preserve">numerous </w:t>
      </w:r>
      <w:r w:rsidR="00BB37BB" w:rsidRPr="007C5FD5">
        <w:rPr>
          <w:rFonts w:cstheme="minorHAnsi"/>
        </w:rPr>
        <w:t>exception</w:t>
      </w:r>
      <w:r w:rsidR="005A1CFC" w:rsidRPr="007C5FD5">
        <w:rPr>
          <w:rFonts w:cstheme="minorHAnsi"/>
        </w:rPr>
        <w:t>s. Moreover,</w:t>
      </w:r>
      <w:r w:rsidR="0004585A" w:rsidRPr="007C5FD5">
        <w:rPr>
          <w:rFonts w:cstheme="minorHAnsi"/>
        </w:rPr>
        <w:t xml:space="preserve"> </w:t>
      </w:r>
      <w:r w:rsidR="00557092" w:rsidRPr="007C5FD5">
        <w:rPr>
          <w:rFonts w:cstheme="minorHAnsi"/>
        </w:rPr>
        <w:t xml:space="preserve">a steady flow of </w:t>
      </w:r>
      <w:r w:rsidR="009A7349" w:rsidRPr="007C5FD5">
        <w:rPr>
          <w:rFonts w:cstheme="minorHAnsi"/>
        </w:rPr>
        <w:t xml:space="preserve">decisions </w:t>
      </w:r>
      <w:r w:rsidR="004831CD" w:rsidRPr="007C5FD5">
        <w:rPr>
          <w:rFonts w:cstheme="minorHAnsi"/>
        </w:rPr>
        <w:t>in England</w:t>
      </w:r>
      <w:r w:rsidR="00067FFE" w:rsidRPr="007C5FD5">
        <w:rPr>
          <w:rFonts w:cstheme="minorHAnsi"/>
        </w:rPr>
        <w:t xml:space="preserve"> </w:t>
      </w:r>
      <w:r w:rsidR="00557092" w:rsidRPr="007C5FD5">
        <w:rPr>
          <w:rFonts w:cstheme="minorHAnsi"/>
        </w:rPr>
        <w:t>have</w:t>
      </w:r>
      <w:r w:rsidR="0004704F" w:rsidRPr="007C5FD5">
        <w:rPr>
          <w:rFonts w:cstheme="minorHAnsi"/>
        </w:rPr>
        <w:t xml:space="preserve"> tentatively</w:t>
      </w:r>
      <w:r w:rsidR="009D6879" w:rsidRPr="007C5FD5">
        <w:rPr>
          <w:rFonts w:cstheme="minorHAnsi"/>
        </w:rPr>
        <w:t xml:space="preserve">, </w:t>
      </w:r>
      <w:r w:rsidR="00F74B3D" w:rsidRPr="007C5FD5">
        <w:rPr>
          <w:rFonts w:cstheme="minorHAnsi"/>
        </w:rPr>
        <w:t xml:space="preserve">but </w:t>
      </w:r>
      <w:r w:rsidR="009D6879" w:rsidRPr="007C5FD5">
        <w:rPr>
          <w:rFonts w:cstheme="minorHAnsi"/>
        </w:rPr>
        <w:t>consistently</w:t>
      </w:r>
      <w:r w:rsidR="004C1267" w:rsidRPr="007C5FD5">
        <w:rPr>
          <w:rFonts w:cstheme="minorHAnsi"/>
        </w:rPr>
        <w:t>,</w:t>
      </w:r>
      <w:r w:rsidR="009D6879" w:rsidRPr="007C5FD5">
        <w:rPr>
          <w:rFonts w:cstheme="minorHAnsi"/>
        </w:rPr>
        <w:t xml:space="preserve"> </w:t>
      </w:r>
      <w:r w:rsidR="00557092" w:rsidRPr="007C5FD5">
        <w:rPr>
          <w:rFonts w:cstheme="minorHAnsi"/>
        </w:rPr>
        <w:t>confirmed</w:t>
      </w:r>
      <w:r w:rsidR="006C167E" w:rsidRPr="007C5FD5">
        <w:rPr>
          <w:rFonts w:cstheme="minorHAnsi"/>
        </w:rPr>
        <w:t xml:space="preserve"> the</w:t>
      </w:r>
      <w:r w:rsidR="00581C60" w:rsidRPr="007C5FD5">
        <w:rPr>
          <w:rFonts w:cstheme="minorHAnsi"/>
        </w:rPr>
        <w:t xml:space="preserve"> existence</w:t>
      </w:r>
      <w:r w:rsidR="004831CD" w:rsidRPr="007C5FD5">
        <w:rPr>
          <w:rFonts w:cstheme="minorHAnsi"/>
        </w:rPr>
        <w:t xml:space="preserve"> </w:t>
      </w:r>
      <w:r w:rsidR="006C167E" w:rsidRPr="007C5FD5">
        <w:rPr>
          <w:rFonts w:cstheme="minorHAnsi"/>
        </w:rPr>
        <w:t>of the</w:t>
      </w:r>
      <w:r w:rsidR="00067FFE" w:rsidRPr="007C5FD5">
        <w:rPr>
          <w:rFonts w:cstheme="minorHAnsi"/>
        </w:rPr>
        <w:t xml:space="preserve"> post-mortem</w:t>
      </w:r>
      <w:r w:rsidR="006C167E" w:rsidRPr="007C5FD5">
        <w:rPr>
          <w:rFonts w:cstheme="minorHAnsi"/>
        </w:rPr>
        <w:t xml:space="preserve"> duty</w:t>
      </w:r>
      <w:r w:rsidR="00BB37BB" w:rsidRPr="007C5FD5">
        <w:rPr>
          <w:rFonts w:cstheme="minorHAnsi"/>
        </w:rPr>
        <w:t xml:space="preserve"> of medical confidentiality</w:t>
      </w:r>
      <w:r w:rsidR="00002842" w:rsidRPr="007C5FD5">
        <w:rPr>
          <w:rFonts w:cstheme="minorHAnsi"/>
        </w:rPr>
        <w:t>.</w:t>
      </w:r>
      <w:r w:rsidR="007B1BEE" w:rsidRPr="007C5FD5">
        <w:rPr>
          <w:rStyle w:val="FootnoteReference"/>
          <w:rFonts w:cstheme="minorHAnsi"/>
        </w:rPr>
        <w:footnoteReference w:id="45"/>
      </w:r>
      <w:r w:rsidR="00AD1982" w:rsidRPr="007C5FD5">
        <w:rPr>
          <w:rFonts w:cstheme="minorHAnsi"/>
        </w:rPr>
        <w:t xml:space="preserve"> </w:t>
      </w:r>
      <w:r w:rsidR="00BB37BB" w:rsidRPr="007C5FD5">
        <w:rPr>
          <w:rFonts w:cstheme="minorHAnsi"/>
        </w:rPr>
        <w:t>T</w:t>
      </w:r>
      <w:r w:rsidR="00002842" w:rsidRPr="007C5FD5">
        <w:rPr>
          <w:rFonts w:cstheme="minorHAnsi"/>
        </w:rPr>
        <w:t xml:space="preserve">hey </w:t>
      </w:r>
      <w:r w:rsidR="00BB37BB" w:rsidRPr="007C5FD5">
        <w:rPr>
          <w:rFonts w:cstheme="minorHAnsi"/>
        </w:rPr>
        <w:t xml:space="preserve">also </w:t>
      </w:r>
      <w:r w:rsidR="00002842" w:rsidRPr="007C5FD5">
        <w:rPr>
          <w:rFonts w:cstheme="minorHAnsi"/>
        </w:rPr>
        <w:t>have</w:t>
      </w:r>
      <w:r w:rsidR="001E42B6" w:rsidRPr="007C5FD5">
        <w:rPr>
          <w:rFonts w:cstheme="minorHAnsi"/>
        </w:rPr>
        <w:t xml:space="preserve"> </w:t>
      </w:r>
      <w:r w:rsidR="00557092" w:rsidRPr="007C5FD5">
        <w:rPr>
          <w:rFonts w:cstheme="minorHAnsi"/>
        </w:rPr>
        <w:t xml:space="preserve">positioned </w:t>
      </w:r>
      <w:r w:rsidR="00A10232" w:rsidRPr="007C5FD5">
        <w:rPr>
          <w:rFonts w:cstheme="minorHAnsi"/>
        </w:rPr>
        <w:t>it</w:t>
      </w:r>
      <w:r w:rsidR="00557092" w:rsidRPr="007C5FD5">
        <w:rPr>
          <w:rFonts w:cstheme="minorHAnsi"/>
        </w:rPr>
        <w:t xml:space="preserve"> within</w:t>
      </w:r>
      <w:r w:rsidR="00581C60" w:rsidRPr="007C5FD5">
        <w:rPr>
          <w:rFonts w:cstheme="minorHAnsi"/>
        </w:rPr>
        <w:t>,</w:t>
      </w:r>
      <w:r w:rsidR="00557092" w:rsidRPr="007C5FD5">
        <w:rPr>
          <w:rFonts w:cstheme="minorHAnsi"/>
        </w:rPr>
        <w:t xml:space="preserve"> rather </w:t>
      </w:r>
      <w:r w:rsidR="00581C60" w:rsidRPr="007C5FD5">
        <w:rPr>
          <w:rFonts w:cstheme="minorHAnsi"/>
        </w:rPr>
        <w:t xml:space="preserve">than </w:t>
      </w:r>
      <w:r w:rsidR="00557092" w:rsidRPr="007C5FD5">
        <w:rPr>
          <w:rFonts w:cstheme="minorHAnsi"/>
        </w:rPr>
        <w:t>outside</w:t>
      </w:r>
      <w:r w:rsidR="00581C60" w:rsidRPr="007C5FD5">
        <w:rPr>
          <w:rFonts w:cstheme="minorHAnsi"/>
        </w:rPr>
        <w:t xml:space="preserve">, </w:t>
      </w:r>
      <w:r w:rsidR="00557092" w:rsidRPr="007C5FD5">
        <w:rPr>
          <w:rFonts w:cstheme="minorHAnsi"/>
        </w:rPr>
        <w:t>related information privacy</w:t>
      </w:r>
      <w:r w:rsidR="001E42B6" w:rsidRPr="007C5FD5">
        <w:rPr>
          <w:rFonts w:cstheme="minorHAnsi"/>
        </w:rPr>
        <w:t xml:space="preserve">-transparency </w:t>
      </w:r>
      <w:r w:rsidR="00557092" w:rsidRPr="007C5FD5">
        <w:rPr>
          <w:rFonts w:cstheme="minorHAnsi"/>
        </w:rPr>
        <w:t xml:space="preserve">frameworks, such as the </w:t>
      </w:r>
      <w:r w:rsidR="001B73FE" w:rsidRPr="007C5FD5">
        <w:rPr>
          <w:rFonts w:cstheme="minorHAnsi"/>
        </w:rPr>
        <w:t xml:space="preserve">equitable </w:t>
      </w:r>
      <w:r w:rsidR="00557092" w:rsidRPr="007C5FD5">
        <w:rPr>
          <w:rFonts w:cstheme="minorHAnsi"/>
        </w:rPr>
        <w:t xml:space="preserve">duty of </w:t>
      </w:r>
      <w:r w:rsidR="00557092" w:rsidRPr="007C5FD5">
        <w:rPr>
          <w:rFonts w:cstheme="minorHAnsi"/>
        </w:rPr>
        <w:lastRenderedPageBreak/>
        <w:t xml:space="preserve">confidence, the right to privacy </w:t>
      </w:r>
      <w:r w:rsidR="00AA7106" w:rsidRPr="007C5FD5">
        <w:rPr>
          <w:rFonts w:cstheme="minorHAnsi"/>
        </w:rPr>
        <w:t xml:space="preserve">and </w:t>
      </w:r>
      <w:r w:rsidR="00557092" w:rsidRPr="007C5FD5">
        <w:rPr>
          <w:rFonts w:cstheme="minorHAnsi"/>
        </w:rPr>
        <w:t>data protection law</w:t>
      </w:r>
      <w:r w:rsidR="00BB37BB" w:rsidRPr="007C5FD5">
        <w:rPr>
          <w:rFonts w:cstheme="minorHAnsi"/>
        </w:rPr>
        <w:t xml:space="preserve"> as well as</w:t>
      </w:r>
      <w:r w:rsidR="001E42B6" w:rsidRPr="007C5FD5">
        <w:rPr>
          <w:rFonts w:cstheme="minorHAnsi"/>
        </w:rPr>
        <w:t xml:space="preserve"> freedom of information </w:t>
      </w:r>
      <w:r w:rsidR="00F74B3D" w:rsidRPr="007C5FD5">
        <w:rPr>
          <w:rFonts w:cstheme="minorHAnsi"/>
        </w:rPr>
        <w:t>– all with very different provenances.</w:t>
      </w:r>
      <w:r w:rsidR="00557092" w:rsidRPr="007C5FD5">
        <w:rPr>
          <w:rFonts w:cstheme="minorHAnsi"/>
        </w:rPr>
        <w:t xml:space="preserve"> </w:t>
      </w:r>
    </w:p>
    <w:p w14:paraId="40805C0D" w14:textId="77777777" w:rsidR="001F4EDD" w:rsidRPr="007C5FD5" w:rsidRDefault="001F4EDD" w:rsidP="00FD77D8">
      <w:pPr>
        <w:spacing w:after="0" w:line="240" w:lineRule="auto"/>
        <w:jc w:val="both"/>
        <w:rPr>
          <w:rFonts w:cstheme="minorHAnsi"/>
        </w:rPr>
      </w:pPr>
    </w:p>
    <w:p w14:paraId="49B9F8F0" w14:textId="42F66F95" w:rsidR="005B60AB" w:rsidRPr="007C5FD5" w:rsidRDefault="001E42B6" w:rsidP="00FD77D8">
      <w:pPr>
        <w:spacing w:after="0" w:line="240" w:lineRule="auto"/>
        <w:jc w:val="both"/>
        <w:rPr>
          <w:rStyle w:val="font0"/>
          <w:rFonts w:cstheme="minorHAnsi"/>
        </w:rPr>
      </w:pPr>
      <w:r w:rsidRPr="007C5FD5">
        <w:rPr>
          <w:rFonts w:cstheme="minorHAnsi"/>
        </w:rPr>
        <w:t>Not at</w:t>
      </w:r>
      <w:r w:rsidR="00F74B3D" w:rsidRPr="007C5FD5">
        <w:rPr>
          <w:rFonts w:cstheme="minorHAnsi"/>
        </w:rPr>
        <w:t>ypically, i</w:t>
      </w:r>
      <w:r w:rsidR="00571EBD" w:rsidRPr="007C5FD5">
        <w:rPr>
          <w:rFonts w:cstheme="minorHAnsi"/>
        </w:rPr>
        <w:t xml:space="preserve">n </w:t>
      </w:r>
      <w:proofErr w:type="spellStart"/>
      <w:r w:rsidR="00557092" w:rsidRPr="007C5FD5">
        <w:rPr>
          <w:rFonts w:cstheme="minorHAnsi"/>
          <w:i/>
          <w:iCs/>
        </w:rPr>
        <w:t>Bluck</w:t>
      </w:r>
      <w:proofErr w:type="spellEnd"/>
      <w:r w:rsidR="00557092" w:rsidRPr="007C5FD5">
        <w:rPr>
          <w:rFonts w:cstheme="minorHAnsi"/>
          <w:i/>
          <w:iCs/>
        </w:rPr>
        <w:t xml:space="preserve"> v Information Commissioner and Epsom and St Helier University NHS Trust</w:t>
      </w:r>
      <w:r w:rsidR="00557092" w:rsidRPr="007C5FD5">
        <w:rPr>
          <w:rFonts w:cstheme="minorHAnsi"/>
        </w:rPr>
        <w:t xml:space="preserve"> (2007)</w:t>
      </w:r>
      <w:r w:rsidR="00581C60" w:rsidRPr="007C5FD5">
        <w:rPr>
          <w:rStyle w:val="FootnoteReference"/>
          <w:rFonts w:cstheme="minorHAnsi"/>
        </w:rPr>
        <w:footnoteReference w:id="46"/>
      </w:r>
      <w:r w:rsidR="00571EBD" w:rsidRPr="007C5FD5">
        <w:rPr>
          <w:rFonts w:cstheme="minorHAnsi"/>
        </w:rPr>
        <w:t xml:space="preserve"> </w:t>
      </w:r>
      <w:r w:rsidR="008F7B37" w:rsidRPr="007C5FD5">
        <w:rPr>
          <w:rFonts w:cstheme="minorHAnsi"/>
        </w:rPr>
        <w:t>a</w:t>
      </w:r>
      <w:r w:rsidR="00571EBD" w:rsidRPr="007C5FD5">
        <w:rPr>
          <w:rFonts w:cstheme="minorHAnsi"/>
        </w:rPr>
        <w:t xml:space="preserve"> mother</w:t>
      </w:r>
      <w:r w:rsidR="008F7B37" w:rsidRPr="007C5FD5">
        <w:rPr>
          <w:rFonts w:cstheme="minorHAnsi"/>
        </w:rPr>
        <w:t xml:space="preserve">’s freedom-of-information request to </w:t>
      </w:r>
      <w:r w:rsidR="00571EBD" w:rsidRPr="007C5FD5">
        <w:rPr>
          <w:rFonts w:cstheme="minorHAnsi"/>
        </w:rPr>
        <w:t xml:space="preserve">access the health records of her </w:t>
      </w:r>
      <w:r w:rsidR="008F7B37" w:rsidRPr="007C5FD5">
        <w:rPr>
          <w:rFonts w:cstheme="minorHAnsi"/>
        </w:rPr>
        <w:t xml:space="preserve">deceased </w:t>
      </w:r>
      <w:r w:rsidR="00571EBD" w:rsidRPr="007C5FD5">
        <w:rPr>
          <w:rFonts w:cstheme="minorHAnsi"/>
        </w:rPr>
        <w:t xml:space="preserve">daughter </w:t>
      </w:r>
      <w:r w:rsidR="008F7B37" w:rsidRPr="007C5FD5">
        <w:rPr>
          <w:rFonts w:cstheme="minorHAnsi"/>
        </w:rPr>
        <w:t>(</w:t>
      </w:r>
      <w:r w:rsidR="005A50C2" w:rsidRPr="007C5FD5">
        <w:rPr>
          <w:rFonts w:cstheme="minorHAnsi"/>
        </w:rPr>
        <w:t>without</w:t>
      </w:r>
      <w:r w:rsidR="00571EBD" w:rsidRPr="007C5FD5">
        <w:rPr>
          <w:rFonts w:cstheme="minorHAnsi"/>
        </w:rPr>
        <w:t xml:space="preserve"> the consent of her widower as next of kin</w:t>
      </w:r>
      <w:r w:rsidR="008F7B37" w:rsidRPr="007C5FD5">
        <w:rPr>
          <w:rFonts w:cstheme="minorHAnsi"/>
        </w:rPr>
        <w:t xml:space="preserve">) </w:t>
      </w:r>
      <w:r w:rsidR="00A10232" w:rsidRPr="007C5FD5">
        <w:rPr>
          <w:rFonts w:cstheme="minorHAnsi"/>
        </w:rPr>
        <w:t xml:space="preserve">for the purpose of </w:t>
      </w:r>
      <w:r w:rsidR="005A78B5" w:rsidRPr="007C5FD5">
        <w:rPr>
          <w:rFonts w:cstheme="minorHAnsi"/>
        </w:rPr>
        <w:t>review</w:t>
      </w:r>
      <w:r w:rsidR="00A10232" w:rsidRPr="007C5FD5">
        <w:rPr>
          <w:rFonts w:cstheme="minorHAnsi"/>
        </w:rPr>
        <w:t>ing</w:t>
      </w:r>
      <w:r w:rsidR="005A78B5" w:rsidRPr="007C5FD5">
        <w:rPr>
          <w:rFonts w:cstheme="minorHAnsi"/>
        </w:rPr>
        <w:t xml:space="preserve"> the hospital’s admitted negligence</w:t>
      </w:r>
      <w:r w:rsidR="002F55E0" w:rsidRPr="007C5FD5">
        <w:rPr>
          <w:rFonts w:cstheme="minorHAnsi"/>
        </w:rPr>
        <w:t xml:space="preserve"> </w:t>
      </w:r>
      <w:r w:rsidR="008F7B37" w:rsidRPr="007C5FD5">
        <w:rPr>
          <w:rFonts w:cstheme="minorHAnsi"/>
        </w:rPr>
        <w:t>was</w:t>
      </w:r>
      <w:r w:rsidR="00E33D1F" w:rsidRPr="007C5FD5">
        <w:rPr>
          <w:rFonts w:cstheme="minorHAnsi"/>
        </w:rPr>
        <w:t xml:space="preserve"> – according to the Tribunal </w:t>
      </w:r>
      <w:r w:rsidR="00AA6291" w:rsidRPr="007C5FD5">
        <w:rPr>
          <w:rFonts w:cstheme="minorHAnsi"/>
        </w:rPr>
        <w:t>–</w:t>
      </w:r>
      <w:r w:rsidR="00E33D1F" w:rsidRPr="007C5FD5">
        <w:rPr>
          <w:rFonts w:cstheme="minorHAnsi"/>
        </w:rPr>
        <w:t xml:space="preserve"> validly</w:t>
      </w:r>
      <w:r w:rsidR="00AA6291" w:rsidRPr="007C5FD5">
        <w:rPr>
          <w:rFonts w:cstheme="minorHAnsi"/>
        </w:rPr>
        <w:t xml:space="preserve"> </w:t>
      </w:r>
      <w:r w:rsidR="008F7B37" w:rsidRPr="007C5FD5">
        <w:rPr>
          <w:rFonts w:cstheme="minorHAnsi"/>
        </w:rPr>
        <w:t>refused</w:t>
      </w:r>
      <w:r w:rsidR="00AA7106" w:rsidRPr="007C5FD5">
        <w:rPr>
          <w:rFonts w:cstheme="minorHAnsi"/>
        </w:rPr>
        <w:t>.</w:t>
      </w:r>
      <w:r w:rsidR="002F55E0" w:rsidRPr="007C5FD5">
        <w:rPr>
          <w:rStyle w:val="FootnoteReference"/>
          <w:rFonts w:cstheme="minorHAnsi"/>
        </w:rPr>
        <w:footnoteReference w:id="47"/>
      </w:r>
      <w:r w:rsidR="006B2130" w:rsidRPr="007C5FD5">
        <w:rPr>
          <w:rFonts w:cstheme="minorHAnsi"/>
        </w:rPr>
        <w:t xml:space="preserve"> </w:t>
      </w:r>
      <w:r w:rsidR="00AA7106" w:rsidRPr="007C5FD5">
        <w:rPr>
          <w:rFonts w:cstheme="minorHAnsi"/>
        </w:rPr>
        <w:t xml:space="preserve">Such access would </w:t>
      </w:r>
      <w:r w:rsidR="008F7B37" w:rsidRPr="007C5FD5">
        <w:rPr>
          <w:rFonts w:cstheme="minorHAnsi"/>
        </w:rPr>
        <w:t>violate medical confidentiality and as such fell within</w:t>
      </w:r>
      <w:r w:rsidR="00E33D1F" w:rsidRPr="007C5FD5">
        <w:rPr>
          <w:rFonts w:cstheme="minorHAnsi"/>
        </w:rPr>
        <w:t xml:space="preserve"> the</w:t>
      </w:r>
      <w:r w:rsidR="008F7B37" w:rsidRPr="007C5FD5">
        <w:rPr>
          <w:rFonts w:cstheme="minorHAnsi"/>
        </w:rPr>
        <w:t xml:space="preserve"> </w:t>
      </w:r>
      <w:r w:rsidR="00E33D1F" w:rsidRPr="007C5FD5">
        <w:rPr>
          <w:rFonts w:cstheme="minorHAnsi"/>
        </w:rPr>
        <w:t xml:space="preserve">exception in s.41 </w:t>
      </w:r>
      <w:r w:rsidR="0086207E" w:rsidRPr="007C5FD5">
        <w:rPr>
          <w:rFonts w:cstheme="minorHAnsi"/>
        </w:rPr>
        <w:t>of</w:t>
      </w:r>
      <w:r w:rsidR="008F7B37" w:rsidRPr="007C5FD5">
        <w:rPr>
          <w:rFonts w:cstheme="minorHAnsi"/>
        </w:rPr>
        <w:t xml:space="preserve"> the Freedom of Information Act 2000 </w:t>
      </w:r>
      <w:r w:rsidR="006F2BF0" w:rsidRPr="007C5FD5">
        <w:rPr>
          <w:rFonts w:cstheme="minorHAnsi"/>
        </w:rPr>
        <w:t>covering ‘</w:t>
      </w:r>
      <w:r w:rsidR="00E33D1F" w:rsidRPr="007C5FD5">
        <w:rPr>
          <w:rFonts w:cstheme="minorHAnsi"/>
        </w:rPr>
        <w:t>obligations of confidence</w:t>
      </w:r>
      <w:r w:rsidR="006F2BF0" w:rsidRPr="007C5FD5">
        <w:rPr>
          <w:rFonts w:cstheme="minorHAnsi"/>
        </w:rPr>
        <w:t>’</w:t>
      </w:r>
      <w:r w:rsidR="00E33D1F" w:rsidRPr="007C5FD5">
        <w:rPr>
          <w:rFonts w:cstheme="minorHAnsi"/>
        </w:rPr>
        <w:t xml:space="preserve">. </w:t>
      </w:r>
      <w:r w:rsidR="00B22934" w:rsidRPr="007C5FD5">
        <w:rPr>
          <w:rFonts w:cstheme="minorHAnsi"/>
        </w:rPr>
        <w:t>The T</w:t>
      </w:r>
      <w:r w:rsidR="00AA6291" w:rsidRPr="007C5FD5">
        <w:rPr>
          <w:rFonts w:cstheme="minorHAnsi"/>
        </w:rPr>
        <w:t xml:space="preserve">ribunal </w:t>
      </w:r>
      <w:r w:rsidR="00D63A8F" w:rsidRPr="007C5FD5">
        <w:rPr>
          <w:rFonts w:cstheme="minorHAnsi"/>
        </w:rPr>
        <w:t xml:space="preserve">seamlessly </w:t>
      </w:r>
      <w:r w:rsidR="00B22934" w:rsidRPr="007C5FD5">
        <w:rPr>
          <w:rFonts w:cstheme="minorHAnsi"/>
        </w:rPr>
        <w:t>absorbed the duty of medical confidentiality within</w:t>
      </w:r>
      <w:r w:rsidR="00D63A8F" w:rsidRPr="007C5FD5">
        <w:rPr>
          <w:rFonts w:cstheme="minorHAnsi"/>
        </w:rPr>
        <w:t xml:space="preserve"> the</w:t>
      </w:r>
      <w:r w:rsidR="00B22934" w:rsidRPr="007C5FD5">
        <w:rPr>
          <w:rFonts w:cstheme="minorHAnsi"/>
        </w:rPr>
        <w:t xml:space="preserve"> law on confidence </w:t>
      </w:r>
      <w:r w:rsidR="006C167E" w:rsidRPr="007C5FD5">
        <w:rPr>
          <w:rFonts w:cstheme="minorHAnsi"/>
        </w:rPr>
        <w:t>and also</w:t>
      </w:r>
      <w:r w:rsidR="004831CD" w:rsidRPr="007C5FD5">
        <w:rPr>
          <w:rFonts w:cstheme="minorHAnsi"/>
        </w:rPr>
        <w:t xml:space="preserve"> within the</w:t>
      </w:r>
      <w:r w:rsidR="00B22934" w:rsidRPr="007C5FD5">
        <w:rPr>
          <w:rFonts w:cstheme="minorHAnsi"/>
        </w:rPr>
        <w:t xml:space="preserve"> right to privacy under Art 8</w:t>
      </w:r>
      <w:r w:rsidR="00852A3E" w:rsidRPr="007C5FD5">
        <w:rPr>
          <w:rFonts w:cstheme="minorHAnsi"/>
        </w:rPr>
        <w:t>.</w:t>
      </w:r>
      <w:r w:rsidR="00B663AD" w:rsidRPr="007C5FD5">
        <w:rPr>
          <w:rStyle w:val="FootnoteReference"/>
          <w:rFonts w:cstheme="minorHAnsi"/>
        </w:rPr>
        <w:footnoteReference w:id="48"/>
      </w:r>
      <w:r w:rsidR="00B663AD" w:rsidRPr="007C5FD5">
        <w:rPr>
          <w:rFonts w:cstheme="minorHAnsi"/>
        </w:rPr>
        <w:t xml:space="preserve"> </w:t>
      </w:r>
      <w:r w:rsidR="00865C18" w:rsidRPr="007C5FD5">
        <w:rPr>
          <w:rFonts w:cstheme="minorHAnsi"/>
        </w:rPr>
        <w:t xml:space="preserve">Whilst it </w:t>
      </w:r>
      <w:r w:rsidR="00B663AD" w:rsidRPr="007C5FD5">
        <w:rPr>
          <w:rFonts w:cstheme="minorHAnsi"/>
        </w:rPr>
        <w:t xml:space="preserve">acknowledged the </w:t>
      </w:r>
      <w:r w:rsidR="0030559A" w:rsidRPr="007C5FD5">
        <w:rPr>
          <w:rFonts w:cstheme="minorHAnsi"/>
        </w:rPr>
        <w:t xml:space="preserve">‘dogmatic’ older </w:t>
      </w:r>
      <w:r w:rsidR="00B663AD" w:rsidRPr="007C5FD5">
        <w:rPr>
          <w:rFonts w:cstheme="minorHAnsi"/>
        </w:rPr>
        <w:t>authorit</w:t>
      </w:r>
      <w:r w:rsidR="004831CD" w:rsidRPr="007C5FD5">
        <w:rPr>
          <w:rFonts w:cstheme="minorHAnsi"/>
        </w:rPr>
        <w:t xml:space="preserve">ies according to which </w:t>
      </w:r>
      <w:r w:rsidR="00B663AD" w:rsidRPr="007C5FD5">
        <w:rPr>
          <w:rFonts w:cstheme="minorHAnsi"/>
        </w:rPr>
        <w:t xml:space="preserve">confidences of personal, rather than </w:t>
      </w:r>
      <w:r w:rsidR="00B663AD" w:rsidRPr="007C5FD5">
        <w:rPr>
          <w:rStyle w:val="font0"/>
          <w:rFonts w:cstheme="minorHAnsi"/>
        </w:rPr>
        <w:t>proprietorial</w:t>
      </w:r>
      <w:r w:rsidR="00B663AD" w:rsidRPr="007C5FD5">
        <w:rPr>
          <w:rFonts w:cstheme="minorHAnsi"/>
        </w:rPr>
        <w:t xml:space="preserve"> </w:t>
      </w:r>
      <w:r w:rsidR="00B663AD" w:rsidRPr="007C5FD5">
        <w:rPr>
          <w:rStyle w:val="font0"/>
          <w:rFonts w:cstheme="minorHAnsi"/>
        </w:rPr>
        <w:t>or quasi-proprietorial</w:t>
      </w:r>
      <w:r w:rsidR="0030559A" w:rsidRPr="007C5FD5">
        <w:rPr>
          <w:rStyle w:val="font0"/>
          <w:rFonts w:cstheme="minorHAnsi"/>
        </w:rPr>
        <w:t>,</w:t>
      </w:r>
      <w:r w:rsidR="00B663AD" w:rsidRPr="007C5FD5">
        <w:rPr>
          <w:rStyle w:val="font0"/>
          <w:rFonts w:cstheme="minorHAnsi"/>
        </w:rPr>
        <w:t xml:space="preserve"> character</w:t>
      </w:r>
      <w:r w:rsidR="0030559A" w:rsidRPr="007C5FD5">
        <w:rPr>
          <w:rStyle w:val="font0"/>
          <w:rFonts w:cstheme="minorHAnsi"/>
        </w:rPr>
        <w:t xml:space="preserve"> </w:t>
      </w:r>
      <w:r w:rsidR="00B663AD" w:rsidRPr="007C5FD5">
        <w:rPr>
          <w:rStyle w:val="font0"/>
          <w:rFonts w:cstheme="minorHAnsi"/>
        </w:rPr>
        <w:t>do not vest in the deceased</w:t>
      </w:r>
      <w:r w:rsidR="00D71000" w:rsidRPr="007C5FD5">
        <w:rPr>
          <w:rStyle w:val="font0"/>
          <w:rFonts w:cstheme="minorHAnsi"/>
        </w:rPr>
        <w:t>’s</w:t>
      </w:r>
      <w:r w:rsidR="00B663AD" w:rsidRPr="007C5FD5">
        <w:rPr>
          <w:rStyle w:val="font0"/>
          <w:rFonts w:cstheme="minorHAnsi"/>
        </w:rPr>
        <w:t xml:space="preserve"> estate, </w:t>
      </w:r>
      <w:r w:rsidR="00865C18" w:rsidRPr="007C5FD5">
        <w:rPr>
          <w:rStyle w:val="font0"/>
          <w:rFonts w:cstheme="minorHAnsi"/>
        </w:rPr>
        <w:t>it</w:t>
      </w:r>
      <w:r w:rsidR="0030559A" w:rsidRPr="007C5FD5">
        <w:rPr>
          <w:rStyle w:val="font0"/>
          <w:rFonts w:cstheme="minorHAnsi"/>
        </w:rPr>
        <w:t xml:space="preserve"> found them ‘overruled, at least in relation to medical records, by the more recent</w:t>
      </w:r>
      <w:r w:rsidR="0030559A" w:rsidRPr="007C5FD5">
        <w:rPr>
          <w:rFonts w:cstheme="minorHAnsi"/>
        </w:rPr>
        <w:t xml:space="preserve"> </w:t>
      </w:r>
      <w:r w:rsidR="0030559A" w:rsidRPr="007C5FD5">
        <w:rPr>
          <w:rStyle w:val="font0"/>
          <w:rFonts w:cstheme="minorHAnsi"/>
        </w:rPr>
        <w:t>cases [</w:t>
      </w:r>
      <w:proofErr w:type="spellStart"/>
      <w:r w:rsidR="00633B23" w:rsidRPr="007C5FD5">
        <w:rPr>
          <w:rFonts w:cstheme="minorHAnsi"/>
          <w:i/>
          <w:iCs/>
        </w:rPr>
        <w:t>Plon</w:t>
      </w:r>
      <w:proofErr w:type="spellEnd"/>
      <w:r w:rsidR="00633B23" w:rsidRPr="007C5FD5">
        <w:rPr>
          <w:rFonts w:cstheme="minorHAnsi"/>
          <w:i/>
          <w:iCs/>
        </w:rPr>
        <w:t xml:space="preserve"> (</w:t>
      </w:r>
      <w:r w:rsidR="004D0E29" w:rsidRPr="007C5FD5">
        <w:rPr>
          <w:rFonts w:cstheme="minorHAnsi"/>
          <w:i/>
          <w:iCs/>
        </w:rPr>
        <w:t>Société</w:t>
      </w:r>
      <w:r w:rsidR="00633B23" w:rsidRPr="007C5FD5">
        <w:rPr>
          <w:rFonts w:cstheme="minorHAnsi"/>
          <w:i/>
          <w:iCs/>
        </w:rPr>
        <w:t>)</w:t>
      </w:r>
      <w:r w:rsidR="0030559A" w:rsidRPr="007C5FD5">
        <w:rPr>
          <w:rStyle w:val="font0"/>
          <w:rFonts w:cstheme="minorHAnsi"/>
          <w:i/>
          <w:iCs/>
        </w:rPr>
        <w:t xml:space="preserve"> v France</w:t>
      </w:r>
      <w:r w:rsidR="0030559A" w:rsidRPr="007C5FD5">
        <w:rPr>
          <w:rStyle w:val="font0"/>
          <w:rFonts w:cstheme="minorHAnsi"/>
        </w:rPr>
        <w:t>] on private information.’</w:t>
      </w:r>
      <w:r w:rsidR="0030559A" w:rsidRPr="007C5FD5">
        <w:rPr>
          <w:rStyle w:val="FootnoteReference"/>
          <w:rFonts w:cstheme="minorHAnsi"/>
        </w:rPr>
        <w:footnoteReference w:id="49"/>
      </w:r>
      <w:r w:rsidR="00037221" w:rsidRPr="007C5FD5">
        <w:rPr>
          <w:rStyle w:val="font0"/>
          <w:rFonts w:cstheme="minorHAnsi"/>
        </w:rPr>
        <w:t xml:space="preserve"> </w:t>
      </w:r>
      <w:r w:rsidR="007D55A1" w:rsidRPr="007C5FD5">
        <w:rPr>
          <w:rStyle w:val="font0"/>
          <w:rFonts w:cstheme="minorHAnsi"/>
        </w:rPr>
        <w:t xml:space="preserve">In </w:t>
      </w:r>
      <w:proofErr w:type="spellStart"/>
      <w:r w:rsidR="00517C37" w:rsidRPr="007C5FD5">
        <w:rPr>
          <w:rStyle w:val="font0"/>
          <w:rFonts w:cstheme="minorHAnsi"/>
          <w:i/>
          <w:iCs/>
        </w:rPr>
        <w:t>Bluck</w:t>
      </w:r>
      <w:proofErr w:type="spellEnd"/>
      <w:r w:rsidR="00517C37" w:rsidRPr="007C5FD5">
        <w:rPr>
          <w:rStyle w:val="font0"/>
          <w:rFonts w:cstheme="minorHAnsi"/>
          <w:i/>
          <w:iCs/>
        </w:rPr>
        <w:t xml:space="preserve"> </w:t>
      </w:r>
      <w:r w:rsidR="007D55A1" w:rsidRPr="007C5FD5">
        <w:rPr>
          <w:rStyle w:val="font0"/>
          <w:rFonts w:cstheme="minorHAnsi"/>
        </w:rPr>
        <w:t>the</w:t>
      </w:r>
      <w:r w:rsidR="00C015B0" w:rsidRPr="007C5FD5">
        <w:rPr>
          <w:rStyle w:val="font0"/>
          <w:rFonts w:cstheme="minorHAnsi"/>
        </w:rPr>
        <w:t xml:space="preserve"> </w:t>
      </w:r>
      <w:r w:rsidR="00451DDF" w:rsidRPr="007C5FD5">
        <w:rPr>
          <w:rStyle w:val="font0"/>
          <w:rFonts w:cstheme="minorHAnsi"/>
        </w:rPr>
        <w:t>post-mortem</w:t>
      </w:r>
      <w:r w:rsidR="007D55A1" w:rsidRPr="007C5FD5">
        <w:rPr>
          <w:rStyle w:val="font0"/>
          <w:rFonts w:cstheme="minorHAnsi"/>
        </w:rPr>
        <w:t xml:space="preserve"> duty</w:t>
      </w:r>
      <w:r w:rsidR="00984493" w:rsidRPr="007C5FD5">
        <w:rPr>
          <w:rStyle w:val="font0"/>
          <w:rFonts w:cstheme="minorHAnsi"/>
        </w:rPr>
        <w:t xml:space="preserve"> served</w:t>
      </w:r>
      <w:r w:rsidR="007D55A1" w:rsidRPr="007C5FD5">
        <w:rPr>
          <w:rStyle w:val="font0"/>
          <w:rFonts w:cstheme="minorHAnsi"/>
        </w:rPr>
        <w:t>, on the one hand,</w:t>
      </w:r>
      <w:r w:rsidR="00C015B0" w:rsidRPr="007C5FD5">
        <w:rPr>
          <w:rStyle w:val="font0"/>
          <w:rFonts w:cstheme="minorHAnsi"/>
        </w:rPr>
        <w:t xml:space="preserve"> </w:t>
      </w:r>
      <w:r w:rsidR="007D55A1" w:rsidRPr="007C5FD5">
        <w:rPr>
          <w:rStyle w:val="font0"/>
          <w:rFonts w:cstheme="minorHAnsi"/>
        </w:rPr>
        <w:t xml:space="preserve">as an </w:t>
      </w:r>
      <w:r w:rsidR="00517C37" w:rsidRPr="007C5FD5">
        <w:rPr>
          <w:rStyle w:val="font0"/>
          <w:rFonts w:cstheme="minorHAnsi"/>
        </w:rPr>
        <w:t xml:space="preserve">ordering device to </w:t>
      </w:r>
      <w:r w:rsidR="00093C3C" w:rsidRPr="007C5FD5">
        <w:rPr>
          <w:rStyle w:val="font0"/>
          <w:rFonts w:cstheme="minorHAnsi"/>
        </w:rPr>
        <w:t xml:space="preserve">adjudicate </w:t>
      </w:r>
      <w:r w:rsidR="00517C37" w:rsidRPr="007C5FD5">
        <w:rPr>
          <w:rStyle w:val="font0"/>
          <w:rFonts w:cstheme="minorHAnsi"/>
        </w:rPr>
        <w:t>between</w:t>
      </w:r>
      <w:r w:rsidR="00093C3C" w:rsidRPr="007C5FD5">
        <w:rPr>
          <w:rStyle w:val="font0"/>
          <w:rFonts w:cstheme="minorHAnsi"/>
        </w:rPr>
        <w:t xml:space="preserve"> the</w:t>
      </w:r>
      <w:r w:rsidR="00517C37" w:rsidRPr="007C5FD5">
        <w:rPr>
          <w:rStyle w:val="font0"/>
          <w:rFonts w:cstheme="minorHAnsi"/>
        </w:rPr>
        <w:t xml:space="preserve"> competing </w:t>
      </w:r>
      <w:r w:rsidR="00FB2F49" w:rsidRPr="007C5FD5">
        <w:rPr>
          <w:rStyle w:val="font0"/>
          <w:rFonts w:cstheme="minorHAnsi"/>
        </w:rPr>
        <w:t xml:space="preserve">entangled </w:t>
      </w:r>
      <w:r w:rsidR="00E959B6" w:rsidRPr="007C5FD5">
        <w:rPr>
          <w:rStyle w:val="font0"/>
          <w:rFonts w:cstheme="minorHAnsi"/>
        </w:rPr>
        <w:t xml:space="preserve">stakes </w:t>
      </w:r>
      <w:r w:rsidR="00517C37" w:rsidRPr="007C5FD5">
        <w:rPr>
          <w:rStyle w:val="font0"/>
          <w:rFonts w:cstheme="minorHAnsi"/>
        </w:rPr>
        <w:t>of the widower as deceased’s next of kin (</w:t>
      </w:r>
      <w:r w:rsidR="00004DFA" w:rsidRPr="007C5FD5">
        <w:rPr>
          <w:rStyle w:val="font0"/>
          <w:rFonts w:cstheme="minorHAnsi"/>
        </w:rPr>
        <w:t>the</w:t>
      </w:r>
      <w:r w:rsidR="00E173B7" w:rsidRPr="007C5FD5">
        <w:rPr>
          <w:rStyle w:val="font0"/>
          <w:rFonts w:cstheme="minorHAnsi"/>
        </w:rPr>
        <w:t xml:space="preserve"> nearest family</w:t>
      </w:r>
      <w:r w:rsidR="00517C37" w:rsidRPr="007C5FD5">
        <w:rPr>
          <w:rStyle w:val="font0"/>
          <w:rFonts w:cstheme="minorHAnsi"/>
        </w:rPr>
        <w:t>), the mother (the public</w:t>
      </w:r>
      <w:r w:rsidR="005B7963" w:rsidRPr="007C5FD5">
        <w:rPr>
          <w:rStyle w:val="font0"/>
          <w:rFonts w:cstheme="minorHAnsi"/>
        </w:rPr>
        <w:t>/the family</w:t>
      </w:r>
      <w:r w:rsidR="00517C37" w:rsidRPr="007C5FD5">
        <w:rPr>
          <w:rStyle w:val="font0"/>
          <w:rFonts w:cstheme="minorHAnsi"/>
        </w:rPr>
        <w:t>) and the hospital (the duty bearer)</w:t>
      </w:r>
      <w:r w:rsidR="00547804" w:rsidRPr="007C5FD5">
        <w:rPr>
          <w:rStyle w:val="font0"/>
          <w:rFonts w:cstheme="minorHAnsi"/>
        </w:rPr>
        <w:t>.</w:t>
      </w:r>
      <w:r w:rsidR="007D55A1" w:rsidRPr="007C5FD5">
        <w:rPr>
          <w:rStyle w:val="font0"/>
          <w:rFonts w:cstheme="minorHAnsi"/>
        </w:rPr>
        <w:t xml:space="preserve"> On the other hand, the </w:t>
      </w:r>
      <w:r w:rsidR="00EF6DA0" w:rsidRPr="007C5FD5">
        <w:rPr>
          <w:rStyle w:val="font0"/>
          <w:rFonts w:cstheme="minorHAnsi"/>
        </w:rPr>
        <w:t xml:space="preserve">post-mortem </w:t>
      </w:r>
      <w:r w:rsidR="007D55A1" w:rsidRPr="007C5FD5">
        <w:rPr>
          <w:rStyle w:val="font0"/>
          <w:rFonts w:cstheme="minorHAnsi"/>
        </w:rPr>
        <w:t>duty also emerge</w:t>
      </w:r>
      <w:r w:rsidR="00984493" w:rsidRPr="007C5FD5">
        <w:rPr>
          <w:rStyle w:val="font0"/>
          <w:rFonts w:cstheme="minorHAnsi"/>
        </w:rPr>
        <w:t>d</w:t>
      </w:r>
      <w:r w:rsidR="007D55A1" w:rsidRPr="007C5FD5">
        <w:rPr>
          <w:rStyle w:val="font0"/>
          <w:rFonts w:cstheme="minorHAnsi"/>
        </w:rPr>
        <w:t xml:space="preserve"> as </w:t>
      </w:r>
      <w:r w:rsidR="00EF6DA0" w:rsidRPr="007C5FD5">
        <w:rPr>
          <w:rStyle w:val="font0"/>
          <w:rFonts w:cstheme="minorHAnsi"/>
        </w:rPr>
        <w:t xml:space="preserve">peculiarly </w:t>
      </w:r>
      <w:r w:rsidR="007D55A1" w:rsidRPr="007C5FD5">
        <w:rPr>
          <w:rStyle w:val="font0"/>
          <w:rFonts w:cstheme="minorHAnsi"/>
        </w:rPr>
        <w:t>protective of the duty beare</w:t>
      </w:r>
      <w:r w:rsidR="00EF6DA0" w:rsidRPr="007C5FD5">
        <w:rPr>
          <w:rStyle w:val="font0"/>
          <w:rFonts w:cstheme="minorHAnsi"/>
        </w:rPr>
        <w:t>r</w:t>
      </w:r>
      <w:r w:rsidR="005A50C2" w:rsidRPr="007C5FD5">
        <w:rPr>
          <w:rStyle w:val="font0"/>
          <w:rFonts w:cstheme="minorHAnsi"/>
        </w:rPr>
        <w:t>, here the hospital</w:t>
      </w:r>
      <w:r w:rsidR="00EF6DA0" w:rsidRPr="007C5FD5">
        <w:rPr>
          <w:rStyle w:val="font0"/>
          <w:rFonts w:cstheme="minorHAnsi"/>
        </w:rPr>
        <w:t>.</w:t>
      </w:r>
      <w:r w:rsidR="00984493" w:rsidRPr="007C5FD5">
        <w:rPr>
          <w:rStyle w:val="font0"/>
          <w:rFonts w:cstheme="minorHAnsi"/>
        </w:rPr>
        <w:t xml:space="preserve"> With the rightsholder deceased, the persistence of the duty</w:t>
      </w:r>
      <w:r w:rsidR="00E173B7" w:rsidRPr="007C5FD5">
        <w:rPr>
          <w:rStyle w:val="font0"/>
          <w:rFonts w:cstheme="minorHAnsi"/>
        </w:rPr>
        <w:t xml:space="preserve"> mean</w:t>
      </w:r>
      <w:r w:rsidR="00BF45BA" w:rsidRPr="007C5FD5">
        <w:rPr>
          <w:rStyle w:val="font0"/>
          <w:rFonts w:cstheme="minorHAnsi"/>
        </w:rPr>
        <w:t>s</w:t>
      </w:r>
      <w:r w:rsidR="00E173B7" w:rsidRPr="007C5FD5">
        <w:rPr>
          <w:rStyle w:val="font0"/>
          <w:rFonts w:cstheme="minorHAnsi"/>
        </w:rPr>
        <w:t xml:space="preserve"> that </w:t>
      </w:r>
      <w:r w:rsidR="00984493" w:rsidRPr="007C5FD5">
        <w:rPr>
          <w:rStyle w:val="font0"/>
          <w:rFonts w:cstheme="minorHAnsi"/>
        </w:rPr>
        <w:t xml:space="preserve">the confidential information </w:t>
      </w:r>
      <w:r w:rsidR="00B9637B" w:rsidRPr="007C5FD5">
        <w:rPr>
          <w:rStyle w:val="font0"/>
          <w:rFonts w:cstheme="minorHAnsi"/>
        </w:rPr>
        <w:t xml:space="preserve">potentially </w:t>
      </w:r>
      <w:r w:rsidR="00E173B7" w:rsidRPr="007C5FD5">
        <w:rPr>
          <w:rStyle w:val="font0"/>
          <w:rFonts w:cstheme="minorHAnsi"/>
        </w:rPr>
        <w:t>becomes</w:t>
      </w:r>
      <w:r w:rsidR="00984493" w:rsidRPr="007C5FD5">
        <w:rPr>
          <w:rStyle w:val="font0"/>
          <w:rFonts w:cstheme="minorHAnsi"/>
        </w:rPr>
        <w:t xml:space="preserve"> locked up with the duty bearer</w:t>
      </w:r>
      <w:r w:rsidR="00FB2F49" w:rsidRPr="007C5FD5">
        <w:rPr>
          <w:rStyle w:val="font0"/>
          <w:rFonts w:cstheme="minorHAnsi"/>
        </w:rPr>
        <w:t>,</w:t>
      </w:r>
      <w:r w:rsidR="00984493" w:rsidRPr="007C5FD5">
        <w:rPr>
          <w:rStyle w:val="font0"/>
          <w:rFonts w:cstheme="minorHAnsi"/>
        </w:rPr>
        <w:t xml:space="preserve"> </w:t>
      </w:r>
      <w:r w:rsidR="00FB2F49" w:rsidRPr="007C5FD5">
        <w:rPr>
          <w:rStyle w:val="font0"/>
          <w:rFonts w:cstheme="minorHAnsi"/>
        </w:rPr>
        <w:t>which</w:t>
      </w:r>
      <w:r w:rsidR="00984493" w:rsidRPr="007C5FD5">
        <w:rPr>
          <w:rStyle w:val="font0"/>
          <w:rFonts w:cstheme="minorHAnsi"/>
        </w:rPr>
        <w:t xml:space="preserve"> </w:t>
      </w:r>
      <w:r w:rsidR="00F02096" w:rsidRPr="007C5FD5">
        <w:rPr>
          <w:rStyle w:val="font0"/>
          <w:rFonts w:cstheme="minorHAnsi"/>
        </w:rPr>
        <w:t>is</w:t>
      </w:r>
      <w:r w:rsidR="00BF45BA" w:rsidRPr="007C5FD5">
        <w:rPr>
          <w:rStyle w:val="font0"/>
          <w:rFonts w:cstheme="minorHAnsi"/>
        </w:rPr>
        <w:t xml:space="preserve"> </w:t>
      </w:r>
      <w:proofErr w:type="gramStart"/>
      <w:r w:rsidR="00BF45BA" w:rsidRPr="007C5FD5">
        <w:rPr>
          <w:rStyle w:val="font0"/>
          <w:rFonts w:cstheme="minorHAnsi"/>
        </w:rPr>
        <w:t>all the more</w:t>
      </w:r>
      <w:proofErr w:type="gramEnd"/>
      <w:r w:rsidR="00F02096" w:rsidRPr="007C5FD5">
        <w:rPr>
          <w:rStyle w:val="font0"/>
          <w:rFonts w:cstheme="minorHAnsi"/>
        </w:rPr>
        <w:t xml:space="preserve"> </w:t>
      </w:r>
      <w:r w:rsidR="00984493" w:rsidRPr="007C5FD5">
        <w:rPr>
          <w:rStyle w:val="font0"/>
          <w:rFonts w:cstheme="minorHAnsi"/>
        </w:rPr>
        <w:t>problematic</w:t>
      </w:r>
      <w:r w:rsidR="00F02096" w:rsidRPr="007C5FD5">
        <w:rPr>
          <w:rStyle w:val="font0"/>
          <w:rFonts w:cstheme="minorHAnsi"/>
        </w:rPr>
        <w:t xml:space="preserve"> </w:t>
      </w:r>
      <w:r w:rsidR="00984493" w:rsidRPr="007C5FD5">
        <w:rPr>
          <w:rStyle w:val="font0"/>
          <w:rFonts w:cstheme="minorHAnsi"/>
        </w:rPr>
        <w:t>where the duty bearer</w:t>
      </w:r>
      <w:r w:rsidR="005A50C2" w:rsidRPr="007C5FD5">
        <w:rPr>
          <w:rStyle w:val="font0"/>
          <w:rFonts w:cstheme="minorHAnsi"/>
        </w:rPr>
        <w:t xml:space="preserve">, as in </w:t>
      </w:r>
      <w:proofErr w:type="spellStart"/>
      <w:r w:rsidR="005A50C2" w:rsidRPr="007C5FD5">
        <w:rPr>
          <w:rStyle w:val="font0"/>
          <w:rFonts w:cstheme="minorHAnsi"/>
          <w:i/>
          <w:iCs/>
        </w:rPr>
        <w:t>Bluck</w:t>
      </w:r>
      <w:proofErr w:type="spellEnd"/>
      <w:r w:rsidR="005A50C2" w:rsidRPr="007C5FD5">
        <w:rPr>
          <w:rStyle w:val="font0"/>
          <w:rFonts w:cstheme="minorHAnsi"/>
        </w:rPr>
        <w:t xml:space="preserve">, </w:t>
      </w:r>
      <w:r w:rsidR="00B51DDD" w:rsidRPr="007C5FD5">
        <w:rPr>
          <w:rStyle w:val="font0"/>
          <w:rFonts w:cstheme="minorHAnsi"/>
        </w:rPr>
        <w:t xml:space="preserve">is </w:t>
      </w:r>
      <w:r w:rsidR="00984493" w:rsidRPr="007C5FD5">
        <w:rPr>
          <w:rStyle w:val="font0"/>
          <w:rFonts w:cstheme="minorHAnsi"/>
        </w:rPr>
        <w:t xml:space="preserve">implicated in the death of the rightsholder. </w:t>
      </w:r>
      <w:r w:rsidR="00F02096" w:rsidRPr="007C5FD5">
        <w:rPr>
          <w:rStyle w:val="font0"/>
          <w:rFonts w:cstheme="minorHAnsi"/>
        </w:rPr>
        <w:t>T</w:t>
      </w:r>
      <w:r w:rsidR="001916F1" w:rsidRPr="007C5FD5">
        <w:rPr>
          <w:rStyle w:val="font0"/>
          <w:rFonts w:cstheme="minorHAnsi"/>
        </w:rPr>
        <w:t>he</w:t>
      </w:r>
      <w:r w:rsidR="00F02096" w:rsidRPr="007C5FD5">
        <w:rPr>
          <w:rStyle w:val="font0"/>
          <w:rFonts w:cstheme="minorHAnsi"/>
        </w:rPr>
        <w:t xml:space="preserve"> </w:t>
      </w:r>
      <w:r w:rsidR="001916F1" w:rsidRPr="007C5FD5">
        <w:rPr>
          <w:rStyle w:val="font0"/>
          <w:rFonts w:cstheme="minorHAnsi"/>
        </w:rPr>
        <w:t>moral hazard</w:t>
      </w:r>
      <w:r w:rsidR="00D2101F" w:rsidRPr="007C5FD5">
        <w:rPr>
          <w:rStyle w:val="font0"/>
          <w:rFonts w:cstheme="minorHAnsi"/>
        </w:rPr>
        <w:t xml:space="preserve"> </w:t>
      </w:r>
      <w:r w:rsidR="001916F1" w:rsidRPr="007C5FD5">
        <w:rPr>
          <w:rStyle w:val="font0"/>
          <w:rFonts w:cstheme="minorHAnsi"/>
        </w:rPr>
        <w:t>that arise</w:t>
      </w:r>
      <w:r w:rsidR="00D2101F" w:rsidRPr="007C5FD5">
        <w:rPr>
          <w:rStyle w:val="font0"/>
          <w:rFonts w:cstheme="minorHAnsi"/>
        </w:rPr>
        <w:t>s</w:t>
      </w:r>
      <w:r w:rsidR="001916F1" w:rsidRPr="007C5FD5">
        <w:rPr>
          <w:rStyle w:val="font0"/>
          <w:rFonts w:cstheme="minorHAnsi"/>
        </w:rPr>
        <w:t xml:space="preserve"> from the duty transforming into a</w:t>
      </w:r>
      <w:r w:rsidR="00346A0A" w:rsidRPr="007C5FD5">
        <w:rPr>
          <w:rStyle w:val="font0"/>
          <w:rFonts w:cstheme="minorHAnsi"/>
        </w:rPr>
        <w:t>n</w:t>
      </w:r>
      <w:r w:rsidR="00D2101F" w:rsidRPr="007C5FD5">
        <w:rPr>
          <w:rStyle w:val="font0"/>
          <w:rFonts w:cstheme="minorHAnsi"/>
        </w:rPr>
        <w:t xml:space="preserve"> impenetrable</w:t>
      </w:r>
      <w:r w:rsidR="001916F1" w:rsidRPr="007C5FD5">
        <w:rPr>
          <w:rStyle w:val="font0"/>
          <w:rFonts w:cstheme="minorHAnsi"/>
        </w:rPr>
        <w:t xml:space="preserve"> shield </w:t>
      </w:r>
      <w:r w:rsidR="005A50C2" w:rsidRPr="007C5FD5">
        <w:rPr>
          <w:rStyle w:val="font0"/>
          <w:rFonts w:cstheme="minorHAnsi"/>
        </w:rPr>
        <w:t xml:space="preserve">of secrecy </w:t>
      </w:r>
      <w:r w:rsidR="00F02096" w:rsidRPr="007C5FD5">
        <w:rPr>
          <w:rStyle w:val="font0"/>
          <w:rFonts w:cstheme="minorHAnsi"/>
        </w:rPr>
        <w:t>is</w:t>
      </w:r>
      <w:r w:rsidR="00FB2F49" w:rsidRPr="007C5FD5">
        <w:rPr>
          <w:rStyle w:val="font0"/>
          <w:rFonts w:cstheme="minorHAnsi"/>
        </w:rPr>
        <w:t xml:space="preserve"> addressed by</w:t>
      </w:r>
      <w:r w:rsidR="005F3F7A" w:rsidRPr="007C5FD5">
        <w:rPr>
          <w:rStyle w:val="font0"/>
          <w:rFonts w:cstheme="minorHAnsi"/>
        </w:rPr>
        <w:t xml:space="preserve"> </w:t>
      </w:r>
      <w:r w:rsidR="00E173B7" w:rsidRPr="007C5FD5">
        <w:rPr>
          <w:rStyle w:val="font0"/>
          <w:rFonts w:cstheme="minorHAnsi"/>
        </w:rPr>
        <w:t>transferring the confidences to</w:t>
      </w:r>
      <w:r w:rsidR="00F02096" w:rsidRPr="007C5FD5">
        <w:rPr>
          <w:rStyle w:val="font0"/>
          <w:rFonts w:cstheme="minorHAnsi"/>
        </w:rPr>
        <w:t xml:space="preserve"> </w:t>
      </w:r>
      <w:r w:rsidR="00BA0AF8" w:rsidRPr="007C5FD5">
        <w:rPr>
          <w:rStyle w:val="font0"/>
          <w:rFonts w:cstheme="minorHAnsi"/>
        </w:rPr>
        <w:t xml:space="preserve">the deceased’s </w:t>
      </w:r>
      <w:r w:rsidR="005A6F52">
        <w:rPr>
          <w:rStyle w:val="font0"/>
          <w:rFonts w:cstheme="minorHAnsi"/>
        </w:rPr>
        <w:t>personal representative</w:t>
      </w:r>
      <w:r w:rsidR="00BA0AF8" w:rsidRPr="007C5FD5">
        <w:rPr>
          <w:rStyle w:val="font0"/>
          <w:rFonts w:cstheme="minorHAnsi"/>
        </w:rPr>
        <w:t xml:space="preserve"> </w:t>
      </w:r>
      <w:r w:rsidR="004C4AB4" w:rsidRPr="007C5FD5">
        <w:rPr>
          <w:rStyle w:val="font0"/>
          <w:rFonts w:cstheme="minorHAnsi"/>
        </w:rPr>
        <w:t>as</w:t>
      </w:r>
      <w:r w:rsidR="00FB2F49" w:rsidRPr="007C5FD5">
        <w:rPr>
          <w:rStyle w:val="font0"/>
          <w:rFonts w:cstheme="minorHAnsi"/>
        </w:rPr>
        <w:t xml:space="preserve"> </w:t>
      </w:r>
      <w:r w:rsidR="00BA0AF8" w:rsidRPr="007C5FD5">
        <w:rPr>
          <w:rStyle w:val="font0"/>
          <w:rFonts w:cstheme="minorHAnsi"/>
        </w:rPr>
        <w:t>their</w:t>
      </w:r>
      <w:r w:rsidR="00D6308E">
        <w:rPr>
          <w:rStyle w:val="font0"/>
          <w:rFonts w:cstheme="minorHAnsi"/>
        </w:rPr>
        <w:t xml:space="preserve"> next</w:t>
      </w:r>
      <w:r w:rsidR="00BA0AF8" w:rsidRPr="007C5FD5">
        <w:rPr>
          <w:rStyle w:val="font0"/>
          <w:rFonts w:cstheme="minorHAnsi"/>
        </w:rPr>
        <w:t xml:space="preserve"> </w:t>
      </w:r>
      <w:r w:rsidR="005A1CFC" w:rsidRPr="007C5FD5">
        <w:rPr>
          <w:rStyle w:val="font0"/>
          <w:rFonts w:cstheme="minorHAnsi"/>
        </w:rPr>
        <w:t>best custodian</w:t>
      </w:r>
      <w:r w:rsidR="005A50C2" w:rsidRPr="007C5FD5">
        <w:rPr>
          <w:rStyle w:val="font0"/>
          <w:rFonts w:cstheme="minorHAnsi"/>
        </w:rPr>
        <w:t xml:space="preserve">. </w:t>
      </w:r>
      <w:r w:rsidR="005A6F52">
        <w:rPr>
          <w:rStyle w:val="FootnoteReference"/>
          <w:rFonts w:cstheme="minorHAnsi"/>
        </w:rPr>
        <w:footnoteReference w:id="50"/>
      </w:r>
      <w:r w:rsidR="00E959B6" w:rsidRPr="007C5FD5">
        <w:rPr>
          <w:rStyle w:val="font0"/>
          <w:rFonts w:cstheme="minorHAnsi"/>
        </w:rPr>
        <w:t>Yet, w</w:t>
      </w:r>
      <w:r w:rsidR="005A1CFC" w:rsidRPr="007C5FD5">
        <w:rPr>
          <w:rStyle w:val="font0"/>
          <w:rFonts w:cstheme="minorHAnsi"/>
        </w:rPr>
        <w:t>hether such</w:t>
      </w:r>
      <w:r w:rsidR="00F855B0" w:rsidRPr="007C5FD5">
        <w:rPr>
          <w:rStyle w:val="font0"/>
          <w:rFonts w:cstheme="minorHAnsi"/>
        </w:rPr>
        <w:t xml:space="preserve"> transfer</w:t>
      </w:r>
      <w:r w:rsidR="00CA09E4" w:rsidRPr="007C5FD5">
        <w:rPr>
          <w:rStyle w:val="font0"/>
          <w:rFonts w:cstheme="minorHAnsi"/>
        </w:rPr>
        <w:t xml:space="preserve"> of confidences</w:t>
      </w:r>
      <w:r w:rsidR="00F855B0" w:rsidRPr="007C5FD5">
        <w:rPr>
          <w:rStyle w:val="font0"/>
          <w:rFonts w:cstheme="minorHAnsi"/>
        </w:rPr>
        <w:t xml:space="preserve"> </w:t>
      </w:r>
      <w:r w:rsidR="005A1CFC" w:rsidRPr="007C5FD5">
        <w:rPr>
          <w:rStyle w:val="font0"/>
          <w:rFonts w:cstheme="minorHAnsi"/>
        </w:rPr>
        <w:t>should be read as a</w:t>
      </w:r>
      <w:r w:rsidR="005F3F7A" w:rsidRPr="007C5FD5">
        <w:rPr>
          <w:rStyle w:val="font0"/>
          <w:rFonts w:cstheme="minorHAnsi"/>
        </w:rPr>
        <w:t xml:space="preserve">n </w:t>
      </w:r>
      <w:r w:rsidR="005A1CFC" w:rsidRPr="007C5FD5">
        <w:rPr>
          <w:rStyle w:val="font0"/>
          <w:rFonts w:cstheme="minorHAnsi"/>
        </w:rPr>
        <w:t xml:space="preserve">exception to </w:t>
      </w:r>
      <w:r w:rsidR="00E30510" w:rsidRPr="007C5FD5">
        <w:rPr>
          <w:rStyle w:val="font0"/>
          <w:rFonts w:cstheme="minorHAnsi"/>
        </w:rPr>
        <w:t>a</w:t>
      </w:r>
      <w:r w:rsidR="005A1CFC" w:rsidRPr="007C5FD5">
        <w:rPr>
          <w:rStyle w:val="font0"/>
          <w:rFonts w:cstheme="minorHAnsi"/>
        </w:rPr>
        <w:t xml:space="preserve"> </w:t>
      </w:r>
      <w:r w:rsidR="00E30510" w:rsidRPr="007C5FD5">
        <w:rPr>
          <w:rStyle w:val="font0"/>
          <w:rFonts w:cstheme="minorHAnsi"/>
        </w:rPr>
        <w:t xml:space="preserve">post-mortem </w:t>
      </w:r>
      <w:proofErr w:type="gramStart"/>
      <w:r w:rsidR="005A1CFC" w:rsidRPr="007C5FD5">
        <w:rPr>
          <w:rStyle w:val="font0"/>
          <w:rFonts w:cstheme="minorHAnsi"/>
        </w:rPr>
        <w:t>duty</w:t>
      </w:r>
      <w:proofErr w:type="gramEnd"/>
      <w:r w:rsidR="005A1CFC" w:rsidRPr="007C5FD5">
        <w:rPr>
          <w:rStyle w:val="font0"/>
          <w:rFonts w:cstheme="minorHAnsi"/>
        </w:rPr>
        <w:t xml:space="preserve"> or its instantiation </w:t>
      </w:r>
      <w:r w:rsidR="00F855B0" w:rsidRPr="007C5FD5">
        <w:rPr>
          <w:rStyle w:val="font0"/>
          <w:rFonts w:cstheme="minorHAnsi"/>
        </w:rPr>
        <w:t>is</w:t>
      </w:r>
      <w:r w:rsidR="00B00AE7" w:rsidRPr="007C5FD5">
        <w:rPr>
          <w:rStyle w:val="font0"/>
          <w:rFonts w:cstheme="minorHAnsi"/>
        </w:rPr>
        <w:t xml:space="preserve"> </w:t>
      </w:r>
      <w:r w:rsidR="006911BF">
        <w:rPr>
          <w:rStyle w:val="font0"/>
          <w:rFonts w:cstheme="minorHAnsi"/>
        </w:rPr>
        <w:t xml:space="preserve">debatable </w:t>
      </w:r>
      <w:r w:rsidR="003E2DC0">
        <w:rPr>
          <w:rStyle w:val="font0"/>
          <w:rFonts w:cstheme="minorHAnsi"/>
        </w:rPr>
        <w:t xml:space="preserve">and ultimately indeterminate. </w:t>
      </w:r>
      <w:r w:rsidR="00D6308E">
        <w:rPr>
          <w:rStyle w:val="font0"/>
          <w:rFonts w:cstheme="minorHAnsi"/>
        </w:rPr>
        <w:t xml:space="preserve"> </w:t>
      </w:r>
    </w:p>
    <w:p w14:paraId="6DAD2342" w14:textId="4402ECBC" w:rsidR="009F3E84" w:rsidRPr="007C5FD5" w:rsidRDefault="009F3E84" w:rsidP="00FD77D8">
      <w:pPr>
        <w:spacing w:after="0" w:line="240" w:lineRule="auto"/>
        <w:jc w:val="both"/>
        <w:rPr>
          <w:rStyle w:val="font0"/>
          <w:rFonts w:cstheme="minorHAnsi"/>
        </w:rPr>
      </w:pPr>
    </w:p>
    <w:p w14:paraId="3F40CB34" w14:textId="1890BE1E" w:rsidR="009F3E84" w:rsidRPr="007C5FD5" w:rsidRDefault="009F3E84" w:rsidP="00FD77D8">
      <w:pPr>
        <w:pStyle w:val="Heading2"/>
        <w:spacing w:before="0" w:line="240" w:lineRule="auto"/>
        <w:rPr>
          <w:rStyle w:val="font0"/>
          <w:rFonts w:asciiTheme="minorHAnsi" w:hAnsiTheme="minorHAnsi" w:cstheme="minorHAnsi"/>
        </w:rPr>
      </w:pPr>
      <w:bookmarkStart w:id="9" w:name="_Toc104129817"/>
      <w:bookmarkStart w:id="10" w:name="_Toc105945045"/>
      <w:r w:rsidRPr="007C5FD5">
        <w:rPr>
          <w:rStyle w:val="font0"/>
          <w:rFonts w:asciiTheme="minorHAnsi" w:hAnsiTheme="minorHAnsi" w:cstheme="minorHAnsi"/>
        </w:rPr>
        <w:t>2.2. An Institutional Trust Mechanism</w:t>
      </w:r>
      <w:r w:rsidR="005B60AB" w:rsidRPr="007C5FD5">
        <w:rPr>
          <w:rStyle w:val="font0"/>
          <w:rFonts w:asciiTheme="minorHAnsi" w:hAnsiTheme="minorHAnsi" w:cstheme="minorHAnsi"/>
        </w:rPr>
        <w:t xml:space="preserve"> or</w:t>
      </w:r>
      <w:r w:rsidR="00564485" w:rsidRPr="007C5FD5">
        <w:rPr>
          <w:rStyle w:val="font0"/>
          <w:rFonts w:asciiTheme="minorHAnsi" w:hAnsiTheme="minorHAnsi" w:cstheme="minorHAnsi"/>
        </w:rPr>
        <w:t xml:space="preserve"> </w:t>
      </w:r>
      <w:r w:rsidR="00B50F23">
        <w:rPr>
          <w:rStyle w:val="font0"/>
          <w:rFonts w:asciiTheme="minorHAnsi" w:hAnsiTheme="minorHAnsi" w:cstheme="minorHAnsi"/>
        </w:rPr>
        <w:t xml:space="preserve">a </w:t>
      </w:r>
      <w:r w:rsidR="000E30D4" w:rsidRPr="007C5FD5">
        <w:rPr>
          <w:rStyle w:val="font0"/>
          <w:rFonts w:asciiTheme="minorHAnsi" w:hAnsiTheme="minorHAnsi" w:cstheme="minorHAnsi"/>
        </w:rPr>
        <w:t>Cloak of Secrecy</w:t>
      </w:r>
      <w:bookmarkEnd w:id="9"/>
      <w:r w:rsidR="005B60AB" w:rsidRPr="007C5FD5">
        <w:rPr>
          <w:rStyle w:val="font0"/>
          <w:rFonts w:asciiTheme="minorHAnsi" w:hAnsiTheme="minorHAnsi" w:cstheme="minorHAnsi"/>
        </w:rPr>
        <w:t>?</w:t>
      </w:r>
      <w:bookmarkEnd w:id="10"/>
    </w:p>
    <w:p w14:paraId="268874DF" w14:textId="054160C6" w:rsidR="00037221" w:rsidRPr="007C5FD5" w:rsidRDefault="00037221" w:rsidP="00FD77D8">
      <w:pPr>
        <w:spacing w:after="0" w:line="240" w:lineRule="auto"/>
        <w:jc w:val="both"/>
        <w:rPr>
          <w:rStyle w:val="font0"/>
          <w:rFonts w:cstheme="minorHAnsi"/>
        </w:rPr>
      </w:pPr>
    </w:p>
    <w:p w14:paraId="791825B4" w14:textId="09195898" w:rsidR="002E64C8" w:rsidRPr="007C5FD5" w:rsidRDefault="00F74B3D" w:rsidP="00FD77D8">
      <w:pPr>
        <w:spacing w:after="0" w:line="240" w:lineRule="auto"/>
        <w:jc w:val="both"/>
        <w:rPr>
          <w:rStyle w:val="font0"/>
          <w:rFonts w:cstheme="minorHAnsi"/>
        </w:rPr>
      </w:pPr>
      <w:r w:rsidRPr="007C5FD5">
        <w:rPr>
          <w:rStyle w:val="font0"/>
          <w:rFonts w:cstheme="minorHAnsi"/>
        </w:rPr>
        <w:t>C</w:t>
      </w:r>
      <w:r w:rsidR="00037221" w:rsidRPr="007C5FD5">
        <w:rPr>
          <w:rStyle w:val="font0"/>
          <w:rFonts w:cstheme="minorHAnsi"/>
        </w:rPr>
        <w:t>ases like</w:t>
      </w:r>
      <w:r w:rsidR="00014E99" w:rsidRPr="007C5FD5">
        <w:rPr>
          <w:rStyle w:val="font0"/>
          <w:rFonts w:cstheme="minorHAnsi"/>
        </w:rPr>
        <w:t xml:space="preserve"> </w:t>
      </w:r>
      <w:r w:rsidR="00014E99" w:rsidRPr="007C5FD5">
        <w:rPr>
          <w:rStyle w:val="font0"/>
          <w:rFonts w:cstheme="minorHAnsi"/>
          <w:i/>
          <w:iCs/>
        </w:rPr>
        <w:t xml:space="preserve">Re C </w:t>
      </w:r>
      <w:r w:rsidR="00EE5516" w:rsidRPr="007C5FD5">
        <w:rPr>
          <w:rStyle w:val="font0"/>
          <w:rFonts w:cstheme="minorHAnsi"/>
        </w:rPr>
        <w:t xml:space="preserve">and </w:t>
      </w:r>
      <w:proofErr w:type="spellStart"/>
      <w:r w:rsidR="00037221" w:rsidRPr="007C5FD5">
        <w:rPr>
          <w:rStyle w:val="font0"/>
          <w:rFonts w:cstheme="minorHAnsi"/>
          <w:i/>
          <w:iCs/>
        </w:rPr>
        <w:t>Bluck</w:t>
      </w:r>
      <w:proofErr w:type="spellEnd"/>
      <w:r w:rsidRPr="007C5FD5">
        <w:rPr>
          <w:rStyle w:val="font0"/>
          <w:rFonts w:cstheme="minorHAnsi"/>
        </w:rPr>
        <w:t xml:space="preserve"> </w:t>
      </w:r>
      <w:r w:rsidR="006A53D6" w:rsidRPr="007C5FD5">
        <w:rPr>
          <w:rStyle w:val="font0"/>
          <w:rFonts w:cstheme="minorHAnsi"/>
        </w:rPr>
        <w:t>signal</w:t>
      </w:r>
      <w:r w:rsidR="00037221" w:rsidRPr="007C5FD5">
        <w:rPr>
          <w:rStyle w:val="font0"/>
          <w:rFonts w:cstheme="minorHAnsi"/>
        </w:rPr>
        <w:t xml:space="preserve"> a subtle</w:t>
      </w:r>
      <w:r w:rsidR="00C67277" w:rsidRPr="007C5FD5">
        <w:rPr>
          <w:rStyle w:val="font0"/>
          <w:rFonts w:cstheme="minorHAnsi"/>
        </w:rPr>
        <w:t xml:space="preserve"> </w:t>
      </w:r>
      <w:r w:rsidR="006339F5" w:rsidRPr="007C5FD5">
        <w:rPr>
          <w:rStyle w:val="font0"/>
          <w:rFonts w:cstheme="minorHAnsi"/>
        </w:rPr>
        <w:t>but significant shift</w:t>
      </w:r>
      <w:r w:rsidR="00037221" w:rsidRPr="007C5FD5">
        <w:rPr>
          <w:rStyle w:val="font0"/>
          <w:rFonts w:cstheme="minorHAnsi"/>
        </w:rPr>
        <w:t xml:space="preserve"> in the</w:t>
      </w:r>
      <w:r w:rsidR="009D6879" w:rsidRPr="007C5FD5">
        <w:rPr>
          <w:rStyle w:val="font0"/>
          <w:rFonts w:cstheme="minorHAnsi"/>
        </w:rPr>
        <w:t xml:space="preserve"> modern</w:t>
      </w:r>
      <w:r w:rsidR="00037221" w:rsidRPr="007C5FD5">
        <w:rPr>
          <w:rStyle w:val="font0"/>
          <w:rFonts w:cstheme="minorHAnsi"/>
        </w:rPr>
        <w:t xml:space="preserve"> contextuality of the</w:t>
      </w:r>
      <w:r w:rsidR="005F3F7A" w:rsidRPr="007C5FD5">
        <w:rPr>
          <w:rStyle w:val="font0"/>
          <w:rFonts w:cstheme="minorHAnsi"/>
        </w:rPr>
        <w:t xml:space="preserve"> </w:t>
      </w:r>
      <w:r w:rsidR="00037221" w:rsidRPr="007C5FD5">
        <w:rPr>
          <w:rStyle w:val="font0"/>
          <w:rFonts w:cstheme="minorHAnsi"/>
        </w:rPr>
        <w:t>duty</w:t>
      </w:r>
      <w:r w:rsidR="005F3F7A" w:rsidRPr="007C5FD5">
        <w:rPr>
          <w:rStyle w:val="font0"/>
          <w:rFonts w:cstheme="minorHAnsi"/>
        </w:rPr>
        <w:t xml:space="preserve"> of medical confidentiality</w:t>
      </w:r>
      <w:r w:rsidR="00014E99" w:rsidRPr="007C5FD5">
        <w:rPr>
          <w:rStyle w:val="font0"/>
          <w:rFonts w:cstheme="minorHAnsi"/>
        </w:rPr>
        <w:t>.</w:t>
      </w:r>
      <w:r w:rsidR="00037221" w:rsidRPr="007C5FD5">
        <w:rPr>
          <w:rStyle w:val="font0"/>
          <w:rFonts w:cstheme="minorHAnsi"/>
        </w:rPr>
        <w:t xml:space="preserve"> </w:t>
      </w:r>
      <w:r w:rsidR="004C1267" w:rsidRPr="007C5FD5">
        <w:rPr>
          <w:rStyle w:val="font0"/>
          <w:rFonts w:cstheme="minorHAnsi"/>
        </w:rPr>
        <w:t>It</w:t>
      </w:r>
      <w:r w:rsidR="00037221" w:rsidRPr="007C5FD5">
        <w:rPr>
          <w:rStyle w:val="font0"/>
          <w:rFonts w:cstheme="minorHAnsi"/>
        </w:rPr>
        <w:t xml:space="preserve"> is no</w:t>
      </w:r>
      <w:r w:rsidR="00014E99" w:rsidRPr="007C5FD5">
        <w:rPr>
          <w:rStyle w:val="font0"/>
          <w:rFonts w:cstheme="minorHAnsi"/>
        </w:rPr>
        <w:t>t</w:t>
      </w:r>
      <w:r w:rsidR="00037221" w:rsidRPr="007C5FD5">
        <w:rPr>
          <w:rStyle w:val="font0"/>
          <w:rFonts w:cstheme="minorHAnsi"/>
        </w:rPr>
        <w:t xml:space="preserve"> owed by </w:t>
      </w:r>
      <w:r w:rsidR="00014E99" w:rsidRPr="007C5FD5">
        <w:rPr>
          <w:rStyle w:val="font0"/>
          <w:rFonts w:cstheme="minorHAnsi"/>
        </w:rPr>
        <w:t>the doctor</w:t>
      </w:r>
      <w:r w:rsidR="0004704F" w:rsidRPr="007C5FD5">
        <w:rPr>
          <w:rStyle w:val="font0"/>
          <w:rFonts w:cstheme="minorHAnsi"/>
        </w:rPr>
        <w:t xml:space="preserve"> </w:t>
      </w:r>
      <w:r w:rsidRPr="007C5FD5">
        <w:rPr>
          <w:rStyle w:val="font0"/>
          <w:rFonts w:cstheme="minorHAnsi"/>
        </w:rPr>
        <w:t>by virtue of</w:t>
      </w:r>
      <w:r w:rsidR="00014E99" w:rsidRPr="007C5FD5">
        <w:rPr>
          <w:rStyle w:val="font0"/>
          <w:rFonts w:cstheme="minorHAnsi"/>
        </w:rPr>
        <w:t xml:space="preserve"> </w:t>
      </w:r>
      <w:r w:rsidR="002F55E0" w:rsidRPr="007C5FD5">
        <w:rPr>
          <w:rStyle w:val="font0"/>
          <w:rFonts w:cstheme="minorHAnsi"/>
        </w:rPr>
        <w:t>her</w:t>
      </w:r>
      <w:r w:rsidR="00014E99" w:rsidRPr="007C5FD5">
        <w:rPr>
          <w:rStyle w:val="font0"/>
          <w:rFonts w:cstheme="minorHAnsi"/>
        </w:rPr>
        <w:t xml:space="preserve"> intimate relationship </w:t>
      </w:r>
      <w:r w:rsidR="002F55E0" w:rsidRPr="007C5FD5">
        <w:rPr>
          <w:rStyle w:val="font0"/>
          <w:rFonts w:cstheme="minorHAnsi"/>
        </w:rPr>
        <w:t>with the</w:t>
      </w:r>
      <w:r w:rsidR="00014E99" w:rsidRPr="007C5FD5">
        <w:rPr>
          <w:rStyle w:val="font0"/>
          <w:rFonts w:cstheme="minorHAnsi"/>
        </w:rPr>
        <w:t xml:space="preserve"> patient, but </w:t>
      </w:r>
      <w:r w:rsidR="009D6879" w:rsidRPr="007C5FD5">
        <w:rPr>
          <w:rStyle w:val="font0"/>
          <w:rFonts w:cstheme="minorHAnsi"/>
        </w:rPr>
        <w:t>it i</w:t>
      </w:r>
      <w:r w:rsidR="00014E99" w:rsidRPr="007C5FD5">
        <w:rPr>
          <w:rStyle w:val="font0"/>
          <w:rFonts w:cstheme="minorHAnsi"/>
        </w:rPr>
        <w:t>s</w:t>
      </w:r>
      <w:r w:rsidR="005B4D75" w:rsidRPr="007C5FD5">
        <w:rPr>
          <w:rStyle w:val="font0"/>
          <w:rFonts w:cstheme="minorHAnsi"/>
        </w:rPr>
        <w:t xml:space="preserve"> </w:t>
      </w:r>
      <w:r w:rsidR="003A1FD2" w:rsidRPr="007C5FD5">
        <w:rPr>
          <w:rStyle w:val="font0"/>
          <w:rFonts w:cstheme="minorHAnsi"/>
        </w:rPr>
        <w:t>in essence</w:t>
      </w:r>
      <w:r w:rsidR="00014E99" w:rsidRPr="007C5FD5">
        <w:rPr>
          <w:rStyle w:val="font0"/>
          <w:rFonts w:cstheme="minorHAnsi"/>
        </w:rPr>
        <w:t xml:space="preserve"> an apersonal institutional duty in respect of medical records accessible to a host of people within </w:t>
      </w:r>
      <w:r w:rsidR="005B4D75" w:rsidRPr="007C5FD5">
        <w:rPr>
          <w:rStyle w:val="font0"/>
          <w:rFonts w:cstheme="minorHAnsi"/>
        </w:rPr>
        <w:t xml:space="preserve">and outside </w:t>
      </w:r>
      <w:r w:rsidR="009D6879" w:rsidRPr="007C5FD5">
        <w:rPr>
          <w:rStyle w:val="font0"/>
          <w:rFonts w:cstheme="minorHAnsi"/>
        </w:rPr>
        <w:t>an</w:t>
      </w:r>
      <w:r w:rsidR="00014E99" w:rsidRPr="007C5FD5">
        <w:rPr>
          <w:rStyle w:val="font0"/>
          <w:rFonts w:cstheme="minorHAnsi"/>
        </w:rPr>
        <w:t xml:space="preserve"> </w:t>
      </w:r>
      <w:r w:rsidR="00215092" w:rsidRPr="007C5FD5">
        <w:rPr>
          <w:rStyle w:val="font0"/>
          <w:rFonts w:cstheme="minorHAnsi"/>
        </w:rPr>
        <w:t>organisation</w:t>
      </w:r>
      <w:r w:rsidR="005B4D75" w:rsidRPr="007C5FD5">
        <w:rPr>
          <w:rStyle w:val="font0"/>
          <w:rFonts w:cstheme="minorHAnsi"/>
        </w:rPr>
        <w:t>.</w:t>
      </w:r>
      <w:r w:rsidR="0004704F" w:rsidRPr="007C5FD5">
        <w:rPr>
          <w:rStyle w:val="font0"/>
          <w:rFonts w:cstheme="minorHAnsi"/>
        </w:rPr>
        <w:t xml:space="preserve"> </w:t>
      </w:r>
      <w:r w:rsidR="009B51C5" w:rsidRPr="007C5FD5">
        <w:rPr>
          <w:rStyle w:val="font0"/>
          <w:rFonts w:cstheme="minorHAnsi"/>
        </w:rPr>
        <w:t>In the same vein</w:t>
      </w:r>
      <w:r w:rsidR="004C1267" w:rsidRPr="007C5FD5">
        <w:rPr>
          <w:rStyle w:val="font0"/>
          <w:rFonts w:cstheme="minorHAnsi"/>
        </w:rPr>
        <w:t>, t</w:t>
      </w:r>
      <w:r w:rsidR="00014E99" w:rsidRPr="007C5FD5">
        <w:rPr>
          <w:rStyle w:val="font0"/>
          <w:rFonts w:cstheme="minorHAnsi"/>
        </w:rPr>
        <w:t>hey are</w:t>
      </w:r>
      <w:r w:rsidRPr="007C5FD5">
        <w:rPr>
          <w:rStyle w:val="font0"/>
          <w:rFonts w:cstheme="minorHAnsi"/>
        </w:rPr>
        <w:t xml:space="preserve"> - or the institution</w:t>
      </w:r>
      <w:r w:rsidR="005A5F9D" w:rsidRPr="007C5FD5">
        <w:rPr>
          <w:rStyle w:val="font0"/>
          <w:rFonts w:cstheme="minorHAnsi"/>
        </w:rPr>
        <w:t xml:space="preserve"> is</w:t>
      </w:r>
      <w:r w:rsidRPr="007C5FD5">
        <w:rPr>
          <w:rStyle w:val="font0"/>
          <w:rFonts w:cstheme="minorHAnsi"/>
        </w:rPr>
        <w:t xml:space="preserve"> - </w:t>
      </w:r>
      <w:r w:rsidR="00014E99" w:rsidRPr="007C5FD5">
        <w:rPr>
          <w:rStyle w:val="font0"/>
          <w:rFonts w:cstheme="minorHAnsi"/>
        </w:rPr>
        <w:t xml:space="preserve">bound by the confidentiality not </w:t>
      </w:r>
      <w:r w:rsidRPr="007C5FD5">
        <w:rPr>
          <w:rStyle w:val="font0"/>
          <w:rFonts w:cstheme="minorHAnsi"/>
        </w:rPr>
        <w:t>on the back</w:t>
      </w:r>
      <w:r w:rsidR="00014E99" w:rsidRPr="007C5FD5">
        <w:rPr>
          <w:rStyle w:val="font0"/>
          <w:rFonts w:cstheme="minorHAnsi"/>
        </w:rPr>
        <w:t xml:space="preserve"> of</w:t>
      </w:r>
      <w:r w:rsidR="00492D85" w:rsidRPr="007C5FD5">
        <w:rPr>
          <w:rStyle w:val="font0"/>
          <w:rFonts w:cstheme="minorHAnsi"/>
        </w:rPr>
        <w:t xml:space="preserve"> a</w:t>
      </w:r>
      <w:r w:rsidR="006339F5" w:rsidRPr="007C5FD5">
        <w:rPr>
          <w:rStyle w:val="font0"/>
          <w:rFonts w:cstheme="minorHAnsi"/>
        </w:rPr>
        <w:t xml:space="preserve"> </w:t>
      </w:r>
      <w:r w:rsidR="00014E99" w:rsidRPr="007C5FD5">
        <w:rPr>
          <w:rStyle w:val="font0"/>
          <w:rFonts w:cstheme="minorHAnsi"/>
        </w:rPr>
        <w:t>personal</w:t>
      </w:r>
      <w:r w:rsidR="00014E99" w:rsidRPr="007C5FD5">
        <w:rPr>
          <w:rStyle w:val="font0"/>
          <w:rFonts w:cstheme="minorHAnsi"/>
          <w:i/>
          <w:iCs/>
        </w:rPr>
        <w:t xml:space="preserve"> </w:t>
      </w:r>
      <w:r w:rsidR="00014E99" w:rsidRPr="007C5FD5">
        <w:rPr>
          <w:rStyle w:val="font0"/>
          <w:rFonts w:cstheme="minorHAnsi"/>
        </w:rPr>
        <w:t xml:space="preserve">relationship with the confider, but </w:t>
      </w:r>
      <w:r w:rsidR="00EE5516" w:rsidRPr="007C5FD5">
        <w:rPr>
          <w:rStyle w:val="font0"/>
          <w:rFonts w:cstheme="minorHAnsi"/>
        </w:rPr>
        <w:t xml:space="preserve">because of </w:t>
      </w:r>
      <w:r w:rsidR="00014E99" w:rsidRPr="007C5FD5">
        <w:rPr>
          <w:rStyle w:val="font0"/>
          <w:rFonts w:cstheme="minorHAnsi"/>
        </w:rPr>
        <w:t>the</w:t>
      </w:r>
      <w:r w:rsidR="00EE5516" w:rsidRPr="007C5FD5">
        <w:rPr>
          <w:rStyle w:val="font0"/>
          <w:rFonts w:cstheme="minorHAnsi"/>
        </w:rPr>
        <w:t xml:space="preserve"> accepted standing of the </w:t>
      </w:r>
      <w:r w:rsidR="00014E99" w:rsidRPr="007C5FD5">
        <w:rPr>
          <w:rStyle w:val="font0"/>
          <w:rFonts w:cstheme="minorHAnsi"/>
        </w:rPr>
        <w:t>record</w:t>
      </w:r>
      <w:r w:rsidR="009D6879" w:rsidRPr="007C5FD5">
        <w:rPr>
          <w:rStyle w:val="font0"/>
          <w:rFonts w:cstheme="minorHAnsi"/>
        </w:rPr>
        <w:t xml:space="preserve"> and </w:t>
      </w:r>
      <w:r w:rsidR="00EE5516" w:rsidRPr="007C5FD5">
        <w:rPr>
          <w:rStyle w:val="font0"/>
          <w:rFonts w:cstheme="minorHAnsi"/>
        </w:rPr>
        <w:t xml:space="preserve">its </w:t>
      </w:r>
      <w:r w:rsidR="009D6879" w:rsidRPr="007C5FD5">
        <w:rPr>
          <w:rStyle w:val="font0"/>
          <w:rFonts w:cstheme="minorHAnsi"/>
        </w:rPr>
        <w:t>sensitive</w:t>
      </w:r>
      <w:r w:rsidR="002F55E0" w:rsidRPr="007C5FD5">
        <w:rPr>
          <w:rStyle w:val="font0"/>
          <w:rFonts w:cstheme="minorHAnsi"/>
        </w:rPr>
        <w:t xml:space="preserve"> </w:t>
      </w:r>
      <w:r w:rsidR="003A1FD2" w:rsidRPr="007C5FD5">
        <w:rPr>
          <w:rStyle w:val="font0"/>
          <w:rFonts w:cstheme="minorHAnsi"/>
        </w:rPr>
        <w:t xml:space="preserve">nature and </w:t>
      </w:r>
      <w:r w:rsidR="00EE5516" w:rsidRPr="007C5FD5">
        <w:rPr>
          <w:rStyle w:val="font0"/>
          <w:rFonts w:cstheme="minorHAnsi"/>
        </w:rPr>
        <w:t>purpose.</w:t>
      </w:r>
      <w:r w:rsidR="005B4D75" w:rsidRPr="007C5FD5">
        <w:rPr>
          <w:rStyle w:val="FootnoteReference"/>
          <w:rFonts w:cstheme="minorHAnsi"/>
        </w:rPr>
        <w:footnoteReference w:id="51"/>
      </w:r>
      <w:r w:rsidR="009D6879" w:rsidRPr="007C5FD5">
        <w:rPr>
          <w:rStyle w:val="font0"/>
          <w:rFonts w:cstheme="minorHAnsi"/>
        </w:rPr>
        <w:t xml:space="preserve"> </w:t>
      </w:r>
      <w:r w:rsidR="00D72B53" w:rsidRPr="007C5FD5">
        <w:rPr>
          <w:rStyle w:val="font0"/>
          <w:rFonts w:cstheme="minorHAnsi"/>
        </w:rPr>
        <w:t>Incidentally, t</w:t>
      </w:r>
      <w:r w:rsidR="006339F5" w:rsidRPr="007C5FD5">
        <w:rPr>
          <w:rStyle w:val="font0"/>
          <w:rFonts w:cstheme="minorHAnsi"/>
        </w:rPr>
        <w:t xml:space="preserve">his </w:t>
      </w:r>
      <w:r w:rsidR="007B38FA" w:rsidRPr="007C5FD5">
        <w:rPr>
          <w:rStyle w:val="font0"/>
          <w:rFonts w:cstheme="minorHAnsi"/>
        </w:rPr>
        <w:t xml:space="preserve">shift from </w:t>
      </w:r>
      <w:r w:rsidR="00A35658" w:rsidRPr="007C5FD5">
        <w:rPr>
          <w:rStyle w:val="font0"/>
          <w:rFonts w:cstheme="minorHAnsi"/>
        </w:rPr>
        <w:t xml:space="preserve">a </w:t>
      </w:r>
      <w:r w:rsidR="007B38FA" w:rsidRPr="007C5FD5">
        <w:rPr>
          <w:rStyle w:val="font0"/>
          <w:rFonts w:cstheme="minorHAnsi"/>
        </w:rPr>
        <w:t xml:space="preserve">personal to </w:t>
      </w:r>
      <w:r w:rsidR="00A35658" w:rsidRPr="007C5FD5">
        <w:rPr>
          <w:rStyle w:val="font0"/>
          <w:rFonts w:cstheme="minorHAnsi"/>
        </w:rPr>
        <w:t xml:space="preserve">an </w:t>
      </w:r>
      <w:r w:rsidR="00215092" w:rsidRPr="007C5FD5">
        <w:rPr>
          <w:rStyle w:val="font0"/>
          <w:rFonts w:cstheme="minorHAnsi"/>
        </w:rPr>
        <w:t xml:space="preserve">institutional </w:t>
      </w:r>
      <w:r w:rsidR="007B38FA" w:rsidRPr="007C5FD5">
        <w:rPr>
          <w:rStyle w:val="font0"/>
          <w:rFonts w:cstheme="minorHAnsi"/>
        </w:rPr>
        <w:t>setting</w:t>
      </w:r>
      <w:r w:rsidR="006339F5" w:rsidRPr="007C5FD5">
        <w:rPr>
          <w:rStyle w:val="font0"/>
          <w:rFonts w:cstheme="minorHAnsi"/>
        </w:rPr>
        <w:t xml:space="preserve"> </w:t>
      </w:r>
      <w:r w:rsidR="007B38FA" w:rsidRPr="007C5FD5">
        <w:rPr>
          <w:rStyle w:val="font0"/>
          <w:rFonts w:cstheme="minorHAnsi"/>
        </w:rPr>
        <w:t>of the duty</w:t>
      </w:r>
      <w:r w:rsidR="006339F5" w:rsidRPr="007C5FD5">
        <w:rPr>
          <w:rStyle w:val="font0"/>
          <w:rFonts w:cstheme="minorHAnsi"/>
        </w:rPr>
        <w:t xml:space="preserve"> </w:t>
      </w:r>
      <w:r w:rsidR="00D72B53" w:rsidRPr="007C5FD5">
        <w:rPr>
          <w:rStyle w:val="font0"/>
          <w:rFonts w:cstheme="minorHAnsi"/>
        </w:rPr>
        <w:t xml:space="preserve">also </w:t>
      </w:r>
      <w:r w:rsidR="006339F5" w:rsidRPr="007C5FD5">
        <w:rPr>
          <w:rStyle w:val="font0"/>
          <w:rFonts w:cstheme="minorHAnsi"/>
        </w:rPr>
        <w:t>underscores</w:t>
      </w:r>
      <w:r w:rsidR="00215092" w:rsidRPr="007C5FD5">
        <w:rPr>
          <w:rStyle w:val="font0"/>
          <w:rFonts w:cstheme="minorHAnsi"/>
        </w:rPr>
        <w:t xml:space="preserve"> that</w:t>
      </w:r>
      <w:r w:rsidR="006339F5" w:rsidRPr="007C5FD5">
        <w:rPr>
          <w:rStyle w:val="font0"/>
          <w:rFonts w:cstheme="minorHAnsi"/>
        </w:rPr>
        <w:t xml:space="preserve"> confidentiality</w:t>
      </w:r>
      <w:r w:rsidR="00B00AE7" w:rsidRPr="007C5FD5">
        <w:rPr>
          <w:rStyle w:val="font0"/>
          <w:rFonts w:cstheme="minorHAnsi"/>
        </w:rPr>
        <w:t xml:space="preserve">, </w:t>
      </w:r>
      <w:r w:rsidR="0077085B" w:rsidRPr="007C5FD5">
        <w:rPr>
          <w:rStyle w:val="font0"/>
          <w:rFonts w:cstheme="minorHAnsi"/>
        </w:rPr>
        <w:t>or privacy</w:t>
      </w:r>
      <w:r w:rsidR="00B00AE7" w:rsidRPr="007C5FD5">
        <w:rPr>
          <w:rStyle w:val="font0"/>
          <w:rFonts w:cstheme="minorHAnsi"/>
        </w:rPr>
        <w:t>,</w:t>
      </w:r>
      <w:r w:rsidR="0077085B" w:rsidRPr="007C5FD5">
        <w:rPr>
          <w:rStyle w:val="font0"/>
          <w:rFonts w:cstheme="minorHAnsi"/>
        </w:rPr>
        <w:t xml:space="preserve"> </w:t>
      </w:r>
      <w:r w:rsidR="00A37F6B" w:rsidRPr="007C5FD5">
        <w:rPr>
          <w:rStyle w:val="font0"/>
          <w:rFonts w:cstheme="minorHAnsi"/>
        </w:rPr>
        <w:t xml:space="preserve">is </w:t>
      </w:r>
      <w:r w:rsidR="006A488C">
        <w:rPr>
          <w:rStyle w:val="font0"/>
          <w:rFonts w:cstheme="minorHAnsi"/>
        </w:rPr>
        <w:t>rarely</w:t>
      </w:r>
      <w:r w:rsidR="00D4269E">
        <w:rPr>
          <w:rStyle w:val="font0"/>
          <w:rFonts w:cstheme="minorHAnsi"/>
        </w:rPr>
        <w:t xml:space="preserve"> </w:t>
      </w:r>
      <w:r w:rsidR="006339F5" w:rsidRPr="007C5FD5">
        <w:rPr>
          <w:rStyle w:val="font0"/>
          <w:rFonts w:cstheme="minorHAnsi"/>
        </w:rPr>
        <w:t xml:space="preserve">about complete secrecy or non-disclosure </w:t>
      </w:r>
      <w:r w:rsidR="00215092" w:rsidRPr="007C5FD5">
        <w:rPr>
          <w:rStyle w:val="font0"/>
          <w:rFonts w:cstheme="minorHAnsi"/>
        </w:rPr>
        <w:t>(</w:t>
      </w:r>
      <w:r w:rsidR="006339F5" w:rsidRPr="007C5FD5">
        <w:rPr>
          <w:rStyle w:val="font0"/>
          <w:rFonts w:cstheme="minorHAnsi"/>
        </w:rPr>
        <w:t>in which case protection would not be required</w:t>
      </w:r>
      <w:r w:rsidR="00215092" w:rsidRPr="007C5FD5">
        <w:rPr>
          <w:rStyle w:val="font0"/>
          <w:rFonts w:cstheme="minorHAnsi"/>
        </w:rPr>
        <w:t>)</w:t>
      </w:r>
      <w:r w:rsidR="006339F5" w:rsidRPr="007C5FD5">
        <w:rPr>
          <w:rStyle w:val="font0"/>
          <w:rFonts w:cstheme="minorHAnsi"/>
        </w:rPr>
        <w:t xml:space="preserve"> but</w:t>
      </w:r>
      <w:r w:rsidR="00D4269E">
        <w:rPr>
          <w:rStyle w:val="font0"/>
          <w:rFonts w:cstheme="minorHAnsi"/>
        </w:rPr>
        <w:t xml:space="preserve"> generally</w:t>
      </w:r>
      <w:r w:rsidR="006339F5" w:rsidRPr="007C5FD5">
        <w:rPr>
          <w:rStyle w:val="font0"/>
          <w:rFonts w:cstheme="minorHAnsi"/>
        </w:rPr>
        <w:t xml:space="preserve"> about </w:t>
      </w:r>
      <w:r w:rsidR="006A53D6" w:rsidRPr="007C5FD5">
        <w:rPr>
          <w:rStyle w:val="font0"/>
          <w:rFonts w:cstheme="minorHAnsi"/>
        </w:rPr>
        <w:t>circumscribed</w:t>
      </w:r>
      <w:r w:rsidR="00B00AE7" w:rsidRPr="007C5FD5">
        <w:rPr>
          <w:rStyle w:val="font0"/>
          <w:rFonts w:cstheme="minorHAnsi"/>
        </w:rPr>
        <w:t xml:space="preserve"> entrusted</w:t>
      </w:r>
      <w:r w:rsidR="006A53D6" w:rsidRPr="007C5FD5">
        <w:rPr>
          <w:rStyle w:val="font0"/>
          <w:rFonts w:cstheme="minorHAnsi"/>
        </w:rPr>
        <w:t xml:space="preserve"> </w:t>
      </w:r>
      <w:r w:rsidR="006339F5" w:rsidRPr="007C5FD5">
        <w:rPr>
          <w:rStyle w:val="font0"/>
          <w:rFonts w:cstheme="minorHAnsi"/>
        </w:rPr>
        <w:t>disclosure</w:t>
      </w:r>
      <w:r w:rsidR="00066BCA">
        <w:rPr>
          <w:rStyle w:val="font0"/>
          <w:rFonts w:cstheme="minorHAnsi"/>
        </w:rPr>
        <w:t>.</w:t>
      </w:r>
      <w:r w:rsidR="00AD2A77" w:rsidRPr="007C5FD5">
        <w:rPr>
          <w:rStyle w:val="FootnoteReference"/>
          <w:rFonts w:cstheme="minorHAnsi"/>
        </w:rPr>
        <w:footnoteReference w:id="52"/>
      </w:r>
      <w:r w:rsidR="002E64C8" w:rsidRPr="007C5FD5">
        <w:rPr>
          <w:rStyle w:val="font0"/>
          <w:rFonts w:cstheme="minorHAnsi"/>
        </w:rPr>
        <w:t xml:space="preserve"> </w:t>
      </w:r>
      <w:r w:rsidR="0004704F" w:rsidRPr="007C5FD5">
        <w:rPr>
          <w:rStyle w:val="font0"/>
          <w:rFonts w:cstheme="minorHAnsi"/>
        </w:rPr>
        <w:t xml:space="preserve">The </w:t>
      </w:r>
      <w:r w:rsidR="00215092" w:rsidRPr="007C5FD5">
        <w:rPr>
          <w:rStyle w:val="font0"/>
          <w:rFonts w:cstheme="minorHAnsi"/>
        </w:rPr>
        <w:t>limits</w:t>
      </w:r>
      <w:r w:rsidR="0004704F" w:rsidRPr="007C5FD5">
        <w:rPr>
          <w:rStyle w:val="font0"/>
          <w:rFonts w:cstheme="minorHAnsi"/>
        </w:rPr>
        <w:t xml:space="preserve"> of</w:t>
      </w:r>
      <w:r w:rsidR="006A53D6" w:rsidRPr="007C5FD5">
        <w:rPr>
          <w:rStyle w:val="font0"/>
          <w:rFonts w:cstheme="minorHAnsi"/>
        </w:rPr>
        <w:t xml:space="preserve"> </w:t>
      </w:r>
      <w:r w:rsidR="00BA0AF8" w:rsidRPr="007C5FD5">
        <w:rPr>
          <w:rStyle w:val="font0"/>
          <w:rFonts w:cstheme="minorHAnsi"/>
        </w:rPr>
        <w:t xml:space="preserve">that </w:t>
      </w:r>
      <w:r w:rsidR="0004704F" w:rsidRPr="007C5FD5">
        <w:rPr>
          <w:rStyle w:val="font0"/>
          <w:rFonts w:cstheme="minorHAnsi"/>
        </w:rPr>
        <w:t xml:space="preserve">disclosure </w:t>
      </w:r>
      <w:r w:rsidR="006A53D6" w:rsidRPr="007C5FD5">
        <w:rPr>
          <w:rStyle w:val="font0"/>
          <w:rFonts w:cstheme="minorHAnsi"/>
        </w:rPr>
        <w:t xml:space="preserve">vary </w:t>
      </w:r>
      <w:r w:rsidR="0004704F" w:rsidRPr="007C5FD5">
        <w:rPr>
          <w:rStyle w:val="font0"/>
          <w:rFonts w:cstheme="minorHAnsi"/>
        </w:rPr>
        <w:t>and</w:t>
      </w:r>
      <w:r w:rsidR="00215092" w:rsidRPr="007C5FD5">
        <w:rPr>
          <w:rStyle w:val="font0"/>
          <w:rFonts w:cstheme="minorHAnsi"/>
        </w:rPr>
        <w:t xml:space="preserve"> ma</w:t>
      </w:r>
      <w:r w:rsidR="002E64C8" w:rsidRPr="007C5FD5">
        <w:rPr>
          <w:rStyle w:val="font0"/>
          <w:rFonts w:cstheme="minorHAnsi"/>
        </w:rPr>
        <w:t xml:space="preserve">y </w:t>
      </w:r>
      <w:r w:rsidR="00215092" w:rsidRPr="007C5FD5">
        <w:rPr>
          <w:rStyle w:val="font0"/>
          <w:rFonts w:cstheme="minorHAnsi"/>
        </w:rPr>
        <w:lastRenderedPageBreak/>
        <w:t xml:space="preserve">encompass a single person, </w:t>
      </w:r>
      <w:r w:rsidR="002E64C8" w:rsidRPr="007C5FD5">
        <w:rPr>
          <w:rStyle w:val="font0"/>
          <w:rFonts w:cstheme="minorHAnsi"/>
        </w:rPr>
        <w:t xml:space="preserve">the doctor, although more commonly extend to </w:t>
      </w:r>
      <w:r w:rsidR="00215092" w:rsidRPr="007C5FD5">
        <w:rPr>
          <w:rStyle w:val="font0"/>
          <w:rFonts w:cstheme="minorHAnsi"/>
        </w:rPr>
        <w:t xml:space="preserve">a group, even </w:t>
      </w:r>
      <w:r w:rsidR="00852A3E" w:rsidRPr="007C5FD5">
        <w:rPr>
          <w:rStyle w:val="font0"/>
          <w:rFonts w:cstheme="minorHAnsi"/>
        </w:rPr>
        <w:t xml:space="preserve">a </w:t>
      </w:r>
      <w:r w:rsidR="00215092" w:rsidRPr="007C5FD5">
        <w:rPr>
          <w:rStyle w:val="font0"/>
          <w:rFonts w:cstheme="minorHAnsi"/>
        </w:rPr>
        <w:t>large</w:t>
      </w:r>
      <w:r w:rsidR="002E64C8" w:rsidRPr="007C5FD5">
        <w:rPr>
          <w:rStyle w:val="font0"/>
          <w:rFonts w:cstheme="minorHAnsi"/>
        </w:rPr>
        <w:t xml:space="preserve"> one</w:t>
      </w:r>
      <w:r w:rsidR="00215092" w:rsidRPr="007C5FD5">
        <w:rPr>
          <w:rStyle w:val="font0"/>
          <w:rFonts w:cstheme="minorHAnsi"/>
        </w:rPr>
        <w:t>, of individuals with</w:t>
      </w:r>
      <w:r w:rsidR="00F7348C" w:rsidRPr="007C5FD5">
        <w:rPr>
          <w:rStyle w:val="font0"/>
          <w:rFonts w:cstheme="minorHAnsi"/>
        </w:rPr>
        <w:t xml:space="preserve">in an institution or across institutions. </w:t>
      </w:r>
      <w:r w:rsidR="0077085B" w:rsidRPr="007C5FD5">
        <w:rPr>
          <w:rStyle w:val="font0"/>
          <w:rFonts w:cstheme="minorHAnsi"/>
        </w:rPr>
        <w:t xml:space="preserve">The limits also vary </w:t>
      </w:r>
      <w:r w:rsidR="006911BF">
        <w:rPr>
          <w:rStyle w:val="font0"/>
          <w:rFonts w:cstheme="minorHAnsi"/>
        </w:rPr>
        <w:t>in different</w:t>
      </w:r>
      <w:r w:rsidR="0077085B" w:rsidRPr="007C5FD5">
        <w:rPr>
          <w:rStyle w:val="font0"/>
          <w:rFonts w:cstheme="minorHAnsi"/>
        </w:rPr>
        <w:t xml:space="preserve"> jurisdiction</w:t>
      </w:r>
      <w:r w:rsidR="006911BF">
        <w:rPr>
          <w:rStyle w:val="font0"/>
          <w:rFonts w:cstheme="minorHAnsi"/>
        </w:rPr>
        <w:t>s</w:t>
      </w:r>
      <w:r w:rsidR="00BA0AF8" w:rsidRPr="007C5FD5">
        <w:rPr>
          <w:rStyle w:val="font0"/>
          <w:rFonts w:cstheme="minorHAnsi"/>
        </w:rPr>
        <w:t xml:space="preserve">; </w:t>
      </w:r>
      <w:r w:rsidR="001545EF" w:rsidRPr="007C5FD5">
        <w:rPr>
          <w:rStyle w:val="font0"/>
          <w:rFonts w:cstheme="minorHAnsi"/>
        </w:rPr>
        <w:t>as one commentator observed</w:t>
      </w:r>
      <w:r w:rsidR="0077085B" w:rsidRPr="007C5FD5">
        <w:rPr>
          <w:rStyle w:val="font0"/>
          <w:rFonts w:cstheme="minorHAnsi"/>
        </w:rPr>
        <w:t>: ‘</w:t>
      </w:r>
      <w:r w:rsidR="0077085B" w:rsidRPr="007C5FD5">
        <w:rPr>
          <w:rFonts w:cstheme="minorHAnsi"/>
        </w:rPr>
        <w:t>English law recognizes intermediate states between being completely private (known only to one person) and completely public (in the public domain). This is in sharp contrast to American privacy law, which has frequently tended to view the private and the public as binary opposites.’</w:t>
      </w:r>
      <w:r w:rsidR="0077085B" w:rsidRPr="007C5FD5">
        <w:rPr>
          <w:rStyle w:val="FootnoteReference"/>
          <w:rFonts w:cstheme="minorHAnsi"/>
        </w:rPr>
        <w:footnoteReference w:id="53"/>
      </w:r>
    </w:p>
    <w:p w14:paraId="68ABC923" w14:textId="77777777" w:rsidR="002E64C8" w:rsidRPr="007C5FD5" w:rsidRDefault="002E64C8" w:rsidP="00FD77D8">
      <w:pPr>
        <w:spacing w:after="0" w:line="240" w:lineRule="auto"/>
        <w:jc w:val="both"/>
        <w:rPr>
          <w:rStyle w:val="font0"/>
          <w:rFonts w:cstheme="minorHAnsi"/>
        </w:rPr>
      </w:pPr>
    </w:p>
    <w:p w14:paraId="38E270A2" w14:textId="3E4546F3" w:rsidR="0036262D" w:rsidRPr="007C5FD5" w:rsidRDefault="002E64C8" w:rsidP="00FD77D8">
      <w:pPr>
        <w:spacing w:after="0" w:line="240" w:lineRule="auto"/>
        <w:jc w:val="both"/>
        <w:rPr>
          <w:rStyle w:val="font0"/>
          <w:rFonts w:cstheme="minorHAnsi"/>
        </w:rPr>
      </w:pPr>
      <w:r w:rsidRPr="007C5FD5">
        <w:rPr>
          <w:rStyle w:val="font0"/>
          <w:rFonts w:cstheme="minorHAnsi"/>
        </w:rPr>
        <w:t xml:space="preserve">This modern institutional </w:t>
      </w:r>
      <w:r w:rsidR="00D72B53" w:rsidRPr="007C5FD5">
        <w:rPr>
          <w:rStyle w:val="font0"/>
          <w:rFonts w:cstheme="minorHAnsi"/>
        </w:rPr>
        <w:t>setting</w:t>
      </w:r>
      <w:r w:rsidRPr="007C5FD5">
        <w:rPr>
          <w:rStyle w:val="font0"/>
          <w:rFonts w:cstheme="minorHAnsi"/>
        </w:rPr>
        <w:t xml:space="preserve"> within which the</w:t>
      </w:r>
      <w:r w:rsidR="005B4D75" w:rsidRPr="007C5FD5">
        <w:rPr>
          <w:rStyle w:val="font0"/>
          <w:rFonts w:cstheme="minorHAnsi"/>
        </w:rPr>
        <w:t xml:space="preserve"> (post-mortem)</w:t>
      </w:r>
      <w:r w:rsidRPr="007C5FD5">
        <w:rPr>
          <w:rStyle w:val="font0"/>
          <w:rFonts w:cstheme="minorHAnsi"/>
        </w:rPr>
        <w:t xml:space="preserve"> duty of medical confiden</w:t>
      </w:r>
      <w:r w:rsidR="00D72B53" w:rsidRPr="007C5FD5">
        <w:rPr>
          <w:rStyle w:val="font0"/>
          <w:rFonts w:cstheme="minorHAnsi"/>
        </w:rPr>
        <w:t>tially f</w:t>
      </w:r>
      <w:r w:rsidR="008C0A12" w:rsidRPr="007C5FD5">
        <w:rPr>
          <w:rStyle w:val="font0"/>
          <w:rFonts w:cstheme="minorHAnsi"/>
        </w:rPr>
        <w:t>i</w:t>
      </w:r>
      <w:r w:rsidR="00D72B53" w:rsidRPr="007C5FD5">
        <w:rPr>
          <w:rStyle w:val="font0"/>
          <w:rFonts w:cstheme="minorHAnsi"/>
        </w:rPr>
        <w:t>nd</w:t>
      </w:r>
      <w:r w:rsidR="008C0A12" w:rsidRPr="007C5FD5">
        <w:rPr>
          <w:rStyle w:val="font0"/>
          <w:rFonts w:cstheme="minorHAnsi"/>
        </w:rPr>
        <w:t xml:space="preserve">s </w:t>
      </w:r>
      <w:r w:rsidR="00D72B53" w:rsidRPr="007C5FD5">
        <w:rPr>
          <w:rStyle w:val="font0"/>
          <w:rFonts w:cstheme="minorHAnsi"/>
        </w:rPr>
        <w:t>itself and which</w:t>
      </w:r>
      <w:r w:rsidR="003C706C" w:rsidRPr="007C5FD5">
        <w:rPr>
          <w:rStyle w:val="font0"/>
          <w:rFonts w:cstheme="minorHAnsi"/>
        </w:rPr>
        <w:t xml:space="preserve"> </w:t>
      </w:r>
      <w:r w:rsidR="00D72B53" w:rsidRPr="007C5FD5">
        <w:rPr>
          <w:rStyle w:val="font0"/>
          <w:rFonts w:cstheme="minorHAnsi"/>
        </w:rPr>
        <w:t xml:space="preserve">flows from the heightened complexity and specialisation </w:t>
      </w:r>
      <w:r w:rsidR="00576FB0" w:rsidRPr="007C5FD5">
        <w:rPr>
          <w:rStyle w:val="font0"/>
          <w:rFonts w:cstheme="minorHAnsi"/>
        </w:rPr>
        <w:t>in contemporary society</w:t>
      </w:r>
      <w:r w:rsidR="00C141D6" w:rsidRPr="007C5FD5">
        <w:rPr>
          <w:rStyle w:val="font0"/>
          <w:rFonts w:cstheme="minorHAnsi"/>
        </w:rPr>
        <w:t xml:space="preserve"> </w:t>
      </w:r>
      <w:r w:rsidR="003F1294" w:rsidRPr="007C5FD5">
        <w:rPr>
          <w:rStyle w:val="font0"/>
          <w:rFonts w:cstheme="minorHAnsi"/>
        </w:rPr>
        <w:t>is not</w:t>
      </w:r>
      <w:r w:rsidR="00C6447B" w:rsidRPr="007C5FD5">
        <w:rPr>
          <w:rStyle w:val="font0"/>
          <w:rFonts w:cstheme="minorHAnsi"/>
        </w:rPr>
        <w:t xml:space="preserve"> out of tune</w:t>
      </w:r>
      <w:r w:rsidR="00BA4410" w:rsidRPr="007C5FD5">
        <w:rPr>
          <w:rStyle w:val="font0"/>
          <w:rFonts w:cstheme="minorHAnsi"/>
        </w:rPr>
        <w:t xml:space="preserve"> </w:t>
      </w:r>
      <w:r w:rsidR="00C6447B" w:rsidRPr="007C5FD5">
        <w:rPr>
          <w:rStyle w:val="font0"/>
          <w:rFonts w:cstheme="minorHAnsi"/>
        </w:rPr>
        <w:t>with</w:t>
      </w:r>
      <w:r w:rsidR="00BA4410" w:rsidRPr="007C5FD5">
        <w:rPr>
          <w:rStyle w:val="font0"/>
          <w:rFonts w:cstheme="minorHAnsi"/>
        </w:rPr>
        <w:t xml:space="preserve"> </w:t>
      </w:r>
      <w:r w:rsidR="00087B73" w:rsidRPr="007C5FD5">
        <w:rPr>
          <w:rStyle w:val="font0"/>
          <w:rFonts w:cstheme="minorHAnsi"/>
        </w:rPr>
        <w:t>the</w:t>
      </w:r>
      <w:r w:rsidR="00BA4410" w:rsidRPr="007C5FD5">
        <w:rPr>
          <w:rStyle w:val="font0"/>
          <w:rFonts w:cstheme="minorHAnsi"/>
        </w:rPr>
        <w:t xml:space="preserve"> human rights framework</w:t>
      </w:r>
      <w:r w:rsidR="00AD62B1" w:rsidRPr="007C5FD5">
        <w:rPr>
          <w:rStyle w:val="font0"/>
          <w:rFonts w:cstheme="minorHAnsi"/>
        </w:rPr>
        <w:t>, the</w:t>
      </w:r>
      <w:r w:rsidR="00BA4410" w:rsidRPr="007C5FD5">
        <w:rPr>
          <w:rStyle w:val="font0"/>
          <w:rFonts w:cstheme="minorHAnsi"/>
        </w:rPr>
        <w:t xml:space="preserve"> principal target</w:t>
      </w:r>
      <w:r w:rsidR="00C6447B" w:rsidRPr="007C5FD5">
        <w:rPr>
          <w:rStyle w:val="font0"/>
          <w:rFonts w:cstheme="minorHAnsi"/>
        </w:rPr>
        <w:t xml:space="preserve"> </w:t>
      </w:r>
      <w:r w:rsidR="00AD62B1" w:rsidRPr="007C5FD5">
        <w:rPr>
          <w:rStyle w:val="font0"/>
          <w:rFonts w:cstheme="minorHAnsi"/>
        </w:rPr>
        <w:t xml:space="preserve">of which </w:t>
      </w:r>
      <w:r w:rsidR="00C6447B" w:rsidRPr="007C5FD5">
        <w:rPr>
          <w:rStyle w:val="font0"/>
          <w:rFonts w:cstheme="minorHAnsi"/>
        </w:rPr>
        <w:t>are</w:t>
      </w:r>
      <w:r w:rsidR="00BA4410" w:rsidRPr="007C5FD5">
        <w:rPr>
          <w:rStyle w:val="font0"/>
          <w:rFonts w:cstheme="minorHAnsi"/>
        </w:rPr>
        <w:t xml:space="preserve"> </w:t>
      </w:r>
      <w:r w:rsidR="00431551" w:rsidRPr="007C5FD5">
        <w:rPr>
          <w:rStyle w:val="font0"/>
          <w:rFonts w:cstheme="minorHAnsi"/>
        </w:rPr>
        <w:t xml:space="preserve">also </w:t>
      </w:r>
      <w:r w:rsidR="00BA4410" w:rsidRPr="007C5FD5">
        <w:rPr>
          <w:rStyle w:val="font0"/>
          <w:rFonts w:cstheme="minorHAnsi"/>
        </w:rPr>
        <w:t>institutions</w:t>
      </w:r>
      <w:r w:rsidR="007102FF" w:rsidRPr="007C5FD5">
        <w:rPr>
          <w:rStyle w:val="font0"/>
          <w:rFonts w:cstheme="minorHAnsi"/>
        </w:rPr>
        <w:t xml:space="preserve"> </w:t>
      </w:r>
      <w:r w:rsidR="00BA4410" w:rsidRPr="007C5FD5">
        <w:rPr>
          <w:rStyle w:val="font0"/>
          <w:rFonts w:cstheme="minorHAnsi"/>
        </w:rPr>
        <w:t xml:space="preserve">and </w:t>
      </w:r>
      <w:r w:rsidR="00C6447B" w:rsidRPr="007C5FD5">
        <w:rPr>
          <w:rStyle w:val="font0"/>
          <w:rFonts w:cstheme="minorHAnsi"/>
        </w:rPr>
        <w:t>whose</w:t>
      </w:r>
      <w:r w:rsidR="00BA4410" w:rsidRPr="007C5FD5">
        <w:rPr>
          <w:rStyle w:val="font0"/>
          <w:rFonts w:cstheme="minorHAnsi"/>
        </w:rPr>
        <w:t xml:space="preserve"> principal object </w:t>
      </w:r>
      <w:r w:rsidR="00C6447B" w:rsidRPr="007C5FD5">
        <w:rPr>
          <w:rStyle w:val="font0"/>
          <w:rFonts w:cstheme="minorHAnsi"/>
        </w:rPr>
        <w:t xml:space="preserve">is to </w:t>
      </w:r>
      <w:r w:rsidR="00A65BD8" w:rsidRPr="007C5FD5">
        <w:rPr>
          <w:rStyle w:val="font0"/>
          <w:rFonts w:cstheme="minorHAnsi"/>
        </w:rPr>
        <w:t>guard against abuses of</w:t>
      </w:r>
      <w:r w:rsidR="00BA4410" w:rsidRPr="007C5FD5">
        <w:rPr>
          <w:rStyle w:val="font0"/>
          <w:rFonts w:cstheme="minorHAnsi"/>
        </w:rPr>
        <w:t xml:space="preserve"> </w:t>
      </w:r>
      <w:r w:rsidR="006911BF">
        <w:rPr>
          <w:rStyle w:val="font0"/>
          <w:rFonts w:cstheme="minorHAnsi"/>
        </w:rPr>
        <w:t xml:space="preserve">entrusted </w:t>
      </w:r>
      <w:r w:rsidR="00BA4410" w:rsidRPr="007C5FD5">
        <w:rPr>
          <w:rStyle w:val="font0"/>
          <w:rFonts w:cstheme="minorHAnsi"/>
        </w:rPr>
        <w:t>powe</w:t>
      </w:r>
      <w:r w:rsidR="006911BF">
        <w:rPr>
          <w:rStyle w:val="font0"/>
          <w:rFonts w:cstheme="minorHAnsi"/>
        </w:rPr>
        <w:t>r</w:t>
      </w:r>
      <w:r w:rsidR="00BA4410" w:rsidRPr="007C5FD5">
        <w:rPr>
          <w:rStyle w:val="font0"/>
          <w:rFonts w:cstheme="minorHAnsi"/>
        </w:rPr>
        <w:t>.</w:t>
      </w:r>
      <w:r w:rsidR="00087B73" w:rsidRPr="007C5FD5">
        <w:rPr>
          <w:rStyle w:val="FootnoteReference"/>
          <w:rFonts w:cstheme="minorHAnsi"/>
        </w:rPr>
        <w:footnoteReference w:id="54"/>
      </w:r>
      <w:r w:rsidR="00BA4410" w:rsidRPr="007C5FD5">
        <w:rPr>
          <w:rStyle w:val="font0"/>
          <w:rFonts w:cstheme="minorHAnsi"/>
        </w:rPr>
        <w:t xml:space="preserve"> </w:t>
      </w:r>
      <w:r w:rsidR="00865C18" w:rsidRPr="007C5FD5">
        <w:rPr>
          <w:rStyle w:val="font0"/>
          <w:rFonts w:cstheme="minorHAnsi"/>
        </w:rPr>
        <w:t xml:space="preserve">Meanwhile </w:t>
      </w:r>
      <w:r w:rsidR="00C141D6" w:rsidRPr="007C5FD5">
        <w:rPr>
          <w:rStyle w:val="font0"/>
          <w:rFonts w:cstheme="minorHAnsi"/>
        </w:rPr>
        <w:t>the</w:t>
      </w:r>
      <w:r w:rsidR="00890044" w:rsidRPr="007C5FD5">
        <w:rPr>
          <w:rStyle w:val="font0"/>
          <w:rFonts w:cstheme="minorHAnsi"/>
        </w:rPr>
        <w:t xml:space="preserve"> traditional</w:t>
      </w:r>
      <w:r w:rsidR="00C141D6" w:rsidRPr="007C5FD5">
        <w:rPr>
          <w:rStyle w:val="font0"/>
          <w:rFonts w:cstheme="minorHAnsi"/>
        </w:rPr>
        <w:t xml:space="preserve"> </w:t>
      </w:r>
      <w:r w:rsidR="00087B73" w:rsidRPr="007C5FD5">
        <w:rPr>
          <w:rStyle w:val="font0"/>
          <w:rFonts w:cstheme="minorHAnsi"/>
        </w:rPr>
        <w:t xml:space="preserve">duty of </w:t>
      </w:r>
      <w:r w:rsidR="00C141D6" w:rsidRPr="007C5FD5">
        <w:rPr>
          <w:rStyle w:val="font0"/>
          <w:rFonts w:cstheme="minorHAnsi"/>
        </w:rPr>
        <w:t xml:space="preserve">medical </w:t>
      </w:r>
      <w:r w:rsidR="00087B73" w:rsidRPr="007C5FD5">
        <w:rPr>
          <w:rStyle w:val="font0"/>
          <w:rFonts w:cstheme="minorHAnsi"/>
        </w:rPr>
        <w:t>confidentiality</w:t>
      </w:r>
      <w:r w:rsidR="006F3F1C" w:rsidRPr="007C5FD5">
        <w:rPr>
          <w:rStyle w:val="font0"/>
          <w:rFonts w:cstheme="minorHAnsi"/>
        </w:rPr>
        <w:t xml:space="preserve"> in Western</w:t>
      </w:r>
      <w:r w:rsidR="00890044" w:rsidRPr="007C5FD5">
        <w:rPr>
          <w:rStyle w:val="font0"/>
          <w:rFonts w:cstheme="minorHAnsi"/>
        </w:rPr>
        <w:t xml:space="preserve"> practice</w:t>
      </w:r>
      <w:r w:rsidR="00865C18" w:rsidRPr="007C5FD5">
        <w:rPr>
          <w:rStyle w:val="font0"/>
          <w:rFonts w:cstheme="minorHAnsi"/>
        </w:rPr>
        <w:t xml:space="preserve"> with </w:t>
      </w:r>
      <w:r w:rsidR="0055619C" w:rsidRPr="007C5FD5">
        <w:rPr>
          <w:rStyle w:val="font0"/>
          <w:rFonts w:cstheme="minorHAnsi"/>
        </w:rPr>
        <w:t>its roots in the</w:t>
      </w:r>
      <w:r w:rsidR="006F3F1C" w:rsidRPr="007C5FD5">
        <w:rPr>
          <w:rStyle w:val="font0"/>
          <w:rFonts w:cstheme="minorHAnsi"/>
        </w:rPr>
        <w:t xml:space="preserve"> </w:t>
      </w:r>
      <w:r w:rsidR="0055619C" w:rsidRPr="007C5FD5">
        <w:rPr>
          <w:rStyle w:val="font0"/>
          <w:rFonts w:cstheme="minorHAnsi"/>
        </w:rPr>
        <w:t>‘</w:t>
      </w:r>
      <w:r w:rsidR="006F3F1C" w:rsidRPr="007C5FD5">
        <w:rPr>
          <w:rStyle w:val="font0"/>
          <w:rFonts w:cstheme="minorHAnsi"/>
        </w:rPr>
        <w:t>Hi</w:t>
      </w:r>
      <w:r w:rsidR="00BA4410" w:rsidRPr="007C5FD5">
        <w:rPr>
          <w:rStyle w:val="font0"/>
          <w:rFonts w:cstheme="minorHAnsi"/>
        </w:rPr>
        <w:t>ppocratic tradition, the Christian concept of the confessional, and the 19</w:t>
      </w:r>
      <w:r w:rsidR="00BA4410" w:rsidRPr="007C5FD5">
        <w:rPr>
          <w:rStyle w:val="font0"/>
          <w:rFonts w:cstheme="minorHAnsi"/>
          <w:vertAlign w:val="superscript"/>
        </w:rPr>
        <w:t>th</w:t>
      </w:r>
      <w:r w:rsidR="00BA4410" w:rsidRPr="007C5FD5">
        <w:rPr>
          <w:rStyle w:val="font0"/>
          <w:rFonts w:cstheme="minorHAnsi"/>
        </w:rPr>
        <w:t xml:space="preserve"> century philosophical and legal notions of individual autonomy’</w:t>
      </w:r>
      <w:r w:rsidR="00BA4410" w:rsidRPr="007C5FD5">
        <w:rPr>
          <w:rStyle w:val="FootnoteReference"/>
          <w:rFonts w:cstheme="minorHAnsi"/>
        </w:rPr>
        <w:footnoteReference w:id="55"/>
      </w:r>
      <w:r w:rsidR="00492D85" w:rsidRPr="007C5FD5">
        <w:rPr>
          <w:rStyle w:val="font0"/>
          <w:rFonts w:cstheme="minorHAnsi"/>
        </w:rPr>
        <w:t xml:space="preserve"> </w:t>
      </w:r>
      <w:r w:rsidR="00865C18" w:rsidRPr="007C5FD5">
        <w:rPr>
          <w:rStyle w:val="font0"/>
          <w:rFonts w:cstheme="minorHAnsi"/>
        </w:rPr>
        <w:t>ha</w:t>
      </w:r>
      <w:r w:rsidR="00890044" w:rsidRPr="007C5FD5">
        <w:rPr>
          <w:rStyle w:val="font0"/>
          <w:rFonts w:cstheme="minorHAnsi"/>
        </w:rPr>
        <w:t>d</w:t>
      </w:r>
      <w:r w:rsidR="00865C18" w:rsidRPr="007C5FD5">
        <w:rPr>
          <w:rStyle w:val="font0"/>
          <w:rFonts w:cstheme="minorHAnsi"/>
        </w:rPr>
        <w:t xml:space="preserve"> its</w:t>
      </w:r>
      <w:r w:rsidR="0055619C" w:rsidRPr="007C5FD5">
        <w:rPr>
          <w:rStyle w:val="font0"/>
          <w:rFonts w:cstheme="minorHAnsi"/>
        </w:rPr>
        <w:t xml:space="preserve"> normative focus on the individual practitioner</w:t>
      </w:r>
      <w:r w:rsidR="007D6C12" w:rsidRPr="007C5FD5">
        <w:rPr>
          <w:rStyle w:val="font0"/>
          <w:rFonts w:cstheme="minorHAnsi"/>
        </w:rPr>
        <w:t xml:space="preserve"> and ‘conceptualised the professional relationship between doctor and patient as strictly limited to the individuals concerned.’</w:t>
      </w:r>
      <w:r w:rsidR="007D6C12" w:rsidRPr="007C5FD5">
        <w:rPr>
          <w:rStyle w:val="FootnoteReference"/>
          <w:rFonts w:cstheme="minorHAnsi"/>
        </w:rPr>
        <w:footnoteReference w:id="56"/>
      </w:r>
      <w:r w:rsidR="00CC0FA5" w:rsidRPr="007C5FD5">
        <w:rPr>
          <w:rStyle w:val="font0"/>
          <w:rFonts w:cstheme="minorHAnsi"/>
        </w:rPr>
        <w:t xml:space="preserve"> </w:t>
      </w:r>
      <w:r w:rsidR="00CA09E4" w:rsidRPr="007C5FD5">
        <w:rPr>
          <w:rStyle w:val="font0"/>
          <w:rFonts w:cstheme="minorHAnsi"/>
        </w:rPr>
        <w:t>Still,</w:t>
      </w:r>
      <w:r w:rsidR="00CC0FA5" w:rsidRPr="007C5FD5">
        <w:rPr>
          <w:rStyle w:val="font0"/>
          <w:rFonts w:cstheme="minorHAnsi"/>
        </w:rPr>
        <w:t xml:space="preserve"> </w:t>
      </w:r>
      <w:r w:rsidR="0055619C" w:rsidRPr="007C5FD5">
        <w:rPr>
          <w:rStyle w:val="font0"/>
          <w:rFonts w:cstheme="minorHAnsi"/>
        </w:rPr>
        <w:t>th</w:t>
      </w:r>
      <w:r w:rsidR="00186C50" w:rsidRPr="007C5FD5">
        <w:rPr>
          <w:rStyle w:val="font0"/>
          <w:rFonts w:cstheme="minorHAnsi"/>
        </w:rPr>
        <w:t>is</w:t>
      </w:r>
      <w:r w:rsidR="00890044" w:rsidRPr="007C5FD5">
        <w:rPr>
          <w:rStyle w:val="font0"/>
          <w:rFonts w:cstheme="minorHAnsi"/>
        </w:rPr>
        <w:t xml:space="preserve"> </w:t>
      </w:r>
      <w:r w:rsidR="009F3E84" w:rsidRPr="007C5FD5">
        <w:rPr>
          <w:rStyle w:val="font0"/>
          <w:rFonts w:cstheme="minorHAnsi"/>
        </w:rPr>
        <w:t xml:space="preserve">individual </w:t>
      </w:r>
      <w:r w:rsidR="00890044" w:rsidRPr="007C5FD5">
        <w:rPr>
          <w:rStyle w:val="font0"/>
          <w:rFonts w:cstheme="minorHAnsi"/>
        </w:rPr>
        <w:t>focus</w:t>
      </w:r>
      <w:r w:rsidR="00186C50" w:rsidRPr="007C5FD5">
        <w:rPr>
          <w:rStyle w:val="font0"/>
          <w:rFonts w:cstheme="minorHAnsi"/>
        </w:rPr>
        <w:t xml:space="preserve"> occurred against</w:t>
      </w:r>
      <w:r w:rsidR="00890044" w:rsidRPr="007C5FD5">
        <w:rPr>
          <w:rStyle w:val="font0"/>
          <w:rFonts w:cstheme="minorHAnsi"/>
        </w:rPr>
        <w:t xml:space="preserve"> </w:t>
      </w:r>
      <w:r w:rsidR="007D6C12" w:rsidRPr="007C5FD5">
        <w:rPr>
          <w:rStyle w:val="font0"/>
          <w:rFonts w:cstheme="minorHAnsi"/>
        </w:rPr>
        <w:t xml:space="preserve">a </w:t>
      </w:r>
      <w:r w:rsidR="00890044" w:rsidRPr="007C5FD5">
        <w:rPr>
          <w:rStyle w:val="font0"/>
          <w:rFonts w:cstheme="minorHAnsi"/>
        </w:rPr>
        <w:t xml:space="preserve">strong institutional </w:t>
      </w:r>
      <w:r w:rsidR="00186C50" w:rsidRPr="007C5FD5">
        <w:rPr>
          <w:rStyle w:val="font0"/>
          <w:rFonts w:cstheme="minorHAnsi"/>
        </w:rPr>
        <w:t>back</w:t>
      </w:r>
      <w:r w:rsidR="00AB2175" w:rsidRPr="007C5FD5">
        <w:rPr>
          <w:rStyle w:val="font0"/>
          <w:rFonts w:cstheme="minorHAnsi"/>
        </w:rPr>
        <w:t>ground</w:t>
      </w:r>
      <w:r w:rsidR="00890044" w:rsidRPr="007C5FD5">
        <w:rPr>
          <w:rStyle w:val="font0"/>
          <w:rFonts w:cstheme="minorHAnsi"/>
        </w:rPr>
        <w:t>.</w:t>
      </w:r>
      <w:r w:rsidR="0055619C" w:rsidRPr="007C5FD5">
        <w:rPr>
          <w:rStyle w:val="font0"/>
          <w:rFonts w:cstheme="minorHAnsi"/>
        </w:rPr>
        <w:t xml:space="preserve"> </w:t>
      </w:r>
      <w:r w:rsidR="00386447" w:rsidRPr="007C5FD5">
        <w:rPr>
          <w:rStyle w:val="font0"/>
          <w:rFonts w:cstheme="minorHAnsi"/>
        </w:rPr>
        <w:t>The Hippocratic Oath</w:t>
      </w:r>
      <w:r w:rsidR="00283CBD" w:rsidRPr="007C5FD5">
        <w:rPr>
          <w:rStyle w:val="font0"/>
          <w:rFonts w:cstheme="minorHAnsi"/>
        </w:rPr>
        <w:t xml:space="preserve"> which</w:t>
      </w:r>
      <w:r w:rsidR="00386447" w:rsidRPr="007C5FD5">
        <w:rPr>
          <w:rStyle w:val="font0"/>
          <w:rFonts w:cstheme="minorHAnsi"/>
        </w:rPr>
        <w:t xml:space="preserve"> dates back to a body of writing including by Hippocrates himself (460</w:t>
      </w:r>
      <w:r w:rsidR="00A44CCB" w:rsidRPr="007C5FD5">
        <w:rPr>
          <w:rStyle w:val="font0"/>
          <w:rFonts w:cstheme="minorHAnsi"/>
        </w:rPr>
        <w:t xml:space="preserve"> </w:t>
      </w:r>
      <w:r w:rsidR="00386447" w:rsidRPr="007C5FD5">
        <w:rPr>
          <w:rStyle w:val="font0"/>
          <w:rFonts w:cstheme="minorHAnsi"/>
        </w:rPr>
        <w:t>BC),</w:t>
      </w:r>
      <w:r w:rsidR="003C706C" w:rsidRPr="007C5FD5">
        <w:rPr>
          <w:rStyle w:val="FootnoteReference"/>
          <w:rFonts w:cstheme="minorHAnsi"/>
        </w:rPr>
        <w:footnoteReference w:id="57"/>
      </w:r>
      <w:r w:rsidR="00386447" w:rsidRPr="007C5FD5">
        <w:rPr>
          <w:rStyle w:val="font0"/>
          <w:rFonts w:cstheme="minorHAnsi"/>
        </w:rPr>
        <w:t xml:space="preserve"> </w:t>
      </w:r>
      <w:r w:rsidR="00386447" w:rsidRPr="007C5FD5">
        <w:rPr>
          <w:rStyle w:val="font0"/>
          <w:rFonts w:cstheme="minorHAnsi"/>
          <w:i/>
          <w:iCs/>
        </w:rPr>
        <w:t>on the one hand, ‘</w:t>
      </w:r>
      <w:r w:rsidR="00386447" w:rsidRPr="007C5FD5">
        <w:rPr>
          <w:rStyle w:val="font0"/>
          <w:rFonts w:cstheme="minorHAnsi"/>
        </w:rPr>
        <w:t>formed part of the system Hippocratic medical deontology (an ethic that stresses</w:t>
      </w:r>
      <w:r w:rsidR="00386447" w:rsidRPr="007C5FD5">
        <w:rPr>
          <w:rStyle w:val="font0"/>
          <w:rFonts w:cstheme="minorHAnsi"/>
          <w:i/>
          <w:iCs/>
        </w:rPr>
        <w:t xml:space="preserve"> </w:t>
      </w:r>
      <w:r w:rsidR="00386447" w:rsidRPr="007C5FD5">
        <w:rPr>
          <w:rStyle w:val="font0"/>
          <w:rFonts w:cstheme="minorHAnsi"/>
        </w:rPr>
        <w:t>duty, looking at the intrinsic rightness of an act or an intention rather than the consequences)’</w:t>
      </w:r>
      <w:r w:rsidR="00386447" w:rsidRPr="007C5FD5">
        <w:rPr>
          <w:rStyle w:val="FootnoteReference"/>
          <w:rFonts w:cstheme="minorHAnsi"/>
        </w:rPr>
        <w:footnoteReference w:id="58"/>
      </w:r>
      <w:r w:rsidR="00386447" w:rsidRPr="007C5FD5">
        <w:rPr>
          <w:rStyle w:val="font0"/>
          <w:rFonts w:cstheme="minorHAnsi"/>
        </w:rPr>
        <w:t xml:space="preserve"> </w:t>
      </w:r>
      <w:r w:rsidR="000D3B5A" w:rsidRPr="007C5FD5">
        <w:rPr>
          <w:rStyle w:val="font0"/>
          <w:rFonts w:cstheme="minorHAnsi"/>
        </w:rPr>
        <w:t xml:space="preserve">that was in medieval times </w:t>
      </w:r>
      <w:r w:rsidR="009F3E84" w:rsidRPr="007C5FD5">
        <w:rPr>
          <w:rStyle w:val="font0"/>
          <w:rFonts w:cstheme="minorHAnsi"/>
        </w:rPr>
        <w:t>brought under</w:t>
      </w:r>
      <w:r w:rsidR="000D3B5A" w:rsidRPr="007C5FD5">
        <w:rPr>
          <w:rStyle w:val="font0"/>
          <w:rFonts w:cstheme="minorHAnsi"/>
        </w:rPr>
        <w:t xml:space="preserve"> the</w:t>
      </w:r>
      <w:r w:rsidR="003F1294" w:rsidRPr="007C5FD5">
        <w:rPr>
          <w:rStyle w:val="font0"/>
          <w:rFonts w:cstheme="minorHAnsi"/>
        </w:rPr>
        <w:t xml:space="preserve"> moral</w:t>
      </w:r>
      <w:r w:rsidR="000D3B5A" w:rsidRPr="007C5FD5">
        <w:rPr>
          <w:rStyle w:val="font0"/>
          <w:rFonts w:cstheme="minorHAnsi"/>
        </w:rPr>
        <w:t xml:space="preserve"> authority of the Church and only during the Renaissance reconceived in secular humanist terms.</w:t>
      </w:r>
      <w:r w:rsidR="002F55E0" w:rsidRPr="007C5FD5">
        <w:rPr>
          <w:rStyle w:val="font0"/>
          <w:rFonts w:cstheme="minorHAnsi"/>
        </w:rPr>
        <w:t xml:space="preserve"> </w:t>
      </w:r>
      <w:r w:rsidR="005F3F7A" w:rsidRPr="007C5FD5">
        <w:rPr>
          <w:rStyle w:val="font0"/>
          <w:rFonts w:cstheme="minorHAnsi"/>
        </w:rPr>
        <w:t xml:space="preserve">Notably, </w:t>
      </w:r>
      <w:r w:rsidR="00394A02" w:rsidRPr="007C5FD5">
        <w:rPr>
          <w:rStyle w:val="font0"/>
          <w:rFonts w:cstheme="minorHAnsi"/>
        </w:rPr>
        <w:t>on such deontological construction, the centre of gravity of the wrong l</w:t>
      </w:r>
      <w:r w:rsidR="0012524D" w:rsidRPr="007C5FD5">
        <w:rPr>
          <w:rStyle w:val="font0"/>
          <w:rFonts w:cstheme="minorHAnsi"/>
        </w:rPr>
        <w:t>ies</w:t>
      </w:r>
      <w:r w:rsidR="00394A02" w:rsidRPr="007C5FD5">
        <w:rPr>
          <w:rStyle w:val="font0"/>
          <w:rFonts w:cstheme="minorHAnsi"/>
        </w:rPr>
        <w:t xml:space="preserve"> in the</w:t>
      </w:r>
      <w:r w:rsidR="00E30510" w:rsidRPr="007C5FD5">
        <w:rPr>
          <w:rStyle w:val="font0"/>
          <w:rFonts w:cstheme="minorHAnsi"/>
        </w:rPr>
        <w:t xml:space="preserve"> undue</w:t>
      </w:r>
      <w:r w:rsidR="00394A02" w:rsidRPr="007C5FD5">
        <w:rPr>
          <w:rStyle w:val="font0"/>
          <w:rFonts w:cstheme="minorHAnsi"/>
        </w:rPr>
        <w:t xml:space="preserve"> </w:t>
      </w:r>
      <w:r w:rsidR="00AF61C5" w:rsidRPr="007C5FD5">
        <w:rPr>
          <w:rStyle w:val="font0"/>
          <w:rFonts w:cstheme="minorHAnsi"/>
        </w:rPr>
        <w:t>disclosure</w:t>
      </w:r>
      <w:r w:rsidR="00394A02" w:rsidRPr="007C5FD5">
        <w:rPr>
          <w:rStyle w:val="font0"/>
          <w:rFonts w:cstheme="minorHAnsi"/>
        </w:rPr>
        <w:t xml:space="preserve"> by the duty bearer rather than in </w:t>
      </w:r>
      <w:r w:rsidR="0012524D" w:rsidRPr="007C5FD5">
        <w:rPr>
          <w:rStyle w:val="font0"/>
          <w:rFonts w:cstheme="minorHAnsi"/>
        </w:rPr>
        <w:t>any</w:t>
      </w:r>
      <w:r w:rsidR="00394A02" w:rsidRPr="007C5FD5">
        <w:rPr>
          <w:rStyle w:val="font0"/>
          <w:rFonts w:cstheme="minorHAnsi"/>
        </w:rPr>
        <w:t xml:space="preserve"> harm</w:t>
      </w:r>
      <w:r w:rsidR="0012524D" w:rsidRPr="007C5FD5">
        <w:rPr>
          <w:rStyle w:val="font0"/>
          <w:rFonts w:cstheme="minorHAnsi"/>
        </w:rPr>
        <w:t xml:space="preserve"> </w:t>
      </w:r>
      <w:r w:rsidR="00394A02" w:rsidRPr="007C5FD5">
        <w:rPr>
          <w:rStyle w:val="font0"/>
          <w:rFonts w:cstheme="minorHAnsi"/>
        </w:rPr>
        <w:t xml:space="preserve">suffered by the </w:t>
      </w:r>
      <w:r w:rsidR="000D5B64" w:rsidRPr="007C5FD5">
        <w:rPr>
          <w:rStyle w:val="font0"/>
          <w:rFonts w:cstheme="minorHAnsi"/>
        </w:rPr>
        <w:t>rightsholder.</w:t>
      </w:r>
      <w:r w:rsidR="00394A02" w:rsidRPr="007C5FD5">
        <w:rPr>
          <w:rStyle w:val="font0"/>
          <w:rFonts w:cstheme="minorHAnsi"/>
        </w:rPr>
        <w:t xml:space="preserve"> </w:t>
      </w:r>
      <w:r w:rsidR="00CD2809" w:rsidRPr="007C5FD5">
        <w:rPr>
          <w:rFonts w:cstheme="minorHAnsi"/>
        </w:rPr>
        <w:t>By foregrounding the</w:t>
      </w:r>
      <w:r w:rsidR="00CD2809" w:rsidRPr="007C5FD5">
        <w:rPr>
          <w:rFonts w:cstheme="minorHAnsi"/>
          <w:i/>
          <w:iCs/>
        </w:rPr>
        <w:t xml:space="preserve"> duty</w:t>
      </w:r>
      <w:r w:rsidR="00CD2809" w:rsidRPr="007C5FD5">
        <w:rPr>
          <w:rFonts w:cstheme="minorHAnsi"/>
        </w:rPr>
        <w:t xml:space="preserve"> rather than corresponding harm, medical confidences are not so obviously deprived of its key legal subject upon the death of the beneficiary.</w:t>
      </w:r>
    </w:p>
    <w:p w14:paraId="5D1253AF" w14:textId="77777777" w:rsidR="0036262D" w:rsidRPr="007C5FD5" w:rsidRDefault="0036262D" w:rsidP="00FD77D8">
      <w:pPr>
        <w:spacing w:after="0" w:line="240" w:lineRule="auto"/>
        <w:jc w:val="both"/>
        <w:rPr>
          <w:rStyle w:val="font0"/>
          <w:rFonts w:cstheme="minorHAnsi"/>
        </w:rPr>
      </w:pPr>
    </w:p>
    <w:p w14:paraId="5A7ECCB1" w14:textId="02BFAC80" w:rsidR="00A317B5" w:rsidRPr="007C5FD5" w:rsidRDefault="00386447" w:rsidP="00FD77D8">
      <w:pPr>
        <w:spacing w:after="0" w:line="240" w:lineRule="auto"/>
        <w:jc w:val="both"/>
        <w:rPr>
          <w:rStyle w:val="font0"/>
          <w:rFonts w:cstheme="minorHAnsi"/>
        </w:rPr>
      </w:pPr>
      <w:r w:rsidRPr="007C5FD5">
        <w:rPr>
          <w:rStyle w:val="font0"/>
          <w:rFonts w:cstheme="minorHAnsi"/>
          <w:i/>
          <w:iCs/>
        </w:rPr>
        <w:t>On the other hand</w:t>
      </w:r>
      <w:r w:rsidR="000D6F8B" w:rsidRPr="007C5FD5">
        <w:rPr>
          <w:rStyle w:val="font0"/>
          <w:rFonts w:cstheme="minorHAnsi"/>
          <w:i/>
          <w:iCs/>
        </w:rPr>
        <w:t>,</w:t>
      </w:r>
      <w:r w:rsidRPr="007C5FD5">
        <w:rPr>
          <w:rStyle w:val="font0"/>
          <w:rFonts w:cstheme="minorHAnsi"/>
        </w:rPr>
        <w:t xml:space="preserve"> </w:t>
      </w:r>
      <w:r w:rsidR="000D3B5A" w:rsidRPr="007C5FD5">
        <w:rPr>
          <w:rStyle w:val="font0"/>
          <w:rFonts w:cstheme="minorHAnsi"/>
        </w:rPr>
        <w:t>the Oath</w:t>
      </w:r>
      <w:r w:rsidR="00A37F6B" w:rsidRPr="007C5FD5">
        <w:rPr>
          <w:rStyle w:val="font0"/>
          <w:rFonts w:cstheme="minorHAnsi"/>
        </w:rPr>
        <w:t xml:space="preserve"> was</w:t>
      </w:r>
      <w:r w:rsidR="00394A02" w:rsidRPr="007C5FD5">
        <w:rPr>
          <w:rStyle w:val="font0"/>
          <w:rFonts w:cstheme="minorHAnsi"/>
        </w:rPr>
        <w:t xml:space="preserve"> </w:t>
      </w:r>
      <w:r w:rsidR="00E9366E" w:rsidRPr="007C5FD5">
        <w:rPr>
          <w:rStyle w:val="font0"/>
          <w:rFonts w:cstheme="minorHAnsi"/>
        </w:rPr>
        <w:t xml:space="preserve">also </w:t>
      </w:r>
      <w:r w:rsidRPr="007C5FD5">
        <w:rPr>
          <w:rStyle w:val="font0"/>
          <w:rFonts w:cstheme="minorHAnsi"/>
        </w:rPr>
        <w:t xml:space="preserve">concerned with kite-marking the </w:t>
      </w:r>
      <w:r w:rsidR="00890044" w:rsidRPr="007C5FD5">
        <w:rPr>
          <w:rStyle w:val="font0"/>
          <w:rFonts w:cstheme="minorHAnsi"/>
        </w:rPr>
        <w:t xml:space="preserve">medical </w:t>
      </w:r>
      <w:r w:rsidRPr="007C5FD5">
        <w:rPr>
          <w:rStyle w:val="font0"/>
          <w:rFonts w:cstheme="minorHAnsi"/>
        </w:rPr>
        <w:t>profession</w:t>
      </w:r>
      <w:r w:rsidR="00A37F6B" w:rsidRPr="007C5FD5">
        <w:rPr>
          <w:rStyle w:val="font0"/>
          <w:rFonts w:cstheme="minorHAnsi"/>
        </w:rPr>
        <w:t xml:space="preserve"> as a credible trustworthy</w:t>
      </w:r>
      <w:r w:rsidR="004330B1" w:rsidRPr="007C5FD5">
        <w:rPr>
          <w:rStyle w:val="font0"/>
          <w:rFonts w:cstheme="minorHAnsi"/>
        </w:rPr>
        <w:t xml:space="preserve"> </w:t>
      </w:r>
      <w:r w:rsidR="00B00AE7" w:rsidRPr="007C5FD5">
        <w:rPr>
          <w:rStyle w:val="font0"/>
          <w:rFonts w:cstheme="minorHAnsi"/>
        </w:rPr>
        <w:t>i</w:t>
      </w:r>
      <w:r w:rsidR="004330B1" w:rsidRPr="007C5FD5">
        <w:rPr>
          <w:rStyle w:val="font0"/>
          <w:rFonts w:cstheme="minorHAnsi"/>
        </w:rPr>
        <w:t>ndustry</w:t>
      </w:r>
      <w:r w:rsidR="003F1294" w:rsidRPr="007C5FD5">
        <w:rPr>
          <w:rStyle w:val="font0"/>
          <w:rFonts w:cstheme="minorHAnsi"/>
        </w:rPr>
        <w:t>:</w:t>
      </w:r>
    </w:p>
    <w:p w14:paraId="3170A43B" w14:textId="77777777" w:rsidR="00A317B5" w:rsidRPr="007C5FD5" w:rsidRDefault="00A317B5" w:rsidP="00FD77D8">
      <w:pPr>
        <w:spacing w:after="0" w:line="240" w:lineRule="auto"/>
        <w:jc w:val="both"/>
        <w:rPr>
          <w:rStyle w:val="font0"/>
          <w:rFonts w:cstheme="minorHAnsi"/>
        </w:rPr>
      </w:pPr>
    </w:p>
    <w:p w14:paraId="4321AF2C" w14:textId="7F4E243F" w:rsidR="00A317B5" w:rsidRPr="007C5FD5" w:rsidRDefault="00683739" w:rsidP="00FD77D8">
      <w:pPr>
        <w:spacing w:after="0" w:line="240" w:lineRule="auto"/>
        <w:ind w:left="720"/>
        <w:jc w:val="both"/>
        <w:rPr>
          <w:rStyle w:val="font0"/>
          <w:rFonts w:cstheme="minorHAnsi"/>
        </w:rPr>
      </w:pPr>
      <w:r w:rsidRPr="007C5FD5">
        <w:rPr>
          <w:rStyle w:val="font0"/>
          <w:rFonts w:cstheme="minorHAnsi"/>
        </w:rPr>
        <w:t xml:space="preserve"> </w:t>
      </w:r>
      <w:r w:rsidR="00386447" w:rsidRPr="007C5FD5">
        <w:rPr>
          <w:rStyle w:val="font0"/>
          <w:rFonts w:cstheme="minorHAnsi"/>
        </w:rPr>
        <w:t>‘</w:t>
      </w:r>
      <w:r w:rsidR="00A317B5" w:rsidRPr="007C5FD5">
        <w:rPr>
          <w:rStyle w:val="font0"/>
          <w:rFonts w:cstheme="minorHAnsi"/>
        </w:rPr>
        <w:t>[I]</w:t>
      </w:r>
      <w:r w:rsidR="00386447" w:rsidRPr="007C5FD5">
        <w:rPr>
          <w:rStyle w:val="font0"/>
          <w:rFonts w:cstheme="minorHAnsi"/>
        </w:rPr>
        <w:t>t helped to distinguish</w:t>
      </w:r>
      <w:r w:rsidR="00FA54C5" w:rsidRPr="007C5FD5">
        <w:rPr>
          <w:rStyle w:val="font0"/>
          <w:rFonts w:cstheme="minorHAnsi"/>
        </w:rPr>
        <w:t xml:space="preserve"> </w:t>
      </w:r>
      <w:r w:rsidR="00386447" w:rsidRPr="007C5FD5">
        <w:rPr>
          <w:rStyle w:val="font0"/>
          <w:rFonts w:cstheme="minorHAnsi"/>
        </w:rPr>
        <w:t>physicians from laymen and charlatans, because</w:t>
      </w:r>
      <w:r w:rsidR="00283CBD" w:rsidRPr="007C5FD5">
        <w:rPr>
          <w:rStyle w:val="font0"/>
          <w:rFonts w:cstheme="minorHAnsi"/>
        </w:rPr>
        <w:t xml:space="preserve"> the</w:t>
      </w:r>
      <w:r w:rsidR="00386447" w:rsidRPr="007C5FD5">
        <w:rPr>
          <w:rStyle w:val="font0"/>
          <w:rFonts w:cstheme="minorHAnsi"/>
        </w:rPr>
        <w:t xml:space="preserve"> former through their adherence to ethical conduct articulated in the Oat</w:t>
      </w:r>
      <w:r w:rsidR="00283CBD" w:rsidRPr="007C5FD5">
        <w:rPr>
          <w:rStyle w:val="font0"/>
          <w:rFonts w:cstheme="minorHAnsi"/>
        </w:rPr>
        <w:t>h</w:t>
      </w:r>
      <w:r w:rsidR="00386447" w:rsidRPr="007C5FD5">
        <w:rPr>
          <w:rStyle w:val="font0"/>
          <w:rFonts w:cstheme="minorHAnsi"/>
        </w:rPr>
        <w:t>, saw themselves and were see</w:t>
      </w:r>
      <w:r w:rsidR="00283CBD" w:rsidRPr="007C5FD5">
        <w:rPr>
          <w:rStyle w:val="font0"/>
          <w:rFonts w:cstheme="minorHAnsi"/>
        </w:rPr>
        <w:t>n</w:t>
      </w:r>
      <w:r w:rsidR="00386447" w:rsidRPr="007C5FD5">
        <w:rPr>
          <w:rStyle w:val="font0"/>
          <w:rFonts w:cstheme="minorHAnsi"/>
        </w:rPr>
        <w:t xml:space="preserve"> as learned and high-minded professionals rather than merely </w:t>
      </w:r>
      <w:r w:rsidR="00283CBD" w:rsidRPr="007C5FD5">
        <w:rPr>
          <w:rStyle w:val="font0"/>
          <w:rFonts w:cstheme="minorHAnsi"/>
        </w:rPr>
        <w:t>ignorant</w:t>
      </w:r>
      <w:r w:rsidR="00386447" w:rsidRPr="007C5FD5">
        <w:rPr>
          <w:rStyle w:val="font0"/>
          <w:rFonts w:cstheme="minorHAnsi"/>
        </w:rPr>
        <w:t xml:space="preserve"> tradesmen or petty business</w:t>
      </w:r>
      <w:r w:rsidR="00283CBD" w:rsidRPr="007C5FD5">
        <w:rPr>
          <w:rStyle w:val="font0"/>
          <w:rFonts w:cstheme="minorHAnsi"/>
        </w:rPr>
        <w:t xml:space="preserve">men </w:t>
      </w:r>
      <w:r w:rsidR="00386447" w:rsidRPr="007C5FD5">
        <w:rPr>
          <w:rStyle w:val="font0"/>
          <w:rFonts w:cstheme="minorHAnsi"/>
        </w:rPr>
        <w:t>o</w:t>
      </w:r>
      <w:r w:rsidR="00283CBD" w:rsidRPr="007C5FD5">
        <w:rPr>
          <w:rStyle w:val="font0"/>
          <w:rFonts w:cstheme="minorHAnsi"/>
        </w:rPr>
        <w:t>f</w:t>
      </w:r>
      <w:r w:rsidR="00386447" w:rsidRPr="007C5FD5">
        <w:rPr>
          <w:rStyle w:val="font0"/>
          <w:rFonts w:cstheme="minorHAnsi"/>
        </w:rPr>
        <w:t xml:space="preserve"> questionable morality</w:t>
      </w:r>
      <w:r w:rsidR="00A317B5" w:rsidRPr="007C5FD5">
        <w:rPr>
          <w:rStyle w:val="font0"/>
          <w:rFonts w:cstheme="minorHAnsi"/>
        </w:rPr>
        <w:t>.</w:t>
      </w:r>
      <w:r w:rsidR="00386447" w:rsidRPr="007C5FD5">
        <w:rPr>
          <w:rStyle w:val="font0"/>
          <w:rFonts w:cstheme="minorHAnsi"/>
        </w:rPr>
        <w:t>’</w:t>
      </w:r>
      <w:r w:rsidR="00386447" w:rsidRPr="007C5FD5">
        <w:rPr>
          <w:rStyle w:val="FootnoteReference"/>
          <w:rFonts w:cstheme="minorHAnsi"/>
        </w:rPr>
        <w:footnoteReference w:id="59"/>
      </w:r>
      <w:r w:rsidR="00386447" w:rsidRPr="007C5FD5">
        <w:rPr>
          <w:rStyle w:val="font0"/>
          <w:rFonts w:cstheme="minorHAnsi"/>
        </w:rPr>
        <w:t xml:space="preserve"> </w:t>
      </w:r>
      <w:r w:rsidRPr="007C5FD5">
        <w:rPr>
          <w:rStyle w:val="font0"/>
          <w:rFonts w:cstheme="minorHAnsi"/>
        </w:rPr>
        <w:t xml:space="preserve"> </w:t>
      </w:r>
    </w:p>
    <w:p w14:paraId="301924EB" w14:textId="77777777" w:rsidR="00883D45" w:rsidRPr="007C5FD5" w:rsidRDefault="00883D45" w:rsidP="00FD77D8">
      <w:pPr>
        <w:spacing w:after="0" w:line="240" w:lineRule="auto"/>
        <w:jc w:val="both"/>
        <w:rPr>
          <w:rFonts w:cstheme="minorHAnsi"/>
        </w:rPr>
      </w:pPr>
    </w:p>
    <w:p w14:paraId="2653BA3C" w14:textId="70CC0649" w:rsidR="00A64235" w:rsidRPr="007C5FD5" w:rsidRDefault="00067F95" w:rsidP="00FD77D8">
      <w:pPr>
        <w:spacing w:after="0" w:line="240" w:lineRule="auto"/>
        <w:jc w:val="both"/>
        <w:rPr>
          <w:rFonts w:cstheme="minorHAnsi"/>
        </w:rPr>
      </w:pPr>
      <w:r w:rsidRPr="007C5FD5">
        <w:rPr>
          <w:rFonts w:cstheme="minorHAnsi"/>
        </w:rPr>
        <w:t>The Oath carrie</w:t>
      </w:r>
      <w:r w:rsidR="005C724E" w:rsidRPr="007C5FD5">
        <w:rPr>
          <w:rFonts w:cstheme="minorHAnsi"/>
        </w:rPr>
        <w:t>s</w:t>
      </w:r>
      <w:r w:rsidRPr="007C5FD5">
        <w:rPr>
          <w:rFonts w:cstheme="minorHAnsi"/>
        </w:rPr>
        <w:t xml:space="preserve"> its meaning and legitimacy through collective acceptance and</w:t>
      </w:r>
      <w:r w:rsidR="00A40171" w:rsidRPr="007C5FD5">
        <w:rPr>
          <w:rFonts w:cstheme="minorHAnsi"/>
        </w:rPr>
        <w:t xml:space="preserve"> str</w:t>
      </w:r>
      <w:r w:rsidR="00AA4DE8" w:rsidRPr="007C5FD5">
        <w:rPr>
          <w:rFonts w:cstheme="minorHAnsi"/>
        </w:rPr>
        <w:t xml:space="preserve">ict </w:t>
      </w:r>
      <w:r w:rsidRPr="007C5FD5">
        <w:rPr>
          <w:rFonts w:cstheme="minorHAnsi"/>
        </w:rPr>
        <w:t>adherence</w:t>
      </w:r>
      <w:r w:rsidR="005C724E" w:rsidRPr="007C5FD5">
        <w:rPr>
          <w:rFonts w:cstheme="minorHAnsi"/>
        </w:rPr>
        <w:t>; and it</w:t>
      </w:r>
      <w:r w:rsidR="00CF12D0" w:rsidRPr="007C5FD5">
        <w:rPr>
          <w:rFonts w:cstheme="minorHAnsi"/>
        </w:rPr>
        <w:t xml:space="preserve"> is the Oath, as an</w:t>
      </w:r>
      <w:r w:rsidR="005C724E" w:rsidRPr="007C5FD5">
        <w:rPr>
          <w:rFonts w:cstheme="minorHAnsi"/>
        </w:rPr>
        <w:t xml:space="preserve"> institutional </w:t>
      </w:r>
      <w:r w:rsidR="00CF12D0" w:rsidRPr="007C5FD5">
        <w:rPr>
          <w:rFonts w:cstheme="minorHAnsi"/>
        </w:rPr>
        <w:t>guarantee that</w:t>
      </w:r>
      <w:r w:rsidR="005C724E" w:rsidRPr="007C5FD5">
        <w:rPr>
          <w:rFonts w:cstheme="minorHAnsi"/>
        </w:rPr>
        <w:t xml:space="preserve"> </w:t>
      </w:r>
      <w:r w:rsidR="00F06F98" w:rsidRPr="007C5FD5">
        <w:rPr>
          <w:rFonts w:cstheme="minorHAnsi"/>
        </w:rPr>
        <w:t>generates</w:t>
      </w:r>
      <w:r w:rsidR="005C724E" w:rsidRPr="007C5FD5">
        <w:rPr>
          <w:rFonts w:cstheme="minorHAnsi"/>
        </w:rPr>
        <w:t xml:space="preserve"> trust rather than any personal relationship</w:t>
      </w:r>
      <w:r w:rsidRPr="007C5FD5">
        <w:rPr>
          <w:rFonts w:cstheme="minorHAnsi"/>
        </w:rPr>
        <w:t xml:space="preserve">. </w:t>
      </w:r>
    </w:p>
    <w:p w14:paraId="3EF4F87E" w14:textId="2108018F" w:rsidR="00573C40" w:rsidRPr="007C5FD5" w:rsidRDefault="00186C50" w:rsidP="00A64235">
      <w:pPr>
        <w:spacing w:after="0" w:line="240" w:lineRule="auto"/>
        <w:jc w:val="both"/>
        <w:rPr>
          <w:rStyle w:val="ilfuvd"/>
          <w:rFonts w:cstheme="minorHAnsi"/>
        </w:rPr>
      </w:pPr>
      <w:r w:rsidRPr="007C5FD5">
        <w:rPr>
          <w:rFonts w:cstheme="minorHAnsi"/>
        </w:rPr>
        <w:lastRenderedPageBreak/>
        <w:t>Th</w:t>
      </w:r>
      <w:r w:rsidR="00067F95" w:rsidRPr="007C5FD5">
        <w:rPr>
          <w:rFonts w:cstheme="minorHAnsi"/>
        </w:rPr>
        <w:t>e</w:t>
      </w:r>
      <w:r w:rsidRPr="007C5FD5">
        <w:rPr>
          <w:rFonts w:cstheme="minorHAnsi"/>
        </w:rPr>
        <w:t xml:space="preserve"> kite-marking</w:t>
      </w:r>
      <w:r w:rsidR="00CC2F1B" w:rsidRPr="007C5FD5">
        <w:rPr>
          <w:rFonts w:cstheme="minorHAnsi"/>
        </w:rPr>
        <w:t>, or self-regulation,</w:t>
      </w:r>
      <w:r w:rsidR="00B654B7" w:rsidRPr="007C5FD5">
        <w:rPr>
          <w:rFonts w:cstheme="minorHAnsi"/>
        </w:rPr>
        <w:t xml:space="preserve"> </w:t>
      </w:r>
      <w:r w:rsidR="00A44CCB" w:rsidRPr="007C5FD5">
        <w:rPr>
          <w:rFonts w:cstheme="minorHAnsi"/>
        </w:rPr>
        <w:t>through</w:t>
      </w:r>
      <w:r w:rsidR="00B654B7" w:rsidRPr="007C5FD5">
        <w:rPr>
          <w:rFonts w:cstheme="minorHAnsi"/>
        </w:rPr>
        <w:t xml:space="preserve"> the </w:t>
      </w:r>
      <w:r w:rsidR="00FA54C5" w:rsidRPr="007C5FD5">
        <w:rPr>
          <w:rFonts w:cstheme="minorHAnsi"/>
        </w:rPr>
        <w:t>O</w:t>
      </w:r>
      <w:r w:rsidR="00B654B7" w:rsidRPr="007C5FD5">
        <w:rPr>
          <w:rFonts w:cstheme="minorHAnsi"/>
        </w:rPr>
        <w:t>ath</w:t>
      </w:r>
      <w:r w:rsidR="007D6C12" w:rsidRPr="007C5FD5">
        <w:rPr>
          <w:rFonts w:cstheme="minorHAnsi"/>
        </w:rPr>
        <w:t xml:space="preserve"> </w:t>
      </w:r>
      <w:r w:rsidR="008C0A12" w:rsidRPr="007C5FD5">
        <w:rPr>
          <w:rFonts w:cstheme="minorHAnsi"/>
        </w:rPr>
        <w:t>allow</w:t>
      </w:r>
      <w:r w:rsidR="005C724E" w:rsidRPr="007C5FD5">
        <w:rPr>
          <w:rFonts w:cstheme="minorHAnsi"/>
        </w:rPr>
        <w:t xml:space="preserve">s </w:t>
      </w:r>
      <w:r w:rsidR="008C0A12" w:rsidRPr="007C5FD5">
        <w:rPr>
          <w:rFonts w:cstheme="minorHAnsi"/>
        </w:rPr>
        <w:t>for a two-sided deal</w:t>
      </w:r>
      <w:r w:rsidR="00A37F6B" w:rsidRPr="007C5FD5">
        <w:rPr>
          <w:rFonts w:cstheme="minorHAnsi"/>
        </w:rPr>
        <w:t xml:space="preserve"> </w:t>
      </w:r>
      <w:r w:rsidR="00455305" w:rsidRPr="007C5FD5">
        <w:rPr>
          <w:rFonts w:cstheme="minorHAnsi"/>
        </w:rPr>
        <w:t xml:space="preserve">to be struck between doctor and patient </w:t>
      </w:r>
      <w:r w:rsidR="00642551" w:rsidRPr="007C5FD5">
        <w:rPr>
          <w:rFonts w:cstheme="minorHAnsi"/>
        </w:rPr>
        <w:t>based on</w:t>
      </w:r>
      <w:r w:rsidR="006C58B6">
        <w:rPr>
          <w:rFonts w:cstheme="minorHAnsi"/>
        </w:rPr>
        <w:t xml:space="preserve"> a</w:t>
      </w:r>
      <w:r w:rsidR="00642551" w:rsidRPr="007C5FD5">
        <w:rPr>
          <w:rFonts w:cstheme="minorHAnsi"/>
        </w:rPr>
        <w:t xml:space="preserve"> reciproc</w:t>
      </w:r>
      <w:r w:rsidR="006C58B6">
        <w:rPr>
          <w:rFonts w:cstheme="minorHAnsi"/>
        </w:rPr>
        <w:t>ity of</w:t>
      </w:r>
      <w:r w:rsidR="00642551" w:rsidRPr="007C5FD5">
        <w:rPr>
          <w:rFonts w:cstheme="minorHAnsi"/>
        </w:rPr>
        <w:t xml:space="preserve"> interests</w:t>
      </w:r>
      <w:r w:rsidR="00455305" w:rsidRPr="007C5FD5">
        <w:rPr>
          <w:rFonts w:cstheme="minorHAnsi"/>
        </w:rPr>
        <w:t xml:space="preserve">. </w:t>
      </w:r>
      <w:r w:rsidRPr="007C5FD5">
        <w:rPr>
          <w:rFonts w:cstheme="minorHAnsi"/>
        </w:rPr>
        <w:t xml:space="preserve">The physician, </w:t>
      </w:r>
      <w:r w:rsidR="00431551" w:rsidRPr="007C5FD5">
        <w:rPr>
          <w:rFonts w:cstheme="minorHAnsi"/>
        </w:rPr>
        <w:t xml:space="preserve">and more precisely </w:t>
      </w:r>
      <w:r w:rsidRPr="007C5FD5">
        <w:rPr>
          <w:rFonts w:cstheme="minorHAnsi"/>
        </w:rPr>
        <w:t xml:space="preserve">the medical profession, </w:t>
      </w:r>
      <w:r w:rsidR="008C0A12" w:rsidRPr="007C5FD5">
        <w:rPr>
          <w:rFonts w:cstheme="minorHAnsi"/>
        </w:rPr>
        <w:t>ha</w:t>
      </w:r>
      <w:r w:rsidR="005C724E" w:rsidRPr="007C5FD5">
        <w:rPr>
          <w:rFonts w:cstheme="minorHAnsi"/>
        </w:rPr>
        <w:t>s</w:t>
      </w:r>
      <w:r w:rsidR="008C0A12" w:rsidRPr="007C5FD5">
        <w:rPr>
          <w:rFonts w:cstheme="minorHAnsi"/>
        </w:rPr>
        <w:t xml:space="preserve"> </w:t>
      </w:r>
      <w:r w:rsidRPr="007C5FD5">
        <w:rPr>
          <w:rFonts w:cstheme="minorHAnsi"/>
        </w:rPr>
        <w:t>a</w:t>
      </w:r>
      <w:r w:rsidR="00431551" w:rsidRPr="007C5FD5">
        <w:rPr>
          <w:rFonts w:cstheme="minorHAnsi"/>
        </w:rPr>
        <w:t xml:space="preserve"> collective </w:t>
      </w:r>
      <w:r w:rsidRPr="007C5FD5">
        <w:rPr>
          <w:rFonts w:cstheme="minorHAnsi"/>
        </w:rPr>
        <w:t>interest in patient</w:t>
      </w:r>
      <w:r w:rsidR="00E9366E" w:rsidRPr="007C5FD5">
        <w:rPr>
          <w:rFonts w:cstheme="minorHAnsi"/>
        </w:rPr>
        <w:t>s</w:t>
      </w:r>
      <w:r w:rsidRPr="007C5FD5">
        <w:rPr>
          <w:rFonts w:cstheme="minorHAnsi"/>
        </w:rPr>
        <w:t xml:space="preserve"> </w:t>
      </w:r>
      <w:r w:rsidR="008C0A12" w:rsidRPr="007C5FD5">
        <w:rPr>
          <w:rFonts w:cstheme="minorHAnsi"/>
        </w:rPr>
        <w:t>truthfully disclosing</w:t>
      </w:r>
      <w:r w:rsidRPr="007C5FD5">
        <w:rPr>
          <w:rFonts w:cstheme="minorHAnsi"/>
        </w:rPr>
        <w:t xml:space="preserve"> </w:t>
      </w:r>
      <w:r w:rsidR="008C0A12" w:rsidRPr="007C5FD5">
        <w:rPr>
          <w:rFonts w:cstheme="minorHAnsi"/>
        </w:rPr>
        <w:t>‘</w:t>
      </w:r>
      <w:r w:rsidRPr="007C5FD5">
        <w:rPr>
          <w:rFonts w:cstheme="minorHAnsi"/>
        </w:rPr>
        <w:t>information that may be relevant to the diagnosis, to trust in the physician’s professional ability and co-operate in observing the prescribe</w:t>
      </w:r>
      <w:r w:rsidR="00AB2175" w:rsidRPr="007C5FD5">
        <w:rPr>
          <w:rFonts w:cstheme="minorHAnsi"/>
        </w:rPr>
        <w:t>d</w:t>
      </w:r>
      <w:r w:rsidRPr="007C5FD5">
        <w:rPr>
          <w:rFonts w:cstheme="minorHAnsi"/>
        </w:rPr>
        <w:t xml:space="preserve"> therapeutic regime</w:t>
      </w:r>
      <w:r w:rsidR="00321BD7" w:rsidRPr="007C5FD5">
        <w:rPr>
          <w:rFonts w:cstheme="minorHAnsi"/>
        </w:rPr>
        <w:t>.</w:t>
      </w:r>
      <w:r w:rsidRPr="007C5FD5">
        <w:rPr>
          <w:rFonts w:cstheme="minorHAnsi"/>
        </w:rPr>
        <w:t>’</w:t>
      </w:r>
      <w:r w:rsidR="007D6C12" w:rsidRPr="007C5FD5">
        <w:rPr>
          <w:rStyle w:val="FootnoteReference"/>
          <w:rFonts w:cstheme="minorHAnsi"/>
        </w:rPr>
        <w:footnoteReference w:id="60"/>
      </w:r>
      <w:r w:rsidR="00A64235" w:rsidRPr="007C5FD5">
        <w:rPr>
          <w:rFonts w:cstheme="minorHAnsi"/>
        </w:rPr>
        <w:t xml:space="preserve"> </w:t>
      </w:r>
      <w:r w:rsidR="00E9366E" w:rsidRPr="007C5FD5">
        <w:rPr>
          <w:rFonts w:cstheme="minorHAnsi"/>
        </w:rPr>
        <w:t>P</w:t>
      </w:r>
      <w:r w:rsidRPr="007C5FD5">
        <w:rPr>
          <w:rFonts w:cstheme="minorHAnsi"/>
        </w:rPr>
        <w:t>atient</w:t>
      </w:r>
      <w:r w:rsidR="00E9366E" w:rsidRPr="007C5FD5">
        <w:rPr>
          <w:rFonts w:cstheme="minorHAnsi"/>
        </w:rPr>
        <w:t>s</w:t>
      </w:r>
      <w:r w:rsidRPr="007C5FD5">
        <w:rPr>
          <w:rFonts w:cstheme="minorHAnsi"/>
        </w:rPr>
        <w:t xml:space="preserve"> ha</w:t>
      </w:r>
      <w:r w:rsidR="005C724E" w:rsidRPr="007C5FD5">
        <w:rPr>
          <w:rFonts w:cstheme="minorHAnsi"/>
        </w:rPr>
        <w:t>ve</w:t>
      </w:r>
      <w:r w:rsidRPr="007C5FD5">
        <w:rPr>
          <w:rFonts w:cstheme="minorHAnsi"/>
        </w:rPr>
        <w:t xml:space="preserve"> an interest </w:t>
      </w:r>
      <w:r w:rsidR="00A317B5" w:rsidRPr="007C5FD5">
        <w:rPr>
          <w:rFonts w:cstheme="minorHAnsi"/>
        </w:rPr>
        <w:t>in t</w:t>
      </w:r>
      <w:r w:rsidRPr="007C5FD5">
        <w:rPr>
          <w:rFonts w:cstheme="minorHAnsi"/>
        </w:rPr>
        <w:t xml:space="preserve">he </w:t>
      </w:r>
      <w:bookmarkStart w:id="11" w:name="_Toc95071550"/>
      <w:r w:rsidRPr="007C5FD5">
        <w:rPr>
          <w:rFonts w:cstheme="minorHAnsi"/>
        </w:rPr>
        <w:t>physician ‘</w:t>
      </w:r>
      <w:r w:rsidR="00A30D11" w:rsidRPr="007C5FD5">
        <w:rPr>
          <w:rFonts w:cstheme="minorHAnsi"/>
        </w:rPr>
        <w:t>utilis</w:t>
      </w:r>
      <w:r w:rsidR="00A317B5" w:rsidRPr="007C5FD5">
        <w:rPr>
          <w:rFonts w:cstheme="minorHAnsi"/>
        </w:rPr>
        <w:t>[</w:t>
      </w:r>
      <w:proofErr w:type="spellStart"/>
      <w:r w:rsidR="00A317B5" w:rsidRPr="007C5FD5">
        <w:rPr>
          <w:rFonts w:cstheme="minorHAnsi"/>
        </w:rPr>
        <w:t>ing</w:t>
      </w:r>
      <w:proofErr w:type="spellEnd"/>
      <w:r w:rsidR="00A317B5" w:rsidRPr="007C5FD5">
        <w:rPr>
          <w:rFonts w:cstheme="minorHAnsi"/>
        </w:rPr>
        <w:t>]</w:t>
      </w:r>
      <w:r w:rsidR="00A30D11" w:rsidRPr="007C5FD5">
        <w:rPr>
          <w:rFonts w:cstheme="minorHAnsi"/>
        </w:rPr>
        <w:t xml:space="preserve"> scientific knowledge and clinical skills in arriving at </w:t>
      </w:r>
      <w:r w:rsidR="00394A02" w:rsidRPr="007C5FD5">
        <w:rPr>
          <w:rFonts w:cstheme="minorHAnsi"/>
        </w:rPr>
        <w:t xml:space="preserve">an </w:t>
      </w:r>
      <w:r w:rsidR="00A30D11" w:rsidRPr="007C5FD5">
        <w:rPr>
          <w:rFonts w:cstheme="minorHAnsi"/>
        </w:rPr>
        <w:t>accurate</w:t>
      </w:r>
      <w:r w:rsidR="00AD1982" w:rsidRPr="007C5FD5">
        <w:rPr>
          <w:rFonts w:cstheme="minorHAnsi"/>
        </w:rPr>
        <w:t xml:space="preserve"> </w:t>
      </w:r>
      <w:r w:rsidR="00A30D11" w:rsidRPr="007C5FD5">
        <w:rPr>
          <w:rFonts w:cstheme="minorHAnsi"/>
        </w:rPr>
        <w:t>diagnosis and efficacious treatment</w:t>
      </w:r>
      <w:r w:rsidRPr="007C5FD5">
        <w:rPr>
          <w:rFonts w:cstheme="minorHAnsi"/>
        </w:rPr>
        <w:t>’</w:t>
      </w:r>
      <w:r w:rsidR="007D6C12" w:rsidRPr="007C5FD5">
        <w:rPr>
          <w:rStyle w:val="FootnoteReference"/>
          <w:rFonts w:cstheme="minorHAnsi"/>
        </w:rPr>
        <w:footnoteReference w:id="61"/>
      </w:r>
      <w:r w:rsidR="00547804" w:rsidRPr="007C5FD5">
        <w:rPr>
          <w:rFonts w:cstheme="minorHAnsi"/>
        </w:rPr>
        <w:t xml:space="preserve"> </w:t>
      </w:r>
      <w:r w:rsidRPr="007C5FD5">
        <w:rPr>
          <w:rFonts w:cstheme="minorHAnsi"/>
        </w:rPr>
        <w:t xml:space="preserve">and </w:t>
      </w:r>
      <w:r w:rsidR="008C0A12" w:rsidRPr="007C5FD5">
        <w:rPr>
          <w:rFonts w:cstheme="minorHAnsi"/>
        </w:rPr>
        <w:t>guard</w:t>
      </w:r>
      <w:r w:rsidR="00A317B5" w:rsidRPr="007C5FD5">
        <w:rPr>
          <w:rFonts w:cstheme="minorHAnsi"/>
        </w:rPr>
        <w:t>ing</w:t>
      </w:r>
      <w:r w:rsidR="008C0A12" w:rsidRPr="007C5FD5">
        <w:rPr>
          <w:rFonts w:cstheme="minorHAnsi"/>
        </w:rPr>
        <w:t xml:space="preserve"> her</w:t>
      </w:r>
      <w:r w:rsidRPr="007C5FD5">
        <w:rPr>
          <w:rFonts w:cstheme="minorHAnsi"/>
        </w:rPr>
        <w:t xml:space="preserve"> confiden</w:t>
      </w:r>
      <w:r w:rsidR="00AD1982" w:rsidRPr="007C5FD5">
        <w:rPr>
          <w:rFonts w:cstheme="minorHAnsi"/>
        </w:rPr>
        <w:t>ces</w:t>
      </w:r>
      <w:r w:rsidR="00300996" w:rsidRPr="007C5FD5">
        <w:rPr>
          <w:rFonts w:cstheme="minorHAnsi"/>
        </w:rPr>
        <w:t xml:space="preserve"> </w:t>
      </w:r>
      <w:r w:rsidR="008C0A12" w:rsidRPr="007C5FD5">
        <w:rPr>
          <w:rFonts w:cstheme="minorHAnsi"/>
        </w:rPr>
        <w:t>from disclosure</w:t>
      </w:r>
      <w:r w:rsidR="00A317B5" w:rsidRPr="007C5FD5">
        <w:rPr>
          <w:rFonts w:cstheme="minorHAnsi"/>
        </w:rPr>
        <w:t xml:space="preserve"> which</w:t>
      </w:r>
      <w:r w:rsidR="008C0A12" w:rsidRPr="007C5FD5">
        <w:rPr>
          <w:rFonts w:cstheme="minorHAnsi"/>
        </w:rPr>
        <w:t xml:space="preserve"> </w:t>
      </w:r>
      <w:r w:rsidR="007D6C12" w:rsidRPr="007C5FD5">
        <w:rPr>
          <w:rFonts w:cstheme="minorHAnsi"/>
        </w:rPr>
        <w:t>could</w:t>
      </w:r>
      <w:r w:rsidR="008C0A12" w:rsidRPr="007C5FD5">
        <w:rPr>
          <w:rFonts w:cstheme="minorHAnsi"/>
        </w:rPr>
        <w:t xml:space="preserve"> cause</w:t>
      </w:r>
      <w:r w:rsidR="00A317B5" w:rsidRPr="007C5FD5">
        <w:rPr>
          <w:rFonts w:cstheme="minorHAnsi"/>
        </w:rPr>
        <w:t xml:space="preserve"> </w:t>
      </w:r>
      <w:r w:rsidR="00A30D11" w:rsidRPr="007C5FD5">
        <w:rPr>
          <w:rFonts w:cstheme="minorHAnsi"/>
        </w:rPr>
        <w:t>embarrassment, stigma or incrimination</w:t>
      </w:r>
      <w:r w:rsidRPr="007C5FD5">
        <w:rPr>
          <w:rFonts w:cstheme="minorHAnsi"/>
        </w:rPr>
        <w:t>.</w:t>
      </w:r>
      <w:r w:rsidR="005603E7" w:rsidRPr="007C5FD5">
        <w:rPr>
          <w:rFonts w:cstheme="minorHAnsi"/>
        </w:rPr>
        <w:t xml:space="preserve"> </w:t>
      </w:r>
      <w:r w:rsidR="00A65BD8" w:rsidRPr="007C5FD5">
        <w:rPr>
          <w:rFonts w:cstheme="minorHAnsi"/>
        </w:rPr>
        <w:t xml:space="preserve">In </w:t>
      </w:r>
      <w:r w:rsidR="00A317B5" w:rsidRPr="007C5FD5">
        <w:rPr>
          <w:rFonts w:cstheme="minorHAnsi"/>
        </w:rPr>
        <w:t xml:space="preserve">that way, </w:t>
      </w:r>
      <w:r w:rsidR="00FA54C5" w:rsidRPr="007C5FD5">
        <w:rPr>
          <w:rFonts w:cstheme="minorHAnsi"/>
        </w:rPr>
        <w:t xml:space="preserve">the professional duty </w:t>
      </w:r>
      <w:r w:rsidR="00A65BD8" w:rsidRPr="007C5FD5">
        <w:rPr>
          <w:rFonts w:cstheme="minorHAnsi"/>
        </w:rPr>
        <w:t>act</w:t>
      </w:r>
      <w:r w:rsidR="00923684" w:rsidRPr="007C5FD5">
        <w:rPr>
          <w:rFonts w:cstheme="minorHAnsi"/>
        </w:rPr>
        <w:t>s</w:t>
      </w:r>
      <w:r w:rsidR="00A65BD8" w:rsidRPr="007C5FD5">
        <w:rPr>
          <w:rFonts w:cstheme="minorHAnsi"/>
        </w:rPr>
        <w:t xml:space="preserve"> as </w:t>
      </w:r>
      <w:r w:rsidR="00FA54C5" w:rsidRPr="007C5FD5">
        <w:rPr>
          <w:rFonts w:cstheme="minorHAnsi"/>
        </w:rPr>
        <w:t xml:space="preserve">a trust mechanism </w:t>
      </w:r>
      <w:r w:rsidR="00A65BD8" w:rsidRPr="007C5FD5">
        <w:rPr>
          <w:rFonts w:cstheme="minorHAnsi"/>
        </w:rPr>
        <w:t>for effective</w:t>
      </w:r>
      <w:r w:rsidR="00FA54C5" w:rsidRPr="007C5FD5">
        <w:rPr>
          <w:rFonts w:cstheme="minorHAnsi"/>
        </w:rPr>
        <w:t xml:space="preserve"> medical practice and treatment</w:t>
      </w:r>
      <w:r w:rsidR="001E42B6" w:rsidRPr="007C5FD5">
        <w:rPr>
          <w:rFonts w:cstheme="minorHAnsi"/>
        </w:rPr>
        <w:t>.</w:t>
      </w:r>
      <w:r w:rsidR="00FA54C5" w:rsidRPr="007C5FD5">
        <w:rPr>
          <w:rFonts w:cstheme="minorHAnsi"/>
        </w:rPr>
        <w:t xml:space="preserve"> </w:t>
      </w:r>
      <w:r w:rsidR="00431551" w:rsidRPr="007C5FD5">
        <w:rPr>
          <w:rFonts w:cstheme="minorHAnsi"/>
        </w:rPr>
        <w:t>Contrary to the reasoning of the ECtHR in</w:t>
      </w:r>
      <w:r w:rsidR="00633B23" w:rsidRPr="007C5FD5">
        <w:rPr>
          <w:rFonts w:cstheme="minorHAnsi"/>
        </w:rPr>
        <w:t xml:space="preserve"> </w:t>
      </w:r>
      <w:proofErr w:type="spellStart"/>
      <w:r w:rsidR="00633B23" w:rsidRPr="007C5FD5">
        <w:rPr>
          <w:rFonts w:cstheme="minorHAnsi"/>
          <w:i/>
          <w:iCs/>
        </w:rPr>
        <w:t>Plon</w:t>
      </w:r>
      <w:proofErr w:type="spellEnd"/>
      <w:r w:rsidR="00633B23" w:rsidRPr="007C5FD5">
        <w:rPr>
          <w:rFonts w:cstheme="minorHAnsi"/>
          <w:i/>
          <w:iCs/>
        </w:rPr>
        <w:t xml:space="preserve"> (</w:t>
      </w:r>
      <w:r w:rsidR="004D0E29" w:rsidRPr="007C5FD5">
        <w:rPr>
          <w:rFonts w:cstheme="minorHAnsi"/>
          <w:i/>
          <w:iCs/>
        </w:rPr>
        <w:t>Société</w:t>
      </w:r>
      <w:r w:rsidR="00633B23" w:rsidRPr="007C5FD5">
        <w:rPr>
          <w:rFonts w:cstheme="minorHAnsi"/>
          <w:i/>
          <w:iCs/>
        </w:rPr>
        <w:t>)</w:t>
      </w:r>
      <w:r w:rsidR="00431551" w:rsidRPr="007C5FD5">
        <w:rPr>
          <w:rFonts w:cstheme="minorHAnsi"/>
        </w:rPr>
        <w:t xml:space="preserve"> the duty of confidentiality is not founded on a</w:t>
      </w:r>
      <w:r w:rsidR="00275A2A" w:rsidRPr="007C5FD5">
        <w:rPr>
          <w:rFonts w:cstheme="minorHAnsi"/>
        </w:rPr>
        <w:t xml:space="preserve">n </w:t>
      </w:r>
      <w:r w:rsidR="00275A2A" w:rsidRPr="007C5FD5">
        <w:rPr>
          <w:rFonts w:cstheme="minorHAnsi"/>
          <w:i/>
          <w:iCs/>
        </w:rPr>
        <w:t>a priori</w:t>
      </w:r>
      <w:r w:rsidR="00431551" w:rsidRPr="007C5FD5">
        <w:rPr>
          <w:rFonts w:cstheme="minorHAnsi"/>
        </w:rPr>
        <w:t xml:space="preserve"> relationship of trust but </w:t>
      </w:r>
      <w:r w:rsidR="00A06118" w:rsidRPr="007C5FD5">
        <w:rPr>
          <w:rFonts w:cstheme="minorHAnsi"/>
        </w:rPr>
        <w:t>allows</w:t>
      </w:r>
      <w:r w:rsidR="000704FA" w:rsidRPr="007C5FD5">
        <w:rPr>
          <w:rFonts w:cstheme="minorHAnsi"/>
        </w:rPr>
        <w:t xml:space="preserve"> for</w:t>
      </w:r>
      <w:r w:rsidR="00A06118" w:rsidRPr="007C5FD5">
        <w:rPr>
          <w:rFonts w:cstheme="minorHAnsi"/>
        </w:rPr>
        <w:t xml:space="preserve"> </w:t>
      </w:r>
      <w:r w:rsidR="00431551" w:rsidRPr="007C5FD5">
        <w:rPr>
          <w:rFonts w:cstheme="minorHAnsi"/>
        </w:rPr>
        <w:t>that</w:t>
      </w:r>
      <w:r w:rsidR="0056543A" w:rsidRPr="007C5FD5">
        <w:rPr>
          <w:rFonts w:cstheme="minorHAnsi"/>
        </w:rPr>
        <w:t xml:space="preserve"> trust</w:t>
      </w:r>
      <w:r w:rsidR="00431551" w:rsidRPr="007C5FD5">
        <w:rPr>
          <w:rFonts w:cstheme="minorHAnsi"/>
        </w:rPr>
        <w:t xml:space="preserve"> relationship</w:t>
      </w:r>
      <w:r w:rsidR="000704FA" w:rsidRPr="007C5FD5">
        <w:rPr>
          <w:rFonts w:cstheme="minorHAnsi"/>
        </w:rPr>
        <w:t xml:space="preserve"> to be created</w:t>
      </w:r>
      <w:r w:rsidR="00A06118" w:rsidRPr="007C5FD5">
        <w:rPr>
          <w:rFonts w:cstheme="minorHAnsi"/>
        </w:rPr>
        <w:t>. Trust is the</w:t>
      </w:r>
      <w:r w:rsidR="00E9366E" w:rsidRPr="007C5FD5">
        <w:rPr>
          <w:rFonts w:cstheme="minorHAnsi"/>
        </w:rPr>
        <w:t xml:space="preserve"> </w:t>
      </w:r>
      <w:r w:rsidR="007B76AC" w:rsidRPr="007C5FD5">
        <w:rPr>
          <w:rFonts w:cstheme="minorHAnsi"/>
        </w:rPr>
        <w:t>outcome</w:t>
      </w:r>
      <w:r w:rsidR="00A06118" w:rsidRPr="007C5FD5">
        <w:rPr>
          <w:rFonts w:cstheme="minorHAnsi"/>
        </w:rPr>
        <w:t xml:space="preserve">, not the </w:t>
      </w:r>
      <w:r w:rsidR="00A653D7" w:rsidRPr="007C5FD5">
        <w:rPr>
          <w:rFonts w:cstheme="minorHAnsi"/>
        </w:rPr>
        <w:t>foundation</w:t>
      </w:r>
      <w:r w:rsidR="00A06118" w:rsidRPr="007C5FD5">
        <w:rPr>
          <w:rFonts w:cstheme="minorHAnsi"/>
        </w:rPr>
        <w:t>.</w:t>
      </w:r>
      <w:r w:rsidR="00E9366E" w:rsidRPr="007C5FD5">
        <w:rPr>
          <w:rStyle w:val="FootnoteReference"/>
          <w:rFonts w:cstheme="minorHAnsi"/>
        </w:rPr>
        <w:footnoteReference w:id="62"/>
      </w:r>
      <w:r w:rsidR="00A06118" w:rsidRPr="007C5FD5">
        <w:rPr>
          <w:rFonts w:cstheme="minorHAnsi"/>
        </w:rPr>
        <w:t xml:space="preserve"> </w:t>
      </w:r>
      <w:r w:rsidR="005603E7" w:rsidRPr="007C5FD5">
        <w:rPr>
          <w:rFonts w:cstheme="minorHAnsi"/>
        </w:rPr>
        <w:t>On a</w:t>
      </w:r>
      <w:r w:rsidR="00CD2809" w:rsidRPr="007C5FD5">
        <w:rPr>
          <w:rFonts w:cstheme="minorHAnsi"/>
        </w:rPr>
        <w:t xml:space="preserve"> sharper</w:t>
      </w:r>
      <w:r w:rsidR="005603E7" w:rsidRPr="007C5FD5">
        <w:rPr>
          <w:rFonts w:cstheme="minorHAnsi"/>
        </w:rPr>
        <w:t xml:space="preserve"> reading, however, the </w:t>
      </w:r>
      <w:r w:rsidR="00E30510" w:rsidRPr="007C5FD5">
        <w:rPr>
          <w:rFonts w:cstheme="minorHAnsi"/>
        </w:rPr>
        <w:t>O</w:t>
      </w:r>
      <w:r w:rsidR="005603E7" w:rsidRPr="007C5FD5">
        <w:rPr>
          <w:rFonts w:cstheme="minorHAnsi"/>
        </w:rPr>
        <w:t>ath’s ‘obligations of secrecy were as much concerned with protecting trade secrets and maintaining control over initiates as they were concerned with the patient’s interests.’</w:t>
      </w:r>
      <w:r w:rsidR="005603E7" w:rsidRPr="007C5FD5">
        <w:rPr>
          <w:rStyle w:val="FootnoteReference"/>
          <w:rFonts w:cstheme="minorHAnsi"/>
        </w:rPr>
        <w:footnoteReference w:id="63"/>
      </w:r>
      <w:r w:rsidR="0012524D" w:rsidRPr="007C5FD5">
        <w:rPr>
          <w:rFonts w:cstheme="minorHAnsi"/>
        </w:rPr>
        <w:t xml:space="preserve"> </w:t>
      </w:r>
      <w:r w:rsidR="005F3F7A" w:rsidRPr="007C5FD5">
        <w:rPr>
          <w:rFonts w:cstheme="minorHAnsi"/>
        </w:rPr>
        <w:t>Such construction make</w:t>
      </w:r>
      <w:r w:rsidR="00CD2809" w:rsidRPr="007C5FD5">
        <w:rPr>
          <w:rFonts w:cstheme="minorHAnsi"/>
        </w:rPr>
        <w:t>s</w:t>
      </w:r>
      <w:r w:rsidR="005F3F7A" w:rsidRPr="007C5FD5">
        <w:rPr>
          <w:rFonts w:cstheme="minorHAnsi"/>
        </w:rPr>
        <w:t xml:space="preserve"> reliance on </w:t>
      </w:r>
      <w:r w:rsidR="0012524D" w:rsidRPr="007C5FD5">
        <w:rPr>
          <w:rFonts w:cstheme="minorHAnsi"/>
        </w:rPr>
        <w:t xml:space="preserve">trade secret </w:t>
      </w:r>
      <w:r w:rsidR="005F3F7A" w:rsidRPr="007C5FD5">
        <w:rPr>
          <w:rFonts w:cstheme="minorHAnsi"/>
        </w:rPr>
        <w:t xml:space="preserve">cases like </w:t>
      </w:r>
      <w:r w:rsidR="005F3F7A" w:rsidRPr="007C5FD5">
        <w:rPr>
          <w:rFonts w:eastAsia="Times New Roman" w:cstheme="minorHAnsi"/>
          <w:i/>
          <w:iCs/>
          <w:lang w:eastAsia="en-GB"/>
        </w:rPr>
        <w:t>Morison v Moat</w:t>
      </w:r>
      <w:r w:rsidR="005F3F7A" w:rsidRPr="007C5FD5">
        <w:rPr>
          <w:rFonts w:eastAsia="Times New Roman" w:cstheme="minorHAnsi"/>
          <w:lang w:eastAsia="en-GB"/>
        </w:rPr>
        <w:t xml:space="preserve"> (1851) </w:t>
      </w:r>
      <w:r w:rsidR="00606CCE" w:rsidRPr="007C5FD5">
        <w:rPr>
          <w:rFonts w:eastAsia="Times New Roman" w:cstheme="minorHAnsi"/>
          <w:lang w:eastAsia="en-GB"/>
        </w:rPr>
        <w:t>as precedents for the post-mortem duty not so outlandish</w:t>
      </w:r>
      <w:r w:rsidR="00B25297" w:rsidRPr="007C5FD5">
        <w:rPr>
          <w:rFonts w:eastAsia="Times New Roman" w:cstheme="minorHAnsi"/>
          <w:lang w:eastAsia="en-GB"/>
        </w:rPr>
        <w:t xml:space="preserve"> after all</w:t>
      </w:r>
      <w:r w:rsidR="00564485" w:rsidRPr="007C5FD5">
        <w:rPr>
          <w:rFonts w:eastAsia="Times New Roman" w:cstheme="minorHAnsi"/>
          <w:lang w:eastAsia="en-GB"/>
        </w:rPr>
        <w:t xml:space="preserve">, </w:t>
      </w:r>
      <w:r w:rsidR="0012524D" w:rsidRPr="007C5FD5">
        <w:rPr>
          <w:rFonts w:eastAsia="Times New Roman" w:cstheme="minorHAnsi"/>
          <w:lang w:eastAsia="en-GB"/>
        </w:rPr>
        <w:t>and</w:t>
      </w:r>
      <w:r w:rsidR="00564485" w:rsidRPr="007C5FD5">
        <w:rPr>
          <w:rFonts w:eastAsia="Times New Roman" w:cstheme="minorHAnsi"/>
          <w:lang w:eastAsia="en-GB"/>
        </w:rPr>
        <w:t xml:space="preserve"> in </w:t>
      </w:r>
      <w:r w:rsidR="00CD2809" w:rsidRPr="007C5FD5">
        <w:rPr>
          <w:rFonts w:cstheme="minorHAnsi"/>
        </w:rPr>
        <w:t xml:space="preserve">any event </w:t>
      </w:r>
      <w:r w:rsidR="00D648DB" w:rsidRPr="007C5FD5">
        <w:rPr>
          <w:rFonts w:cstheme="minorHAnsi"/>
        </w:rPr>
        <w:t xml:space="preserve">usefully </w:t>
      </w:r>
      <w:r w:rsidR="00CD2809" w:rsidRPr="007C5FD5">
        <w:rPr>
          <w:rFonts w:cstheme="minorHAnsi"/>
        </w:rPr>
        <w:t>underlines</w:t>
      </w:r>
      <w:r w:rsidR="00D648DB" w:rsidRPr="007C5FD5">
        <w:rPr>
          <w:rFonts w:cstheme="minorHAnsi"/>
        </w:rPr>
        <w:t xml:space="preserve"> the double-edged nature of </w:t>
      </w:r>
      <w:r w:rsidR="001F1A89" w:rsidRPr="007C5FD5">
        <w:rPr>
          <w:rFonts w:cstheme="minorHAnsi"/>
        </w:rPr>
        <w:t>confidentiality</w:t>
      </w:r>
      <w:r w:rsidR="00D648DB" w:rsidRPr="007C5FD5">
        <w:rPr>
          <w:rFonts w:cstheme="minorHAnsi"/>
        </w:rPr>
        <w:t xml:space="preserve"> </w:t>
      </w:r>
      <w:r w:rsidR="005A50C2" w:rsidRPr="007C5FD5">
        <w:rPr>
          <w:rFonts w:cstheme="minorHAnsi"/>
        </w:rPr>
        <w:t>and</w:t>
      </w:r>
      <w:r w:rsidR="00D648DB" w:rsidRPr="007C5FD5">
        <w:rPr>
          <w:rFonts w:cstheme="minorHAnsi"/>
        </w:rPr>
        <w:t xml:space="preserve"> </w:t>
      </w:r>
      <w:r w:rsidR="0036262D" w:rsidRPr="007C5FD5">
        <w:rPr>
          <w:rFonts w:cstheme="minorHAnsi"/>
        </w:rPr>
        <w:t>its</w:t>
      </w:r>
      <w:r w:rsidR="006342D6" w:rsidRPr="007C5FD5">
        <w:rPr>
          <w:rFonts w:cstheme="minorHAnsi"/>
        </w:rPr>
        <w:t xml:space="preserve"> potential</w:t>
      </w:r>
      <w:r w:rsidR="004C4AB4" w:rsidRPr="007C5FD5">
        <w:rPr>
          <w:rFonts w:cstheme="minorHAnsi"/>
        </w:rPr>
        <w:t xml:space="preserve">ly </w:t>
      </w:r>
      <w:r w:rsidR="00D648DB" w:rsidRPr="007C5FD5">
        <w:rPr>
          <w:rFonts w:cstheme="minorHAnsi"/>
        </w:rPr>
        <w:t xml:space="preserve">protective </w:t>
      </w:r>
      <w:r w:rsidR="00564485" w:rsidRPr="007C5FD5">
        <w:rPr>
          <w:rFonts w:cstheme="minorHAnsi"/>
        </w:rPr>
        <w:t>effect</w:t>
      </w:r>
      <w:r w:rsidR="0084487F" w:rsidRPr="007C5FD5">
        <w:rPr>
          <w:rFonts w:cstheme="minorHAnsi"/>
        </w:rPr>
        <w:t xml:space="preserve"> o</w:t>
      </w:r>
      <w:r w:rsidR="00A43178" w:rsidRPr="007C5FD5">
        <w:rPr>
          <w:rFonts w:cstheme="minorHAnsi"/>
        </w:rPr>
        <w:t>n</w:t>
      </w:r>
      <w:r w:rsidR="0012524D" w:rsidRPr="007C5FD5">
        <w:rPr>
          <w:rFonts w:cstheme="minorHAnsi"/>
        </w:rPr>
        <w:t xml:space="preserve"> </w:t>
      </w:r>
      <w:r w:rsidR="0084487F" w:rsidRPr="007C5FD5">
        <w:rPr>
          <w:rFonts w:cstheme="minorHAnsi"/>
        </w:rPr>
        <w:t>duty bearer</w:t>
      </w:r>
      <w:r w:rsidR="0012524D" w:rsidRPr="007C5FD5">
        <w:rPr>
          <w:rFonts w:cstheme="minorHAnsi"/>
        </w:rPr>
        <w:t>s.</w:t>
      </w:r>
      <w:r w:rsidR="00B84BDA" w:rsidRPr="007C5FD5">
        <w:rPr>
          <w:rStyle w:val="FootnoteReference"/>
          <w:rFonts w:cstheme="minorHAnsi"/>
        </w:rPr>
        <w:footnoteReference w:id="64"/>
      </w:r>
      <w:r w:rsidR="00606CCE" w:rsidRPr="007C5FD5">
        <w:rPr>
          <w:rFonts w:cstheme="minorHAnsi"/>
        </w:rPr>
        <w:t xml:space="preserve"> </w:t>
      </w:r>
      <w:r w:rsidR="00FB2F49" w:rsidRPr="007C5FD5">
        <w:rPr>
          <w:rFonts w:cstheme="minorHAnsi"/>
        </w:rPr>
        <w:t xml:space="preserve"> </w:t>
      </w:r>
      <w:r w:rsidR="006342D6" w:rsidRPr="007C5FD5">
        <w:rPr>
          <w:rFonts w:cstheme="minorHAnsi"/>
        </w:rPr>
        <w:t>So</w:t>
      </w:r>
      <w:r w:rsidR="00CD2809" w:rsidRPr="007C5FD5">
        <w:rPr>
          <w:rFonts w:cstheme="minorHAnsi"/>
        </w:rPr>
        <w:t xml:space="preserve"> if </w:t>
      </w:r>
      <w:r w:rsidR="00683739" w:rsidRPr="007C5FD5">
        <w:rPr>
          <w:rFonts w:cstheme="minorHAnsi"/>
        </w:rPr>
        <w:t xml:space="preserve">the </w:t>
      </w:r>
      <w:r w:rsidR="00203229" w:rsidRPr="007C5FD5">
        <w:rPr>
          <w:rFonts w:cstheme="minorHAnsi"/>
        </w:rPr>
        <w:t>duty</w:t>
      </w:r>
      <w:r w:rsidR="00683739" w:rsidRPr="007C5FD5">
        <w:rPr>
          <w:rFonts w:cstheme="minorHAnsi"/>
        </w:rPr>
        <w:t xml:space="preserve"> is</w:t>
      </w:r>
      <w:r w:rsidR="00B502E6" w:rsidRPr="007C5FD5">
        <w:rPr>
          <w:rFonts w:cstheme="minorHAnsi"/>
        </w:rPr>
        <w:t xml:space="preserve"> understood not </w:t>
      </w:r>
      <w:r w:rsidR="0084487F" w:rsidRPr="007C5FD5">
        <w:rPr>
          <w:rFonts w:cstheme="minorHAnsi"/>
        </w:rPr>
        <w:t xml:space="preserve">as </w:t>
      </w:r>
      <w:r w:rsidR="00B502E6" w:rsidRPr="007C5FD5">
        <w:rPr>
          <w:rFonts w:cstheme="minorHAnsi"/>
        </w:rPr>
        <w:t xml:space="preserve">merely </w:t>
      </w:r>
      <w:r w:rsidR="004D7A49" w:rsidRPr="007C5FD5">
        <w:rPr>
          <w:rFonts w:cstheme="minorHAnsi"/>
        </w:rPr>
        <w:t>owed</w:t>
      </w:r>
      <w:r w:rsidR="00683739" w:rsidRPr="007C5FD5">
        <w:rPr>
          <w:rFonts w:cstheme="minorHAnsi"/>
        </w:rPr>
        <w:t xml:space="preserve"> </w:t>
      </w:r>
      <w:r w:rsidR="004D7A49" w:rsidRPr="007C5FD5">
        <w:rPr>
          <w:rFonts w:cstheme="minorHAnsi"/>
        </w:rPr>
        <w:t>to</w:t>
      </w:r>
      <w:r w:rsidR="00683739" w:rsidRPr="007C5FD5">
        <w:rPr>
          <w:rFonts w:cstheme="minorHAnsi"/>
        </w:rPr>
        <w:t xml:space="preserve"> </w:t>
      </w:r>
      <w:r w:rsidR="004D7A49" w:rsidRPr="007C5FD5">
        <w:rPr>
          <w:rFonts w:cstheme="minorHAnsi"/>
        </w:rPr>
        <w:t xml:space="preserve">the </w:t>
      </w:r>
      <w:r w:rsidR="00B84BDA" w:rsidRPr="007C5FD5">
        <w:rPr>
          <w:rFonts w:cstheme="minorHAnsi"/>
        </w:rPr>
        <w:t>confi</w:t>
      </w:r>
      <w:r w:rsidR="00455305" w:rsidRPr="007C5FD5">
        <w:rPr>
          <w:rFonts w:cstheme="minorHAnsi"/>
        </w:rPr>
        <w:t>d</w:t>
      </w:r>
      <w:r w:rsidR="00CD2809" w:rsidRPr="007C5FD5">
        <w:rPr>
          <w:rFonts w:cstheme="minorHAnsi"/>
        </w:rPr>
        <w:t>ing patient</w:t>
      </w:r>
      <w:r w:rsidR="00A317B5" w:rsidRPr="007C5FD5">
        <w:rPr>
          <w:rFonts w:cstheme="minorHAnsi"/>
        </w:rPr>
        <w:t xml:space="preserve"> </w:t>
      </w:r>
      <w:r w:rsidR="00B502E6" w:rsidRPr="007C5FD5">
        <w:rPr>
          <w:rFonts w:cstheme="minorHAnsi"/>
        </w:rPr>
        <w:t>but also</w:t>
      </w:r>
      <w:r w:rsidR="0012524D" w:rsidRPr="007C5FD5">
        <w:rPr>
          <w:rFonts w:cstheme="minorHAnsi"/>
        </w:rPr>
        <w:t xml:space="preserve"> to</w:t>
      </w:r>
      <w:r w:rsidR="00455305" w:rsidRPr="007C5FD5">
        <w:rPr>
          <w:rFonts w:cstheme="minorHAnsi"/>
        </w:rPr>
        <w:t xml:space="preserve"> </w:t>
      </w:r>
      <w:r w:rsidR="00B502E6" w:rsidRPr="007C5FD5">
        <w:rPr>
          <w:rFonts w:cstheme="minorHAnsi"/>
        </w:rPr>
        <w:t>serv</w:t>
      </w:r>
      <w:r w:rsidR="00455305" w:rsidRPr="007C5FD5">
        <w:rPr>
          <w:rFonts w:cstheme="minorHAnsi"/>
        </w:rPr>
        <w:t>e</w:t>
      </w:r>
      <w:r w:rsidR="00B502E6" w:rsidRPr="007C5FD5">
        <w:rPr>
          <w:rFonts w:cstheme="minorHAnsi"/>
        </w:rPr>
        <w:t xml:space="preserve"> </w:t>
      </w:r>
      <w:r w:rsidR="00431551" w:rsidRPr="007C5FD5">
        <w:rPr>
          <w:rFonts w:cstheme="minorHAnsi"/>
        </w:rPr>
        <w:t>a</w:t>
      </w:r>
      <w:r w:rsidR="00B84BDA" w:rsidRPr="007C5FD5">
        <w:rPr>
          <w:rFonts w:cstheme="minorHAnsi"/>
        </w:rPr>
        <w:t>s a</w:t>
      </w:r>
      <w:r w:rsidR="0012524D" w:rsidRPr="007C5FD5">
        <w:rPr>
          <w:rFonts w:cstheme="minorHAnsi"/>
        </w:rPr>
        <w:t>n industry</w:t>
      </w:r>
      <w:r w:rsidR="00B84BDA" w:rsidRPr="007C5FD5">
        <w:rPr>
          <w:rFonts w:cstheme="minorHAnsi"/>
        </w:rPr>
        <w:t xml:space="preserve"> </w:t>
      </w:r>
      <w:r w:rsidR="00203229" w:rsidRPr="007C5FD5">
        <w:rPr>
          <w:rFonts w:cstheme="minorHAnsi"/>
        </w:rPr>
        <w:t xml:space="preserve">kitemark </w:t>
      </w:r>
      <w:r w:rsidR="00321BD7" w:rsidRPr="007C5FD5">
        <w:rPr>
          <w:rFonts w:cstheme="minorHAnsi"/>
        </w:rPr>
        <w:t>and</w:t>
      </w:r>
      <w:r w:rsidR="000360CA" w:rsidRPr="007C5FD5">
        <w:rPr>
          <w:rFonts w:cstheme="minorHAnsi"/>
        </w:rPr>
        <w:t xml:space="preserve"> </w:t>
      </w:r>
      <w:r w:rsidR="00B9637B" w:rsidRPr="007C5FD5">
        <w:rPr>
          <w:rFonts w:cstheme="minorHAnsi"/>
        </w:rPr>
        <w:t xml:space="preserve">potentially </w:t>
      </w:r>
      <w:r w:rsidR="00DE11B3" w:rsidRPr="007C5FD5">
        <w:rPr>
          <w:rFonts w:cstheme="minorHAnsi"/>
        </w:rPr>
        <w:t xml:space="preserve">for </w:t>
      </w:r>
      <w:r w:rsidR="00321BD7" w:rsidRPr="007C5FD5">
        <w:rPr>
          <w:rFonts w:cstheme="minorHAnsi"/>
        </w:rPr>
        <w:t>protecting</w:t>
      </w:r>
      <w:r w:rsidR="00F2729E" w:rsidRPr="007C5FD5">
        <w:rPr>
          <w:rFonts w:cstheme="minorHAnsi"/>
        </w:rPr>
        <w:t xml:space="preserve"> </w:t>
      </w:r>
      <w:r w:rsidR="004C4AB4" w:rsidRPr="007C5FD5">
        <w:rPr>
          <w:rFonts w:cstheme="minorHAnsi"/>
        </w:rPr>
        <w:t>duty bearers,</w:t>
      </w:r>
      <w:r w:rsidR="00B502E6" w:rsidRPr="007C5FD5">
        <w:rPr>
          <w:rFonts w:cstheme="minorHAnsi"/>
        </w:rPr>
        <w:t xml:space="preserve"> the de</w:t>
      </w:r>
      <w:r w:rsidR="00394A02" w:rsidRPr="007C5FD5">
        <w:rPr>
          <w:rFonts w:cstheme="minorHAnsi"/>
        </w:rPr>
        <w:t>ath of the</w:t>
      </w:r>
      <w:r w:rsidR="00B84BDA" w:rsidRPr="007C5FD5">
        <w:rPr>
          <w:rFonts w:cstheme="minorHAnsi"/>
        </w:rPr>
        <w:t xml:space="preserve"> primary rightsholder</w:t>
      </w:r>
      <w:r w:rsidR="00D2101F" w:rsidRPr="007C5FD5">
        <w:rPr>
          <w:rFonts w:cstheme="minorHAnsi"/>
        </w:rPr>
        <w:t xml:space="preserve"> </w:t>
      </w:r>
      <w:r w:rsidR="0012524D" w:rsidRPr="007C5FD5">
        <w:rPr>
          <w:rFonts w:cstheme="minorHAnsi"/>
        </w:rPr>
        <w:t xml:space="preserve">again </w:t>
      </w:r>
      <w:r w:rsidR="00BC237C" w:rsidRPr="007C5FD5">
        <w:rPr>
          <w:rFonts w:cstheme="minorHAnsi"/>
        </w:rPr>
        <w:t>only</w:t>
      </w:r>
      <w:r w:rsidR="00642551" w:rsidRPr="007C5FD5">
        <w:rPr>
          <w:rFonts w:cstheme="minorHAnsi"/>
        </w:rPr>
        <w:t xml:space="preserve"> partially</w:t>
      </w:r>
      <w:r w:rsidR="00BC237C" w:rsidRPr="007C5FD5">
        <w:rPr>
          <w:rFonts w:cstheme="minorHAnsi"/>
        </w:rPr>
        <w:t xml:space="preserve"> affects</w:t>
      </w:r>
      <w:r w:rsidR="00346A0A" w:rsidRPr="007C5FD5">
        <w:rPr>
          <w:rFonts w:cstheme="minorHAnsi"/>
        </w:rPr>
        <w:t xml:space="preserve"> </w:t>
      </w:r>
      <w:r w:rsidR="00633B23" w:rsidRPr="007C5FD5">
        <w:rPr>
          <w:rFonts w:cstheme="minorHAnsi"/>
        </w:rPr>
        <w:t xml:space="preserve">its </w:t>
      </w:r>
      <w:r w:rsidR="00633B23" w:rsidRPr="007C5FD5">
        <w:rPr>
          <w:rStyle w:val="ilfuvd"/>
          <w:rFonts w:cstheme="minorHAnsi"/>
          <w:i/>
          <w:iCs/>
        </w:rPr>
        <w:t>raison d'être</w:t>
      </w:r>
      <w:r w:rsidR="004D7A49" w:rsidRPr="007C5FD5">
        <w:rPr>
          <w:rStyle w:val="ilfuvd"/>
          <w:rFonts w:cstheme="minorHAnsi"/>
          <w:i/>
          <w:iCs/>
        </w:rPr>
        <w:t xml:space="preserve">. </w:t>
      </w:r>
      <w:r w:rsidR="00573C40" w:rsidRPr="007C5FD5">
        <w:rPr>
          <w:rStyle w:val="ilfuvd"/>
          <w:rFonts w:cstheme="minorHAnsi"/>
          <w:i/>
          <w:iCs/>
        </w:rPr>
        <w:t xml:space="preserve"> </w:t>
      </w:r>
    </w:p>
    <w:p w14:paraId="09F7582F" w14:textId="77777777" w:rsidR="00E959B6" w:rsidRPr="007C5FD5" w:rsidRDefault="00E959B6" w:rsidP="00A64235">
      <w:pPr>
        <w:spacing w:after="0" w:line="240" w:lineRule="auto"/>
        <w:jc w:val="both"/>
        <w:rPr>
          <w:rStyle w:val="ilfuvd"/>
          <w:rFonts w:cstheme="minorHAnsi"/>
          <w:i/>
          <w:iCs/>
        </w:rPr>
      </w:pPr>
    </w:p>
    <w:p w14:paraId="70629AC2" w14:textId="2CEA45D6" w:rsidR="004628EA" w:rsidRPr="007C5FD5" w:rsidRDefault="00CF12D0" w:rsidP="004628EA">
      <w:pPr>
        <w:spacing w:after="0" w:line="240" w:lineRule="auto"/>
        <w:jc w:val="both"/>
        <w:rPr>
          <w:rFonts w:cstheme="minorHAnsi"/>
          <w:lang w:eastAsia="en-GB"/>
        </w:rPr>
      </w:pPr>
      <w:r w:rsidRPr="007C5FD5">
        <w:rPr>
          <w:rFonts w:cstheme="minorHAnsi"/>
        </w:rPr>
        <w:t xml:space="preserve">These dynamics </w:t>
      </w:r>
      <w:r w:rsidR="007E13AE" w:rsidRPr="007C5FD5">
        <w:rPr>
          <w:rFonts w:cstheme="minorHAnsi"/>
        </w:rPr>
        <w:t>are</w:t>
      </w:r>
      <w:r w:rsidR="00573C40" w:rsidRPr="007C5FD5">
        <w:rPr>
          <w:rFonts w:cstheme="minorHAnsi"/>
        </w:rPr>
        <w:t xml:space="preserve"> </w:t>
      </w:r>
      <w:r w:rsidR="0038374A" w:rsidRPr="007C5FD5">
        <w:rPr>
          <w:rFonts w:cstheme="minorHAnsi"/>
        </w:rPr>
        <w:t>instructive</w:t>
      </w:r>
      <w:r w:rsidR="00E9366E" w:rsidRPr="007C5FD5">
        <w:rPr>
          <w:rFonts w:cstheme="minorHAnsi"/>
        </w:rPr>
        <w:t xml:space="preserve"> for </w:t>
      </w:r>
      <w:r w:rsidR="000D6F8B" w:rsidRPr="007C5FD5">
        <w:rPr>
          <w:rFonts w:cstheme="minorHAnsi"/>
        </w:rPr>
        <w:t xml:space="preserve">the online </w:t>
      </w:r>
      <w:r w:rsidR="000704FA" w:rsidRPr="007C5FD5">
        <w:rPr>
          <w:rFonts w:cstheme="minorHAnsi"/>
        </w:rPr>
        <w:t>environment and</w:t>
      </w:r>
      <w:r w:rsidR="0012524D" w:rsidRPr="007C5FD5">
        <w:rPr>
          <w:rFonts w:cstheme="minorHAnsi"/>
        </w:rPr>
        <w:t xml:space="preserve"> for</w:t>
      </w:r>
      <w:r w:rsidR="00A64235" w:rsidRPr="007C5FD5">
        <w:rPr>
          <w:rFonts w:cstheme="minorHAnsi"/>
        </w:rPr>
        <w:t xml:space="preserve"> </w:t>
      </w:r>
      <w:r w:rsidR="000704FA" w:rsidRPr="007C5FD5">
        <w:rPr>
          <w:rFonts w:cstheme="minorHAnsi"/>
        </w:rPr>
        <w:t xml:space="preserve">platforms </w:t>
      </w:r>
      <w:r w:rsidR="00A64235" w:rsidRPr="007C5FD5">
        <w:rPr>
          <w:rFonts w:cstheme="minorHAnsi"/>
        </w:rPr>
        <w:t>as</w:t>
      </w:r>
      <w:r w:rsidR="004E7D87" w:rsidRPr="007C5FD5">
        <w:rPr>
          <w:rFonts w:cstheme="minorHAnsi"/>
        </w:rPr>
        <w:t xml:space="preserve"> </w:t>
      </w:r>
      <w:r w:rsidR="00F71C10" w:rsidRPr="007C5FD5">
        <w:rPr>
          <w:rFonts w:cstheme="minorHAnsi"/>
        </w:rPr>
        <w:t xml:space="preserve">initial custodians </w:t>
      </w:r>
      <w:r w:rsidR="000704FA" w:rsidRPr="007C5FD5">
        <w:rPr>
          <w:rFonts w:cstheme="minorHAnsi"/>
        </w:rPr>
        <w:t xml:space="preserve">of </w:t>
      </w:r>
      <w:r w:rsidR="00E9366E" w:rsidRPr="007C5FD5">
        <w:rPr>
          <w:rFonts w:cstheme="minorHAnsi"/>
        </w:rPr>
        <w:t>digital legacie</w:t>
      </w:r>
      <w:r w:rsidR="00CC2F1B" w:rsidRPr="007C5FD5">
        <w:rPr>
          <w:rFonts w:cstheme="minorHAnsi"/>
        </w:rPr>
        <w:t>s</w:t>
      </w:r>
      <w:r w:rsidR="009D6D29" w:rsidRPr="007C5FD5">
        <w:rPr>
          <w:rFonts w:cstheme="minorHAnsi"/>
        </w:rPr>
        <w:t>.</w:t>
      </w:r>
      <w:r w:rsidR="00BC237C" w:rsidRPr="007C5FD5">
        <w:rPr>
          <w:rFonts w:cstheme="minorHAnsi"/>
          <w:b/>
          <w:bCs/>
        </w:rPr>
        <w:t xml:space="preserve"> </w:t>
      </w:r>
      <w:r w:rsidR="00D2101F" w:rsidRPr="007C5FD5">
        <w:rPr>
          <w:rFonts w:cstheme="minorHAnsi"/>
          <w:i/>
          <w:iCs/>
        </w:rPr>
        <w:t>First,</w:t>
      </w:r>
      <w:r w:rsidR="007E13AE" w:rsidRPr="007C5FD5">
        <w:rPr>
          <w:rFonts w:cstheme="minorHAnsi"/>
        </w:rPr>
        <w:t xml:space="preserve"> </w:t>
      </w:r>
      <w:r w:rsidR="00EB1FA1" w:rsidRPr="007C5FD5">
        <w:rPr>
          <w:rFonts w:cstheme="minorHAnsi"/>
        </w:rPr>
        <w:t xml:space="preserve">the </w:t>
      </w:r>
      <w:r w:rsidR="00395B08" w:rsidRPr="007C5FD5">
        <w:rPr>
          <w:rFonts w:cstheme="minorHAnsi"/>
        </w:rPr>
        <w:t>imposition</w:t>
      </w:r>
      <w:r w:rsidR="004E7D87" w:rsidRPr="007C5FD5">
        <w:rPr>
          <w:rFonts w:cstheme="minorHAnsi"/>
        </w:rPr>
        <w:t xml:space="preserve"> of </w:t>
      </w:r>
      <w:r w:rsidR="003B225B" w:rsidRPr="007C5FD5">
        <w:rPr>
          <w:rFonts w:cstheme="minorHAnsi"/>
        </w:rPr>
        <w:t xml:space="preserve">a </w:t>
      </w:r>
      <w:r w:rsidR="004E7D87" w:rsidRPr="007C5FD5">
        <w:rPr>
          <w:rFonts w:cstheme="minorHAnsi"/>
        </w:rPr>
        <w:t>duty</w:t>
      </w:r>
      <w:r w:rsidR="003B225B" w:rsidRPr="007C5FD5">
        <w:rPr>
          <w:rFonts w:cstheme="minorHAnsi"/>
        </w:rPr>
        <w:t xml:space="preserve"> of confidentiality</w:t>
      </w:r>
      <w:r w:rsidR="00B56382" w:rsidRPr="007C5FD5">
        <w:rPr>
          <w:rFonts w:cstheme="minorHAnsi"/>
        </w:rPr>
        <w:t xml:space="preserve">, or information privacy </w:t>
      </w:r>
      <w:r w:rsidR="00A146BC" w:rsidRPr="007C5FD5">
        <w:rPr>
          <w:rFonts w:cstheme="minorHAnsi"/>
        </w:rPr>
        <w:t>rights</w:t>
      </w:r>
      <w:r w:rsidR="00B56382" w:rsidRPr="007C5FD5">
        <w:rPr>
          <w:rFonts w:cstheme="minorHAnsi"/>
        </w:rPr>
        <w:t xml:space="preserve">, </w:t>
      </w:r>
      <w:r w:rsidR="0056543A" w:rsidRPr="007C5FD5">
        <w:rPr>
          <w:rFonts w:cstheme="minorHAnsi"/>
        </w:rPr>
        <w:t>does not</w:t>
      </w:r>
      <w:r w:rsidR="006653DF" w:rsidRPr="007C5FD5">
        <w:rPr>
          <w:rFonts w:cstheme="minorHAnsi"/>
        </w:rPr>
        <w:t xml:space="preserve"> </w:t>
      </w:r>
      <w:r w:rsidR="0056543A" w:rsidRPr="007C5FD5">
        <w:rPr>
          <w:rFonts w:cstheme="minorHAnsi"/>
        </w:rPr>
        <w:t>offer</w:t>
      </w:r>
      <w:r w:rsidR="00DD7693" w:rsidRPr="007C5FD5">
        <w:rPr>
          <w:rFonts w:cstheme="minorHAnsi"/>
        </w:rPr>
        <w:t xml:space="preserve"> a one-sided </w:t>
      </w:r>
      <w:r w:rsidR="003B225B" w:rsidRPr="007C5FD5">
        <w:rPr>
          <w:rFonts w:cstheme="minorHAnsi"/>
        </w:rPr>
        <w:t xml:space="preserve">protective </w:t>
      </w:r>
      <w:r w:rsidR="000C3669" w:rsidRPr="007C5FD5">
        <w:rPr>
          <w:rFonts w:cstheme="minorHAnsi"/>
        </w:rPr>
        <w:t>device</w:t>
      </w:r>
      <w:r w:rsidR="009B1955" w:rsidRPr="007C5FD5">
        <w:rPr>
          <w:rFonts w:cstheme="minorHAnsi"/>
        </w:rPr>
        <w:t xml:space="preserve"> for the benefit of </w:t>
      </w:r>
      <w:r w:rsidR="0056543A" w:rsidRPr="007C5FD5">
        <w:rPr>
          <w:rFonts w:cstheme="minorHAnsi"/>
        </w:rPr>
        <w:t>u</w:t>
      </w:r>
      <w:r w:rsidR="009B1955" w:rsidRPr="007C5FD5">
        <w:rPr>
          <w:rFonts w:cstheme="minorHAnsi"/>
        </w:rPr>
        <w:t xml:space="preserve">sers </w:t>
      </w:r>
      <w:r w:rsidR="00A146BC" w:rsidRPr="007C5FD5">
        <w:rPr>
          <w:rFonts w:cstheme="minorHAnsi"/>
        </w:rPr>
        <w:t xml:space="preserve">only, </w:t>
      </w:r>
      <w:r w:rsidR="000C3669" w:rsidRPr="007C5FD5">
        <w:rPr>
          <w:rFonts w:cstheme="minorHAnsi"/>
        </w:rPr>
        <w:t>but</w:t>
      </w:r>
      <w:r w:rsidR="003B225B" w:rsidRPr="007C5FD5">
        <w:rPr>
          <w:rFonts w:cstheme="minorHAnsi"/>
        </w:rPr>
        <w:t xml:space="preserve"> </w:t>
      </w:r>
      <w:r w:rsidR="00883D45" w:rsidRPr="007C5FD5">
        <w:rPr>
          <w:rFonts w:cstheme="minorHAnsi"/>
        </w:rPr>
        <w:t>recognise</w:t>
      </w:r>
      <w:r w:rsidR="001D167F" w:rsidRPr="007C5FD5">
        <w:rPr>
          <w:rFonts w:cstheme="minorHAnsi"/>
        </w:rPr>
        <w:t>s</w:t>
      </w:r>
      <w:r w:rsidR="003B225B" w:rsidRPr="007C5FD5">
        <w:rPr>
          <w:rFonts w:cstheme="minorHAnsi"/>
        </w:rPr>
        <w:t xml:space="preserve"> the reciprocal interests underlying</w:t>
      </w:r>
      <w:r w:rsidR="000C3669" w:rsidRPr="007C5FD5">
        <w:rPr>
          <w:rFonts w:cstheme="minorHAnsi"/>
        </w:rPr>
        <w:t xml:space="preserve"> the</w:t>
      </w:r>
      <w:r w:rsidR="003B225B" w:rsidRPr="007C5FD5">
        <w:rPr>
          <w:rFonts w:cstheme="minorHAnsi"/>
        </w:rPr>
        <w:t xml:space="preserve"> interaction </w:t>
      </w:r>
      <w:r w:rsidR="00004DFA" w:rsidRPr="007C5FD5">
        <w:rPr>
          <w:rFonts w:cstheme="minorHAnsi"/>
        </w:rPr>
        <w:t xml:space="preserve">between </w:t>
      </w:r>
      <w:r w:rsidR="00CE6AA9" w:rsidRPr="007C5FD5">
        <w:rPr>
          <w:rFonts w:cstheme="minorHAnsi"/>
        </w:rPr>
        <w:t>user</w:t>
      </w:r>
      <w:r w:rsidR="00461BA1" w:rsidRPr="007C5FD5">
        <w:rPr>
          <w:rFonts w:cstheme="minorHAnsi"/>
        </w:rPr>
        <w:t xml:space="preserve"> and </w:t>
      </w:r>
      <w:r w:rsidR="00004DFA" w:rsidRPr="007C5FD5">
        <w:rPr>
          <w:rFonts w:cstheme="minorHAnsi"/>
        </w:rPr>
        <w:t>provider</w:t>
      </w:r>
      <w:r w:rsidR="00EB1FA1" w:rsidRPr="007C5FD5">
        <w:rPr>
          <w:rFonts w:cstheme="minorHAnsi"/>
        </w:rPr>
        <w:t>. U</w:t>
      </w:r>
      <w:r w:rsidR="00461BA1" w:rsidRPr="007C5FD5">
        <w:rPr>
          <w:rFonts w:cstheme="minorHAnsi"/>
        </w:rPr>
        <w:t xml:space="preserve">sers reveal more or less private information and providers promise - </w:t>
      </w:r>
      <w:r w:rsidR="00B84BDA" w:rsidRPr="007C5FD5">
        <w:rPr>
          <w:rFonts w:cstheme="minorHAnsi"/>
        </w:rPr>
        <w:t>contractually</w:t>
      </w:r>
      <w:r w:rsidR="00461BA1" w:rsidRPr="007C5FD5">
        <w:rPr>
          <w:rFonts w:cstheme="minorHAnsi"/>
        </w:rPr>
        <w:t xml:space="preserve"> or</w:t>
      </w:r>
      <w:r w:rsidR="006911BF">
        <w:rPr>
          <w:rFonts w:cstheme="minorHAnsi"/>
        </w:rPr>
        <w:t xml:space="preserve"> </w:t>
      </w:r>
      <w:r w:rsidR="00461BA1" w:rsidRPr="007C5FD5">
        <w:rPr>
          <w:rFonts w:cstheme="minorHAnsi"/>
        </w:rPr>
        <w:t>under the compulsion of law</w:t>
      </w:r>
      <w:r w:rsidR="009B0D56" w:rsidRPr="007C5FD5">
        <w:rPr>
          <w:rStyle w:val="FootnoteReference"/>
          <w:rFonts w:cstheme="minorHAnsi"/>
        </w:rPr>
        <w:footnoteReference w:id="65"/>
      </w:r>
      <w:r w:rsidR="00461BA1" w:rsidRPr="007C5FD5">
        <w:rPr>
          <w:rFonts w:cstheme="minorHAnsi"/>
        </w:rPr>
        <w:t xml:space="preserve"> - not to misuse </w:t>
      </w:r>
      <w:r w:rsidR="00D17FAD" w:rsidRPr="007C5FD5">
        <w:rPr>
          <w:rFonts w:cstheme="minorHAnsi"/>
        </w:rPr>
        <w:t>it</w:t>
      </w:r>
      <w:r w:rsidR="00461BA1" w:rsidRPr="007C5FD5">
        <w:rPr>
          <w:rFonts w:cstheme="minorHAnsi"/>
        </w:rPr>
        <w:t>. This deal</w:t>
      </w:r>
      <w:r w:rsidR="00A146BC" w:rsidRPr="007C5FD5">
        <w:rPr>
          <w:rFonts w:cstheme="minorHAnsi"/>
        </w:rPr>
        <w:t xml:space="preserve"> </w:t>
      </w:r>
      <w:r w:rsidR="003B225B" w:rsidRPr="007C5FD5">
        <w:rPr>
          <w:rFonts w:cstheme="minorHAnsi"/>
        </w:rPr>
        <w:t>serve</w:t>
      </w:r>
      <w:r w:rsidR="0038374A" w:rsidRPr="007C5FD5">
        <w:rPr>
          <w:rFonts w:cstheme="minorHAnsi"/>
        </w:rPr>
        <w:t>s</w:t>
      </w:r>
      <w:r w:rsidR="003B225B" w:rsidRPr="007C5FD5">
        <w:rPr>
          <w:rFonts w:cstheme="minorHAnsi"/>
        </w:rPr>
        <w:t xml:space="preserve"> the industry</w:t>
      </w:r>
      <w:r w:rsidR="009B1955" w:rsidRPr="007C5FD5">
        <w:rPr>
          <w:rFonts w:cstheme="minorHAnsi"/>
        </w:rPr>
        <w:t xml:space="preserve"> </w:t>
      </w:r>
      <w:r w:rsidR="003B225B" w:rsidRPr="007C5FD5">
        <w:rPr>
          <w:rFonts w:cstheme="minorHAnsi"/>
        </w:rPr>
        <w:t>as much as the rightsholder</w:t>
      </w:r>
      <w:r w:rsidR="009B1955" w:rsidRPr="007C5FD5">
        <w:rPr>
          <w:rFonts w:cstheme="minorHAnsi"/>
        </w:rPr>
        <w:t xml:space="preserve"> </w:t>
      </w:r>
      <w:r w:rsidR="003B225B" w:rsidRPr="007C5FD5">
        <w:rPr>
          <w:rFonts w:cstheme="minorHAnsi"/>
        </w:rPr>
        <w:t xml:space="preserve">as a </w:t>
      </w:r>
      <w:r w:rsidR="009B1955" w:rsidRPr="007C5FD5">
        <w:rPr>
          <w:rFonts w:cstheme="minorHAnsi"/>
        </w:rPr>
        <w:t xml:space="preserve">foundational </w:t>
      </w:r>
      <w:r w:rsidR="003B225B" w:rsidRPr="007C5FD5">
        <w:rPr>
          <w:rFonts w:cstheme="minorHAnsi"/>
        </w:rPr>
        <w:t>trust mechanism</w:t>
      </w:r>
      <w:r w:rsidR="00913A47" w:rsidRPr="007C5FD5">
        <w:rPr>
          <w:rFonts w:cstheme="minorHAnsi"/>
        </w:rPr>
        <w:t>.</w:t>
      </w:r>
      <w:r w:rsidR="009D6D29" w:rsidRPr="007C5FD5">
        <w:rPr>
          <w:rFonts w:cstheme="minorHAnsi"/>
        </w:rPr>
        <w:t xml:space="preserve"> </w:t>
      </w:r>
      <w:r w:rsidR="00AA4DE8" w:rsidRPr="007C5FD5">
        <w:rPr>
          <w:rFonts w:cstheme="minorHAnsi"/>
        </w:rPr>
        <w:t>Th</w:t>
      </w:r>
      <w:r w:rsidR="00EB1FA1" w:rsidRPr="007C5FD5">
        <w:rPr>
          <w:rFonts w:cstheme="minorHAnsi"/>
        </w:rPr>
        <w:t>e</w:t>
      </w:r>
      <w:r w:rsidR="00B56382" w:rsidRPr="007C5FD5">
        <w:rPr>
          <w:rFonts w:cstheme="minorHAnsi"/>
        </w:rPr>
        <w:t xml:space="preserve"> </w:t>
      </w:r>
      <w:r w:rsidR="00AA4DE8" w:rsidRPr="007C5FD5">
        <w:rPr>
          <w:rFonts w:cstheme="minorHAnsi"/>
        </w:rPr>
        <w:t xml:space="preserve">reciprocity </w:t>
      </w:r>
      <w:r w:rsidR="00F06F98" w:rsidRPr="007C5FD5">
        <w:rPr>
          <w:rFonts w:cstheme="minorHAnsi"/>
        </w:rPr>
        <w:t xml:space="preserve">of interests </w:t>
      </w:r>
      <w:r w:rsidR="00EB1FA1" w:rsidRPr="007C5FD5">
        <w:rPr>
          <w:rFonts w:cstheme="minorHAnsi"/>
        </w:rPr>
        <w:t>is liable to have</w:t>
      </w:r>
      <w:r w:rsidR="00E959B6" w:rsidRPr="007C5FD5">
        <w:rPr>
          <w:rFonts w:cstheme="minorHAnsi"/>
        </w:rPr>
        <w:t xml:space="preserve"> </w:t>
      </w:r>
      <w:r w:rsidR="00BE49A8" w:rsidRPr="007C5FD5">
        <w:rPr>
          <w:rFonts w:cstheme="minorHAnsi"/>
        </w:rPr>
        <w:t>s</w:t>
      </w:r>
      <w:r w:rsidR="00AA4DE8" w:rsidRPr="007C5FD5">
        <w:rPr>
          <w:rFonts w:cstheme="minorHAnsi"/>
        </w:rPr>
        <w:t>tronger</w:t>
      </w:r>
      <w:r w:rsidR="00CD2809" w:rsidRPr="007C5FD5">
        <w:rPr>
          <w:rFonts w:cstheme="minorHAnsi"/>
        </w:rPr>
        <w:t xml:space="preserve"> application</w:t>
      </w:r>
      <w:r w:rsidR="00E959B6" w:rsidRPr="007C5FD5">
        <w:rPr>
          <w:rFonts w:cstheme="minorHAnsi"/>
        </w:rPr>
        <w:t xml:space="preserve"> </w:t>
      </w:r>
      <w:r w:rsidR="00BE49A8" w:rsidRPr="007C5FD5">
        <w:rPr>
          <w:rFonts w:cstheme="minorHAnsi"/>
        </w:rPr>
        <w:t>to</w:t>
      </w:r>
      <w:r w:rsidR="00F06F98" w:rsidRPr="007C5FD5">
        <w:rPr>
          <w:rFonts w:cstheme="minorHAnsi"/>
        </w:rPr>
        <w:t xml:space="preserve"> </w:t>
      </w:r>
      <w:r w:rsidR="00BE49A8" w:rsidRPr="007C5FD5">
        <w:rPr>
          <w:rFonts w:cstheme="minorHAnsi"/>
        </w:rPr>
        <w:t>services reliant on</w:t>
      </w:r>
      <w:r w:rsidR="00AA4DE8" w:rsidRPr="007C5FD5">
        <w:rPr>
          <w:rFonts w:cstheme="minorHAnsi"/>
        </w:rPr>
        <w:t xml:space="preserve"> sensitive personal data</w:t>
      </w:r>
      <w:r w:rsidR="007B31DF" w:rsidRPr="007C5FD5">
        <w:rPr>
          <w:rFonts w:cstheme="minorHAnsi"/>
        </w:rPr>
        <w:t xml:space="preserve"> (</w:t>
      </w:r>
      <w:r w:rsidR="00BD400B" w:rsidRPr="007C5FD5">
        <w:rPr>
          <w:rFonts w:cstheme="minorHAnsi"/>
        </w:rPr>
        <w:t>fitness app</w:t>
      </w:r>
      <w:r w:rsidR="00AA4DE8" w:rsidRPr="007C5FD5">
        <w:rPr>
          <w:rFonts w:cstheme="minorHAnsi"/>
        </w:rPr>
        <w:t>s</w:t>
      </w:r>
      <w:r w:rsidR="00BD400B" w:rsidRPr="007C5FD5">
        <w:rPr>
          <w:rFonts w:cstheme="minorHAnsi"/>
        </w:rPr>
        <w:t>, health care provider</w:t>
      </w:r>
      <w:r w:rsidR="00AA4DE8" w:rsidRPr="007C5FD5">
        <w:rPr>
          <w:rFonts w:cstheme="minorHAnsi"/>
        </w:rPr>
        <w:t>s</w:t>
      </w:r>
      <w:r w:rsidR="00BD400B" w:rsidRPr="007C5FD5">
        <w:rPr>
          <w:rFonts w:cstheme="minorHAnsi"/>
        </w:rPr>
        <w:t>, dating</w:t>
      </w:r>
      <w:r w:rsidR="00093C3C" w:rsidRPr="007C5FD5">
        <w:rPr>
          <w:rFonts w:cstheme="minorHAnsi"/>
        </w:rPr>
        <w:t xml:space="preserve"> or adult</w:t>
      </w:r>
      <w:r w:rsidR="00BD400B" w:rsidRPr="007C5FD5">
        <w:rPr>
          <w:rFonts w:cstheme="minorHAnsi"/>
        </w:rPr>
        <w:t xml:space="preserve"> site</w:t>
      </w:r>
      <w:r w:rsidR="00AA4DE8" w:rsidRPr="007C5FD5">
        <w:rPr>
          <w:rFonts w:cstheme="minorHAnsi"/>
        </w:rPr>
        <w:t>s</w:t>
      </w:r>
      <w:r w:rsidR="007B31DF" w:rsidRPr="007C5FD5">
        <w:rPr>
          <w:rFonts w:cstheme="minorHAnsi"/>
        </w:rPr>
        <w:t xml:space="preserve">) </w:t>
      </w:r>
      <w:r w:rsidR="002C4F1F" w:rsidRPr="007C5FD5">
        <w:rPr>
          <w:rFonts w:cstheme="minorHAnsi"/>
        </w:rPr>
        <w:t xml:space="preserve">than </w:t>
      </w:r>
      <w:r w:rsidR="00D2101F" w:rsidRPr="007C5FD5">
        <w:rPr>
          <w:rFonts w:cstheme="minorHAnsi"/>
        </w:rPr>
        <w:t>those</w:t>
      </w:r>
      <w:r w:rsidR="00BE49A8" w:rsidRPr="007C5FD5">
        <w:rPr>
          <w:rFonts w:cstheme="minorHAnsi"/>
        </w:rPr>
        <w:t xml:space="preserve"> feeding off</w:t>
      </w:r>
      <w:r w:rsidR="00953598" w:rsidRPr="007C5FD5">
        <w:rPr>
          <w:rFonts w:cstheme="minorHAnsi"/>
        </w:rPr>
        <w:t xml:space="preserve"> </w:t>
      </w:r>
      <w:r w:rsidR="002C4F1F" w:rsidRPr="007C5FD5">
        <w:rPr>
          <w:rFonts w:cstheme="minorHAnsi"/>
        </w:rPr>
        <w:t>less sensitive</w:t>
      </w:r>
      <w:r w:rsidR="00A23763" w:rsidRPr="007C5FD5">
        <w:rPr>
          <w:rFonts w:cstheme="minorHAnsi"/>
        </w:rPr>
        <w:t xml:space="preserve"> </w:t>
      </w:r>
      <w:r w:rsidR="00D17FAD" w:rsidRPr="007C5FD5">
        <w:rPr>
          <w:rFonts w:cstheme="minorHAnsi"/>
        </w:rPr>
        <w:t>information</w:t>
      </w:r>
      <w:r w:rsidR="003354BD" w:rsidRPr="007C5FD5">
        <w:rPr>
          <w:rFonts w:cstheme="minorHAnsi"/>
        </w:rPr>
        <w:t xml:space="preserve"> </w:t>
      </w:r>
      <w:r w:rsidR="007B31DF" w:rsidRPr="007C5FD5">
        <w:rPr>
          <w:rFonts w:cstheme="minorHAnsi"/>
        </w:rPr>
        <w:t>(</w:t>
      </w:r>
      <w:r w:rsidR="000711E6" w:rsidRPr="007C5FD5">
        <w:rPr>
          <w:rFonts w:cstheme="minorHAnsi"/>
        </w:rPr>
        <w:t xml:space="preserve">online </w:t>
      </w:r>
      <w:r w:rsidR="002C4F1F" w:rsidRPr="007C5FD5">
        <w:rPr>
          <w:rFonts w:cstheme="minorHAnsi"/>
        </w:rPr>
        <w:t>marketplaces</w:t>
      </w:r>
      <w:r w:rsidR="004E63AE" w:rsidRPr="007C5FD5">
        <w:rPr>
          <w:rFonts w:cstheme="minorHAnsi"/>
        </w:rPr>
        <w:t xml:space="preserve">, </w:t>
      </w:r>
      <w:proofErr w:type="gramStart"/>
      <w:r w:rsidR="004E63AE" w:rsidRPr="007C5FD5">
        <w:rPr>
          <w:rFonts w:cstheme="minorHAnsi"/>
        </w:rPr>
        <w:t>gaming</w:t>
      </w:r>
      <w:proofErr w:type="gramEnd"/>
      <w:r w:rsidR="002C4F1F" w:rsidRPr="007C5FD5">
        <w:rPr>
          <w:rFonts w:cstheme="minorHAnsi"/>
        </w:rPr>
        <w:t xml:space="preserve"> or professional platforms</w:t>
      </w:r>
      <w:r w:rsidR="007B31DF" w:rsidRPr="007C5FD5">
        <w:rPr>
          <w:rFonts w:cstheme="minorHAnsi"/>
        </w:rPr>
        <w:t>)</w:t>
      </w:r>
      <w:r w:rsidR="00351E07" w:rsidRPr="007C5FD5">
        <w:rPr>
          <w:rFonts w:cstheme="minorHAnsi"/>
        </w:rPr>
        <w:t xml:space="preserve">. It is also </w:t>
      </w:r>
      <w:r w:rsidR="00B56382" w:rsidRPr="007C5FD5">
        <w:rPr>
          <w:rFonts w:cstheme="minorHAnsi"/>
        </w:rPr>
        <w:t xml:space="preserve">bound to exert more pressure in competitive markets </w:t>
      </w:r>
      <w:r w:rsidR="00A146BC" w:rsidRPr="007C5FD5">
        <w:rPr>
          <w:rFonts w:cstheme="minorHAnsi"/>
        </w:rPr>
        <w:t>where</w:t>
      </w:r>
      <w:r w:rsidR="00B56382" w:rsidRPr="007C5FD5">
        <w:rPr>
          <w:rFonts w:cstheme="minorHAnsi"/>
        </w:rPr>
        <w:t xml:space="preserve"> providers</w:t>
      </w:r>
      <w:r w:rsidR="00A146BC" w:rsidRPr="007C5FD5">
        <w:rPr>
          <w:rFonts w:cstheme="minorHAnsi"/>
        </w:rPr>
        <w:t xml:space="preserve"> have an interest in</w:t>
      </w:r>
      <w:r w:rsidR="00B56382" w:rsidRPr="007C5FD5">
        <w:rPr>
          <w:rFonts w:cstheme="minorHAnsi"/>
        </w:rPr>
        <w:t xml:space="preserve"> differentiat</w:t>
      </w:r>
      <w:r w:rsidR="00A146BC" w:rsidRPr="007C5FD5">
        <w:rPr>
          <w:rFonts w:cstheme="minorHAnsi"/>
        </w:rPr>
        <w:t>ing</w:t>
      </w:r>
      <w:r w:rsidR="00B56382" w:rsidRPr="007C5FD5">
        <w:rPr>
          <w:rFonts w:cstheme="minorHAnsi"/>
        </w:rPr>
        <w:t xml:space="preserve"> themselves from ‘laymen and </w:t>
      </w:r>
      <w:proofErr w:type="gramStart"/>
      <w:r w:rsidR="00B56382" w:rsidRPr="007C5FD5">
        <w:rPr>
          <w:rFonts w:cstheme="minorHAnsi"/>
        </w:rPr>
        <w:t>charlatans</w:t>
      </w:r>
      <w:r w:rsidR="006911BF">
        <w:rPr>
          <w:rFonts w:cstheme="minorHAnsi"/>
        </w:rPr>
        <w:t>’</w:t>
      </w:r>
      <w:proofErr w:type="gramEnd"/>
      <w:r w:rsidR="00B56382" w:rsidRPr="007C5FD5">
        <w:rPr>
          <w:rFonts w:cstheme="minorHAnsi"/>
        </w:rPr>
        <w:t xml:space="preserve">. </w:t>
      </w:r>
      <w:r w:rsidR="00B56382" w:rsidRPr="007C5FD5">
        <w:rPr>
          <w:rFonts w:cstheme="minorHAnsi"/>
          <w:i/>
          <w:iCs/>
        </w:rPr>
        <w:t>Second,</w:t>
      </w:r>
      <w:r w:rsidR="00B56382" w:rsidRPr="007C5FD5">
        <w:rPr>
          <w:rFonts w:cstheme="minorHAnsi"/>
        </w:rPr>
        <w:t xml:space="preserve"> </w:t>
      </w:r>
      <w:r w:rsidR="00EB1FA1" w:rsidRPr="007C5FD5">
        <w:rPr>
          <w:rFonts w:cstheme="minorHAnsi"/>
        </w:rPr>
        <w:t xml:space="preserve">the </w:t>
      </w:r>
      <w:r w:rsidR="00B9637B" w:rsidRPr="007C5FD5">
        <w:rPr>
          <w:rFonts w:cstheme="minorHAnsi"/>
        </w:rPr>
        <w:t xml:space="preserve">potential </w:t>
      </w:r>
      <w:r w:rsidR="00A146BC" w:rsidRPr="007C5FD5">
        <w:rPr>
          <w:rFonts w:cstheme="minorHAnsi"/>
        </w:rPr>
        <w:t>protection afforded by the duty</w:t>
      </w:r>
      <w:r w:rsidR="00657530" w:rsidRPr="007C5FD5">
        <w:rPr>
          <w:rFonts w:cstheme="minorHAnsi"/>
        </w:rPr>
        <w:t xml:space="preserve"> of confidentiality</w:t>
      </w:r>
      <w:r w:rsidR="00A146BC" w:rsidRPr="007C5FD5">
        <w:rPr>
          <w:rFonts w:cstheme="minorHAnsi"/>
        </w:rPr>
        <w:t xml:space="preserve"> to</w:t>
      </w:r>
      <w:r w:rsidR="00EB1FA1" w:rsidRPr="007C5FD5">
        <w:rPr>
          <w:rFonts w:cstheme="minorHAnsi"/>
        </w:rPr>
        <w:t xml:space="preserve"> </w:t>
      </w:r>
      <w:r w:rsidR="003A27D2" w:rsidRPr="007C5FD5">
        <w:rPr>
          <w:rFonts w:cstheme="minorHAnsi"/>
        </w:rPr>
        <w:t xml:space="preserve">duty bearers </w:t>
      </w:r>
      <w:r w:rsidR="0012524D" w:rsidRPr="007C5FD5">
        <w:rPr>
          <w:rFonts w:cstheme="minorHAnsi"/>
        </w:rPr>
        <w:t>also extend</w:t>
      </w:r>
      <w:r w:rsidR="00D17FAD" w:rsidRPr="007C5FD5">
        <w:rPr>
          <w:rFonts w:cstheme="minorHAnsi"/>
        </w:rPr>
        <w:t>s</w:t>
      </w:r>
      <w:r w:rsidR="0012524D" w:rsidRPr="007C5FD5">
        <w:rPr>
          <w:rFonts w:cstheme="minorHAnsi"/>
        </w:rPr>
        <w:t xml:space="preserve"> to the</w:t>
      </w:r>
      <w:r w:rsidR="00657530" w:rsidRPr="007C5FD5">
        <w:rPr>
          <w:rFonts w:cstheme="minorHAnsi"/>
        </w:rPr>
        <w:t xml:space="preserve"> </w:t>
      </w:r>
      <w:r w:rsidR="00C74483" w:rsidRPr="007C5FD5">
        <w:rPr>
          <w:rFonts w:cstheme="minorHAnsi"/>
        </w:rPr>
        <w:t>online</w:t>
      </w:r>
      <w:r w:rsidR="0012524D" w:rsidRPr="007C5FD5">
        <w:rPr>
          <w:rFonts w:cstheme="minorHAnsi"/>
        </w:rPr>
        <w:t xml:space="preserve"> context</w:t>
      </w:r>
      <w:r w:rsidR="00606CCE" w:rsidRPr="007C5FD5">
        <w:rPr>
          <w:rFonts w:cstheme="minorHAnsi"/>
        </w:rPr>
        <w:t xml:space="preserve">. </w:t>
      </w:r>
      <w:r w:rsidR="00657530" w:rsidRPr="007C5FD5">
        <w:rPr>
          <w:rFonts w:cstheme="minorHAnsi"/>
        </w:rPr>
        <w:t xml:space="preserve">In the German case of </w:t>
      </w:r>
      <w:r w:rsidR="00657530" w:rsidRPr="007C5FD5">
        <w:rPr>
          <w:rFonts w:cstheme="minorHAnsi"/>
          <w:i/>
          <w:iCs/>
          <w:lang w:eastAsia="en-GB"/>
        </w:rPr>
        <w:t>Digital Inheritance</w:t>
      </w:r>
      <w:r w:rsidR="00657530" w:rsidRPr="007C5FD5">
        <w:rPr>
          <w:rFonts w:cstheme="minorHAnsi"/>
          <w:lang w:eastAsia="en-GB"/>
        </w:rPr>
        <w:t xml:space="preserve"> (2018)</w:t>
      </w:r>
      <w:r w:rsidR="00657530" w:rsidRPr="007C5FD5">
        <w:rPr>
          <w:rStyle w:val="FootnoteReference"/>
          <w:rFonts w:cstheme="minorHAnsi"/>
          <w:lang w:eastAsia="en-GB"/>
        </w:rPr>
        <w:footnoteReference w:id="66"/>
      </w:r>
      <w:r w:rsidR="00657530" w:rsidRPr="007C5FD5">
        <w:rPr>
          <w:rFonts w:cstheme="minorHAnsi"/>
          <w:lang w:eastAsia="en-GB"/>
        </w:rPr>
        <w:t xml:space="preserve"> </w:t>
      </w:r>
      <w:r w:rsidR="00637721">
        <w:rPr>
          <w:rFonts w:cstheme="minorHAnsi"/>
          <w:lang w:eastAsia="en-GB"/>
        </w:rPr>
        <w:t>the</w:t>
      </w:r>
      <w:r w:rsidR="006342D6" w:rsidRPr="007C5FD5">
        <w:rPr>
          <w:rFonts w:cstheme="minorHAnsi"/>
          <w:lang w:eastAsia="en-GB"/>
        </w:rPr>
        <w:t xml:space="preserve"> </w:t>
      </w:r>
      <w:r w:rsidR="005B60AB" w:rsidRPr="007C5FD5">
        <w:rPr>
          <w:rFonts w:cstheme="minorHAnsi"/>
          <w:lang w:eastAsia="en-GB"/>
        </w:rPr>
        <w:t xml:space="preserve">parents of </w:t>
      </w:r>
      <w:r w:rsidR="00637721">
        <w:rPr>
          <w:rFonts w:cstheme="minorHAnsi"/>
          <w:lang w:eastAsia="en-GB"/>
        </w:rPr>
        <w:t xml:space="preserve">the </w:t>
      </w:r>
      <w:r w:rsidR="00637721" w:rsidRPr="007C5FD5">
        <w:rPr>
          <w:rFonts w:cstheme="minorHAnsi"/>
          <w:lang w:eastAsia="en-GB"/>
        </w:rPr>
        <w:t>15</w:t>
      </w:r>
      <w:r w:rsidR="00EF5F97">
        <w:rPr>
          <w:rFonts w:cstheme="minorHAnsi"/>
          <w:lang w:eastAsia="en-GB"/>
        </w:rPr>
        <w:t>-</w:t>
      </w:r>
      <w:r w:rsidR="00637721" w:rsidRPr="007C5FD5">
        <w:rPr>
          <w:rFonts w:cstheme="minorHAnsi"/>
          <w:lang w:eastAsia="en-GB"/>
        </w:rPr>
        <w:t>year</w:t>
      </w:r>
      <w:r w:rsidR="00EF5F97">
        <w:rPr>
          <w:rFonts w:cstheme="minorHAnsi"/>
          <w:lang w:eastAsia="en-GB"/>
        </w:rPr>
        <w:t xml:space="preserve"> </w:t>
      </w:r>
      <w:proofErr w:type="gramStart"/>
      <w:r w:rsidR="00EF5F97">
        <w:rPr>
          <w:rFonts w:cstheme="minorHAnsi"/>
          <w:lang w:eastAsia="en-GB"/>
        </w:rPr>
        <w:t xml:space="preserve">old </w:t>
      </w:r>
      <w:r w:rsidR="00637721" w:rsidRPr="007C5FD5">
        <w:rPr>
          <w:rFonts w:cstheme="minorHAnsi"/>
          <w:lang w:eastAsia="en-GB"/>
        </w:rPr>
        <w:t xml:space="preserve"> </w:t>
      </w:r>
      <w:r w:rsidR="005B60AB" w:rsidRPr="007C5FD5">
        <w:rPr>
          <w:rFonts w:cstheme="minorHAnsi"/>
          <w:lang w:eastAsia="en-GB"/>
        </w:rPr>
        <w:t>deceased</w:t>
      </w:r>
      <w:proofErr w:type="gramEnd"/>
      <w:r w:rsidR="005B60AB" w:rsidRPr="007C5FD5">
        <w:rPr>
          <w:rFonts w:cstheme="minorHAnsi"/>
          <w:lang w:eastAsia="en-GB"/>
        </w:rPr>
        <w:t xml:space="preserve"> </w:t>
      </w:r>
      <w:r w:rsidR="00657530" w:rsidRPr="007C5FD5">
        <w:rPr>
          <w:rFonts w:cstheme="minorHAnsi"/>
          <w:lang w:eastAsia="en-GB"/>
        </w:rPr>
        <w:t>sought access to the</w:t>
      </w:r>
      <w:r w:rsidR="00B62727" w:rsidRPr="007C5FD5">
        <w:rPr>
          <w:rFonts w:cstheme="minorHAnsi"/>
          <w:lang w:eastAsia="en-GB"/>
        </w:rPr>
        <w:t xml:space="preserve"> private content of</w:t>
      </w:r>
      <w:r w:rsidR="00657530" w:rsidRPr="007C5FD5">
        <w:rPr>
          <w:rFonts w:cstheme="minorHAnsi"/>
          <w:lang w:eastAsia="en-GB"/>
        </w:rPr>
        <w:t xml:space="preserve"> </w:t>
      </w:r>
      <w:r w:rsidR="005B60AB" w:rsidRPr="007C5FD5">
        <w:rPr>
          <w:rFonts w:cstheme="minorHAnsi"/>
          <w:lang w:eastAsia="en-GB"/>
        </w:rPr>
        <w:t>her</w:t>
      </w:r>
      <w:r w:rsidR="00B62727" w:rsidRPr="007C5FD5">
        <w:rPr>
          <w:rFonts w:cstheme="minorHAnsi"/>
          <w:lang w:eastAsia="en-GB"/>
        </w:rPr>
        <w:t xml:space="preserve"> </w:t>
      </w:r>
      <w:r w:rsidR="00657530" w:rsidRPr="007C5FD5">
        <w:rPr>
          <w:rFonts w:cstheme="minorHAnsi"/>
          <w:lang w:eastAsia="en-GB"/>
        </w:rPr>
        <w:t xml:space="preserve">Facebook account </w:t>
      </w:r>
      <w:r w:rsidR="004F46E1" w:rsidRPr="007C5FD5">
        <w:rPr>
          <w:rFonts w:cstheme="minorHAnsi"/>
          <w:lang w:eastAsia="en-GB"/>
        </w:rPr>
        <w:t xml:space="preserve">to </w:t>
      </w:r>
      <w:r w:rsidR="003A27D2" w:rsidRPr="007C5FD5">
        <w:rPr>
          <w:rFonts w:cstheme="minorHAnsi"/>
          <w:lang w:eastAsia="en-GB"/>
        </w:rPr>
        <w:t>find out</w:t>
      </w:r>
      <w:r w:rsidR="004F46E1" w:rsidRPr="007C5FD5">
        <w:rPr>
          <w:rFonts w:cstheme="minorHAnsi"/>
          <w:lang w:eastAsia="en-GB"/>
        </w:rPr>
        <w:t xml:space="preserve"> </w:t>
      </w:r>
      <w:r w:rsidR="00B62727" w:rsidRPr="007C5FD5">
        <w:rPr>
          <w:rFonts w:cstheme="minorHAnsi"/>
          <w:lang w:eastAsia="en-GB"/>
        </w:rPr>
        <w:t>if</w:t>
      </w:r>
      <w:r w:rsidR="00657530" w:rsidRPr="007C5FD5">
        <w:rPr>
          <w:rFonts w:cstheme="minorHAnsi"/>
          <w:lang w:eastAsia="en-GB"/>
        </w:rPr>
        <w:t xml:space="preserve"> </w:t>
      </w:r>
      <w:r w:rsidR="004F46E1" w:rsidRPr="007C5FD5">
        <w:rPr>
          <w:rFonts w:cstheme="minorHAnsi"/>
          <w:lang w:eastAsia="en-GB"/>
        </w:rPr>
        <w:t>she</w:t>
      </w:r>
      <w:r w:rsidR="00657530" w:rsidRPr="007C5FD5">
        <w:rPr>
          <w:rFonts w:cstheme="minorHAnsi"/>
          <w:lang w:eastAsia="en-GB"/>
        </w:rPr>
        <w:t xml:space="preserve"> had </w:t>
      </w:r>
      <w:r w:rsidR="004F46E1" w:rsidRPr="007C5FD5">
        <w:rPr>
          <w:rFonts w:cstheme="minorHAnsi"/>
          <w:lang w:eastAsia="en-GB"/>
        </w:rPr>
        <w:t>expressed suicide intentions</w:t>
      </w:r>
      <w:r w:rsidR="00C74483" w:rsidRPr="007C5FD5">
        <w:rPr>
          <w:rFonts w:cstheme="minorHAnsi"/>
          <w:lang w:eastAsia="en-GB"/>
        </w:rPr>
        <w:t xml:space="preserve"> </w:t>
      </w:r>
      <w:r w:rsidR="004F46E1" w:rsidRPr="007C5FD5">
        <w:rPr>
          <w:rFonts w:cstheme="minorHAnsi"/>
          <w:lang w:eastAsia="en-GB"/>
        </w:rPr>
        <w:t xml:space="preserve">and to defend a suit brought by the train </w:t>
      </w:r>
      <w:r w:rsidR="008E16B3" w:rsidRPr="007C5FD5">
        <w:rPr>
          <w:rFonts w:cstheme="minorHAnsi"/>
          <w:lang w:eastAsia="en-GB"/>
        </w:rPr>
        <w:t xml:space="preserve">driver </w:t>
      </w:r>
      <w:r w:rsidR="004F46E1" w:rsidRPr="007C5FD5">
        <w:rPr>
          <w:rFonts w:cstheme="minorHAnsi"/>
          <w:lang w:eastAsia="en-GB"/>
        </w:rPr>
        <w:lastRenderedPageBreak/>
        <w:t xml:space="preserve">involved in her death. </w:t>
      </w:r>
      <w:r w:rsidR="00B25297" w:rsidRPr="007C5FD5">
        <w:rPr>
          <w:rFonts w:cstheme="minorHAnsi"/>
          <w:lang w:eastAsia="en-GB"/>
        </w:rPr>
        <w:t xml:space="preserve">Facebook refused </w:t>
      </w:r>
      <w:r w:rsidR="00B62727" w:rsidRPr="007C5FD5">
        <w:rPr>
          <w:rFonts w:cstheme="minorHAnsi"/>
          <w:lang w:eastAsia="en-GB"/>
        </w:rPr>
        <w:t>them</w:t>
      </w:r>
      <w:r w:rsidR="00B25297" w:rsidRPr="007C5FD5">
        <w:rPr>
          <w:rFonts w:cstheme="minorHAnsi"/>
          <w:lang w:eastAsia="en-GB"/>
        </w:rPr>
        <w:t xml:space="preserve"> access </w:t>
      </w:r>
      <w:r w:rsidR="006F336C" w:rsidRPr="007C5FD5">
        <w:rPr>
          <w:rFonts w:cstheme="minorHAnsi"/>
          <w:lang w:eastAsia="en-GB"/>
        </w:rPr>
        <w:t xml:space="preserve">partly </w:t>
      </w:r>
      <w:r w:rsidR="00B25297" w:rsidRPr="007C5FD5">
        <w:rPr>
          <w:rFonts w:cstheme="minorHAnsi"/>
          <w:lang w:eastAsia="en-GB"/>
        </w:rPr>
        <w:t xml:space="preserve">based on its </w:t>
      </w:r>
      <w:r w:rsidR="003A27D2" w:rsidRPr="007C5FD5">
        <w:rPr>
          <w:rFonts w:cstheme="minorHAnsi"/>
          <w:lang w:eastAsia="en-GB"/>
        </w:rPr>
        <w:t xml:space="preserve">user contract </w:t>
      </w:r>
      <w:r w:rsidR="00B62727" w:rsidRPr="007C5FD5">
        <w:rPr>
          <w:rFonts w:cstheme="minorHAnsi"/>
          <w:lang w:eastAsia="en-GB"/>
        </w:rPr>
        <w:t>(</w:t>
      </w:r>
      <w:r w:rsidR="00A220E9" w:rsidRPr="007C5FD5">
        <w:rPr>
          <w:rFonts w:cstheme="minorHAnsi"/>
          <w:lang w:eastAsia="en-GB"/>
        </w:rPr>
        <w:t>governing</w:t>
      </w:r>
      <w:r w:rsidR="00B62727" w:rsidRPr="007C5FD5">
        <w:rPr>
          <w:rFonts w:cstheme="minorHAnsi"/>
          <w:lang w:eastAsia="en-GB"/>
        </w:rPr>
        <w:t xml:space="preserve"> the memorialisation of accounts of deceased users)</w:t>
      </w:r>
      <w:r w:rsidR="008D3B4C" w:rsidRPr="007C5FD5">
        <w:rPr>
          <w:rFonts w:cstheme="minorHAnsi"/>
          <w:lang w:eastAsia="en-GB"/>
        </w:rPr>
        <w:t xml:space="preserve"> and </w:t>
      </w:r>
      <w:r w:rsidR="00EF5F97">
        <w:rPr>
          <w:rFonts w:cstheme="minorHAnsi"/>
          <w:lang w:eastAsia="en-GB"/>
        </w:rPr>
        <w:t>the account’s</w:t>
      </w:r>
      <w:r w:rsidR="008D3B4C" w:rsidRPr="007C5FD5">
        <w:rPr>
          <w:rFonts w:cstheme="minorHAnsi"/>
          <w:lang w:eastAsia="en-GB"/>
        </w:rPr>
        <w:t xml:space="preserve"> personal nature,</w:t>
      </w:r>
      <w:r w:rsidR="00B62727" w:rsidRPr="007C5FD5">
        <w:rPr>
          <w:rFonts w:cstheme="minorHAnsi"/>
          <w:lang w:eastAsia="en-GB"/>
        </w:rPr>
        <w:t xml:space="preserve"> </w:t>
      </w:r>
      <w:r w:rsidR="00B25297" w:rsidRPr="007C5FD5">
        <w:rPr>
          <w:rFonts w:cstheme="minorHAnsi"/>
          <w:lang w:eastAsia="en-GB"/>
        </w:rPr>
        <w:t>and part</w:t>
      </w:r>
      <w:r w:rsidR="0036262D" w:rsidRPr="007C5FD5">
        <w:rPr>
          <w:rFonts w:cstheme="minorHAnsi"/>
          <w:lang w:eastAsia="en-GB"/>
        </w:rPr>
        <w:t>ly</w:t>
      </w:r>
      <w:r w:rsidR="00B25297" w:rsidRPr="007C5FD5">
        <w:rPr>
          <w:rFonts w:cstheme="minorHAnsi"/>
          <w:lang w:eastAsia="en-GB"/>
        </w:rPr>
        <w:t xml:space="preserve"> </w:t>
      </w:r>
      <w:r w:rsidR="00B62727" w:rsidRPr="007C5FD5">
        <w:rPr>
          <w:rFonts w:cstheme="minorHAnsi"/>
          <w:lang w:eastAsia="en-GB"/>
        </w:rPr>
        <w:t xml:space="preserve">to protect the </w:t>
      </w:r>
      <w:r w:rsidR="00B25297" w:rsidRPr="007C5FD5">
        <w:rPr>
          <w:rFonts w:cstheme="minorHAnsi"/>
          <w:lang w:eastAsia="en-GB"/>
        </w:rPr>
        <w:t>privacy</w:t>
      </w:r>
      <w:r w:rsidR="00B62727" w:rsidRPr="007C5FD5">
        <w:rPr>
          <w:rFonts w:cstheme="minorHAnsi"/>
          <w:lang w:eastAsia="en-GB"/>
        </w:rPr>
        <w:t xml:space="preserve"> </w:t>
      </w:r>
      <w:r w:rsidR="00B25297" w:rsidRPr="007C5FD5">
        <w:rPr>
          <w:rFonts w:cstheme="minorHAnsi"/>
          <w:lang w:eastAsia="en-GB"/>
        </w:rPr>
        <w:t xml:space="preserve">of </w:t>
      </w:r>
      <w:r w:rsidR="00B62727" w:rsidRPr="007C5FD5">
        <w:rPr>
          <w:rFonts w:cstheme="minorHAnsi"/>
          <w:lang w:eastAsia="en-GB"/>
        </w:rPr>
        <w:t>the deceased’s</w:t>
      </w:r>
      <w:r w:rsidR="00B25297" w:rsidRPr="007C5FD5">
        <w:rPr>
          <w:rFonts w:cstheme="minorHAnsi"/>
          <w:lang w:eastAsia="en-GB"/>
        </w:rPr>
        <w:t xml:space="preserve"> communication partners</w:t>
      </w:r>
      <w:r w:rsidR="007B1D35" w:rsidRPr="007C5FD5">
        <w:rPr>
          <w:rFonts w:cstheme="minorHAnsi"/>
          <w:lang w:eastAsia="en-GB"/>
        </w:rPr>
        <w:t xml:space="preserve">. </w:t>
      </w:r>
      <w:r w:rsidR="00EF5F97">
        <w:rPr>
          <w:rFonts w:cstheme="minorHAnsi"/>
          <w:lang w:eastAsia="en-GB"/>
        </w:rPr>
        <w:t>T</w:t>
      </w:r>
      <w:r w:rsidR="006F336C" w:rsidRPr="007C5FD5">
        <w:rPr>
          <w:rFonts w:cstheme="minorHAnsi"/>
          <w:lang w:eastAsia="en-GB"/>
        </w:rPr>
        <w:t>his</w:t>
      </w:r>
      <w:r w:rsidR="0036262D" w:rsidRPr="007C5FD5">
        <w:rPr>
          <w:rFonts w:cstheme="minorHAnsi"/>
          <w:lang w:eastAsia="en-GB"/>
        </w:rPr>
        <w:t xml:space="preserve"> </w:t>
      </w:r>
      <w:r w:rsidR="006172A1" w:rsidRPr="007C5FD5">
        <w:rPr>
          <w:rFonts w:cstheme="minorHAnsi"/>
          <w:lang w:eastAsia="en-GB"/>
        </w:rPr>
        <w:t>cloak of secrecy</w:t>
      </w:r>
      <w:r w:rsidR="00B62727" w:rsidRPr="007C5FD5">
        <w:rPr>
          <w:rFonts w:cstheme="minorHAnsi"/>
          <w:lang w:eastAsia="en-GB"/>
        </w:rPr>
        <w:t xml:space="preserve"> </w:t>
      </w:r>
      <w:r w:rsidR="005B60AB" w:rsidRPr="007C5FD5">
        <w:rPr>
          <w:rFonts w:cstheme="minorHAnsi"/>
          <w:lang w:eastAsia="en-GB"/>
        </w:rPr>
        <w:t xml:space="preserve">would </w:t>
      </w:r>
      <w:r w:rsidR="00EF5F97">
        <w:rPr>
          <w:rFonts w:cstheme="minorHAnsi"/>
          <w:lang w:eastAsia="en-GB"/>
        </w:rPr>
        <w:t xml:space="preserve">incidentally </w:t>
      </w:r>
      <w:r w:rsidR="008D3B4C" w:rsidRPr="007C5FD5">
        <w:rPr>
          <w:rFonts w:cstheme="minorHAnsi"/>
          <w:lang w:eastAsia="en-GB"/>
        </w:rPr>
        <w:t xml:space="preserve">also </w:t>
      </w:r>
      <w:r w:rsidR="00C74483" w:rsidRPr="007C5FD5">
        <w:rPr>
          <w:rFonts w:cstheme="minorHAnsi"/>
          <w:lang w:eastAsia="en-GB"/>
        </w:rPr>
        <w:t xml:space="preserve">have </w:t>
      </w:r>
      <w:r w:rsidR="00B62727" w:rsidRPr="007C5FD5">
        <w:rPr>
          <w:rFonts w:cstheme="minorHAnsi"/>
          <w:lang w:eastAsia="en-GB"/>
        </w:rPr>
        <w:t>serve</w:t>
      </w:r>
      <w:r w:rsidR="00C74483" w:rsidRPr="007C5FD5">
        <w:rPr>
          <w:rFonts w:cstheme="minorHAnsi"/>
          <w:lang w:eastAsia="en-GB"/>
        </w:rPr>
        <w:t>d</w:t>
      </w:r>
      <w:r w:rsidR="00B62727" w:rsidRPr="007C5FD5">
        <w:rPr>
          <w:rFonts w:cstheme="minorHAnsi"/>
          <w:lang w:eastAsia="en-GB"/>
        </w:rPr>
        <w:t xml:space="preserve"> </w:t>
      </w:r>
      <w:r w:rsidR="00BC49C1">
        <w:rPr>
          <w:rFonts w:cstheme="minorHAnsi"/>
          <w:lang w:eastAsia="en-GB"/>
        </w:rPr>
        <w:t>Facebook’s</w:t>
      </w:r>
      <w:r w:rsidR="007B1D35" w:rsidRPr="007C5FD5">
        <w:rPr>
          <w:rFonts w:cstheme="minorHAnsi"/>
          <w:lang w:eastAsia="en-GB"/>
        </w:rPr>
        <w:t xml:space="preserve"> </w:t>
      </w:r>
      <w:r w:rsidR="00810FB6" w:rsidRPr="007C5FD5">
        <w:rPr>
          <w:rFonts w:cstheme="minorHAnsi"/>
          <w:lang w:eastAsia="en-GB"/>
        </w:rPr>
        <w:t>own interest</w:t>
      </w:r>
      <w:r w:rsidR="00146B61" w:rsidRPr="007C5FD5">
        <w:rPr>
          <w:rFonts w:cstheme="minorHAnsi"/>
          <w:lang w:eastAsia="en-GB"/>
        </w:rPr>
        <w:t>s</w:t>
      </w:r>
      <w:r w:rsidR="00E75322" w:rsidRPr="007C5FD5">
        <w:rPr>
          <w:rFonts w:cstheme="minorHAnsi"/>
          <w:lang w:eastAsia="en-GB"/>
        </w:rPr>
        <w:t xml:space="preserve"> </w:t>
      </w:r>
      <w:r w:rsidR="004F46E1" w:rsidRPr="007C5FD5">
        <w:rPr>
          <w:rFonts w:cstheme="minorHAnsi"/>
          <w:lang w:eastAsia="en-GB"/>
        </w:rPr>
        <w:t xml:space="preserve">considering how </w:t>
      </w:r>
      <w:r w:rsidR="00A220E9" w:rsidRPr="007C5FD5">
        <w:rPr>
          <w:rFonts w:cstheme="minorHAnsi"/>
          <w:lang w:eastAsia="en-GB"/>
        </w:rPr>
        <w:t>often</w:t>
      </w:r>
      <w:r w:rsidR="004F46E1" w:rsidRPr="007C5FD5">
        <w:rPr>
          <w:rFonts w:cstheme="minorHAnsi"/>
          <w:lang w:eastAsia="en-GB"/>
        </w:rPr>
        <w:t xml:space="preserve"> </w:t>
      </w:r>
      <w:r w:rsidR="00C62479" w:rsidRPr="007C5FD5">
        <w:rPr>
          <w:rFonts w:cstheme="minorHAnsi"/>
          <w:lang w:eastAsia="en-GB"/>
        </w:rPr>
        <w:t xml:space="preserve">it </w:t>
      </w:r>
      <w:r w:rsidR="006C42E7" w:rsidRPr="007C5FD5">
        <w:rPr>
          <w:rFonts w:cstheme="minorHAnsi"/>
          <w:lang w:eastAsia="en-GB"/>
        </w:rPr>
        <w:t xml:space="preserve">has been accused of </w:t>
      </w:r>
      <w:r w:rsidR="002B6AF3" w:rsidRPr="007C5FD5">
        <w:rPr>
          <w:rFonts w:cstheme="minorHAnsi"/>
          <w:lang w:eastAsia="en-GB"/>
        </w:rPr>
        <w:t>failing to protect</w:t>
      </w:r>
      <w:r w:rsidR="006C42E7" w:rsidRPr="007C5FD5">
        <w:rPr>
          <w:rFonts w:cstheme="minorHAnsi"/>
          <w:lang w:eastAsia="en-GB"/>
        </w:rPr>
        <w:t xml:space="preserve"> children and young people from harmful content, </w:t>
      </w:r>
      <w:r w:rsidR="00BC49C1">
        <w:rPr>
          <w:rFonts w:cstheme="minorHAnsi"/>
          <w:lang w:eastAsia="en-GB"/>
        </w:rPr>
        <w:t>including</w:t>
      </w:r>
      <w:r w:rsidR="006C42E7" w:rsidRPr="007C5FD5">
        <w:rPr>
          <w:rFonts w:cstheme="minorHAnsi"/>
          <w:lang w:eastAsia="en-GB"/>
        </w:rPr>
        <w:t xml:space="preserve"> suicide sites.</w:t>
      </w:r>
      <w:r w:rsidR="006C42E7" w:rsidRPr="007C5FD5">
        <w:rPr>
          <w:rStyle w:val="FootnoteReference"/>
          <w:rFonts w:cstheme="minorHAnsi"/>
          <w:lang w:eastAsia="en-GB"/>
        </w:rPr>
        <w:footnoteReference w:id="67"/>
      </w:r>
      <w:r w:rsidR="00B62727" w:rsidRPr="007C5FD5">
        <w:rPr>
          <w:rFonts w:cstheme="minorHAnsi"/>
          <w:lang w:eastAsia="en-GB"/>
        </w:rPr>
        <w:t xml:space="preserve"> </w:t>
      </w:r>
      <w:r w:rsidR="00A365E0" w:rsidRPr="007C5FD5">
        <w:rPr>
          <w:rFonts w:cstheme="minorHAnsi"/>
          <w:lang w:eastAsia="en-GB"/>
        </w:rPr>
        <w:t xml:space="preserve">For </w:t>
      </w:r>
      <w:r w:rsidR="00ED1A18" w:rsidRPr="007C5FD5">
        <w:rPr>
          <w:rFonts w:cstheme="minorHAnsi"/>
          <w:lang w:eastAsia="en-GB"/>
        </w:rPr>
        <w:t xml:space="preserve">the </w:t>
      </w:r>
      <w:r w:rsidR="00ED099C" w:rsidRPr="007C5FD5">
        <w:rPr>
          <w:rFonts w:cstheme="minorHAnsi"/>
          <w:lang w:eastAsia="en-GB"/>
        </w:rPr>
        <w:t>German</w:t>
      </w:r>
      <w:r w:rsidR="006C42E7" w:rsidRPr="007C5FD5">
        <w:rPr>
          <w:rFonts w:cstheme="minorHAnsi"/>
          <w:lang w:eastAsia="en-GB"/>
        </w:rPr>
        <w:t xml:space="preserve"> </w:t>
      </w:r>
      <w:r w:rsidR="00BC49C1">
        <w:rPr>
          <w:rFonts w:cstheme="minorHAnsi"/>
          <w:lang w:eastAsia="en-GB"/>
        </w:rPr>
        <w:t>c</w:t>
      </w:r>
      <w:r w:rsidR="006C42E7" w:rsidRPr="007C5FD5">
        <w:rPr>
          <w:rFonts w:cstheme="minorHAnsi"/>
          <w:lang w:eastAsia="en-GB"/>
        </w:rPr>
        <w:t>ourt</w:t>
      </w:r>
      <w:r w:rsidR="006342D6" w:rsidRPr="007C5FD5">
        <w:rPr>
          <w:rFonts w:cstheme="minorHAnsi"/>
          <w:lang w:eastAsia="en-GB"/>
        </w:rPr>
        <w:t>, however,</w:t>
      </w:r>
      <w:r w:rsidR="006C42E7" w:rsidRPr="007C5FD5">
        <w:rPr>
          <w:rFonts w:cstheme="minorHAnsi"/>
          <w:lang w:eastAsia="en-GB"/>
        </w:rPr>
        <w:t xml:space="preserve"> the </w:t>
      </w:r>
      <w:r w:rsidR="00940644" w:rsidRPr="007C5FD5">
        <w:rPr>
          <w:rFonts w:cstheme="minorHAnsi"/>
          <w:lang w:eastAsia="en-GB"/>
        </w:rPr>
        <w:t xml:space="preserve">parents’ </w:t>
      </w:r>
      <w:r w:rsidR="006C42E7" w:rsidRPr="007C5FD5">
        <w:rPr>
          <w:rFonts w:cstheme="minorHAnsi"/>
          <w:lang w:eastAsia="en-GB"/>
        </w:rPr>
        <w:t xml:space="preserve">claim </w:t>
      </w:r>
      <w:r w:rsidR="007B1D35" w:rsidRPr="007C5FD5">
        <w:rPr>
          <w:rFonts w:cstheme="minorHAnsi"/>
          <w:lang w:eastAsia="en-GB"/>
        </w:rPr>
        <w:t>fell with</w:t>
      </w:r>
      <w:r w:rsidR="00940644" w:rsidRPr="007C5FD5">
        <w:rPr>
          <w:rFonts w:cstheme="minorHAnsi"/>
          <w:lang w:eastAsia="en-GB"/>
        </w:rPr>
        <w:t>in</w:t>
      </w:r>
      <w:r w:rsidR="006C42E7" w:rsidRPr="007C5FD5">
        <w:rPr>
          <w:rFonts w:cstheme="minorHAnsi"/>
          <w:lang w:eastAsia="en-GB"/>
        </w:rPr>
        <w:t xml:space="preserve"> </w:t>
      </w:r>
      <w:r w:rsidR="00BF4534" w:rsidRPr="007C5FD5">
        <w:rPr>
          <w:rFonts w:cstheme="minorHAnsi"/>
          <w:lang w:eastAsia="en-GB"/>
        </w:rPr>
        <w:t xml:space="preserve">ordinary </w:t>
      </w:r>
      <w:r w:rsidR="006C42E7" w:rsidRPr="007C5FD5">
        <w:rPr>
          <w:rFonts w:cstheme="minorHAnsi"/>
          <w:lang w:eastAsia="en-GB"/>
        </w:rPr>
        <w:t>inher</w:t>
      </w:r>
      <w:r w:rsidR="004F07AA" w:rsidRPr="007C5FD5">
        <w:rPr>
          <w:rFonts w:cstheme="minorHAnsi"/>
          <w:lang w:eastAsia="en-GB"/>
        </w:rPr>
        <w:t>itanc</w:t>
      </w:r>
      <w:r w:rsidR="006C42E7" w:rsidRPr="007C5FD5">
        <w:rPr>
          <w:rFonts w:cstheme="minorHAnsi"/>
          <w:lang w:eastAsia="en-GB"/>
        </w:rPr>
        <w:t>e</w:t>
      </w:r>
      <w:r w:rsidR="00E75322" w:rsidRPr="007C5FD5">
        <w:rPr>
          <w:rFonts w:cstheme="minorHAnsi"/>
          <w:lang w:eastAsia="en-GB"/>
        </w:rPr>
        <w:t xml:space="preserve"> law</w:t>
      </w:r>
      <w:r w:rsidR="007B1D35" w:rsidRPr="007C5FD5">
        <w:rPr>
          <w:rFonts w:cstheme="minorHAnsi"/>
          <w:lang w:eastAsia="en-GB"/>
        </w:rPr>
        <w:t xml:space="preserve"> – with the account</w:t>
      </w:r>
      <w:r w:rsidR="00B62727" w:rsidRPr="007C5FD5">
        <w:rPr>
          <w:rFonts w:cstheme="minorHAnsi"/>
          <w:lang w:eastAsia="en-GB"/>
        </w:rPr>
        <w:t xml:space="preserve"> </w:t>
      </w:r>
      <w:r w:rsidR="007B1D35" w:rsidRPr="007C5FD5">
        <w:rPr>
          <w:rFonts w:cstheme="minorHAnsi"/>
          <w:lang w:eastAsia="en-GB"/>
        </w:rPr>
        <w:t>content being</w:t>
      </w:r>
      <w:r w:rsidR="00B62727" w:rsidRPr="007C5FD5">
        <w:rPr>
          <w:rFonts w:cstheme="minorHAnsi"/>
          <w:lang w:eastAsia="en-GB"/>
        </w:rPr>
        <w:t xml:space="preserve"> analogous to letters </w:t>
      </w:r>
      <w:r w:rsidR="007B1D35" w:rsidRPr="007C5FD5">
        <w:rPr>
          <w:rFonts w:cstheme="minorHAnsi"/>
          <w:lang w:eastAsia="en-GB"/>
        </w:rPr>
        <w:t xml:space="preserve">and </w:t>
      </w:r>
      <w:r w:rsidR="00B62727" w:rsidRPr="007C5FD5">
        <w:rPr>
          <w:rFonts w:cstheme="minorHAnsi"/>
          <w:lang w:eastAsia="en-GB"/>
        </w:rPr>
        <w:t>Facebook</w:t>
      </w:r>
      <w:r w:rsidR="007B1D35" w:rsidRPr="007C5FD5">
        <w:rPr>
          <w:rFonts w:cstheme="minorHAnsi"/>
          <w:lang w:eastAsia="en-GB"/>
        </w:rPr>
        <w:t xml:space="preserve"> to </w:t>
      </w:r>
      <w:r w:rsidR="00BF45BA" w:rsidRPr="007C5FD5">
        <w:rPr>
          <w:rFonts w:cstheme="minorHAnsi"/>
          <w:lang w:eastAsia="en-GB"/>
        </w:rPr>
        <w:t>a</w:t>
      </w:r>
      <w:r w:rsidR="00B62727" w:rsidRPr="007C5FD5">
        <w:rPr>
          <w:rFonts w:cstheme="minorHAnsi"/>
          <w:lang w:eastAsia="en-GB"/>
        </w:rPr>
        <w:t xml:space="preserve"> postal service</w:t>
      </w:r>
      <w:r w:rsidR="003A27D2" w:rsidRPr="007C5FD5">
        <w:rPr>
          <w:rFonts w:cstheme="minorHAnsi"/>
          <w:lang w:eastAsia="en-GB"/>
        </w:rPr>
        <w:t xml:space="preserve"> – and </w:t>
      </w:r>
      <w:r w:rsidR="005B60AB" w:rsidRPr="007C5FD5">
        <w:rPr>
          <w:rFonts w:cstheme="minorHAnsi"/>
          <w:lang w:eastAsia="en-GB"/>
        </w:rPr>
        <w:t xml:space="preserve">it </w:t>
      </w:r>
      <w:r w:rsidR="003A27D2" w:rsidRPr="007C5FD5">
        <w:rPr>
          <w:rFonts w:cstheme="minorHAnsi"/>
          <w:lang w:eastAsia="en-GB"/>
        </w:rPr>
        <w:t>thus</w:t>
      </w:r>
      <w:r w:rsidR="004F07AA" w:rsidRPr="007C5FD5">
        <w:rPr>
          <w:rFonts w:cstheme="minorHAnsi"/>
          <w:lang w:eastAsia="en-GB"/>
        </w:rPr>
        <w:t xml:space="preserve"> held</w:t>
      </w:r>
      <w:r w:rsidR="003A27D2" w:rsidRPr="007C5FD5">
        <w:rPr>
          <w:rFonts w:cstheme="minorHAnsi"/>
          <w:lang w:eastAsia="en-GB"/>
        </w:rPr>
        <w:t xml:space="preserve"> in</w:t>
      </w:r>
      <w:r w:rsidR="00A43178" w:rsidRPr="007C5FD5">
        <w:rPr>
          <w:rFonts w:cstheme="minorHAnsi"/>
          <w:lang w:eastAsia="en-GB"/>
        </w:rPr>
        <w:t xml:space="preserve"> their</w:t>
      </w:r>
      <w:r w:rsidR="003A27D2" w:rsidRPr="007C5FD5">
        <w:rPr>
          <w:rFonts w:cstheme="minorHAnsi"/>
          <w:lang w:eastAsia="en-GB"/>
        </w:rPr>
        <w:t xml:space="preserve"> favour</w:t>
      </w:r>
      <w:r w:rsidR="00A43178" w:rsidRPr="007C5FD5">
        <w:rPr>
          <w:rFonts w:cstheme="minorHAnsi"/>
          <w:lang w:eastAsia="en-GB"/>
        </w:rPr>
        <w:t>.</w:t>
      </w:r>
      <w:r w:rsidR="00D10FF8" w:rsidRPr="007C5FD5">
        <w:rPr>
          <w:rStyle w:val="FootnoteReference"/>
          <w:rFonts w:cstheme="minorHAnsi"/>
          <w:lang w:eastAsia="en-GB"/>
        </w:rPr>
        <w:footnoteReference w:id="68"/>
      </w:r>
      <w:r w:rsidR="00BF4534" w:rsidRPr="007C5FD5">
        <w:rPr>
          <w:rFonts w:cstheme="minorHAnsi"/>
          <w:lang w:eastAsia="en-GB"/>
        </w:rPr>
        <w:t xml:space="preserve"> </w:t>
      </w:r>
      <w:r w:rsidR="003A27D2" w:rsidRPr="007C5FD5">
        <w:rPr>
          <w:rFonts w:cstheme="minorHAnsi"/>
          <w:lang w:eastAsia="en-GB"/>
        </w:rPr>
        <w:t>The</w:t>
      </w:r>
      <w:r w:rsidR="006342D6" w:rsidRPr="007C5FD5">
        <w:rPr>
          <w:rFonts w:cstheme="minorHAnsi"/>
          <w:lang w:eastAsia="en-GB"/>
        </w:rPr>
        <w:t xml:space="preserve"> parent’s</w:t>
      </w:r>
      <w:r w:rsidR="00BF4534" w:rsidRPr="007C5FD5">
        <w:rPr>
          <w:rFonts w:cstheme="minorHAnsi"/>
          <w:lang w:eastAsia="en-GB"/>
        </w:rPr>
        <w:t xml:space="preserve"> </w:t>
      </w:r>
      <w:r w:rsidR="006172A1" w:rsidRPr="007C5FD5">
        <w:rPr>
          <w:rFonts w:cstheme="minorHAnsi"/>
          <w:lang w:eastAsia="en-GB"/>
        </w:rPr>
        <w:t xml:space="preserve">entitlement </w:t>
      </w:r>
      <w:r w:rsidR="00940644" w:rsidRPr="007C5FD5">
        <w:rPr>
          <w:rFonts w:cstheme="minorHAnsi"/>
          <w:lang w:eastAsia="en-GB"/>
        </w:rPr>
        <w:t>was</w:t>
      </w:r>
      <w:r w:rsidR="003A27D2" w:rsidRPr="007C5FD5">
        <w:rPr>
          <w:rFonts w:cstheme="minorHAnsi"/>
          <w:lang w:eastAsia="en-GB"/>
        </w:rPr>
        <w:t xml:space="preserve"> </w:t>
      </w:r>
      <w:r w:rsidR="0013379C" w:rsidRPr="007C5FD5">
        <w:rPr>
          <w:rFonts w:cstheme="minorHAnsi"/>
          <w:lang w:eastAsia="en-GB"/>
        </w:rPr>
        <w:t>not di</w:t>
      </w:r>
      <w:r w:rsidR="00C74483" w:rsidRPr="007C5FD5">
        <w:rPr>
          <w:rFonts w:cstheme="minorHAnsi"/>
          <w:lang w:eastAsia="en-GB"/>
        </w:rPr>
        <w:t>splaced</w:t>
      </w:r>
      <w:r w:rsidR="00940644" w:rsidRPr="007C5FD5">
        <w:rPr>
          <w:rFonts w:cstheme="minorHAnsi"/>
          <w:lang w:eastAsia="en-GB"/>
        </w:rPr>
        <w:t xml:space="preserve"> by data protection law </w:t>
      </w:r>
      <w:r w:rsidR="00C74483" w:rsidRPr="007C5FD5">
        <w:rPr>
          <w:rFonts w:cstheme="minorHAnsi"/>
          <w:lang w:eastAsia="en-GB"/>
        </w:rPr>
        <w:t>as</w:t>
      </w:r>
      <w:r w:rsidR="00940644" w:rsidRPr="007C5FD5">
        <w:rPr>
          <w:rFonts w:cstheme="minorHAnsi"/>
          <w:lang w:eastAsia="en-GB"/>
        </w:rPr>
        <w:t xml:space="preserve"> </w:t>
      </w:r>
      <w:r w:rsidR="006E7A8E" w:rsidRPr="007C5FD5">
        <w:rPr>
          <w:rFonts w:cstheme="minorHAnsi"/>
          <w:lang w:eastAsia="en-GB"/>
        </w:rPr>
        <w:t>the</w:t>
      </w:r>
      <w:r w:rsidR="00BF4534" w:rsidRPr="007C5FD5">
        <w:rPr>
          <w:rFonts w:cstheme="minorHAnsi"/>
          <w:lang w:eastAsia="en-GB"/>
        </w:rPr>
        <w:t>ir</w:t>
      </w:r>
      <w:r w:rsidR="006E7A8E" w:rsidRPr="007C5FD5">
        <w:rPr>
          <w:rFonts w:cstheme="minorHAnsi"/>
          <w:lang w:eastAsia="en-GB"/>
        </w:rPr>
        <w:t xml:space="preserve"> </w:t>
      </w:r>
      <w:r w:rsidR="00940644" w:rsidRPr="007C5FD5">
        <w:rPr>
          <w:rFonts w:cstheme="minorHAnsi"/>
          <w:lang w:eastAsia="en-GB"/>
        </w:rPr>
        <w:t>interests</w:t>
      </w:r>
      <w:r w:rsidR="009F1F91" w:rsidRPr="007C5FD5">
        <w:rPr>
          <w:rFonts w:cstheme="minorHAnsi"/>
          <w:lang w:eastAsia="en-GB"/>
        </w:rPr>
        <w:t xml:space="preserve"> in</w:t>
      </w:r>
      <w:r w:rsidR="005B5989" w:rsidRPr="007C5FD5">
        <w:rPr>
          <w:rFonts w:cstheme="minorHAnsi"/>
          <w:lang w:eastAsia="en-GB"/>
        </w:rPr>
        <w:t xml:space="preserve"> accessing</w:t>
      </w:r>
      <w:r w:rsidR="009F1F91" w:rsidRPr="007C5FD5">
        <w:rPr>
          <w:rFonts w:cstheme="minorHAnsi"/>
          <w:lang w:eastAsia="en-GB"/>
        </w:rPr>
        <w:t xml:space="preserve"> the</w:t>
      </w:r>
      <w:r w:rsidR="00C74483" w:rsidRPr="007C5FD5">
        <w:rPr>
          <w:rFonts w:cstheme="minorHAnsi"/>
          <w:lang w:eastAsia="en-GB"/>
        </w:rPr>
        <w:t xml:space="preserve"> account</w:t>
      </w:r>
      <w:r w:rsidR="00940644" w:rsidRPr="007C5FD5">
        <w:rPr>
          <w:rFonts w:cstheme="minorHAnsi"/>
          <w:lang w:eastAsia="en-GB"/>
        </w:rPr>
        <w:t xml:space="preserve"> </w:t>
      </w:r>
      <w:r w:rsidR="00C73125" w:rsidRPr="007C5FD5">
        <w:rPr>
          <w:rFonts w:cstheme="minorHAnsi"/>
          <w:lang w:eastAsia="en-GB"/>
        </w:rPr>
        <w:t>trumped</w:t>
      </w:r>
      <w:r w:rsidR="006172A1" w:rsidRPr="007C5FD5">
        <w:rPr>
          <w:rFonts w:cstheme="minorHAnsi"/>
          <w:lang w:eastAsia="en-GB"/>
        </w:rPr>
        <w:t xml:space="preserve">, according to the court, </w:t>
      </w:r>
      <w:r w:rsidR="00C73125" w:rsidRPr="007C5FD5">
        <w:rPr>
          <w:rFonts w:cstheme="minorHAnsi"/>
          <w:lang w:eastAsia="en-GB"/>
        </w:rPr>
        <w:t>th</w:t>
      </w:r>
      <w:r w:rsidR="00940644" w:rsidRPr="007C5FD5">
        <w:rPr>
          <w:rFonts w:cstheme="minorHAnsi"/>
          <w:lang w:eastAsia="en-GB"/>
        </w:rPr>
        <w:t>ose</w:t>
      </w:r>
      <w:r w:rsidR="00C73125" w:rsidRPr="007C5FD5">
        <w:rPr>
          <w:rFonts w:cstheme="minorHAnsi"/>
          <w:lang w:eastAsia="en-GB"/>
        </w:rPr>
        <w:t xml:space="preserve"> of </w:t>
      </w:r>
      <w:r w:rsidR="00A43178" w:rsidRPr="007C5FD5">
        <w:rPr>
          <w:rFonts w:cstheme="minorHAnsi"/>
          <w:lang w:eastAsia="en-GB"/>
        </w:rPr>
        <w:t>the daughter’s</w:t>
      </w:r>
      <w:r w:rsidR="00C74483" w:rsidRPr="007C5FD5">
        <w:rPr>
          <w:rFonts w:cstheme="minorHAnsi"/>
          <w:lang w:eastAsia="en-GB"/>
        </w:rPr>
        <w:t xml:space="preserve"> </w:t>
      </w:r>
      <w:r w:rsidR="00C73125" w:rsidRPr="007C5FD5">
        <w:rPr>
          <w:rFonts w:cstheme="minorHAnsi"/>
          <w:lang w:eastAsia="en-GB"/>
        </w:rPr>
        <w:t>communication</w:t>
      </w:r>
      <w:r w:rsidR="00FF52EE" w:rsidRPr="007C5FD5">
        <w:rPr>
          <w:rFonts w:cstheme="minorHAnsi"/>
          <w:lang w:eastAsia="en-GB"/>
        </w:rPr>
        <w:t xml:space="preserve"> </w:t>
      </w:r>
      <w:r w:rsidR="00C73125" w:rsidRPr="007C5FD5">
        <w:rPr>
          <w:rFonts w:cstheme="minorHAnsi"/>
          <w:lang w:eastAsia="en-GB"/>
        </w:rPr>
        <w:t xml:space="preserve">partners </w:t>
      </w:r>
      <w:r w:rsidR="00940644" w:rsidRPr="007C5FD5">
        <w:rPr>
          <w:rFonts w:cstheme="minorHAnsi"/>
          <w:lang w:eastAsia="en-GB"/>
        </w:rPr>
        <w:t>not to</w:t>
      </w:r>
      <w:r w:rsidR="00C73125" w:rsidRPr="007C5FD5">
        <w:rPr>
          <w:rFonts w:cstheme="minorHAnsi"/>
          <w:lang w:eastAsia="en-GB"/>
        </w:rPr>
        <w:t xml:space="preserve"> have their message</w:t>
      </w:r>
      <w:r w:rsidR="00940644" w:rsidRPr="007C5FD5">
        <w:rPr>
          <w:rFonts w:cstheme="minorHAnsi"/>
          <w:lang w:eastAsia="en-GB"/>
        </w:rPr>
        <w:t>s</w:t>
      </w:r>
      <w:r w:rsidR="00C73125" w:rsidRPr="007C5FD5">
        <w:rPr>
          <w:rFonts w:cstheme="minorHAnsi"/>
          <w:lang w:eastAsia="en-GB"/>
        </w:rPr>
        <w:t xml:space="preserve"> </w:t>
      </w:r>
      <w:r w:rsidR="00940644" w:rsidRPr="007C5FD5">
        <w:rPr>
          <w:rFonts w:cstheme="minorHAnsi"/>
          <w:lang w:eastAsia="en-GB"/>
        </w:rPr>
        <w:t>revealed.</w:t>
      </w:r>
      <w:r w:rsidR="00940644" w:rsidRPr="007C5FD5">
        <w:rPr>
          <w:rStyle w:val="FootnoteReference"/>
          <w:rFonts w:cstheme="minorHAnsi"/>
          <w:lang w:eastAsia="en-GB"/>
        </w:rPr>
        <w:footnoteReference w:id="69"/>
      </w:r>
      <w:r w:rsidR="009F1F91" w:rsidRPr="007C5FD5">
        <w:rPr>
          <w:rFonts w:cstheme="minorHAnsi"/>
          <w:lang w:eastAsia="en-GB"/>
        </w:rPr>
        <w:t xml:space="preserve"> </w:t>
      </w:r>
      <w:r w:rsidR="0084487F" w:rsidRPr="007C5FD5">
        <w:rPr>
          <w:rFonts w:cstheme="minorHAnsi"/>
          <w:lang w:eastAsia="en-GB"/>
        </w:rPr>
        <w:t xml:space="preserve">Meanwhile, </w:t>
      </w:r>
      <w:r w:rsidR="00146B61" w:rsidRPr="007C5FD5">
        <w:rPr>
          <w:rFonts w:cstheme="minorHAnsi"/>
          <w:lang w:eastAsia="en-GB"/>
        </w:rPr>
        <w:t>t</w:t>
      </w:r>
      <w:r w:rsidR="00B9637B" w:rsidRPr="007C5FD5">
        <w:rPr>
          <w:rFonts w:cstheme="minorHAnsi"/>
          <w:lang w:eastAsia="en-GB"/>
        </w:rPr>
        <w:t>he post-mortem</w:t>
      </w:r>
      <w:r w:rsidR="005B5989" w:rsidRPr="007C5FD5">
        <w:rPr>
          <w:rFonts w:cstheme="minorHAnsi"/>
          <w:lang w:eastAsia="en-GB"/>
        </w:rPr>
        <w:t xml:space="preserve"> personality</w:t>
      </w:r>
      <w:r w:rsidR="00B9637B" w:rsidRPr="007C5FD5">
        <w:rPr>
          <w:rFonts w:cstheme="minorHAnsi"/>
          <w:lang w:eastAsia="en-GB"/>
        </w:rPr>
        <w:t xml:space="preserve"> right of the deceased </w:t>
      </w:r>
      <w:r w:rsidR="005B5989" w:rsidRPr="007C5FD5">
        <w:rPr>
          <w:rFonts w:cstheme="minorHAnsi"/>
          <w:lang w:eastAsia="en-GB"/>
        </w:rPr>
        <w:t>was</w:t>
      </w:r>
      <w:r w:rsidR="005B60AB" w:rsidRPr="007C5FD5">
        <w:rPr>
          <w:rFonts w:cstheme="minorHAnsi"/>
          <w:lang w:eastAsia="en-GB"/>
        </w:rPr>
        <w:t xml:space="preserve"> not inconsistent with the outcome, but </w:t>
      </w:r>
      <w:r w:rsidR="005B5989" w:rsidRPr="007C5FD5">
        <w:rPr>
          <w:rFonts w:cstheme="minorHAnsi"/>
          <w:lang w:eastAsia="en-GB"/>
        </w:rPr>
        <w:t xml:space="preserve">also played </w:t>
      </w:r>
      <w:r w:rsidR="00B9637B" w:rsidRPr="007C5FD5">
        <w:rPr>
          <w:rFonts w:cstheme="minorHAnsi"/>
          <w:lang w:eastAsia="en-GB"/>
        </w:rPr>
        <w:t xml:space="preserve">no determinative role </w:t>
      </w:r>
      <w:r w:rsidR="005B60AB" w:rsidRPr="007C5FD5">
        <w:rPr>
          <w:rFonts w:cstheme="minorHAnsi"/>
          <w:lang w:eastAsia="en-GB"/>
        </w:rPr>
        <w:t xml:space="preserve">in it. </w:t>
      </w:r>
      <w:r w:rsidR="005B5989" w:rsidRPr="007C5FD5">
        <w:rPr>
          <w:rFonts w:cstheme="minorHAnsi"/>
          <w:lang w:eastAsia="en-GB"/>
        </w:rPr>
        <w:t>The court</w:t>
      </w:r>
      <w:r w:rsidR="006911BF">
        <w:rPr>
          <w:rFonts w:cstheme="minorHAnsi"/>
          <w:lang w:eastAsia="en-GB"/>
        </w:rPr>
        <w:t xml:space="preserve"> favour</w:t>
      </w:r>
      <w:r w:rsidR="00D82999">
        <w:rPr>
          <w:rFonts w:cstheme="minorHAnsi"/>
          <w:lang w:eastAsia="en-GB"/>
        </w:rPr>
        <w:t>ed</w:t>
      </w:r>
      <w:r w:rsidR="006911BF">
        <w:rPr>
          <w:rFonts w:cstheme="minorHAnsi"/>
          <w:lang w:eastAsia="en-GB"/>
        </w:rPr>
        <w:t xml:space="preserve"> the </w:t>
      </w:r>
      <w:r w:rsidR="00D82999">
        <w:rPr>
          <w:rFonts w:cstheme="minorHAnsi"/>
          <w:lang w:eastAsia="en-GB"/>
        </w:rPr>
        <w:t xml:space="preserve">family interests </w:t>
      </w:r>
      <w:r w:rsidR="00D82999" w:rsidRPr="007C5FD5">
        <w:rPr>
          <w:rFonts w:cstheme="minorHAnsi"/>
          <w:lang w:eastAsia="en-GB"/>
        </w:rPr>
        <w:t xml:space="preserve">at the expense of the </w:t>
      </w:r>
      <w:r w:rsidR="00D82999">
        <w:rPr>
          <w:rFonts w:cstheme="minorHAnsi"/>
          <w:lang w:eastAsia="en-GB"/>
        </w:rPr>
        <w:t xml:space="preserve">interests </w:t>
      </w:r>
      <w:r w:rsidR="00D82999" w:rsidRPr="007C5FD5">
        <w:rPr>
          <w:rFonts w:cstheme="minorHAnsi"/>
          <w:lang w:eastAsia="en-GB"/>
        </w:rPr>
        <w:t>of</w:t>
      </w:r>
      <w:r w:rsidR="00D82999">
        <w:rPr>
          <w:rFonts w:cstheme="minorHAnsi"/>
          <w:lang w:eastAsia="en-GB"/>
        </w:rPr>
        <w:t xml:space="preserve"> the daughter’s</w:t>
      </w:r>
      <w:r w:rsidR="00D82999" w:rsidRPr="007C5FD5">
        <w:rPr>
          <w:rFonts w:cstheme="minorHAnsi"/>
          <w:lang w:eastAsia="en-GB"/>
        </w:rPr>
        <w:t xml:space="preserve"> social contacts</w:t>
      </w:r>
      <w:r w:rsidR="00D82999">
        <w:rPr>
          <w:rFonts w:cstheme="minorHAnsi"/>
          <w:lang w:eastAsia="en-GB"/>
        </w:rPr>
        <w:t xml:space="preserve"> - </w:t>
      </w:r>
      <w:r w:rsidR="005B5989" w:rsidRPr="007C5FD5">
        <w:rPr>
          <w:rFonts w:cstheme="minorHAnsi"/>
          <w:lang w:eastAsia="en-GB"/>
        </w:rPr>
        <w:t>amongst the</w:t>
      </w:r>
      <w:r w:rsidR="00B9637B" w:rsidRPr="007C5FD5">
        <w:rPr>
          <w:rFonts w:cstheme="minorHAnsi"/>
          <w:lang w:eastAsia="en-GB"/>
        </w:rPr>
        <w:t xml:space="preserve"> overlapping, co-dependent</w:t>
      </w:r>
      <w:r w:rsidR="005B5989" w:rsidRPr="007C5FD5">
        <w:rPr>
          <w:rFonts w:cstheme="minorHAnsi"/>
          <w:lang w:eastAsia="en-GB"/>
        </w:rPr>
        <w:t xml:space="preserve"> and conflicting</w:t>
      </w:r>
      <w:r w:rsidR="00B9637B" w:rsidRPr="007C5FD5">
        <w:rPr>
          <w:rFonts w:cstheme="minorHAnsi"/>
          <w:lang w:eastAsia="en-GB"/>
        </w:rPr>
        <w:t xml:space="preserve"> privacy stakes</w:t>
      </w:r>
      <w:r w:rsidR="005B5989" w:rsidRPr="007C5FD5">
        <w:rPr>
          <w:rFonts w:cstheme="minorHAnsi"/>
          <w:lang w:eastAsia="en-GB"/>
        </w:rPr>
        <w:t xml:space="preserve"> that</w:t>
      </w:r>
      <w:r w:rsidR="00B9637B" w:rsidRPr="007C5FD5">
        <w:rPr>
          <w:rFonts w:cstheme="minorHAnsi"/>
          <w:lang w:eastAsia="en-GB"/>
        </w:rPr>
        <w:t xml:space="preserve"> surfaced</w:t>
      </w:r>
      <w:r w:rsidR="005B5989" w:rsidRPr="007C5FD5">
        <w:rPr>
          <w:rFonts w:cstheme="minorHAnsi"/>
          <w:lang w:eastAsia="en-GB"/>
        </w:rPr>
        <w:t xml:space="preserve"> - at the post-mortem stage - </w:t>
      </w:r>
      <w:r w:rsidR="006F336C" w:rsidRPr="007C5FD5">
        <w:rPr>
          <w:rFonts w:cstheme="minorHAnsi"/>
          <w:lang w:eastAsia="en-GB"/>
        </w:rPr>
        <w:t xml:space="preserve">from </w:t>
      </w:r>
      <w:r w:rsidR="006E7A8E" w:rsidRPr="007C5FD5">
        <w:rPr>
          <w:rFonts w:cstheme="minorHAnsi"/>
          <w:lang w:eastAsia="en-GB"/>
        </w:rPr>
        <w:t>the</w:t>
      </w:r>
      <w:r w:rsidR="00F71DF1" w:rsidRPr="007C5FD5">
        <w:rPr>
          <w:rFonts w:cstheme="minorHAnsi"/>
          <w:lang w:eastAsia="en-GB"/>
        </w:rPr>
        <w:t xml:space="preserve"> primary</w:t>
      </w:r>
      <w:r w:rsidR="00E173B7" w:rsidRPr="007C5FD5">
        <w:rPr>
          <w:rFonts w:cstheme="minorHAnsi"/>
          <w:lang w:eastAsia="en-GB"/>
        </w:rPr>
        <w:t xml:space="preserve"> </w:t>
      </w:r>
      <w:r w:rsidR="00A50402" w:rsidRPr="007C5FD5">
        <w:rPr>
          <w:rFonts w:cstheme="minorHAnsi"/>
          <w:lang w:eastAsia="en-GB"/>
        </w:rPr>
        <w:t>confidential</w:t>
      </w:r>
      <w:r w:rsidR="006E7A8E" w:rsidRPr="007C5FD5">
        <w:rPr>
          <w:rFonts w:cstheme="minorHAnsi"/>
          <w:lang w:eastAsia="en-GB"/>
        </w:rPr>
        <w:t xml:space="preserve"> relationship</w:t>
      </w:r>
      <w:r w:rsidR="00BF4534" w:rsidRPr="007C5FD5">
        <w:rPr>
          <w:rFonts w:cstheme="minorHAnsi"/>
          <w:lang w:eastAsia="en-GB"/>
        </w:rPr>
        <w:t xml:space="preserve"> </w:t>
      </w:r>
      <w:r w:rsidR="006E7A8E" w:rsidRPr="007C5FD5">
        <w:rPr>
          <w:rFonts w:cstheme="minorHAnsi"/>
          <w:lang w:eastAsia="en-GB"/>
        </w:rPr>
        <w:t>between Facebook and the daughter</w:t>
      </w:r>
      <w:r w:rsidR="00B47FB7">
        <w:rPr>
          <w:rFonts w:cstheme="minorHAnsi"/>
          <w:lang w:eastAsia="en-GB"/>
        </w:rPr>
        <w:t>.</w:t>
      </w:r>
      <w:r w:rsidR="006E7A8E" w:rsidRPr="007C5FD5">
        <w:rPr>
          <w:rStyle w:val="FootnoteReference"/>
          <w:rFonts w:cstheme="minorHAnsi"/>
          <w:lang w:eastAsia="en-GB"/>
        </w:rPr>
        <w:footnoteReference w:id="70"/>
      </w:r>
      <w:r w:rsidR="00B9637B" w:rsidRPr="007C5FD5">
        <w:rPr>
          <w:rFonts w:cstheme="minorHAnsi"/>
          <w:lang w:eastAsia="en-GB"/>
        </w:rPr>
        <w:t xml:space="preserve"> </w:t>
      </w:r>
      <w:r w:rsidR="005B5989" w:rsidRPr="007C5FD5">
        <w:rPr>
          <w:rFonts w:cstheme="minorHAnsi"/>
          <w:lang w:eastAsia="en-GB"/>
        </w:rPr>
        <w:t xml:space="preserve">This </w:t>
      </w:r>
      <w:r w:rsidR="00BF4534" w:rsidRPr="007C5FD5">
        <w:rPr>
          <w:rFonts w:cstheme="minorHAnsi"/>
          <w:lang w:eastAsia="en-GB"/>
        </w:rPr>
        <w:t>was a</w:t>
      </w:r>
      <w:r w:rsidR="0013379C" w:rsidRPr="007C5FD5">
        <w:rPr>
          <w:rFonts w:cstheme="minorHAnsi"/>
          <w:lang w:eastAsia="en-GB"/>
        </w:rPr>
        <w:t xml:space="preserve"> value judg</w:t>
      </w:r>
      <w:r w:rsidR="003A27D2" w:rsidRPr="007C5FD5">
        <w:rPr>
          <w:rFonts w:cstheme="minorHAnsi"/>
          <w:lang w:eastAsia="en-GB"/>
        </w:rPr>
        <w:t>e</w:t>
      </w:r>
      <w:r w:rsidR="0013379C" w:rsidRPr="007C5FD5">
        <w:rPr>
          <w:rFonts w:cstheme="minorHAnsi"/>
          <w:lang w:eastAsia="en-GB"/>
        </w:rPr>
        <w:t xml:space="preserve">ment </w:t>
      </w:r>
      <w:r w:rsidR="00BE49A8" w:rsidRPr="007C5FD5">
        <w:rPr>
          <w:rFonts w:cstheme="minorHAnsi"/>
          <w:lang w:eastAsia="en-GB"/>
        </w:rPr>
        <w:t xml:space="preserve">which aligned </w:t>
      </w:r>
      <w:r w:rsidR="0013379C" w:rsidRPr="007C5FD5">
        <w:rPr>
          <w:rFonts w:cstheme="minorHAnsi"/>
          <w:lang w:eastAsia="en-GB"/>
        </w:rPr>
        <w:t>with German jurisprudence</w:t>
      </w:r>
      <w:r w:rsidR="00FF52EE" w:rsidRPr="007C5FD5">
        <w:rPr>
          <w:rFonts w:cstheme="minorHAnsi"/>
          <w:lang w:eastAsia="en-GB"/>
        </w:rPr>
        <w:t xml:space="preserve"> and societal values</w:t>
      </w:r>
      <w:r w:rsidR="006F336C" w:rsidRPr="007C5FD5">
        <w:rPr>
          <w:rFonts w:cstheme="minorHAnsi"/>
          <w:lang w:eastAsia="en-GB"/>
        </w:rPr>
        <w:t xml:space="preserve"> </w:t>
      </w:r>
      <w:r w:rsidR="00EA7BD9">
        <w:rPr>
          <w:rFonts w:cstheme="minorHAnsi"/>
          <w:lang w:eastAsia="en-GB"/>
        </w:rPr>
        <w:t>but</w:t>
      </w:r>
      <w:r w:rsidR="005B5989" w:rsidRPr="007C5FD5">
        <w:rPr>
          <w:rFonts w:cstheme="minorHAnsi"/>
          <w:lang w:eastAsia="en-GB"/>
        </w:rPr>
        <w:t xml:space="preserve"> </w:t>
      </w:r>
      <w:r w:rsidR="00BE49A8" w:rsidRPr="007C5FD5">
        <w:rPr>
          <w:rFonts w:cstheme="minorHAnsi"/>
          <w:lang w:eastAsia="en-GB"/>
        </w:rPr>
        <w:t xml:space="preserve">could </w:t>
      </w:r>
      <w:r w:rsidR="006172A1" w:rsidRPr="007C5FD5">
        <w:rPr>
          <w:rFonts w:cstheme="minorHAnsi"/>
          <w:lang w:eastAsia="en-GB"/>
        </w:rPr>
        <w:t>ultimately</w:t>
      </w:r>
      <w:r w:rsidR="005B5989" w:rsidRPr="007C5FD5">
        <w:rPr>
          <w:rFonts w:cstheme="minorHAnsi"/>
          <w:lang w:eastAsia="en-GB"/>
        </w:rPr>
        <w:t>,</w:t>
      </w:r>
      <w:r w:rsidR="006172A1" w:rsidRPr="007C5FD5">
        <w:rPr>
          <w:rFonts w:cstheme="minorHAnsi"/>
          <w:lang w:eastAsia="en-GB"/>
        </w:rPr>
        <w:t xml:space="preserve"> </w:t>
      </w:r>
      <w:r w:rsidR="005B5989" w:rsidRPr="007C5FD5">
        <w:rPr>
          <w:rFonts w:cstheme="minorHAnsi"/>
          <w:lang w:eastAsia="en-GB"/>
        </w:rPr>
        <w:t xml:space="preserve">in law, </w:t>
      </w:r>
      <w:r w:rsidR="00BF4534" w:rsidRPr="007C5FD5">
        <w:rPr>
          <w:rFonts w:cstheme="minorHAnsi"/>
          <w:lang w:eastAsia="en-GB"/>
        </w:rPr>
        <w:t xml:space="preserve">only </w:t>
      </w:r>
      <w:r w:rsidR="00BE49A8" w:rsidRPr="007C5FD5">
        <w:rPr>
          <w:rFonts w:cstheme="minorHAnsi"/>
          <w:lang w:eastAsia="en-GB"/>
        </w:rPr>
        <w:t xml:space="preserve">be </w:t>
      </w:r>
      <w:r w:rsidR="00AA5143" w:rsidRPr="007C5FD5">
        <w:rPr>
          <w:rFonts w:cstheme="minorHAnsi"/>
          <w:lang w:eastAsia="en-GB"/>
        </w:rPr>
        <w:t>justified</w:t>
      </w:r>
      <w:r w:rsidR="008D3B4C" w:rsidRPr="007C5FD5">
        <w:rPr>
          <w:rFonts w:cstheme="minorHAnsi"/>
          <w:lang w:eastAsia="en-GB"/>
        </w:rPr>
        <w:t xml:space="preserve"> </w:t>
      </w:r>
      <w:r w:rsidR="0013379C" w:rsidRPr="007C5FD5">
        <w:rPr>
          <w:rFonts w:cstheme="minorHAnsi"/>
          <w:lang w:eastAsia="en-GB"/>
        </w:rPr>
        <w:t>by</w:t>
      </w:r>
      <w:r w:rsidR="00BE49A8" w:rsidRPr="007C5FD5">
        <w:rPr>
          <w:rFonts w:cstheme="minorHAnsi"/>
          <w:lang w:eastAsia="en-GB"/>
        </w:rPr>
        <w:t xml:space="preserve"> </w:t>
      </w:r>
      <w:r w:rsidR="0013379C" w:rsidRPr="007C5FD5">
        <w:rPr>
          <w:rFonts w:cstheme="minorHAnsi"/>
          <w:lang w:eastAsia="en-GB"/>
        </w:rPr>
        <w:t xml:space="preserve">circular </w:t>
      </w:r>
      <w:r w:rsidR="00BE49A8" w:rsidRPr="007C5FD5">
        <w:rPr>
          <w:rFonts w:cstheme="minorHAnsi"/>
          <w:lang w:eastAsia="en-GB"/>
        </w:rPr>
        <w:t>reasoning</w:t>
      </w:r>
      <w:r w:rsidR="00B9637B" w:rsidRPr="007C5FD5">
        <w:rPr>
          <w:rFonts w:cstheme="minorHAnsi"/>
          <w:lang w:eastAsia="en-GB"/>
        </w:rPr>
        <w:t xml:space="preserve"> </w:t>
      </w:r>
      <w:r w:rsidR="00EA7BD9">
        <w:rPr>
          <w:rFonts w:cstheme="minorHAnsi"/>
          <w:lang w:eastAsia="en-GB"/>
        </w:rPr>
        <w:t xml:space="preserve">drawing </w:t>
      </w:r>
      <w:r w:rsidR="006F336C" w:rsidRPr="007C5FD5">
        <w:rPr>
          <w:rFonts w:cstheme="minorHAnsi"/>
          <w:lang w:eastAsia="en-GB"/>
        </w:rPr>
        <w:t>on</w:t>
      </w:r>
      <w:r w:rsidR="0013379C" w:rsidRPr="007C5FD5">
        <w:rPr>
          <w:rFonts w:cstheme="minorHAnsi"/>
          <w:lang w:eastAsia="en-GB"/>
        </w:rPr>
        <w:t xml:space="preserve"> </w:t>
      </w:r>
      <w:r w:rsidR="00EA7BD9">
        <w:rPr>
          <w:rFonts w:cstheme="minorHAnsi"/>
          <w:lang w:eastAsia="en-GB"/>
        </w:rPr>
        <w:t>‘</w:t>
      </w:r>
      <w:r w:rsidR="009F1F91" w:rsidRPr="007C5FD5">
        <w:rPr>
          <w:rFonts w:cstheme="minorHAnsi"/>
          <w:lang w:eastAsia="en-GB"/>
        </w:rPr>
        <w:t>reasonabl</w:t>
      </w:r>
      <w:r w:rsidR="006F336C" w:rsidRPr="007C5FD5">
        <w:rPr>
          <w:rFonts w:cstheme="minorHAnsi"/>
          <w:lang w:eastAsia="en-GB"/>
        </w:rPr>
        <w:t>e</w:t>
      </w:r>
      <w:r w:rsidR="009F1F91" w:rsidRPr="007C5FD5">
        <w:rPr>
          <w:rFonts w:cstheme="minorHAnsi"/>
          <w:lang w:eastAsia="en-GB"/>
        </w:rPr>
        <w:t xml:space="preserve"> </w:t>
      </w:r>
      <w:proofErr w:type="gramStart"/>
      <w:r w:rsidR="009F1F91" w:rsidRPr="007C5FD5">
        <w:rPr>
          <w:rFonts w:cstheme="minorHAnsi"/>
          <w:lang w:eastAsia="en-GB"/>
        </w:rPr>
        <w:t>expectations</w:t>
      </w:r>
      <w:r w:rsidR="00EA7BD9">
        <w:rPr>
          <w:rFonts w:cstheme="minorHAnsi"/>
          <w:lang w:eastAsia="en-GB"/>
        </w:rPr>
        <w:t>’</w:t>
      </w:r>
      <w:proofErr w:type="gramEnd"/>
      <w:r w:rsidR="00B47FB7">
        <w:rPr>
          <w:rFonts w:cstheme="minorHAnsi"/>
          <w:lang w:eastAsia="en-GB"/>
        </w:rPr>
        <w:t>.</w:t>
      </w:r>
      <w:r w:rsidR="00BF4534" w:rsidRPr="007C5FD5">
        <w:rPr>
          <w:rStyle w:val="FootnoteReference"/>
          <w:rFonts w:cstheme="minorHAnsi"/>
          <w:lang w:eastAsia="en-GB"/>
        </w:rPr>
        <w:footnoteReference w:id="71"/>
      </w:r>
      <w:r w:rsidR="009F1F91" w:rsidRPr="007C5FD5">
        <w:rPr>
          <w:rFonts w:cstheme="minorHAnsi"/>
          <w:lang w:eastAsia="en-GB"/>
        </w:rPr>
        <w:t xml:space="preserve"> </w:t>
      </w:r>
    </w:p>
    <w:p w14:paraId="27AE3395" w14:textId="77777777" w:rsidR="004628EA" w:rsidRPr="007C5FD5" w:rsidRDefault="004628EA" w:rsidP="004628EA">
      <w:pPr>
        <w:spacing w:after="0" w:line="240" w:lineRule="auto"/>
        <w:jc w:val="both"/>
        <w:rPr>
          <w:rFonts w:cstheme="minorHAnsi"/>
          <w:lang w:eastAsia="en-GB"/>
        </w:rPr>
      </w:pPr>
    </w:p>
    <w:p w14:paraId="78B25154" w14:textId="2B8360EE" w:rsidR="007B1D35" w:rsidRPr="003D037C" w:rsidRDefault="00BF4534" w:rsidP="00A64235">
      <w:pPr>
        <w:spacing w:after="0" w:line="240" w:lineRule="auto"/>
        <w:jc w:val="both"/>
        <w:rPr>
          <w:rFonts w:cstheme="minorHAnsi"/>
          <w:lang w:eastAsia="en-GB"/>
        </w:rPr>
      </w:pPr>
      <w:r w:rsidRPr="007C5FD5">
        <w:rPr>
          <w:rFonts w:cstheme="minorHAnsi"/>
          <w:lang w:eastAsia="en-GB"/>
        </w:rPr>
        <w:t>Th</w:t>
      </w:r>
      <w:r w:rsidR="006F336C" w:rsidRPr="007C5FD5">
        <w:rPr>
          <w:rFonts w:cstheme="minorHAnsi"/>
          <w:lang w:eastAsia="en-GB"/>
        </w:rPr>
        <w:t xml:space="preserve">is </w:t>
      </w:r>
      <w:r w:rsidR="004628EA" w:rsidRPr="007C5FD5">
        <w:rPr>
          <w:rFonts w:cstheme="minorHAnsi"/>
          <w:lang w:eastAsia="en-GB"/>
        </w:rPr>
        <w:t>choice</w:t>
      </w:r>
      <w:r w:rsidRPr="007C5FD5">
        <w:rPr>
          <w:rFonts w:cstheme="minorHAnsi"/>
          <w:lang w:eastAsia="en-GB"/>
        </w:rPr>
        <w:t xml:space="preserve"> has been resolved differently in the </w:t>
      </w:r>
      <w:r w:rsidR="004F0692" w:rsidRPr="007C5FD5">
        <w:rPr>
          <w:rFonts w:cstheme="minorHAnsi"/>
          <w:lang w:eastAsia="en-GB"/>
        </w:rPr>
        <w:t>US</w:t>
      </w:r>
      <w:r w:rsidR="00C41044" w:rsidRPr="007C5FD5">
        <w:rPr>
          <w:rFonts w:cstheme="minorHAnsi"/>
          <w:lang w:eastAsia="en-GB"/>
        </w:rPr>
        <w:t xml:space="preserve"> </w:t>
      </w:r>
      <w:r w:rsidRPr="007C5FD5">
        <w:rPr>
          <w:rFonts w:cstheme="minorHAnsi"/>
          <w:lang w:eastAsia="en-GB"/>
        </w:rPr>
        <w:t xml:space="preserve">by the </w:t>
      </w:r>
      <w:r w:rsidR="004F25B9" w:rsidRPr="007C5FD5">
        <w:rPr>
          <w:rFonts w:cstheme="minorHAnsi"/>
          <w:i/>
          <w:iCs/>
          <w:lang w:eastAsia="en-GB"/>
        </w:rPr>
        <w:t xml:space="preserve">Revised </w:t>
      </w:r>
      <w:r w:rsidR="004F0692" w:rsidRPr="007C5FD5">
        <w:rPr>
          <w:rFonts w:cstheme="minorHAnsi"/>
          <w:i/>
          <w:iCs/>
        </w:rPr>
        <w:t xml:space="preserve">Uniform Fiduciary Access to Digital Assets Act </w:t>
      </w:r>
      <w:r w:rsidR="00A55DAE" w:rsidRPr="007C5FD5">
        <w:rPr>
          <w:rFonts w:cstheme="minorHAnsi"/>
        </w:rPr>
        <w:t>(2015)</w:t>
      </w:r>
      <w:r w:rsidR="00BA6C33" w:rsidRPr="007C5FD5">
        <w:rPr>
          <w:rStyle w:val="FootnoteReference"/>
          <w:rFonts w:cstheme="minorHAnsi"/>
        </w:rPr>
        <w:footnoteReference w:id="72"/>
      </w:r>
      <w:r w:rsidR="00C41044" w:rsidRPr="007C5FD5">
        <w:rPr>
          <w:rFonts w:cstheme="minorHAnsi"/>
        </w:rPr>
        <w:t xml:space="preserve"> </w:t>
      </w:r>
      <w:r w:rsidRPr="007C5FD5">
        <w:rPr>
          <w:rFonts w:cstheme="minorHAnsi"/>
        </w:rPr>
        <w:t xml:space="preserve">which </w:t>
      </w:r>
      <w:r w:rsidR="004F0692" w:rsidRPr="007C5FD5">
        <w:rPr>
          <w:rFonts w:cstheme="minorHAnsi"/>
        </w:rPr>
        <w:t>initially adopted a</w:t>
      </w:r>
      <w:r w:rsidR="00C62479" w:rsidRPr="007C5FD5">
        <w:rPr>
          <w:rFonts w:cstheme="minorHAnsi"/>
        </w:rPr>
        <w:t xml:space="preserve"> similar</w:t>
      </w:r>
      <w:r w:rsidR="004F0692" w:rsidRPr="007C5FD5">
        <w:rPr>
          <w:rFonts w:cstheme="minorHAnsi"/>
        </w:rPr>
        <w:t xml:space="preserve"> ‘asset neutrality </w:t>
      </w:r>
      <w:r w:rsidR="00A55DAE" w:rsidRPr="007C5FD5">
        <w:rPr>
          <w:rFonts w:cstheme="minorHAnsi"/>
        </w:rPr>
        <w:t>[</w:t>
      </w:r>
      <w:r w:rsidR="004F0692" w:rsidRPr="007C5FD5">
        <w:rPr>
          <w:rFonts w:cstheme="minorHAnsi"/>
        </w:rPr>
        <w:t>approach]</w:t>
      </w:r>
      <w:r w:rsidR="00C41044" w:rsidRPr="007C5FD5">
        <w:rPr>
          <w:rFonts w:cstheme="minorHAnsi"/>
        </w:rPr>
        <w:t>: Fiduciaries ought to be able to access digital assets as easily as assets stored on paper.’</w:t>
      </w:r>
      <w:r w:rsidR="004F0692" w:rsidRPr="007C5FD5">
        <w:rPr>
          <w:rStyle w:val="FootnoteReference"/>
          <w:rFonts w:cstheme="minorHAnsi"/>
        </w:rPr>
        <w:footnoteReference w:id="73"/>
      </w:r>
      <w:r w:rsidR="00C41044" w:rsidRPr="007C5FD5">
        <w:rPr>
          <w:rFonts w:cstheme="minorHAnsi"/>
        </w:rPr>
        <w:t xml:space="preserve"> </w:t>
      </w:r>
      <w:r w:rsidR="009F3F47" w:rsidRPr="007C5FD5">
        <w:rPr>
          <w:rFonts w:cstheme="minorHAnsi"/>
        </w:rPr>
        <w:t>Subsequently</w:t>
      </w:r>
      <w:r w:rsidR="006A50D9" w:rsidRPr="007C5FD5">
        <w:rPr>
          <w:rFonts w:cstheme="minorHAnsi"/>
        </w:rPr>
        <w:t xml:space="preserve"> and u</w:t>
      </w:r>
      <w:r w:rsidR="004F0692" w:rsidRPr="007C5FD5">
        <w:rPr>
          <w:rFonts w:cstheme="minorHAnsi"/>
        </w:rPr>
        <w:t xml:space="preserve">nder pressure from </w:t>
      </w:r>
      <w:r w:rsidR="00C41044" w:rsidRPr="007C5FD5">
        <w:rPr>
          <w:rFonts w:cstheme="minorHAnsi"/>
        </w:rPr>
        <w:t>platforms</w:t>
      </w:r>
      <w:r w:rsidR="00642551" w:rsidRPr="007C5FD5">
        <w:rPr>
          <w:rFonts w:cstheme="minorHAnsi"/>
        </w:rPr>
        <w:t>,</w:t>
      </w:r>
      <w:r w:rsidR="00C41044" w:rsidRPr="007C5FD5">
        <w:rPr>
          <w:rFonts w:cstheme="minorHAnsi"/>
        </w:rPr>
        <w:t xml:space="preserve"> the Act was</w:t>
      </w:r>
      <w:r w:rsidR="004F0692" w:rsidRPr="007C5FD5">
        <w:rPr>
          <w:rFonts w:cstheme="minorHAnsi"/>
        </w:rPr>
        <w:t xml:space="preserve"> revised to </w:t>
      </w:r>
      <w:r w:rsidR="00A55DAE" w:rsidRPr="007C5FD5">
        <w:rPr>
          <w:rFonts w:cstheme="minorHAnsi"/>
        </w:rPr>
        <w:t>give</w:t>
      </w:r>
      <w:r w:rsidR="004F0692" w:rsidRPr="007C5FD5">
        <w:rPr>
          <w:rFonts w:cstheme="minorHAnsi"/>
        </w:rPr>
        <w:t xml:space="preserve"> fiduciaries</w:t>
      </w:r>
      <w:r w:rsidR="004F25B9" w:rsidRPr="007C5FD5">
        <w:rPr>
          <w:rFonts w:cstheme="minorHAnsi"/>
        </w:rPr>
        <w:t xml:space="preserve"> </w:t>
      </w:r>
      <w:r w:rsidR="004F0692" w:rsidRPr="007C5FD5">
        <w:rPr>
          <w:rFonts w:cstheme="minorHAnsi"/>
        </w:rPr>
        <w:t xml:space="preserve">access to user accounts </w:t>
      </w:r>
      <w:r w:rsidR="00843F6B" w:rsidRPr="007C5FD5">
        <w:rPr>
          <w:rFonts w:cstheme="minorHAnsi"/>
        </w:rPr>
        <w:t xml:space="preserve">only </w:t>
      </w:r>
      <w:r w:rsidR="004F0692" w:rsidRPr="007C5FD5">
        <w:rPr>
          <w:rFonts w:cstheme="minorHAnsi"/>
        </w:rPr>
        <w:t xml:space="preserve">if the user </w:t>
      </w:r>
      <w:r w:rsidR="00A55DAE" w:rsidRPr="007C5FD5">
        <w:rPr>
          <w:rFonts w:cstheme="minorHAnsi"/>
        </w:rPr>
        <w:t xml:space="preserve">had </w:t>
      </w:r>
      <w:r w:rsidR="004F0692" w:rsidRPr="007C5FD5">
        <w:rPr>
          <w:rFonts w:cstheme="minorHAnsi"/>
        </w:rPr>
        <w:t xml:space="preserve">consented to it either via an online tool or in a </w:t>
      </w:r>
      <w:r w:rsidR="007C5214" w:rsidRPr="007C5FD5">
        <w:rPr>
          <w:rFonts w:cstheme="minorHAnsi"/>
        </w:rPr>
        <w:t>‘</w:t>
      </w:r>
      <w:r w:rsidR="004F0692" w:rsidRPr="007C5FD5">
        <w:rPr>
          <w:rFonts w:cstheme="minorHAnsi"/>
        </w:rPr>
        <w:t>will, trust, power of attorney, or other record’</w:t>
      </w:r>
      <w:r w:rsidR="00A55DAE" w:rsidRPr="007C5FD5">
        <w:rPr>
          <w:rStyle w:val="FootnoteReference"/>
          <w:rFonts w:cstheme="minorHAnsi"/>
        </w:rPr>
        <w:footnoteReference w:id="74"/>
      </w:r>
      <w:r w:rsidR="00BC556F" w:rsidRPr="007C5FD5">
        <w:rPr>
          <w:rFonts w:cstheme="minorHAnsi"/>
        </w:rPr>
        <w:t xml:space="preserve"> </w:t>
      </w:r>
      <w:r w:rsidR="004F07AA" w:rsidRPr="007C5FD5">
        <w:rPr>
          <w:rFonts w:cstheme="minorHAnsi"/>
        </w:rPr>
        <w:t xml:space="preserve">ostensibly </w:t>
      </w:r>
      <w:r w:rsidR="00BC556F" w:rsidRPr="007C5FD5">
        <w:rPr>
          <w:rFonts w:cstheme="minorHAnsi"/>
        </w:rPr>
        <w:t>to satisfy</w:t>
      </w:r>
      <w:r w:rsidR="00AC5C42" w:rsidRPr="007C5FD5">
        <w:rPr>
          <w:rFonts w:cstheme="minorHAnsi"/>
        </w:rPr>
        <w:t xml:space="preserve"> </w:t>
      </w:r>
      <w:r w:rsidR="00C41044" w:rsidRPr="007C5FD5">
        <w:rPr>
          <w:rFonts w:cstheme="minorHAnsi"/>
        </w:rPr>
        <w:t>‘</w:t>
      </w:r>
      <w:r w:rsidR="00A55DAE" w:rsidRPr="007C5FD5">
        <w:rPr>
          <w:rFonts w:cstheme="minorHAnsi"/>
        </w:rPr>
        <w:t>consumer demand for private, encrypted, anonymous services</w:t>
      </w:r>
      <w:r w:rsidR="0039440E" w:rsidRPr="007C5FD5">
        <w:rPr>
          <w:rFonts w:cstheme="minorHAnsi"/>
        </w:rPr>
        <w:t>.</w:t>
      </w:r>
      <w:r w:rsidR="00A55DAE" w:rsidRPr="007C5FD5">
        <w:rPr>
          <w:rFonts w:cstheme="minorHAnsi"/>
        </w:rPr>
        <w:t>’</w:t>
      </w:r>
      <w:r w:rsidR="00A55DAE" w:rsidRPr="007C5FD5">
        <w:rPr>
          <w:rStyle w:val="FootnoteReference"/>
          <w:rFonts w:cstheme="minorHAnsi"/>
        </w:rPr>
        <w:footnoteReference w:id="75"/>
      </w:r>
      <w:r w:rsidR="00843F6B" w:rsidRPr="007C5FD5">
        <w:rPr>
          <w:rFonts w:cstheme="minorHAnsi"/>
        </w:rPr>
        <w:t xml:space="preserve"> </w:t>
      </w:r>
      <w:r w:rsidR="005B7963" w:rsidRPr="007C5FD5">
        <w:rPr>
          <w:rFonts w:cstheme="minorHAnsi"/>
        </w:rPr>
        <w:t>This</w:t>
      </w:r>
      <w:r w:rsidR="004628EA" w:rsidRPr="007C5FD5">
        <w:rPr>
          <w:rFonts w:cstheme="minorHAnsi"/>
        </w:rPr>
        <w:t xml:space="preserve"> alternative </w:t>
      </w:r>
      <w:r w:rsidR="004628EA" w:rsidRPr="003D037C">
        <w:rPr>
          <w:rFonts w:cstheme="minorHAnsi"/>
        </w:rPr>
        <w:t>ordering</w:t>
      </w:r>
      <w:r w:rsidR="005B7963" w:rsidRPr="003D037C">
        <w:rPr>
          <w:rFonts w:cstheme="minorHAnsi"/>
        </w:rPr>
        <w:t xml:space="preserve"> </w:t>
      </w:r>
      <w:r w:rsidR="00BE49A8" w:rsidRPr="003D037C">
        <w:rPr>
          <w:rFonts w:cstheme="minorHAnsi"/>
        </w:rPr>
        <w:t>is arguably</w:t>
      </w:r>
      <w:r w:rsidR="005B7963" w:rsidRPr="003D037C">
        <w:rPr>
          <w:rFonts w:cstheme="minorHAnsi"/>
        </w:rPr>
        <w:t xml:space="preserve"> </w:t>
      </w:r>
      <w:r w:rsidR="004F07AA" w:rsidRPr="003D037C">
        <w:rPr>
          <w:rFonts w:cstheme="minorHAnsi"/>
        </w:rPr>
        <w:t xml:space="preserve">also </w:t>
      </w:r>
      <w:r w:rsidR="005B7963" w:rsidRPr="003D037C">
        <w:rPr>
          <w:rFonts w:cstheme="minorHAnsi"/>
        </w:rPr>
        <w:t xml:space="preserve">aligned with </w:t>
      </w:r>
      <w:r w:rsidR="00146B61" w:rsidRPr="003D037C">
        <w:rPr>
          <w:rFonts w:cstheme="minorHAnsi"/>
        </w:rPr>
        <w:t xml:space="preserve">prevalent societal values, </w:t>
      </w:r>
      <w:r w:rsidR="004F07AA" w:rsidRPr="003D037C">
        <w:rPr>
          <w:rFonts w:cstheme="minorHAnsi"/>
        </w:rPr>
        <w:t>only</w:t>
      </w:r>
      <w:r w:rsidR="00BE49A8" w:rsidRPr="003D037C">
        <w:rPr>
          <w:rFonts w:cstheme="minorHAnsi"/>
        </w:rPr>
        <w:t xml:space="preserve"> </w:t>
      </w:r>
      <w:r w:rsidR="006342D6" w:rsidRPr="003D037C">
        <w:rPr>
          <w:rFonts w:cstheme="minorHAnsi"/>
        </w:rPr>
        <w:t>in this case</w:t>
      </w:r>
      <w:r w:rsidR="00146B61" w:rsidRPr="003D037C">
        <w:rPr>
          <w:rFonts w:cstheme="minorHAnsi"/>
        </w:rPr>
        <w:t xml:space="preserve"> </w:t>
      </w:r>
      <w:r w:rsidR="004628EA" w:rsidRPr="003D037C">
        <w:rPr>
          <w:rFonts w:cstheme="minorHAnsi"/>
        </w:rPr>
        <w:t>‘t</w:t>
      </w:r>
      <w:r w:rsidR="004628EA" w:rsidRPr="003D037C">
        <w:rPr>
          <w:rFonts w:cstheme="minorHAnsi"/>
          <w:color w:val="000000"/>
        </w:rPr>
        <w:t xml:space="preserve">he strong libertarian and individualistic aspects of American society’ that prioritises individual liberty and </w:t>
      </w:r>
      <w:r w:rsidR="00564485" w:rsidRPr="003D037C">
        <w:rPr>
          <w:rFonts w:cstheme="minorHAnsi"/>
          <w:color w:val="000000"/>
        </w:rPr>
        <w:t xml:space="preserve">freedom </w:t>
      </w:r>
      <w:r w:rsidR="004F25B9" w:rsidRPr="003D037C">
        <w:rPr>
          <w:rFonts w:cstheme="minorHAnsi"/>
          <w:color w:val="000000"/>
        </w:rPr>
        <w:t xml:space="preserve">of contract </w:t>
      </w:r>
      <w:r w:rsidR="004628EA" w:rsidRPr="003D037C">
        <w:rPr>
          <w:rFonts w:cstheme="minorHAnsi"/>
          <w:color w:val="000000"/>
        </w:rPr>
        <w:t>over and above a more ‘collective or communitarian view of the world.’</w:t>
      </w:r>
      <w:r w:rsidR="004628EA" w:rsidRPr="003D037C">
        <w:rPr>
          <w:rStyle w:val="FootnoteReference"/>
          <w:rFonts w:cstheme="minorHAnsi"/>
          <w:color w:val="000000"/>
        </w:rPr>
        <w:footnoteReference w:id="76"/>
      </w:r>
      <w:r w:rsidR="006F336C" w:rsidRPr="003D037C">
        <w:rPr>
          <w:rFonts w:cstheme="minorHAnsi"/>
          <w:lang w:eastAsia="en-GB"/>
        </w:rPr>
        <w:t xml:space="preserve"> </w:t>
      </w:r>
    </w:p>
    <w:p w14:paraId="09D01274" w14:textId="0E60AC0F" w:rsidR="00A13598" w:rsidRPr="003D037C" w:rsidRDefault="003D037C" w:rsidP="003D037C">
      <w:pPr>
        <w:rPr>
          <w:rFonts w:cstheme="minorHAnsi"/>
        </w:rPr>
      </w:pPr>
      <w:r w:rsidRPr="003D037C">
        <w:rPr>
          <w:rFonts w:cstheme="minorHAnsi"/>
        </w:rPr>
        <w:br w:type="page"/>
      </w:r>
    </w:p>
    <w:p w14:paraId="204BB07E" w14:textId="544F1C8C" w:rsidR="006653DF" w:rsidRPr="007C5FD5" w:rsidRDefault="00A30D11" w:rsidP="00FD77D8">
      <w:pPr>
        <w:pStyle w:val="Heading1"/>
        <w:numPr>
          <w:ilvl w:val="0"/>
          <w:numId w:val="2"/>
        </w:numPr>
        <w:spacing w:before="0" w:line="240" w:lineRule="auto"/>
        <w:jc w:val="both"/>
        <w:rPr>
          <w:rFonts w:asciiTheme="minorHAnsi" w:eastAsia="Times New Roman" w:hAnsiTheme="minorHAnsi" w:cstheme="minorHAnsi"/>
          <w:lang w:eastAsia="en-GB"/>
        </w:rPr>
      </w:pPr>
      <w:bookmarkStart w:id="12" w:name="_Toc104129818"/>
      <w:bookmarkStart w:id="13" w:name="_Toc105945046"/>
      <w:r w:rsidRPr="007C5FD5">
        <w:rPr>
          <w:rFonts w:asciiTheme="minorHAnsi" w:eastAsia="Times New Roman" w:hAnsiTheme="minorHAnsi" w:cstheme="minorHAnsi"/>
          <w:lang w:eastAsia="en-GB"/>
        </w:rPr>
        <w:lastRenderedPageBreak/>
        <w:t xml:space="preserve">Post-Mortem Medical </w:t>
      </w:r>
      <w:r w:rsidR="00A65BD8" w:rsidRPr="007C5FD5">
        <w:rPr>
          <w:rFonts w:asciiTheme="minorHAnsi" w:eastAsia="Times New Roman" w:hAnsiTheme="minorHAnsi" w:cstheme="minorHAnsi"/>
          <w:lang w:eastAsia="en-GB"/>
        </w:rPr>
        <w:t>Confid</w:t>
      </w:r>
      <w:r w:rsidR="003F1294" w:rsidRPr="007C5FD5">
        <w:rPr>
          <w:rFonts w:asciiTheme="minorHAnsi" w:eastAsia="Times New Roman" w:hAnsiTheme="minorHAnsi" w:cstheme="minorHAnsi"/>
          <w:lang w:eastAsia="en-GB"/>
        </w:rPr>
        <w:t xml:space="preserve">entiality </w:t>
      </w:r>
      <w:r w:rsidR="004F79ED" w:rsidRPr="007C5FD5">
        <w:rPr>
          <w:rFonts w:asciiTheme="minorHAnsi" w:eastAsia="Times New Roman" w:hAnsiTheme="minorHAnsi" w:cstheme="minorHAnsi"/>
          <w:lang w:eastAsia="en-GB"/>
        </w:rPr>
        <w:t>as</w:t>
      </w:r>
      <w:r w:rsidR="00883D45" w:rsidRPr="007C5FD5">
        <w:rPr>
          <w:rFonts w:asciiTheme="minorHAnsi" w:eastAsia="Times New Roman" w:hAnsiTheme="minorHAnsi" w:cstheme="minorHAnsi"/>
          <w:lang w:eastAsia="en-GB"/>
        </w:rPr>
        <w:t xml:space="preserve"> </w:t>
      </w:r>
      <w:r w:rsidR="00C865A1" w:rsidRPr="007C5FD5">
        <w:rPr>
          <w:rFonts w:asciiTheme="minorHAnsi" w:eastAsia="Times New Roman" w:hAnsiTheme="minorHAnsi" w:cstheme="minorHAnsi"/>
          <w:lang w:eastAsia="en-GB"/>
        </w:rPr>
        <w:t>Privacy</w:t>
      </w:r>
      <w:bookmarkEnd w:id="12"/>
      <w:bookmarkEnd w:id="13"/>
    </w:p>
    <w:p w14:paraId="313C246A" w14:textId="77777777" w:rsidR="0038374A" w:rsidRPr="007C5FD5" w:rsidRDefault="0038374A" w:rsidP="00FD77D8">
      <w:pPr>
        <w:autoSpaceDE w:val="0"/>
        <w:autoSpaceDN w:val="0"/>
        <w:adjustRightInd w:val="0"/>
        <w:spacing w:after="0" w:line="240" w:lineRule="auto"/>
        <w:jc w:val="both"/>
        <w:rPr>
          <w:rFonts w:cstheme="minorHAnsi"/>
        </w:rPr>
      </w:pPr>
    </w:p>
    <w:p w14:paraId="653CE9E3" w14:textId="1D4C37CC" w:rsidR="00A40171" w:rsidRPr="007C5FD5" w:rsidRDefault="00067F95" w:rsidP="00FD77D8">
      <w:pPr>
        <w:pStyle w:val="Heading2"/>
        <w:spacing w:before="0" w:line="240" w:lineRule="auto"/>
        <w:jc w:val="both"/>
        <w:rPr>
          <w:rFonts w:asciiTheme="minorHAnsi" w:hAnsiTheme="minorHAnsi" w:cstheme="minorHAnsi"/>
        </w:rPr>
      </w:pPr>
      <w:bookmarkStart w:id="14" w:name="_Toc104129819"/>
      <w:bookmarkStart w:id="15" w:name="_Toc105945047"/>
      <w:r w:rsidRPr="007C5FD5">
        <w:rPr>
          <w:rFonts w:asciiTheme="minorHAnsi" w:hAnsiTheme="minorHAnsi" w:cstheme="minorHAnsi"/>
        </w:rPr>
        <w:t>3.</w:t>
      </w:r>
      <w:r w:rsidR="00CF12D0" w:rsidRPr="007C5FD5">
        <w:rPr>
          <w:rFonts w:asciiTheme="minorHAnsi" w:hAnsiTheme="minorHAnsi" w:cstheme="minorHAnsi"/>
        </w:rPr>
        <w:t>1.</w:t>
      </w:r>
      <w:r w:rsidR="00A40171" w:rsidRPr="007C5FD5">
        <w:rPr>
          <w:rFonts w:asciiTheme="minorHAnsi" w:hAnsiTheme="minorHAnsi" w:cstheme="minorHAnsi"/>
        </w:rPr>
        <w:t xml:space="preserve"> </w:t>
      </w:r>
      <w:r w:rsidR="0027767A" w:rsidRPr="007C5FD5">
        <w:rPr>
          <w:rFonts w:asciiTheme="minorHAnsi" w:hAnsiTheme="minorHAnsi" w:cstheme="minorHAnsi"/>
        </w:rPr>
        <w:t>Medical Privacy</w:t>
      </w:r>
      <w:r w:rsidR="00472990" w:rsidRPr="007C5FD5">
        <w:rPr>
          <w:rFonts w:asciiTheme="minorHAnsi" w:hAnsiTheme="minorHAnsi" w:cstheme="minorHAnsi"/>
        </w:rPr>
        <w:t>:</w:t>
      </w:r>
      <w:r w:rsidR="0027767A" w:rsidRPr="007C5FD5">
        <w:rPr>
          <w:rFonts w:asciiTheme="minorHAnsi" w:hAnsiTheme="minorHAnsi" w:cstheme="minorHAnsi"/>
        </w:rPr>
        <w:t xml:space="preserve"> </w:t>
      </w:r>
      <w:r w:rsidR="00472990" w:rsidRPr="007C5FD5">
        <w:rPr>
          <w:rFonts w:asciiTheme="minorHAnsi" w:hAnsiTheme="minorHAnsi" w:cstheme="minorHAnsi"/>
        </w:rPr>
        <w:t>Property</w:t>
      </w:r>
      <w:r w:rsidR="00953598" w:rsidRPr="007C5FD5">
        <w:rPr>
          <w:rFonts w:asciiTheme="minorHAnsi" w:hAnsiTheme="minorHAnsi" w:cstheme="minorHAnsi"/>
        </w:rPr>
        <w:t xml:space="preserve"> </w:t>
      </w:r>
      <w:r w:rsidR="004E1D10" w:rsidRPr="007C5FD5">
        <w:rPr>
          <w:rFonts w:asciiTheme="minorHAnsi" w:hAnsiTheme="minorHAnsi" w:cstheme="minorHAnsi"/>
        </w:rPr>
        <w:t>or</w:t>
      </w:r>
      <w:r w:rsidR="00472990" w:rsidRPr="007C5FD5">
        <w:rPr>
          <w:rFonts w:asciiTheme="minorHAnsi" w:hAnsiTheme="minorHAnsi" w:cstheme="minorHAnsi"/>
        </w:rPr>
        <w:t xml:space="preserve"> </w:t>
      </w:r>
      <w:r w:rsidR="00E82590" w:rsidRPr="007C5FD5">
        <w:rPr>
          <w:rFonts w:asciiTheme="minorHAnsi" w:hAnsiTheme="minorHAnsi" w:cstheme="minorHAnsi"/>
        </w:rPr>
        <w:t xml:space="preserve">Shield for </w:t>
      </w:r>
      <w:r w:rsidR="0027767A" w:rsidRPr="007C5FD5">
        <w:rPr>
          <w:rFonts w:asciiTheme="minorHAnsi" w:hAnsiTheme="minorHAnsi" w:cstheme="minorHAnsi"/>
        </w:rPr>
        <w:t>Embodied</w:t>
      </w:r>
      <w:r w:rsidRPr="007C5FD5">
        <w:rPr>
          <w:rFonts w:asciiTheme="minorHAnsi" w:hAnsiTheme="minorHAnsi" w:cstheme="minorHAnsi"/>
        </w:rPr>
        <w:t xml:space="preserve"> Vulnerability</w:t>
      </w:r>
      <w:r w:rsidR="000E30D4" w:rsidRPr="007C5FD5">
        <w:rPr>
          <w:rFonts w:asciiTheme="minorHAnsi" w:hAnsiTheme="minorHAnsi" w:cstheme="minorHAnsi"/>
        </w:rPr>
        <w:t>?</w:t>
      </w:r>
      <w:bookmarkEnd w:id="14"/>
      <w:bookmarkEnd w:id="15"/>
    </w:p>
    <w:p w14:paraId="62D1F955" w14:textId="77777777" w:rsidR="00E75322" w:rsidRPr="007C5FD5" w:rsidRDefault="00E75322" w:rsidP="0038374A">
      <w:pPr>
        <w:autoSpaceDE w:val="0"/>
        <w:autoSpaceDN w:val="0"/>
        <w:adjustRightInd w:val="0"/>
        <w:spacing w:after="0" w:line="240" w:lineRule="auto"/>
        <w:jc w:val="both"/>
        <w:rPr>
          <w:rFonts w:cstheme="minorHAnsi"/>
        </w:rPr>
      </w:pPr>
    </w:p>
    <w:p w14:paraId="60B59F4E" w14:textId="132A4063" w:rsidR="007B31DF" w:rsidRPr="007C5FD5" w:rsidRDefault="0038374A" w:rsidP="0038374A">
      <w:pPr>
        <w:autoSpaceDE w:val="0"/>
        <w:autoSpaceDN w:val="0"/>
        <w:adjustRightInd w:val="0"/>
        <w:spacing w:after="0" w:line="240" w:lineRule="auto"/>
        <w:jc w:val="both"/>
        <w:rPr>
          <w:rFonts w:cstheme="minorHAnsi"/>
        </w:rPr>
      </w:pPr>
      <w:r w:rsidRPr="007C5FD5">
        <w:rPr>
          <w:rFonts w:cstheme="minorHAnsi"/>
        </w:rPr>
        <w:t>Whilst medical confidentiality has a long-standin</w:t>
      </w:r>
      <w:r w:rsidR="00002842" w:rsidRPr="007C5FD5">
        <w:rPr>
          <w:rFonts w:cstheme="minorHAnsi"/>
        </w:rPr>
        <w:t>g</w:t>
      </w:r>
      <w:r w:rsidRPr="007C5FD5">
        <w:rPr>
          <w:rFonts w:cstheme="minorHAnsi"/>
        </w:rPr>
        <w:t xml:space="preserve"> checkered history as a professional duty and as such occupied a status apart from the relatively recently conceived human rights framework, the judicial trend has been to absorb it within privacy frameworks.</w:t>
      </w:r>
      <w:r w:rsidR="00CD2809" w:rsidRPr="007C5FD5">
        <w:rPr>
          <w:rStyle w:val="FootnoteReference"/>
          <w:rFonts w:cstheme="minorHAnsi"/>
        </w:rPr>
        <w:footnoteReference w:id="77"/>
      </w:r>
      <w:r w:rsidR="00CD2809" w:rsidRPr="007C5FD5">
        <w:rPr>
          <w:rFonts w:cstheme="minorHAnsi"/>
        </w:rPr>
        <w:t xml:space="preserve"> </w:t>
      </w:r>
      <w:r w:rsidRPr="007C5FD5">
        <w:rPr>
          <w:rFonts w:cstheme="minorHAnsi"/>
        </w:rPr>
        <w:t xml:space="preserve"> Yet, l</w:t>
      </w:r>
      <w:r w:rsidR="000B6D8F" w:rsidRPr="007C5FD5">
        <w:rPr>
          <w:rFonts w:cstheme="minorHAnsi"/>
        </w:rPr>
        <w:t>ocating m</w:t>
      </w:r>
      <w:r w:rsidR="004F79ED" w:rsidRPr="007C5FD5">
        <w:rPr>
          <w:rFonts w:cstheme="minorHAnsi"/>
        </w:rPr>
        <w:t>edical confidentiality</w:t>
      </w:r>
      <w:r w:rsidR="000B6D8F" w:rsidRPr="007C5FD5">
        <w:rPr>
          <w:rFonts w:cstheme="minorHAnsi"/>
        </w:rPr>
        <w:t xml:space="preserve"> </w:t>
      </w:r>
      <w:r w:rsidR="004F79ED" w:rsidRPr="007C5FD5">
        <w:rPr>
          <w:rFonts w:cstheme="minorHAnsi"/>
        </w:rPr>
        <w:t>within privacy</w:t>
      </w:r>
      <w:r w:rsidR="00451DDF" w:rsidRPr="007C5FD5">
        <w:rPr>
          <w:rFonts w:cstheme="minorHAnsi"/>
        </w:rPr>
        <w:t xml:space="preserve"> </w:t>
      </w:r>
      <w:r w:rsidR="00D36976" w:rsidRPr="007C5FD5">
        <w:rPr>
          <w:rFonts w:cstheme="minorHAnsi"/>
        </w:rPr>
        <w:t>depends on</w:t>
      </w:r>
      <w:r w:rsidR="00451DDF" w:rsidRPr="007C5FD5">
        <w:rPr>
          <w:rFonts w:cstheme="minorHAnsi"/>
        </w:rPr>
        <w:t xml:space="preserve"> </w:t>
      </w:r>
      <w:r w:rsidR="00D36976" w:rsidRPr="007C5FD5">
        <w:rPr>
          <w:rFonts w:cstheme="minorHAnsi"/>
        </w:rPr>
        <w:t xml:space="preserve">how one </w:t>
      </w:r>
      <w:r w:rsidRPr="007C5FD5">
        <w:rPr>
          <w:rFonts w:cstheme="minorHAnsi"/>
        </w:rPr>
        <w:t>constructs</w:t>
      </w:r>
      <w:r w:rsidR="00D36976" w:rsidRPr="007C5FD5">
        <w:rPr>
          <w:rFonts w:cstheme="minorHAnsi"/>
        </w:rPr>
        <w:t xml:space="preserve"> </w:t>
      </w:r>
      <w:r w:rsidR="00E96074" w:rsidRPr="007C5FD5">
        <w:rPr>
          <w:rFonts w:cstheme="minorHAnsi"/>
        </w:rPr>
        <w:t>privacy</w:t>
      </w:r>
      <w:r w:rsidR="00D36976" w:rsidRPr="007C5FD5">
        <w:rPr>
          <w:rFonts w:cstheme="minorHAnsi"/>
        </w:rPr>
        <w:t xml:space="preserve"> and the values</w:t>
      </w:r>
      <w:r w:rsidR="00002842" w:rsidRPr="007C5FD5">
        <w:rPr>
          <w:rFonts w:cstheme="minorHAnsi"/>
        </w:rPr>
        <w:t xml:space="preserve"> embedded within that construction</w:t>
      </w:r>
      <w:r w:rsidR="000B6D8F" w:rsidRPr="007C5FD5">
        <w:rPr>
          <w:rFonts w:cstheme="minorHAnsi"/>
        </w:rPr>
        <w:t xml:space="preserve">. </w:t>
      </w:r>
      <w:r w:rsidR="00002842" w:rsidRPr="007C5FD5">
        <w:rPr>
          <w:rFonts w:cstheme="minorHAnsi"/>
        </w:rPr>
        <w:t xml:space="preserve">Moreover, </w:t>
      </w:r>
      <w:r w:rsidR="00AD1982" w:rsidRPr="007C5FD5">
        <w:rPr>
          <w:rFonts w:cstheme="minorHAnsi"/>
        </w:rPr>
        <w:t>as</w:t>
      </w:r>
      <w:r w:rsidR="004820CD" w:rsidRPr="007C5FD5">
        <w:rPr>
          <w:rFonts w:cstheme="minorHAnsi"/>
        </w:rPr>
        <w:t xml:space="preserve"> shown</w:t>
      </w:r>
      <w:r w:rsidR="00AD1982" w:rsidRPr="007C5FD5">
        <w:rPr>
          <w:rFonts w:cstheme="minorHAnsi"/>
        </w:rPr>
        <w:t xml:space="preserve"> below, </w:t>
      </w:r>
      <w:r w:rsidR="00002842" w:rsidRPr="007C5FD5">
        <w:rPr>
          <w:rFonts w:cstheme="minorHAnsi"/>
        </w:rPr>
        <w:t>c</w:t>
      </w:r>
      <w:r w:rsidR="00F36324" w:rsidRPr="007C5FD5">
        <w:rPr>
          <w:rFonts w:cstheme="minorHAnsi"/>
        </w:rPr>
        <w:t>ompeting co</w:t>
      </w:r>
      <w:r w:rsidR="009F0856" w:rsidRPr="007C5FD5">
        <w:rPr>
          <w:rFonts w:cstheme="minorHAnsi"/>
        </w:rPr>
        <w:t>nceptions</w:t>
      </w:r>
      <w:r w:rsidR="00AD1982" w:rsidRPr="007C5FD5">
        <w:rPr>
          <w:rFonts w:cstheme="minorHAnsi"/>
        </w:rPr>
        <w:t xml:space="preserve">, </w:t>
      </w:r>
      <w:r w:rsidR="004820CD" w:rsidRPr="007C5FD5">
        <w:rPr>
          <w:rFonts w:cstheme="minorHAnsi"/>
        </w:rPr>
        <w:t>although</w:t>
      </w:r>
      <w:r w:rsidR="00C336D5" w:rsidRPr="007C5FD5">
        <w:rPr>
          <w:rFonts w:cstheme="minorHAnsi"/>
        </w:rPr>
        <w:t xml:space="preserve"> theoretical</w:t>
      </w:r>
      <w:r w:rsidR="00E03092" w:rsidRPr="007C5FD5">
        <w:rPr>
          <w:rFonts w:cstheme="minorHAnsi"/>
        </w:rPr>
        <w:t>ly</w:t>
      </w:r>
      <w:r w:rsidR="00C336D5" w:rsidRPr="007C5FD5">
        <w:rPr>
          <w:rFonts w:cstheme="minorHAnsi"/>
        </w:rPr>
        <w:t xml:space="preserve"> </w:t>
      </w:r>
      <w:r w:rsidR="000B6D8F" w:rsidRPr="007C5FD5">
        <w:rPr>
          <w:rFonts w:cstheme="minorHAnsi"/>
        </w:rPr>
        <w:t>mutually exclusive,</w:t>
      </w:r>
      <w:r w:rsidR="00AD1982" w:rsidRPr="007C5FD5">
        <w:rPr>
          <w:rFonts w:cstheme="minorHAnsi"/>
        </w:rPr>
        <w:t xml:space="preserve"> </w:t>
      </w:r>
      <w:r w:rsidR="00573C40" w:rsidRPr="007C5FD5">
        <w:rPr>
          <w:rFonts w:cstheme="minorHAnsi"/>
        </w:rPr>
        <w:t xml:space="preserve">may </w:t>
      </w:r>
      <w:r w:rsidR="00C336D5" w:rsidRPr="007C5FD5">
        <w:rPr>
          <w:rFonts w:cstheme="minorHAnsi"/>
        </w:rPr>
        <w:t>in practic</w:t>
      </w:r>
      <w:r w:rsidR="00D72686" w:rsidRPr="007C5FD5">
        <w:rPr>
          <w:rFonts w:cstheme="minorHAnsi"/>
        </w:rPr>
        <w:t>al jurisprudence</w:t>
      </w:r>
      <w:r w:rsidR="00C62479" w:rsidRPr="007C5FD5">
        <w:rPr>
          <w:rFonts w:cstheme="minorHAnsi"/>
        </w:rPr>
        <w:t xml:space="preserve"> </w:t>
      </w:r>
      <w:r w:rsidR="007F594C" w:rsidRPr="007C5FD5">
        <w:rPr>
          <w:rFonts w:cstheme="minorHAnsi"/>
        </w:rPr>
        <w:t xml:space="preserve">run </w:t>
      </w:r>
      <w:r w:rsidR="000B6D8F" w:rsidRPr="007C5FD5">
        <w:rPr>
          <w:rFonts w:cstheme="minorHAnsi"/>
        </w:rPr>
        <w:t>in parallel</w:t>
      </w:r>
      <w:r w:rsidR="0022387F" w:rsidRPr="007C5FD5">
        <w:rPr>
          <w:rFonts w:cstheme="minorHAnsi"/>
        </w:rPr>
        <w:t xml:space="preserve"> and</w:t>
      </w:r>
      <w:r w:rsidR="00C62479" w:rsidRPr="007C5FD5">
        <w:rPr>
          <w:rFonts w:cstheme="minorHAnsi"/>
        </w:rPr>
        <w:t xml:space="preserve"> </w:t>
      </w:r>
      <w:r w:rsidR="00E03092" w:rsidRPr="007C5FD5">
        <w:rPr>
          <w:rFonts w:cstheme="minorHAnsi"/>
        </w:rPr>
        <w:t>c</w:t>
      </w:r>
      <w:r w:rsidR="0022387F" w:rsidRPr="007C5FD5">
        <w:rPr>
          <w:rFonts w:cstheme="minorHAnsi"/>
        </w:rPr>
        <w:t>ompet</w:t>
      </w:r>
      <w:r w:rsidR="00AD1982" w:rsidRPr="007C5FD5">
        <w:rPr>
          <w:rFonts w:cstheme="minorHAnsi"/>
        </w:rPr>
        <w:t>ition</w:t>
      </w:r>
      <w:r w:rsidR="0022387F" w:rsidRPr="007C5FD5">
        <w:rPr>
          <w:rFonts w:cstheme="minorHAnsi"/>
        </w:rPr>
        <w:t xml:space="preserve"> with </w:t>
      </w:r>
      <w:r w:rsidR="00AD1982" w:rsidRPr="007C5FD5">
        <w:rPr>
          <w:rFonts w:cstheme="minorHAnsi"/>
        </w:rPr>
        <w:t xml:space="preserve">each </w:t>
      </w:r>
      <w:r w:rsidR="0022387F" w:rsidRPr="007C5FD5">
        <w:rPr>
          <w:rFonts w:cstheme="minorHAnsi"/>
        </w:rPr>
        <w:t>other</w:t>
      </w:r>
      <w:r w:rsidR="00AD1982" w:rsidRPr="007C5FD5">
        <w:rPr>
          <w:rFonts w:cstheme="minorHAnsi"/>
        </w:rPr>
        <w:t>.</w:t>
      </w:r>
    </w:p>
    <w:p w14:paraId="3FE08D37" w14:textId="77777777" w:rsidR="007B31DF" w:rsidRPr="007C5FD5" w:rsidRDefault="007B31DF" w:rsidP="0038374A">
      <w:pPr>
        <w:spacing w:after="0" w:line="240" w:lineRule="auto"/>
        <w:jc w:val="both"/>
        <w:rPr>
          <w:rFonts w:cstheme="minorHAnsi"/>
        </w:rPr>
      </w:pPr>
    </w:p>
    <w:p w14:paraId="28422F6F" w14:textId="3F3EE196" w:rsidR="00F5207D" w:rsidRPr="007C5FD5" w:rsidRDefault="00014714" w:rsidP="0038374A">
      <w:pPr>
        <w:spacing w:after="0" w:line="240" w:lineRule="auto"/>
        <w:jc w:val="both"/>
        <w:rPr>
          <w:rFonts w:cstheme="minorHAnsi"/>
        </w:rPr>
      </w:pPr>
      <w:r w:rsidRPr="007C5FD5">
        <w:rPr>
          <w:rFonts w:cstheme="minorHAnsi"/>
          <w:u w:val="single"/>
        </w:rPr>
        <w:t>Privacy as property.</w:t>
      </w:r>
      <w:r w:rsidRPr="007C5FD5">
        <w:rPr>
          <w:rFonts w:cstheme="minorHAnsi"/>
        </w:rPr>
        <w:t xml:space="preserve"> </w:t>
      </w:r>
      <w:r w:rsidR="00ED13FB" w:rsidRPr="007C5FD5">
        <w:rPr>
          <w:rFonts w:cstheme="minorHAnsi"/>
        </w:rPr>
        <w:t>In</w:t>
      </w:r>
      <w:r w:rsidR="00F5207D" w:rsidRPr="007C5FD5">
        <w:rPr>
          <w:rFonts w:cstheme="minorHAnsi"/>
        </w:rPr>
        <w:t xml:space="preserve"> the</w:t>
      </w:r>
      <w:r w:rsidR="000D3ACB" w:rsidRPr="007C5FD5">
        <w:rPr>
          <w:rFonts w:cstheme="minorHAnsi"/>
        </w:rPr>
        <w:t xml:space="preserve"> information </w:t>
      </w:r>
      <w:r w:rsidR="00F5207D" w:rsidRPr="007C5FD5">
        <w:rPr>
          <w:rFonts w:cstheme="minorHAnsi"/>
        </w:rPr>
        <w:t>economy</w:t>
      </w:r>
      <w:r w:rsidR="00D21911" w:rsidRPr="007C5FD5">
        <w:rPr>
          <w:rFonts w:cstheme="minorHAnsi"/>
        </w:rPr>
        <w:t xml:space="preserve"> </w:t>
      </w:r>
      <w:r w:rsidR="00ED13FB" w:rsidRPr="007C5FD5">
        <w:rPr>
          <w:rFonts w:cstheme="minorHAnsi"/>
        </w:rPr>
        <w:t xml:space="preserve">especially, </w:t>
      </w:r>
      <w:r w:rsidR="00D21911" w:rsidRPr="007C5FD5">
        <w:rPr>
          <w:rFonts w:cstheme="minorHAnsi"/>
        </w:rPr>
        <w:t>it is</w:t>
      </w:r>
      <w:r w:rsidR="00A72E9E" w:rsidRPr="007C5FD5">
        <w:rPr>
          <w:rFonts w:cstheme="minorHAnsi"/>
        </w:rPr>
        <w:t xml:space="preserve"> </w:t>
      </w:r>
      <w:r w:rsidR="00D21911" w:rsidRPr="007C5FD5">
        <w:rPr>
          <w:rFonts w:cstheme="minorHAnsi"/>
        </w:rPr>
        <w:t>tempting to construct privacy as a proprietary interest</w:t>
      </w:r>
      <w:r w:rsidR="007B465D" w:rsidRPr="007C5FD5">
        <w:rPr>
          <w:rFonts w:cstheme="minorHAnsi"/>
        </w:rPr>
        <w:t xml:space="preserve"> </w:t>
      </w:r>
      <w:r w:rsidR="004F79ED" w:rsidRPr="007C5FD5">
        <w:rPr>
          <w:rFonts w:cstheme="minorHAnsi"/>
        </w:rPr>
        <w:t>and</w:t>
      </w:r>
      <w:r w:rsidR="00F36324" w:rsidRPr="007C5FD5">
        <w:rPr>
          <w:rFonts w:cstheme="minorHAnsi"/>
        </w:rPr>
        <w:t xml:space="preserve"> </w:t>
      </w:r>
      <w:r w:rsidR="004F79ED" w:rsidRPr="007C5FD5">
        <w:rPr>
          <w:rFonts w:cstheme="minorHAnsi"/>
        </w:rPr>
        <w:t xml:space="preserve">confidentialities as </w:t>
      </w:r>
      <w:r w:rsidR="007B465D" w:rsidRPr="007C5FD5">
        <w:rPr>
          <w:rFonts w:cstheme="minorHAnsi"/>
        </w:rPr>
        <w:t>digital asset</w:t>
      </w:r>
      <w:r w:rsidR="004F79ED" w:rsidRPr="007C5FD5">
        <w:rPr>
          <w:rFonts w:cstheme="minorHAnsi"/>
        </w:rPr>
        <w:t>s</w:t>
      </w:r>
      <w:r w:rsidR="00324688" w:rsidRPr="007C5FD5">
        <w:rPr>
          <w:rFonts w:cstheme="minorHAnsi"/>
        </w:rPr>
        <w:t xml:space="preserve"> </w:t>
      </w:r>
      <w:r w:rsidR="00963EC6" w:rsidRPr="007C5FD5">
        <w:rPr>
          <w:rFonts w:cstheme="minorHAnsi"/>
        </w:rPr>
        <w:t>with</w:t>
      </w:r>
      <w:r w:rsidR="00D21911" w:rsidRPr="007C5FD5">
        <w:rPr>
          <w:rFonts w:cstheme="minorHAnsi"/>
        </w:rPr>
        <w:t xml:space="preserve"> the effect of bringing </w:t>
      </w:r>
      <w:r w:rsidR="003354BD" w:rsidRPr="007C5FD5">
        <w:rPr>
          <w:rFonts w:cstheme="minorHAnsi"/>
        </w:rPr>
        <w:t>those interests</w:t>
      </w:r>
      <w:r w:rsidR="00D21911" w:rsidRPr="007C5FD5">
        <w:rPr>
          <w:rFonts w:cstheme="minorHAnsi"/>
        </w:rPr>
        <w:t xml:space="preserve"> </w:t>
      </w:r>
      <w:r w:rsidR="00CB3A6E" w:rsidRPr="007C5FD5">
        <w:rPr>
          <w:rFonts w:cstheme="minorHAnsi"/>
        </w:rPr>
        <w:t xml:space="preserve">within </w:t>
      </w:r>
      <w:r w:rsidR="00E41A2A" w:rsidRPr="007C5FD5">
        <w:rPr>
          <w:rFonts w:cstheme="minorHAnsi"/>
        </w:rPr>
        <w:t>the</w:t>
      </w:r>
      <w:r w:rsidR="00D21911" w:rsidRPr="007C5FD5">
        <w:rPr>
          <w:rFonts w:cstheme="minorHAnsi"/>
        </w:rPr>
        <w:t xml:space="preserve"> </w:t>
      </w:r>
      <w:r w:rsidR="00E41A2A" w:rsidRPr="007C5FD5">
        <w:rPr>
          <w:rFonts w:cstheme="minorHAnsi"/>
        </w:rPr>
        <w:t>familiar</w:t>
      </w:r>
      <w:r w:rsidR="00D21911" w:rsidRPr="007C5FD5">
        <w:rPr>
          <w:rFonts w:cstheme="minorHAnsi"/>
        </w:rPr>
        <w:t xml:space="preserve"> parameters of the market</w:t>
      </w:r>
      <w:r w:rsidR="00E96074" w:rsidRPr="007C5FD5">
        <w:rPr>
          <w:rFonts w:cstheme="minorHAnsi"/>
        </w:rPr>
        <w:t xml:space="preserve"> </w:t>
      </w:r>
      <w:r w:rsidR="007B465D" w:rsidRPr="007C5FD5">
        <w:rPr>
          <w:rFonts w:cstheme="minorHAnsi"/>
        </w:rPr>
        <w:t xml:space="preserve">and </w:t>
      </w:r>
      <w:r w:rsidR="00E41A2A" w:rsidRPr="007C5FD5">
        <w:rPr>
          <w:rFonts w:cstheme="minorHAnsi"/>
        </w:rPr>
        <w:t xml:space="preserve">its </w:t>
      </w:r>
      <w:r w:rsidR="00B21E9E" w:rsidRPr="007C5FD5">
        <w:rPr>
          <w:rFonts w:cstheme="minorHAnsi"/>
        </w:rPr>
        <w:t xml:space="preserve">transfer mechanisms and </w:t>
      </w:r>
      <w:r w:rsidR="007B465D" w:rsidRPr="007C5FD5">
        <w:rPr>
          <w:rFonts w:cstheme="minorHAnsi"/>
        </w:rPr>
        <w:t>corrective</w:t>
      </w:r>
      <w:r w:rsidR="003414A7" w:rsidRPr="007C5FD5">
        <w:rPr>
          <w:rFonts w:cstheme="minorHAnsi"/>
        </w:rPr>
        <w:t xml:space="preserve"> legal</w:t>
      </w:r>
      <w:r w:rsidR="007B465D" w:rsidRPr="007C5FD5">
        <w:rPr>
          <w:rFonts w:cstheme="minorHAnsi"/>
        </w:rPr>
        <w:t xml:space="preserve"> interventions</w:t>
      </w:r>
      <w:r w:rsidR="005B5989" w:rsidRPr="007C5FD5">
        <w:rPr>
          <w:rFonts w:cstheme="minorHAnsi"/>
        </w:rPr>
        <w:t xml:space="preserve">. </w:t>
      </w:r>
      <w:r w:rsidR="007B465D" w:rsidRPr="007C5FD5">
        <w:rPr>
          <w:rFonts w:cstheme="minorHAnsi"/>
        </w:rPr>
        <w:t>P</w:t>
      </w:r>
      <w:r w:rsidR="00D21911" w:rsidRPr="007C5FD5">
        <w:rPr>
          <w:rFonts w:cstheme="minorHAnsi"/>
        </w:rPr>
        <w:t xml:space="preserve">rivacy as a disposable commodity </w:t>
      </w:r>
      <w:r w:rsidR="00127D5A" w:rsidRPr="007C5FD5">
        <w:rPr>
          <w:rFonts w:cstheme="minorHAnsi"/>
        </w:rPr>
        <w:t xml:space="preserve">can </w:t>
      </w:r>
      <w:r w:rsidR="00D21911" w:rsidRPr="007C5FD5">
        <w:rPr>
          <w:rFonts w:cstheme="minorHAnsi"/>
        </w:rPr>
        <w:t xml:space="preserve">account for the exchange of </w:t>
      </w:r>
      <w:r w:rsidR="00D660DD">
        <w:rPr>
          <w:rFonts w:cstheme="minorHAnsi"/>
        </w:rPr>
        <w:t>‘</w:t>
      </w:r>
      <w:r w:rsidR="00D21911" w:rsidRPr="007C5FD5">
        <w:rPr>
          <w:rFonts w:cstheme="minorHAnsi"/>
        </w:rPr>
        <w:t>personal data</w:t>
      </w:r>
      <w:r w:rsidR="00D660DD">
        <w:rPr>
          <w:rFonts w:cstheme="minorHAnsi"/>
        </w:rPr>
        <w:t>’</w:t>
      </w:r>
      <w:r w:rsidR="00D21911" w:rsidRPr="007C5FD5">
        <w:rPr>
          <w:rFonts w:cstheme="minorHAnsi"/>
        </w:rPr>
        <w:t xml:space="preserve"> in return for ‘free’ online service</w:t>
      </w:r>
      <w:r w:rsidR="003948CE" w:rsidRPr="007C5FD5">
        <w:rPr>
          <w:rFonts w:cstheme="minorHAnsi"/>
        </w:rPr>
        <w:t>s in transactional terms</w:t>
      </w:r>
      <w:r w:rsidR="00B22467" w:rsidRPr="007C5FD5">
        <w:rPr>
          <w:rFonts w:cstheme="minorHAnsi"/>
        </w:rPr>
        <w:t>,</w:t>
      </w:r>
      <w:r w:rsidR="00963EC6" w:rsidRPr="007C5FD5">
        <w:rPr>
          <w:rFonts w:cstheme="minorHAnsi"/>
        </w:rPr>
        <w:t xml:space="preserve"> </w:t>
      </w:r>
      <w:r w:rsidR="00B22467" w:rsidRPr="007C5FD5">
        <w:rPr>
          <w:rFonts w:cstheme="minorHAnsi"/>
        </w:rPr>
        <w:t>and</w:t>
      </w:r>
      <w:r w:rsidR="00963EC6" w:rsidRPr="007C5FD5">
        <w:rPr>
          <w:rFonts w:cstheme="minorHAnsi"/>
        </w:rPr>
        <w:t xml:space="preserve"> for the fact </w:t>
      </w:r>
      <w:r w:rsidR="00B22467" w:rsidRPr="007C5FD5">
        <w:rPr>
          <w:rFonts w:cstheme="minorHAnsi"/>
        </w:rPr>
        <w:t xml:space="preserve">that </w:t>
      </w:r>
      <w:r w:rsidR="00F5207D" w:rsidRPr="007C5FD5">
        <w:rPr>
          <w:rFonts w:cstheme="minorHAnsi"/>
        </w:rPr>
        <w:t xml:space="preserve">much </w:t>
      </w:r>
      <w:r w:rsidR="00B22467" w:rsidRPr="007C5FD5">
        <w:rPr>
          <w:rFonts w:cstheme="minorHAnsi"/>
        </w:rPr>
        <w:t>personal</w:t>
      </w:r>
      <w:r w:rsidR="00F83BA2" w:rsidRPr="007C5FD5">
        <w:rPr>
          <w:rFonts w:cstheme="minorHAnsi"/>
        </w:rPr>
        <w:t xml:space="preserve"> information </w:t>
      </w:r>
      <w:r w:rsidR="00CB3A6E" w:rsidRPr="007C5FD5">
        <w:rPr>
          <w:rFonts w:cstheme="minorHAnsi"/>
        </w:rPr>
        <w:t>is</w:t>
      </w:r>
      <w:r w:rsidR="00ED13FB" w:rsidRPr="007C5FD5">
        <w:rPr>
          <w:rFonts w:cstheme="minorHAnsi"/>
        </w:rPr>
        <w:t>, collective</w:t>
      </w:r>
      <w:r w:rsidR="005C01D3" w:rsidRPr="007C5FD5">
        <w:rPr>
          <w:rFonts w:cstheme="minorHAnsi"/>
        </w:rPr>
        <w:t>ly</w:t>
      </w:r>
      <w:r w:rsidR="00ED13FB" w:rsidRPr="007C5FD5">
        <w:rPr>
          <w:rFonts w:cstheme="minorHAnsi"/>
        </w:rPr>
        <w:t>,</w:t>
      </w:r>
      <w:r w:rsidR="00E96074" w:rsidRPr="007C5FD5">
        <w:rPr>
          <w:rFonts w:cstheme="minorHAnsi"/>
        </w:rPr>
        <w:t xml:space="preserve"> </w:t>
      </w:r>
      <w:r w:rsidR="00B22467" w:rsidRPr="007C5FD5">
        <w:rPr>
          <w:rFonts w:cstheme="minorHAnsi"/>
        </w:rPr>
        <w:t>economically</w:t>
      </w:r>
      <w:r w:rsidR="00E96074" w:rsidRPr="007C5FD5">
        <w:rPr>
          <w:rFonts w:cstheme="minorHAnsi"/>
        </w:rPr>
        <w:t xml:space="preserve"> </w:t>
      </w:r>
      <w:r w:rsidR="00E966E0" w:rsidRPr="007C5FD5">
        <w:rPr>
          <w:rFonts w:cstheme="minorHAnsi"/>
        </w:rPr>
        <w:t xml:space="preserve">highly </w:t>
      </w:r>
      <w:r w:rsidR="00EE50F4" w:rsidRPr="007C5FD5">
        <w:rPr>
          <w:rFonts w:cstheme="minorHAnsi"/>
        </w:rPr>
        <w:t>valuable</w:t>
      </w:r>
      <w:r w:rsidR="00F83BA2" w:rsidRPr="007C5FD5">
        <w:rPr>
          <w:rFonts w:cstheme="minorHAnsi"/>
        </w:rPr>
        <w:t xml:space="preserve">. </w:t>
      </w:r>
      <w:r w:rsidR="004F79ED" w:rsidRPr="007C5FD5">
        <w:rPr>
          <w:rFonts w:cstheme="minorHAnsi"/>
        </w:rPr>
        <w:t>Whilst some commentators have called for</w:t>
      </w:r>
      <w:r w:rsidR="003948CE" w:rsidRPr="007C5FD5">
        <w:rPr>
          <w:rFonts w:cstheme="minorHAnsi"/>
        </w:rPr>
        <w:t xml:space="preserve"> an explicit recognition of</w:t>
      </w:r>
      <w:r w:rsidR="004F79ED" w:rsidRPr="007C5FD5">
        <w:rPr>
          <w:rFonts w:cstheme="minorHAnsi"/>
        </w:rPr>
        <w:t xml:space="preserve"> a proprietary right to privacy,</w:t>
      </w:r>
      <w:r w:rsidR="004F79ED" w:rsidRPr="007C5FD5">
        <w:rPr>
          <w:rStyle w:val="FootnoteReference"/>
          <w:rFonts w:cstheme="minorHAnsi"/>
        </w:rPr>
        <w:footnoteReference w:id="78"/>
      </w:r>
      <w:r w:rsidR="00A64235" w:rsidRPr="007C5FD5">
        <w:rPr>
          <w:rStyle w:val="FootnoteReference"/>
          <w:rFonts w:cstheme="minorHAnsi"/>
        </w:rPr>
        <w:t xml:space="preserve"> </w:t>
      </w:r>
      <w:r w:rsidR="001C446D" w:rsidRPr="007C5FD5">
        <w:rPr>
          <w:rFonts w:cstheme="minorHAnsi"/>
        </w:rPr>
        <w:t>privacy in the common law world has</w:t>
      </w:r>
      <w:r w:rsidR="00221AB7" w:rsidRPr="007C5FD5">
        <w:rPr>
          <w:rFonts w:cstheme="minorHAnsi"/>
        </w:rPr>
        <w:t>, in any event,</w:t>
      </w:r>
      <w:r w:rsidR="001C446D" w:rsidRPr="007C5FD5">
        <w:rPr>
          <w:rFonts w:cstheme="minorHAnsi"/>
        </w:rPr>
        <w:t xml:space="preserve"> grown out of strong proprietary roots</w:t>
      </w:r>
      <w:r w:rsidR="001D167F" w:rsidRPr="007C5FD5">
        <w:rPr>
          <w:rFonts w:cstheme="minorHAnsi"/>
        </w:rPr>
        <w:t xml:space="preserve"> with values that are still residually present. Privacy at common law has its origins in the</w:t>
      </w:r>
      <w:r w:rsidR="00A85330" w:rsidRPr="007C5FD5">
        <w:rPr>
          <w:rFonts w:cstheme="minorHAnsi"/>
        </w:rPr>
        <w:t xml:space="preserve"> </w:t>
      </w:r>
      <w:r w:rsidR="007A53C0" w:rsidRPr="007C5FD5">
        <w:rPr>
          <w:rFonts w:cstheme="minorHAnsi"/>
        </w:rPr>
        <w:t>traditional</w:t>
      </w:r>
      <w:r w:rsidR="00C336D5" w:rsidRPr="007C5FD5">
        <w:rPr>
          <w:rFonts w:cstheme="minorHAnsi"/>
        </w:rPr>
        <w:t xml:space="preserve"> </w:t>
      </w:r>
      <w:r w:rsidR="00A85330" w:rsidRPr="007C5FD5">
        <w:rPr>
          <w:rFonts w:cstheme="minorHAnsi"/>
        </w:rPr>
        <w:t>focus on the home</w:t>
      </w:r>
      <w:r w:rsidR="001C446D" w:rsidRPr="007C5FD5">
        <w:rPr>
          <w:rFonts w:cstheme="minorHAnsi"/>
        </w:rPr>
        <w:t xml:space="preserve"> </w:t>
      </w:r>
      <w:r w:rsidR="001D167F" w:rsidRPr="007C5FD5">
        <w:rPr>
          <w:rFonts w:cstheme="minorHAnsi"/>
        </w:rPr>
        <w:t xml:space="preserve">(as extension of the body) </w:t>
      </w:r>
      <w:r w:rsidR="001C446D" w:rsidRPr="007C5FD5">
        <w:rPr>
          <w:rFonts w:cstheme="minorHAnsi"/>
        </w:rPr>
        <w:t xml:space="preserve">as </w:t>
      </w:r>
      <w:r w:rsidR="009B21E8" w:rsidRPr="007C5FD5">
        <w:rPr>
          <w:rFonts w:cstheme="minorHAnsi"/>
        </w:rPr>
        <w:t>the place</w:t>
      </w:r>
      <w:r w:rsidR="001C446D" w:rsidRPr="007C5FD5">
        <w:rPr>
          <w:rFonts w:cstheme="minorHAnsi"/>
        </w:rPr>
        <w:t xml:space="preserve"> of non-interference,</w:t>
      </w:r>
      <w:r w:rsidR="00A913C5" w:rsidRPr="007C5FD5">
        <w:rPr>
          <w:rStyle w:val="FootnoteReference"/>
          <w:rFonts w:cstheme="minorHAnsi"/>
        </w:rPr>
        <w:footnoteReference w:id="79"/>
      </w:r>
      <w:r w:rsidR="00A85330" w:rsidRPr="007C5FD5">
        <w:rPr>
          <w:rFonts w:cstheme="minorHAnsi"/>
        </w:rPr>
        <w:t xml:space="preserve"> </w:t>
      </w:r>
      <w:r w:rsidR="001C446D" w:rsidRPr="007C5FD5">
        <w:rPr>
          <w:rFonts w:cstheme="minorHAnsi"/>
        </w:rPr>
        <w:t xml:space="preserve">and </w:t>
      </w:r>
      <w:r w:rsidR="001D167F" w:rsidRPr="007C5FD5">
        <w:rPr>
          <w:rFonts w:cstheme="minorHAnsi"/>
        </w:rPr>
        <w:t xml:space="preserve">in </w:t>
      </w:r>
      <w:r w:rsidR="007A53C0" w:rsidRPr="007C5FD5">
        <w:rPr>
          <w:rFonts w:cstheme="minorHAnsi"/>
        </w:rPr>
        <w:t xml:space="preserve">commercial secrets protected through the </w:t>
      </w:r>
      <w:r w:rsidR="000D3ACB" w:rsidRPr="007C5FD5">
        <w:rPr>
          <w:rFonts w:cstheme="minorHAnsi"/>
        </w:rPr>
        <w:t xml:space="preserve">equitable </w:t>
      </w:r>
      <w:r w:rsidR="00963EC6" w:rsidRPr="007C5FD5">
        <w:rPr>
          <w:rFonts w:cstheme="minorHAnsi"/>
        </w:rPr>
        <w:t>duty of confiden</w:t>
      </w:r>
      <w:r w:rsidR="00EE50F4" w:rsidRPr="007C5FD5">
        <w:rPr>
          <w:rFonts w:cstheme="minorHAnsi"/>
        </w:rPr>
        <w:t>tiality</w:t>
      </w:r>
      <w:r w:rsidR="001C446D" w:rsidRPr="007C5FD5">
        <w:rPr>
          <w:rFonts w:cstheme="minorHAnsi"/>
        </w:rPr>
        <w:t>.</w:t>
      </w:r>
      <w:r w:rsidR="009A7005" w:rsidRPr="007C5FD5">
        <w:rPr>
          <w:rStyle w:val="FootnoteReference"/>
          <w:rFonts w:cstheme="minorHAnsi"/>
        </w:rPr>
        <w:footnoteReference w:id="80"/>
      </w:r>
      <w:r w:rsidR="008A58E3" w:rsidRPr="007C5FD5">
        <w:rPr>
          <w:rFonts w:cstheme="minorHAnsi"/>
        </w:rPr>
        <w:t xml:space="preserve"> </w:t>
      </w:r>
      <w:r w:rsidR="001C446D" w:rsidRPr="007C5FD5">
        <w:rPr>
          <w:rFonts w:cstheme="minorHAnsi"/>
        </w:rPr>
        <w:t>Although th</w:t>
      </w:r>
      <w:r w:rsidR="002077E1" w:rsidRPr="007C5FD5">
        <w:rPr>
          <w:rFonts w:cstheme="minorHAnsi"/>
        </w:rPr>
        <w:t>e latter</w:t>
      </w:r>
      <w:r w:rsidR="007A53C0" w:rsidRPr="007C5FD5">
        <w:rPr>
          <w:rFonts w:cstheme="minorHAnsi"/>
        </w:rPr>
        <w:t xml:space="preserve"> </w:t>
      </w:r>
      <w:r w:rsidR="001C446D" w:rsidRPr="007C5FD5">
        <w:rPr>
          <w:rFonts w:cstheme="minorHAnsi"/>
        </w:rPr>
        <w:t xml:space="preserve">duty has always </w:t>
      </w:r>
      <w:r w:rsidR="004E5D3B" w:rsidRPr="007C5FD5">
        <w:rPr>
          <w:rFonts w:cstheme="minorHAnsi"/>
        </w:rPr>
        <w:t>been</w:t>
      </w:r>
      <w:r w:rsidR="00F5207D" w:rsidRPr="007C5FD5">
        <w:rPr>
          <w:rFonts w:cstheme="minorHAnsi"/>
        </w:rPr>
        <w:t xml:space="preserve"> a personal one,</w:t>
      </w:r>
      <w:r w:rsidR="003543C4" w:rsidRPr="007C5FD5">
        <w:rPr>
          <w:rFonts w:cstheme="minorHAnsi"/>
        </w:rPr>
        <w:t xml:space="preserve"> </w:t>
      </w:r>
      <w:r w:rsidR="00A913C5" w:rsidRPr="007C5FD5">
        <w:rPr>
          <w:rFonts w:cstheme="minorHAnsi"/>
        </w:rPr>
        <w:t xml:space="preserve">historically </w:t>
      </w:r>
      <w:r w:rsidR="00EE50F4" w:rsidRPr="007C5FD5">
        <w:rPr>
          <w:rFonts w:cstheme="minorHAnsi"/>
        </w:rPr>
        <w:t>it</w:t>
      </w:r>
      <w:r w:rsidR="00F5207D" w:rsidRPr="007C5FD5">
        <w:rPr>
          <w:rFonts w:cstheme="minorHAnsi"/>
        </w:rPr>
        <w:t xml:space="preserve"> arose either out property or contract</w:t>
      </w:r>
      <w:r w:rsidR="00A15F58" w:rsidRPr="007C5FD5">
        <w:rPr>
          <w:rFonts w:cstheme="minorHAnsi"/>
        </w:rPr>
        <w:t xml:space="preserve"> and</w:t>
      </w:r>
      <w:r w:rsidR="00F5207D" w:rsidRPr="007C5FD5">
        <w:rPr>
          <w:rFonts w:cstheme="minorHAnsi"/>
        </w:rPr>
        <w:t xml:space="preserve"> came </w:t>
      </w:r>
      <w:r w:rsidR="00A15F58" w:rsidRPr="007C5FD5">
        <w:rPr>
          <w:rFonts w:cstheme="minorHAnsi"/>
        </w:rPr>
        <w:t>to</w:t>
      </w:r>
      <w:r w:rsidR="00F5207D" w:rsidRPr="007C5FD5">
        <w:rPr>
          <w:rFonts w:cstheme="minorHAnsi"/>
        </w:rPr>
        <w:t xml:space="preserve"> </w:t>
      </w:r>
      <w:r w:rsidR="00953598" w:rsidRPr="007C5FD5">
        <w:rPr>
          <w:rFonts w:cstheme="minorHAnsi"/>
        </w:rPr>
        <w:t>the rescue of</w:t>
      </w:r>
      <w:r w:rsidR="00A72E9E" w:rsidRPr="007C5FD5">
        <w:rPr>
          <w:rFonts w:cstheme="minorHAnsi"/>
        </w:rPr>
        <w:t xml:space="preserve"> </w:t>
      </w:r>
      <w:r w:rsidR="003543C4" w:rsidRPr="007C5FD5">
        <w:rPr>
          <w:rFonts w:cstheme="minorHAnsi"/>
        </w:rPr>
        <w:t>confidences</w:t>
      </w:r>
      <w:r w:rsidR="00A15F58" w:rsidRPr="007C5FD5">
        <w:rPr>
          <w:rFonts w:cstheme="minorHAnsi"/>
        </w:rPr>
        <w:t xml:space="preserve"> in commercial matters</w:t>
      </w:r>
      <w:r w:rsidR="007F594C" w:rsidRPr="007C5FD5">
        <w:rPr>
          <w:rFonts w:cstheme="minorHAnsi"/>
        </w:rPr>
        <w:t xml:space="preserve">, </w:t>
      </w:r>
      <w:r w:rsidR="008D3B4C" w:rsidRPr="007C5FD5">
        <w:rPr>
          <w:rFonts w:cstheme="minorHAnsi"/>
        </w:rPr>
        <w:t>notably</w:t>
      </w:r>
      <w:r w:rsidR="007F594C" w:rsidRPr="007C5FD5">
        <w:rPr>
          <w:rFonts w:cstheme="minorHAnsi"/>
        </w:rPr>
        <w:t xml:space="preserve"> trade secrets</w:t>
      </w:r>
      <w:r w:rsidR="00A15F58" w:rsidRPr="007C5FD5">
        <w:rPr>
          <w:rFonts w:cstheme="minorHAnsi"/>
        </w:rPr>
        <w:t>.</w:t>
      </w:r>
      <w:r w:rsidR="007A6EE5" w:rsidRPr="007C5FD5">
        <w:rPr>
          <w:rStyle w:val="FootnoteReference"/>
          <w:rFonts w:cstheme="minorHAnsi"/>
        </w:rPr>
        <w:footnoteReference w:id="81"/>
      </w:r>
      <w:r w:rsidR="001D167F" w:rsidRPr="007C5FD5">
        <w:rPr>
          <w:rFonts w:cstheme="minorHAnsi"/>
        </w:rPr>
        <w:t xml:space="preserve"> </w:t>
      </w:r>
      <w:r w:rsidR="00F5207D" w:rsidRPr="007C5FD5">
        <w:rPr>
          <w:rFonts w:cstheme="minorHAnsi"/>
        </w:rPr>
        <w:t xml:space="preserve">Only </w:t>
      </w:r>
      <w:r w:rsidR="002666A3" w:rsidRPr="007C5FD5">
        <w:rPr>
          <w:rFonts w:cstheme="minorHAnsi"/>
        </w:rPr>
        <w:t>gradually</w:t>
      </w:r>
      <w:r w:rsidR="00F5207D" w:rsidRPr="007C5FD5">
        <w:rPr>
          <w:rFonts w:cstheme="minorHAnsi"/>
        </w:rPr>
        <w:t xml:space="preserve"> </w:t>
      </w:r>
      <w:r w:rsidR="00953598" w:rsidRPr="007C5FD5">
        <w:rPr>
          <w:rFonts w:cstheme="minorHAnsi"/>
        </w:rPr>
        <w:t>did</w:t>
      </w:r>
      <w:r w:rsidR="00F5207D" w:rsidRPr="007C5FD5">
        <w:rPr>
          <w:rFonts w:cstheme="minorHAnsi"/>
        </w:rPr>
        <w:t xml:space="preserve"> it</w:t>
      </w:r>
      <w:r w:rsidR="002666A3" w:rsidRPr="007C5FD5">
        <w:rPr>
          <w:rFonts w:cstheme="minorHAnsi"/>
        </w:rPr>
        <w:t xml:space="preserve"> expand </w:t>
      </w:r>
      <w:r w:rsidR="00294A8C" w:rsidRPr="007C5FD5">
        <w:rPr>
          <w:rFonts w:cstheme="minorHAnsi"/>
        </w:rPr>
        <w:t xml:space="preserve">to </w:t>
      </w:r>
      <w:r w:rsidR="002666A3" w:rsidRPr="007C5FD5">
        <w:rPr>
          <w:rFonts w:cstheme="minorHAnsi"/>
        </w:rPr>
        <w:t>personal</w:t>
      </w:r>
      <w:r w:rsidR="00CB3A6E" w:rsidRPr="007C5FD5">
        <w:rPr>
          <w:rFonts w:cstheme="minorHAnsi"/>
        </w:rPr>
        <w:t xml:space="preserve"> confidences</w:t>
      </w:r>
      <w:r w:rsidR="00380C0F" w:rsidRPr="007C5FD5">
        <w:rPr>
          <w:rFonts w:cstheme="minorHAnsi"/>
        </w:rPr>
        <w:t>, but it remained even then</w:t>
      </w:r>
      <w:r w:rsidR="002666A3" w:rsidRPr="007C5FD5">
        <w:rPr>
          <w:rFonts w:cstheme="minorHAnsi"/>
        </w:rPr>
        <w:t xml:space="preserve"> </w:t>
      </w:r>
      <w:r w:rsidR="000A34FD" w:rsidRPr="007C5FD5">
        <w:rPr>
          <w:rFonts w:cstheme="minorHAnsi"/>
        </w:rPr>
        <w:t>ent</w:t>
      </w:r>
      <w:r w:rsidR="002666A3" w:rsidRPr="007C5FD5">
        <w:rPr>
          <w:rFonts w:cstheme="minorHAnsi"/>
        </w:rPr>
        <w:t>angled</w:t>
      </w:r>
      <w:r w:rsidR="009A7005" w:rsidRPr="007C5FD5">
        <w:rPr>
          <w:rFonts w:cstheme="minorHAnsi"/>
        </w:rPr>
        <w:t xml:space="preserve"> with </w:t>
      </w:r>
      <w:r w:rsidR="003543C4" w:rsidRPr="007C5FD5">
        <w:rPr>
          <w:rFonts w:cstheme="minorHAnsi"/>
        </w:rPr>
        <w:t xml:space="preserve">the </w:t>
      </w:r>
      <w:r w:rsidR="009A7005" w:rsidRPr="007C5FD5">
        <w:rPr>
          <w:rFonts w:cstheme="minorHAnsi"/>
        </w:rPr>
        <w:t>notion of property</w:t>
      </w:r>
      <w:r w:rsidR="00700E41" w:rsidRPr="007C5FD5">
        <w:rPr>
          <w:rFonts w:cstheme="minorHAnsi"/>
        </w:rPr>
        <w:t>,</w:t>
      </w:r>
      <w:r w:rsidR="00265DA3" w:rsidRPr="007C5FD5">
        <w:rPr>
          <w:rFonts w:cstheme="minorHAnsi"/>
        </w:rPr>
        <w:t xml:space="preserve"> </w:t>
      </w:r>
      <w:r w:rsidR="008D3B4C" w:rsidRPr="007C5FD5">
        <w:rPr>
          <w:rFonts w:cstheme="minorHAnsi"/>
        </w:rPr>
        <w:t>albeit a wide</w:t>
      </w:r>
      <w:r w:rsidR="00700E41" w:rsidRPr="007C5FD5">
        <w:rPr>
          <w:rFonts w:cstheme="minorHAnsi"/>
        </w:rPr>
        <w:t xml:space="preserve"> version.</w:t>
      </w:r>
      <w:r w:rsidR="002666A3" w:rsidRPr="007C5FD5">
        <w:rPr>
          <w:rFonts w:cstheme="minorHAnsi"/>
        </w:rPr>
        <w:t xml:space="preserve"> </w:t>
      </w:r>
      <w:r w:rsidR="009D30D0" w:rsidRPr="007C5FD5">
        <w:rPr>
          <w:rFonts w:cstheme="minorHAnsi"/>
        </w:rPr>
        <w:t>In extend</w:t>
      </w:r>
      <w:r w:rsidR="009A7005" w:rsidRPr="007C5FD5">
        <w:rPr>
          <w:rFonts w:cstheme="minorHAnsi"/>
        </w:rPr>
        <w:t>ing</w:t>
      </w:r>
      <w:r w:rsidR="009D30D0" w:rsidRPr="007C5FD5">
        <w:rPr>
          <w:rFonts w:cstheme="minorHAnsi"/>
        </w:rPr>
        <w:t xml:space="preserve"> the duty of confidence to</w:t>
      </w:r>
      <w:r w:rsidR="000A34FD" w:rsidRPr="007C5FD5">
        <w:rPr>
          <w:rFonts w:cstheme="minorHAnsi"/>
        </w:rPr>
        <w:t xml:space="preserve"> </w:t>
      </w:r>
      <w:r w:rsidR="009A7005" w:rsidRPr="007C5FD5">
        <w:rPr>
          <w:rFonts w:cstheme="minorHAnsi"/>
        </w:rPr>
        <w:t>communications between</w:t>
      </w:r>
      <w:r w:rsidR="009D30D0" w:rsidRPr="007C5FD5">
        <w:rPr>
          <w:rFonts w:cstheme="minorHAnsi"/>
        </w:rPr>
        <w:t xml:space="preserve"> husband </w:t>
      </w:r>
      <w:r w:rsidR="009A7005" w:rsidRPr="007C5FD5">
        <w:rPr>
          <w:rFonts w:cstheme="minorHAnsi"/>
        </w:rPr>
        <w:t>and</w:t>
      </w:r>
      <w:r w:rsidR="009D30D0" w:rsidRPr="007C5FD5">
        <w:rPr>
          <w:rFonts w:cstheme="minorHAnsi"/>
        </w:rPr>
        <w:t xml:space="preserve"> wife,</w:t>
      </w:r>
      <w:r w:rsidR="00294A8C" w:rsidRPr="007C5FD5">
        <w:rPr>
          <w:rStyle w:val="FootnoteReference"/>
          <w:rFonts w:cstheme="minorHAnsi"/>
        </w:rPr>
        <w:footnoteReference w:id="82"/>
      </w:r>
      <w:r w:rsidR="009D30D0" w:rsidRPr="007C5FD5">
        <w:rPr>
          <w:rFonts w:cstheme="minorHAnsi"/>
        </w:rPr>
        <w:t xml:space="preserve"> the </w:t>
      </w:r>
      <w:r w:rsidR="008D3B4C" w:rsidRPr="007C5FD5">
        <w:rPr>
          <w:rFonts w:cstheme="minorHAnsi"/>
        </w:rPr>
        <w:t>c</w:t>
      </w:r>
      <w:r w:rsidR="009D30D0" w:rsidRPr="007C5FD5">
        <w:rPr>
          <w:rFonts w:cstheme="minorHAnsi"/>
        </w:rPr>
        <w:t xml:space="preserve">ourt in </w:t>
      </w:r>
      <w:r w:rsidR="009D30D0" w:rsidRPr="007C5FD5">
        <w:rPr>
          <w:rFonts w:cstheme="minorHAnsi"/>
          <w:i/>
          <w:iCs/>
        </w:rPr>
        <w:t>Argyle v Argyle</w:t>
      </w:r>
      <w:r w:rsidR="009D30D0" w:rsidRPr="007C5FD5">
        <w:rPr>
          <w:rFonts w:cstheme="minorHAnsi"/>
        </w:rPr>
        <w:t xml:space="preserve"> (1967)</w:t>
      </w:r>
      <w:r w:rsidR="009D30D0" w:rsidRPr="007C5FD5">
        <w:rPr>
          <w:rStyle w:val="FootnoteReference"/>
          <w:rFonts w:cstheme="minorHAnsi"/>
        </w:rPr>
        <w:footnoteReference w:id="83"/>
      </w:r>
      <w:r w:rsidR="009D30D0" w:rsidRPr="007C5FD5">
        <w:rPr>
          <w:rFonts w:cstheme="minorHAnsi"/>
        </w:rPr>
        <w:t xml:space="preserve"> relied </w:t>
      </w:r>
      <w:r w:rsidR="000A34FD" w:rsidRPr="007C5FD5">
        <w:rPr>
          <w:rFonts w:cstheme="minorHAnsi"/>
        </w:rPr>
        <w:t xml:space="preserve">on </w:t>
      </w:r>
      <w:r w:rsidR="000A34FD" w:rsidRPr="007C5FD5">
        <w:rPr>
          <w:rFonts w:cstheme="minorHAnsi"/>
          <w:i/>
          <w:iCs/>
        </w:rPr>
        <w:t>Wyatt v Wilson</w:t>
      </w:r>
      <w:r w:rsidR="000A34FD" w:rsidRPr="007C5FD5">
        <w:rPr>
          <w:rFonts w:cstheme="minorHAnsi"/>
        </w:rPr>
        <w:t xml:space="preserve"> (1820)</w:t>
      </w:r>
      <w:r w:rsidR="009D30D0" w:rsidRPr="007C5FD5">
        <w:rPr>
          <w:rStyle w:val="FootnoteReference"/>
          <w:rFonts w:cstheme="minorHAnsi"/>
        </w:rPr>
        <w:footnoteReference w:id="84"/>
      </w:r>
      <w:r w:rsidR="000A34FD" w:rsidRPr="007C5FD5">
        <w:rPr>
          <w:rFonts w:cstheme="minorHAnsi"/>
        </w:rPr>
        <w:t xml:space="preserve"> which dealt with</w:t>
      </w:r>
      <w:r w:rsidR="00C06B23" w:rsidRPr="007C5FD5">
        <w:rPr>
          <w:rFonts w:cstheme="minorHAnsi"/>
        </w:rPr>
        <w:t xml:space="preserve"> the King</w:t>
      </w:r>
      <w:r w:rsidR="00317B5F" w:rsidRPr="007C5FD5">
        <w:rPr>
          <w:rFonts w:cstheme="minorHAnsi"/>
        </w:rPr>
        <w:t xml:space="preserve"> George III’</w:t>
      </w:r>
      <w:r w:rsidR="00C06B23" w:rsidRPr="007C5FD5">
        <w:rPr>
          <w:rFonts w:cstheme="minorHAnsi"/>
        </w:rPr>
        <w:t>s</w:t>
      </w:r>
      <w:r w:rsidR="000A34FD" w:rsidRPr="007C5FD5">
        <w:rPr>
          <w:rFonts w:cstheme="minorHAnsi"/>
        </w:rPr>
        <w:t xml:space="preserve"> medical confidences in a diary: </w:t>
      </w:r>
    </w:p>
    <w:p w14:paraId="1635D1AA" w14:textId="77777777" w:rsidR="003543C4" w:rsidRPr="007C5FD5" w:rsidRDefault="003543C4" w:rsidP="00FD77D8">
      <w:pPr>
        <w:spacing w:after="0" w:line="240" w:lineRule="auto"/>
        <w:jc w:val="both"/>
        <w:rPr>
          <w:rFonts w:cstheme="minorHAnsi"/>
        </w:rPr>
      </w:pPr>
    </w:p>
    <w:p w14:paraId="08D000C2" w14:textId="77777777" w:rsidR="00F5207D" w:rsidRPr="007C5FD5" w:rsidRDefault="000A34FD" w:rsidP="00FD77D8">
      <w:pPr>
        <w:spacing w:after="0" w:line="240" w:lineRule="auto"/>
        <w:ind w:left="720"/>
        <w:jc w:val="both"/>
        <w:rPr>
          <w:rFonts w:cstheme="minorHAnsi"/>
        </w:rPr>
      </w:pPr>
      <w:r w:rsidRPr="007C5FD5">
        <w:rPr>
          <w:rFonts w:cstheme="minorHAnsi"/>
        </w:rPr>
        <w:lastRenderedPageBreak/>
        <w:t xml:space="preserve">‘The diary there was the physician's and the only thing which could be described in any sense as the property of the King was the information it contained and to which the physician was given the access. If such information can be regarded as within the protection afforded to </w:t>
      </w:r>
      <w:proofErr w:type="gramStart"/>
      <w:r w:rsidRPr="007C5FD5">
        <w:rPr>
          <w:rFonts w:cstheme="minorHAnsi"/>
        </w:rPr>
        <w:t>property</w:t>
      </w:r>
      <w:proofErr w:type="gramEnd"/>
      <w:r w:rsidRPr="007C5FD5">
        <w:rPr>
          <w:rFonts w:cstheme="minorHAnsi"/>
        </w:rPr>
        <w:t xml:space="preserve"> then similar confidential information communicated by a wife to her husband could also be so regarded.’</w:t>
      </w:r>
      <w:r w:rsidRPr="007C5FD5">
        <w:rPr>
          <w:rStyle w:val="FootnoteReference"/>
          <w:rFonts w:cstheme="minorHAnsi"/>
        </w:rPr>
        <w:footnoteReference w:id="85"/>
      </w:r>
      <w:r w:rsidR="00CB3A6E" w:rsidRPr="007C5FD5">
        <w:rPr>
          <w:rFonts w:cstheme="minorHAnsi"/>
        </w:rPr>
        <w:t xml:space="preserve"> </w:t>
      </w:r>
    </w:p>
    <w:p w14:paraId="5D821F73" w14:textId="77777777" w:rsidR="00F5207D" w:rsidRPr="007C5FD5" w:rsidRDefault="00F5207D" w:rsidP="00FD77D8">
      <w:pPr>
        <w:spacing w:after="0" w:line="240" w:lineRule="auto"/>
        <w:jc w:val="both"/>
        <w:rPr>
          <w:rFonts w:cstheme="minorHAnsi"/>
        </w:rPr>
      </w:pPr>
    </w:p>
    <w:p w14:paraId="34AB22AA" w14:textId="5685D0D7" w:rsidR="002B2316" w:rsidRPr="007C5FD5" w:rsidRDefault="003543C4" w:rsidP="00FD77D8">
      <w:pPr>
        <w:spacing w:after="0" w:line="240" w:lineRule="auto"/>
        <w:jc w:val="both"/>
        <w:rPr>
          <w:rFonts w:cstheme="minorHAnsi"/>
        </w:rPr>
      </w:pPr>
      <w:proofErr w:type="gramStart"/>
      <w:r w:rsidRPr="007C5FD5">
        <w:rPr>
          <w:rFonts w:cstheme="minorHAnsi"/>
        </w:rPr>
        <w:t>Thus</w:t>
      </w:r>
      <w:proofErr w:type="gramEnd"/>
      <w:r w:rsidRPr="007C5FD5">
        <w:rPr>
          <w:rFonts w:cstheme="minorHAnsi"/>
        </w:rPr>
        <w:t xml:space="preserve"> the </w:t>
      </w:r>
      <w:r w:rsidR="008D3B4C" w:rsidRPr="007C5FD5">
        <w:rPr>
          <w:rFonts w:cstheme="minorHAnsi"/>
        </w:rPr>
        <w:t>c</w:t>
      </w:r>
      <w:r w:rsidRPr="007C5FD5">
        <w:rPr>
          <w:rFonts w:cstheme="minorHAnsi"/>
        </w:rPr>
        <w:t xml:space="preserve">ourt equated personal information </w:t>
      </w:r>
      <w:r w:rsidR="0027767A" w:rsidRPr="007C5FD5">
        <w:rPr>
          <w:rFonts w:cstheme="minorHAnsi"/>
        </w:rPr>
        <w:t>with</w:t>
      </w:r>
      <w:r w:rsidRPr="007C5FD5">
        <w:rPr>
          <w:rFonts w:cstheme="minorHAnsi"/>
        </w:rPr>
        <w:t xml:space="preserve"> a type of</w:t>
      </w:r>
      <w:r w:rsidR="00C336D5" w:rsidRPr="007C5FD5">
        <w:rPr>
          <w:rFonts w:cstheme="minorHAnsi"/>
        </w:rPr>
        <w:t xml:space="preserve"> ownership</w:t>
      </w:r>
      <w:r w:rsidR="00D35180" w:rsidRPr="007C5FD5">
        <w:rPr>
          <w:rFonts w:cstheme="minorHAnsi"/>
        </w:rPr>
        <w:t>; it</w:t>
      </w:r>
      <w:r w:rsidR="0027767A" w:rsidRPr="007C5FD5">
        <w:rPr>
          <w:rFonts w:cstheme="minorHAnsi"/>
        </w:rPr>
        <w:t xml:space="preserve"> </w:t>
      </w:r>
      <w:r w:rsidR="00C336D5" w:rsidRPr="007C5FD5">
        <w:rPr>
          <w:rFonts w:cstheme="minorHAnsi"/>
        </w:rPr>
        <w:t xml:space="preserve">used </w:t>
      </w:r>
      <w:r w:rsidR="003948CE" w:rsidRPr="007C5FD5">
        <w:rPr>
          <w:rFonts w:cstheme="minorHAnsi"/>
        </w:rPr>
        <w:t xml:space="preserve">the concept of </w:t>
      </w:r>
      <w:r w:rsidR="0027767A" w:rsidRPr="007C5FD5">
        <w:rPr>
          <w:rFonts w:cstheme="minorHAnsi"/>
        </w:rPr>
        <w:t xml:space="preserve">property </w:t>
      </w:r>
      <w:r w:rsidR="00451DDF" w:rsidRPr="007C5FD5">
        <w:rPr>
          <w:rFonts w:cstheme="minorHAnsi"/>
        </w:rPr>
        <w:t xml:space="preserve">which is </w:t>
      </w:r>
      <w:r w:rsidR="00F739D4" w:rsidRPr="007C5FD5">
        <w:rPr>
          <w:rFonts w:cstheme="minorHAnsi"/>
        </w:rPr>
        <w:t>a familiar tool</w:t>
      </w:r>
      <w:r w:rsidR="00C06B23" w:rsidRPr="007C5FD5">
        <w:rPr>
          <w:rFonts w:cstheme="minorHAnsi"/>
        </w:rPr>
        <w:t xml:space="preserve"> for</w:t>
      </w:r>
      <w:r w:rsidR="00DF214E" w:rsidRPr="007C5FD5">
        <w:rPr>
          <w:rFonts w:cstheme="minorHAnsi"/>
        </w:rPr>
        <w:t xml:space="preserve"> </w:t>
      </w:r>
      <w:r w:rsidR="00C06B23" w:rsidRPr="007C5FD5">
        <w:rPr>
          <w:rFonts w:cstheme="minorHAnsi"/>
        </w:rPr>
        <w:t>conferring</w:t>
      </w:r>
      <w:r w:rsidR="00A15F58" w:rsidRPr="007C5FD5">
        <w:rPr>
          <w:rFonts w:cstheme="minorHAnsi"/>
        </w:rPr>
        <w:t xml:space="preserve"> control</w:t>
      </w:r>
      <w:r w:rsidRPr="007C5FD5">
        <w:rPr>
          <w:rFonts w:cstheme="minorHAnsi"/>
        </w:rPr>
        <w:t xml:space="preserve"> </w:t>
      </w:r>
      <w:r w:rsidR="00580B0C" w:rsidRPr="007C5FD5">
        <w:rPr>
          <w:rFonts w:cstheme="minorHAnsi"/>
        </w:rPr>
        <w:t xml:space="preserve">over a subject-matter </w:t>
      </w:r>
      <w:r w:rsidRPr="007C5FD5">
        <w:rPr>
          <w:rFonts w:cstheme="minorHAnsi"/>
        </w:rPr>
        <w:t xml:space="preserve">to confer control over </w:t>
      </w:r>
      <w:r w:rsidR="00A15F58" w:rsidRPr="007C5FD5">
        <w:rPr>
          <w:rFonts w:cstheme="minorHAnsi"/>
        </w:rPr>
        <w:t>personal</w:t>
      </w:r>
      <w:r w:rsidRPr="007C5FD5">
        <w:rPr>
          <w:rFonts w:cstheme="minorHAnsi"/>
        </w:rPr>
        <w:t xml:space="preserve"> </w:t>
      </w:r>
      <w:r w:rsidR="00C727BA" w:rsidRPr="007C5FD5">
        <w:rPr>
          <w:rFonts w:cstheme="minorHAnsi"/>
        </w:rPr>
        <w:t>information</w:t>
      </w:r>
      <w:r w:rsidRPr="007C5FD5">
        <w:rPr>
          <w:rFonts w:cstheme="minorHAnsi"/>
        </w:rPr>
        <w:t>.</w:t>
      </w:r>
      <w:r w:rsidR="00E041EE" w:rsidRPr="007C5FD5">
        <w:rPr>
          <w:rFonts w:cstheme="minorHAnsi"/>
        </w:rPr>
        <w:t xml:space="preserve"> </w:t>
      </w:r>
      <w:r w:rsidR="00127D5A" w:rsidRPr="007C5FD5">
        <w:rPr>
          <w:rFonts w:cstheme="minorHAnsi"/>
        </w:rPr>
        <w:t>By the same token</w:t>
      </w:r>
      <w:r w:rsidR="00265DA3" w:rsidRPr="007C5FD5">
        <w:rPr>
          <w:rFonts w:cstheme="minorHAnsi"/>
        </w:rPr>
        <w:t>, i</w:t>
      </w:r>
      <w:r w:rsidR="00A72E9E" w:rsidRPr="007C5FD5">
        <w:rPr>
          <w:rFonts w:cstheme="minorHAnsi"/>
        </w:rPr>
        <w:t>n</w:t>
      </w:r>
      <w:r w:rsidR="00311151" w:rsidRPr="007C5FD5">
        <w:rPr>
          <w:rFonts w:cstheme="minorHAnsi"/>
        </w:rPr>
        <w:t xml:space="preserve"> the</w:t>
      </w:r>
      <w:r w:rsidR="00F5207D" w:rsidRPr="007C5FD5">
        <w:rPr>
          <w:rFonts w:cstheme="minorHAnsi"/>
        </w:rPr>
        <w:t>ir</w:t>
      </w:r>
      <w:r w:rsidR="00311151" w:rsidRPr="007C5FD5">
        <w:rPr>
          <w:rFonts w:cstheme="minorHAnsi"/>
        </w:rPr>
        <w:t xml:space="preserve"> seminal article on ‘The Right to Privacy’ </w:t>
      </w:r>
      <w:r w:rsidR="000D3ACB" w:rsidRPr="007C5FD5">
        <w:rPr>
          <w:rFonts w:cstheme="minorHAnsi"/>
        </w:rPr>
        <w:t>(1890)</w:t>
      </w:r>
      <w:r w:rsidR="00161201" w:rsidRPr="007C5FD5">
        <w:rPr>
          <w:rStyle w:val="FootnoteReference"/>
          <w:rFonts w:cstheme="minorHAnsi"/>
        </w:rPr>
        <w:footnoteReference w:id="86"/>
      </w:r>
      <w:r w:rsidR="00161201" w:rsidRPr="007C5FD5">
        <w:rPr>
          <w:rFonts w:cstheme="minorHAnsi"/>
        </w:rPr>
        <w:t xml:space="preserve"> </w:t>
      </w:r>
      <w:r w:rsidR="00F5207D" w:rsidRPr="007C5FD5">
        <w:rPr>
          <w:rFonts w:cstheme="minorHAnsi"/>
        </w:rPr>
        <w:t xml:space="preserve">Samuel Warren and Louis Brandeis </w:t>
      </w:r>
      <w:r w:rsidR="00380C0F" w:rsidRPr="007C5FD5">
        <w:rPr>
          <w:rFonts w:cstheme="minorHAnsi"/>
        </w:rPr>
        <w:t>argue</w:t>
      </w:r>
      <w:r w:rsidR="00A72E9E" w:rsidRPr="007C5FD5">
        <w:rPr>
          <w:rFonts w:cstheme="minorHAnsi"/>
        </w:rPr>
        <w:t>d that the</w:t>
      </w:r>
      <w:r w:rsidR="00311151" w:rsidRPr="007C5FD5">
        <w:rPr>
          <w:rFonts w:cstheme="minorHAnsi"/>
        </w:rPr>
        <w:t xml:space="preserve"> continental European</w:t>
      </w:r>
      <w:r w:rsidR="0027652B" w:rsidRPr="007C5FD5">
        <w:rPr>
          <w:rFonts w:cstheme="minorHAnsi"/>
        </w:rPr>
        <w:t xml:space="preserve"> </w:t>
      </w:r>
      <w:r w:rsidR="008D3B4C" w:rsidRPr="007C5FD5">
        <w:rPr>
          <w:rFonts w:cstheme="minorHAnsi"/>
        </w:rPr>
        <w:t xml:space="preserve">type </w:t>
      </w:r>
      <w:r w:rsidR="00A72E9E" w:rsidRPr="007C5FD5">
        <w:rPr>
          <w:rFonts w:cstheme="minorHAnsi"/>
        </w:rPr>
        <w:t xml:space="preserve">right to </w:t>
      </w:r>
      <w:r w:rsidR="00F5207D" w:rsidRPr="007C5FD5">
        <w:rPr>
          <w:rFonts w:cstheme="minorHAnsi"/>
        </w:rPr>
        <w:t>privacy</w:t>
      </w:r>
      <w:r w:rsidR="00161201" w:rsidRPr="007C5FD5">
        <w:rPr>
          <w:rStyle w:val="FootnoteReference"/>
          <w:rFonts w:cstheme="minorHAnsi"/>
        </w:rPr>
        <w:footnoteReference w:id="87"/>
      </w:r>
      <w:r w:rsidR="00161201" w:rsidRPr="007C5FD5">
        <w:rPr>
          <w:rFonts w:cstheme="minorHAnsi"/>
        </w:rPr>
        <w:t xml:space="preserve"> </w:t>
      </w:r>
      <w:r w:rsidR="00A72E9E" w:rsidRPr="007C5FD5">
        <w:rPr>
          <w:rFonts w:cstheme="minorHAnsi"/>
        </w:rPr>
        <w:t xml:space="preserve">had </w:t>
      </w:r>
      <w:r w:rsidR="00380C0F" w:rsidRPr="007C5FD5">
        <w:rPr>
          <w:rFonts w:cstheme="minorHAnsi"/>
        </w:rPr>
        <w:t>also f</w:t>
      </w:r>
      <w:r w:rsidR="00A72E9E" w:rsidRPr="007C5FD5">
        <w:rPr>
          <w:rFonts w:cstheme="minorHAnsi"/>
        </w:rPr>
        <w:t xml:space="preserve">ound its ways into the common law to </w:t>
      </w:r>
      <w:r w:rsidR="00161201" w:rsidRPr="007C5FD5">
        <w:rPr>
          <w:rFonts w:cstheme="minorHAnsi"/>
        </w:rPr>
        <w:t>protect ‘the right to one’s personality’</w:t>
      </w:r>
      <w:r w:rsidR="00161201" w:rsidRPr="007C5FD5">
        <w:rPr>
          <w:rStyle w:val="FootnoteReference"/>
          <w:rFonts w:cstheme="minorHAnsi"/>
        </w:rPr>
        <w:footnoteReference w:id="88"/>
      </w:r>
      <w:r w:rsidR="00161201" w:rsidRPr="007C5FD5">
        <w:rPr>
          <w:rFonts w:cstheme="minorHAnsi"/>
        </w:rPr>
        <w:t xml:space="preserve"> in contradistinction to the protection</w:t>
      </w:r>
      <w:r w:rsidR="006D6417" w:rsidRPr="007C5FD5">
        <w:rPr>
          <w:rFonts w:cstheme="minorHAnsi"/>
        </w:rPr>
        <w:t xml:space="preserve"> afforded by</w:t>
      </w:r>
      <w:r w:rsidR="00161201" w:rsidRPr="007C5FD5">
        <w:rPr>
          <w:rFonts w:cstheme="minorHAnsi"/>
        </w:rPr>
        <w:t xml:space="preserve"> </w:t>
      </w:r>
      <w:r w:rsidR="00DF214E" w:rsidRPr="007C5FD5">
        <w:rPr>
          <w:rFonts w:cstheme="minorHAnsi"/>
        </w:rPr>
        <w:t xml:space="preserve">the concept of </w:t>
      </w:r>
      <w:r w:rsidR="00161201" w:rsidRPr="007C5FD5">
        <w:rPr>
          <w:rFonts w:cstheme="minorHAnsi"/>
        </w:rPr>
        <w:t>property</w:t>
      </w:r>
      <w:r w:rsidR="00A72E9E" w:rsidRPr="007C5FD5">
        <w:rPr>
          <w:rFonts w:cstheme="minorHAnsi"/>
        </w:rPr>
        <w:t>.</w:t>
      </w:r>
      <w:r w:rsidR="00161201" w:rsidRPr="007C5FD5">
        <w:rPr>
          <w:rStyle w:val="FootnoteReference"/>
          <w:rFonts w:cstheme="minorHAnsi"/>
        </w:rPr>
        <w:footnoteReference w:id="89"/>
      </w:r>
      <w:r w:rsidR="00DF214E" w:rsidRPr="007C5FD5">
        <w:rPr>
          <w:rFonts w:cstheme="minorHAnsi"/>
        </w:rPr>
        <w:t xml:space="preserve"> </w:t>
      </w:r>
      <w:r w:rsidR="00C06B23" w:rsidRPr="007C5FD5">
        <w:rPr>
          <w:rFonts w:cstheme="minorHAnsi"/>
        </w:rPr>
        <w:t>Yet, in</w:t>
      </w:r>
      <w:r w:rsidR="0027652B" w:rsidRPr="007C5FD5">
        <w:rPr>
          <w:rFonts w:cstheme="minorHAnsi"/>
        </w:rPr>
        <w:t xml:space="preserve"> light </w:t>
      </w:r>
      <w:r w:rsidR="00A72E9E" w:rsidRPr="007C5FD5">
        <w:rPr>
          <w:rFonts w:cstheme="minorHAnsi"/>
        </w:rPr>
        <w:t>of</w:t>
      </w:r>
      <w:r w:rsidR="00EA7595" w:rsidRPr="007C5FD5">
        <w:rPr>
          <w:rFonts w:cstheme="minorHAnsi"/>
        </w:rPr>
        <w:t xml:space="preserve"> the</w:t>
      </w:r>
      <w:r w:rsidR="00A72E9E" w:rsidRPr="007C5FD5">
        <w:rPr>
          <w:rFonts w:cstheme="minorHAnsi"/>
        </w:rPr>
        <w:t xml:space="preserve"> common law on the duty of confidence</w:t>
      </w:r>
      <w:r w:rsidR="00F739D4" w:rsidRPr="007C5FD5">
        <w:rPr>
          <w:rFonts w:cstheme="minorHAnsi"/>
        </w:rPr>
        <w:t xml:space="preserve"> at the time</w:t>
      </w:r>
      <w:r w:rsidR="00A72E9E" w:rsidRPr="007C5FD5">
        <w:rPr>
          <w:rFonts w:cstheme="minorHAnsi"/>
        </w:rPr>
        <w:t>, they</w:t>
      </w:r>
      <w:r w:rsidR="00DF214E" w:rsidRPr="007C5FD5">
        <w:rPr>
          <w:rFonts w:cstheme="minorHAnsi"/>
        </w:rPr>
        <w:t xml:space="preserve"> conceded that ‘[</w:t>
      </w:r>
      <w:proofErr w:type="spellStart"/>
      <w:r w:rsidR="00DF214E" w:rsidRPr="007C5FD5">
        <w:rPr>
          <w:rFonts w:cstheme="minorHAnsi"/>
        </w:rPr>
        <w:t>i</w:t>
      </w:r>
      <w:proofErr w:type="spellEnd"/>
      <w:r w:rsidR="00DF214E" w:rsidRPr="007C5FD5">
        <w:rPr>
          <w:rFonts w:cstheme="minorHAnsi"/>
        </w:rPr>
        <w:t>]f the fiction of property in a narrow sense must be preserved, it is still true that the end accomplished by the gossip-monger is attained by the use of that which is another’s, the fact relating to his private life…’</w:t>
      </w:r>
      <w:r w:rsidR="00DF214E" w:rsidRPr="007C5FD5">
        <w:rPr>
          <w:rStyle w:val="FootnoteReference"/>
          <w:rFonts w:cstheme="minorHAnsi"/>
        </w:rPr>
        <w:footnoteReference w:id="90"/>
      </w:r>
      <w:r w:rsidR="00157E2F" w:rsidRPr="007C5FD5">
        <w:rPr>
          <w:rFonts w:cstheme="minorHAnsi"/>
        </w:rPr>
        <w:t xml:space="preserve"> </w:t>
      </w:r>
      <w:r w:rsidR="00C336D5" w:rsidRPr="007C5FD5">
        <w:rPr>
          <w:rFonts w:cstheme="minorHAnsi"/>
        </w:rPr>
        <w:t>T</w:t>
      </w:r>
      <w:r w:rsidR="00C06B23" w:rsidRPr="007C5FD5">
        <w:rPr>
          <w:rFonts w:cstheme="minorHAnsi"/>
        </w:rPr>
        <w:t>he</w:t>
      </w:r>
      <w:r w:rsidR="00F739D4" w:rsidRPr="007C5FD5">
        <w:rPr>
          <w:rFonts w:cstheme="minorHAnsi"/>
        </w:rPr>
        <w:t>y</w:t>
      </w:r>
      <w:r w:rsidR="00D82999" w:rsidRPr="00D82999">
        <w:rPr>
          <w:rFonts w:cstheme="minorHAnsi"/>
        </w:rPr>
        <w:t xml:space="preserve"> </w:t>
      </w:r>
      <w:r w:rsidR="00D82999" w:rsidRPr="007C5FD5">
        <w:rPr>
          <w:rFonts w:cstheme="minorHAnsi"/>
        </w:rPr>
        <w:t>concluded</w:t>
      </w:r>
      <w:r w:rsidR="00743151">
        <w:rPr>
          <w:rFonts w:cstheme="minorHAnsi"/>
        </w:rPr>
        <w:t xml:space="preserve"> </w:t>
      </w:r>
      <w:r w:rsidR="00580B0C" w:rsidRPr="007C5FD5">
        <w:rPr>
          <w:rFonts w:cstheme="minorHAnsi"/>
        </w:rPr>
        <w:t xml:space="preserve">that the principle underlying </w:t>
      </w:r>
      <w:r w:rsidR="002B2316" w:rsidRPr="007C5FD5">
        <w:rPr>
          <w:rFonts w:cstheme="minorHAnsi"/>
        </w:rPr>
        <w:t xml:space="preserve">the </w:t>
      </w:r>
      <w:r w:rsidR="00580B0C" w:rsidRPr="007C5FD5">
        <w:rPr>
          <w:rFonts w:cstheme="minorHAnsi"/>
        </w:rPr>
        <w:t xml:space="preserve">rights </w:t>
      </w:r>
      <w:r w:rsidR="002B2316" w:rsidRPr="007C5FD5">
        <w:rPr>
          <w:rFonts w:cstheme="minorHAnsi"/>
        </w:rPr>
        <w:t>that</w:t>
      </w:r>
      <w:r w:rsidR="00580B0C" w:rsidRPr="007C5FD5">
        <w:rPr>
          <w:rFonts w:cstheme="minorHAnsi"/>
        </w:rPr>
        <w:t xml:space="preserve"> protect</w:t>
      </w:r>
      <w:r w:rsidR="002B2316" w:rsidRPr="007C5FD5">
        <w:rPr>
          <w:rFonts w:cstheme="minorHAnsi"/>
        </w:rPr>
        <w:t>ed</w:t>
      </w:r>
      <w:r w:rsidR="00580B0C" w:rsidRPr="007C5FD5">
        <w:rPr>
          <w:rFonts w:cstheme="minorHAnsi"/>
        </w:rPr>
        <w:t xml:space="preserve"> privacy is ‘in reality not the principle of private property, unless that word be used in an extended and unusual sense.’</w:t>
      </w:r>
      <w:r w:rsidR="00580B0C" w:rsidRPr="007C5FD5">
        <w:rPr>
          <w:rStyle w:val="FootnoteReference"/>
          <w:rFonts w:cstheme="minorHAnsi"/>
        </w:rPr>
        <w:footnoteReference w:id="91"/>
      </w:r>
      <w:r w:rsidR="0077085B" w:rsidRPr="007C5FD5">
        <w:rPr>
          <w:rFonts w:cstheme="minorHAnsi"/>
        </w:rPr>
        <w:t xml:space="preserve"> </w:t>
      </w:r>
    </w:p>
    <w:p w14:paraId="370F4776" w14:textId="7A49F03C" w:rsidR="002B2316" w:rsidRPr="007C5FD5" w:rsidRDefault="002B2316" w:rsidP="00FD77D8">
      <w:pPr>
        <w:spacing w:after="0" w:line="240" w:lineRule="auto"/>
        <w:jc w:val="both"/>
        <w:rPr>
          <w:rFonts w:cstheme="minorHAnsi"/>
        </w:rPr>
      </w:pPr>
    </w:p>
    <w:p w14:paraId="689A617A" w14:textId="7A583298" w:rsidR="00C56C7D" w:rsidRPr="007C5FD5" w:rsidRDefault="003948CE" w:rsidP="00FD77D8">
      <w:pPr>
        <w:spacing w:after="0" w:line="240" w:lineRule="auto"/>
        <w:jc w:val="both"/>
        <w:rPr>
          <w:rFonts w:eastAsia="Times New Roman" w:cstheme="minorHAnsi"/>
          <w:lang w:eastAsia="en-GB"/>
        </w:rPr>
      </w:pPr>
      <w:r w:rsidRPr="007C5FD5">
        <w:rPr>
          <w:rFonts w:cstheme="minorHAnsi"/>
        </w:rPr>
        <w:t>Privacy as property commodif</w:t>
      </w:r>
      <w:r w:rsidR="00EF6BB8" w:rsidRPr="007C5FD5">
        <w:rPr>
          <w:rFonts w:cstheme="minorHAnsi"/>
        </w:rPr>
        <w:t>ies</w:t>
      </w:r>
      <w:r w:rsidRPr="007C5FD5">
        <w:rPr>
          <w:rFonts w:cstheme="minorHAnsi"/>
        </w:rPr>
        <w:t xml:space="preserve"> – with varying strength depending on</w:t>
      </w:r>
      <w:r w:rsidR="00146B61" w:rsidRPr="007C5FD5">
        <w:rPr>
          <w:rFonts w:cstheme="minorHAnsi"/>
        </w:rPr>
        <w:t xml:space="preserve"> the</w:t>
      </w:r>
      <w:r w:rsidRPr="007C5FD5">
        <w:rPr>
          <w:rFonts w:cstheme="minorHAnsi"/>
        </w:rPr>
        <w:t xml:space="preserve"> </w:t>
      </w:r>
      <w:r w:rsidR="00324688" w:rsidRPr="007C5FD5">
        <w:rPr>
          <w:rFonts w:cstheme="minorHAnsi"/>
        </w:rPr>
        <w:t>narrow or wide</w:t>
      </w:r>
      <w:r w:rsidRPr="007C5FD5">
        <w:rPr>
          <w:rFonts w:cstheme="minorHAnsi"/>
        </w:rPr>
        <w:t xml:space="preserve"> version –</w:t>
      </w:r>
      <w:r w:rsidR="00F36324" w:rsidRPr="007C5FD5">
        <w:rPr>
          <w:rFonts w:cstheme="minorHAnsi"/>
        </w:rPr>
        <w:t xml:space="preserve"> </w:t>
      </w:r>
      <w:r w:rsidR="00E96074" w:rsidRPr="007C5FD5">
        <w:rPr>
          <w:rFonts w:cstheme="minorHAnsi"/>
        </w:rPr>
        <w:t>confiden</w:t>
      </w:r>
      <w:r w:rsidR="00F36324" w:rsidRPr="007C5FD5">
        <w:rPr>
          <w:rFonts w:cstheme="minorHAnsi"/>
        </w:rPr>
        <w:t>ces</w:t>
      </w:r>
      <w:r w:rsidR="00E96074" w:rsidRPr="007C5FD5">
        <w:rPr>
          <w:rFonts w:cstheme="minorHAnsi"/>
        </w:rPr>
        <w:t xml:space="preserve"> </w:t>
      </w:r>
      <w:r w:rsidR="00A43178" w:rsidRPr="007C5FD5">
        <w:rPr>
          <w:rFonts w:cstheme="minorHAnsi"/>
        </w:rPr>
        <w:t>and</w:t>
      </w:r>
      <w:r w:rsidR="001C446D" w:rsidRPr="007C5FD5">
        <w:rPr>
          <w:rFonts w:cstheme="minorHAnsi"/>
        </w:rPr>
        <w:t xml:space="preserve"> </w:t>
      </w:r>
      <w:r w:rsidRPr="007C5FD5">
        <w:rPr>
          <w:rFonts w:cstheme="minorHAnsi"/>
        </w:rPr>
        <w:t>personal information</w:t>
      </w:r>
      <w:r w:rsidR="001C446D" w:rsidRPr="007C5FD5">
        <w:rPr>
          <w:rFonts w:cstheme="minorHAnsi"/>
        </w:rPr>
        <w:t xml:space="preserve"> generally</w:t>
      </w:r>
      <w:r w:rsidRPr="007C5FD5">
        <w:rPr>
          <w:rFonts w:cstheme="minorHAnsi"/>
        </w:rPr>
        <w:t xml:space="preserve">. In </w:t>
      </w:r>
      <w:r w:rsidR="007F39E4" w:rsidRPr="007C5FD5">
        <w:rPr>
          <w:rFonts w:cstheme="minorHAnsi"/>
        </w:rPr>
        <w:t>the case of</w:t>
      </w:r>
      <w:r w:rsidR="002B2316" w:rsidRPr="007C5FD5">
        <w:rPr>
          <w:rFonts w:cstheme="minorHAnsi"/>
        </w:rPr>
        <w:t xml:space="preserve"> medical confidences</w:t>
      </w:r>
      <w:r w:rsidR="007F39E4" w:rsidRPr="007C5FD5">
        <w:rPr>
          <w:rFonts w:cstheme="minorHAnsi"/>
        </w:rPr>
        <w:t xml:space="preserve"> </w:t>
      </w:r>
      <w:r w:rsidR="004F79ED" w:rsidRPr="007C5FD5">
        <w:rPr>
          <w:rFonts w:cstheme="minorHAnsi"/>
        </w:rPr>
        <w:t xml:space="preserve">it </w:t>
      </w:r>
      <w:r w:rsidR="00603F38" w:rsidRPr="007C5FD5">
        <w:rPr>
          <w:rFonts w:cstheme="minorHAnsi"/>
        </w:rPr>
        <w:t>commodif</w:t>
      </w:r>
      <w:r w:rsidR="004F79ED" w:rsidRPr="007C5FD5">
        <w:rPr>
          <w:rFonts w:cstheme="minorHAnsi"/>
        </w:rPr>
        <w:t>ies</w:t>
      </w:r>
      <w:r w:rsidR="00D74FDD" w:rsidRPr="007C5FD5">
        <w:rPr>
          <w:rFonts w:cstheme="minorHAnsi"/>
        </w:rPr>
        <w:t>,</w:t>
      </w:r>
      <w:r w:rsidR="00A43178" w:rsidRPr="007C5FD5">
        <w:rPr>
          <w:rFonts w:cstheme="minorHAnsi"/>
        </w:rPr>
        <w:t xml:space="preserve"> or</w:t>
      </w:r>
      <w:r w:rsidR="00317B5F" w:rsidRPr="007C5FD5">
        <w:rPr>
          <w:rFonts w:cstheme="minorHAnsi"/>
        </w:rPr>
        <w:t xml:space="preserve"> put</w:t>
      </w:r>
      <w:r w:rsidR="004F79ED" w:rsidRPr="007C5FD5">
        <w:rPr>
          <w:rFonts w:cstheme="minorHAnsi"/>
        </w:rPr>
        <w:t>s</w:t>
      </w:r>
      <w:r w:rsidR="00B8047C" w:rsidRPr="007C5FD5">
        <w:rPr>
          <w:rFonts w:cstheme="minorHAnsi"/>
        </w:rPr>
        <w:t xml:space="preserve"> </w:t>
      </w:r>
      <w:r w:rsidR="00317B5F" w:rsidRPr="007C5FD5">
        <w:rPr>
          <w:rFonts w:cstheme="minorHAnsi"/>
        </w:rPr>
        <w:t xml:space="preserve">a </w:t>
      </w:r>
      <w:r w:rsidR="003A5094" w:rsidRPr="007C5FD5">
        <w:rPr>
          <w:rFonts w:cstheme="minorHAnsi"/>
        </w:rPr>
        <w:t xml:space="preserve">price tag </w:t>
      </w:r>
      <w:r w:rsidR="00317B5F" w:rsidRPr="007C5FD5">
        <w:rPr>
          <w:rFonts w:cstheme="minorHAnsi"/>
        </w:rPr>
        <w:t>on</w:t>
      </w:r>
      <w:r w:rsidR="00D74FDD" w:rsidRPr="007C5FD5">
        <w:rPr>
          <w:rFonts w:cstheme="minorHAnsi"/>
        </w:rPr>
        <w:t>,</w:t>
      </w:r>
      <w:r w:rsidR="00317B5F" w:rsidRPr="007C5FD5">
        <w:rPr>
          <w:rFonts w:cstheme="minorHAnsi"/>
        </w:rPr>
        <w:t xml:space="preserve"> </w:t>
      </w:r>
      <w:r w:rsidR="00F83BA2" w:rsidRPr="007C5FD5">
        <w:rPr>
          <w:rFonts w:cstheme="minorHAnsi"/>
        </w:rPr>
        <w:t>the disclosure</w:t>
      </w:r>
      <w:r w:rsidR="00E03092" w:rsidRPr="007C5FD5">
        <w:rPr>
          <w:rFonts w:cstheme="minorHAnsi"/>
        </w:rPr>
        <w:t xml:space="preserve"> of physical and mental vulnerabilities, </w:t>
      </w:r>
      <w:proofErr w:type="gramStart"/>
      <w:r w:rsidR="00E03092" w:rsidRPr="007C5FD5">
        <w:rPr>
          <w:rFonts w:cstheme="minorHAnsi"/>
        </w:rPr>
        <w:t>infirmities</w:t>
      </w:r>
      <w:proofErr w:type="gramEnd"/>
      <w:r w:rsidR="00E03092" w:rsidRPr="007C5FD5">
        <w:rPr>
          <w:rFonts w:cstheme="minorHAnsi"/>
        </w:rPr>
        <w:t xml:space="preserve"> and suffering</w:t>
      </w:r>
      <w:r w:rsidR="00F84D42" w:rsidRPr="007C5FD5">
        <w:rPr>
          <w:rFonts w:cstheme="minorHAnsi"/>
        </w:rPr>
        <w:t>.</w:t>
      </w:r>
      <w:r w:rsidR="00D74FDD" w:rsidRPr="007C5FD5">
        <w:rPr>
          <w:rFonts w:cstheme="minorHAnsi"/>
        </w:rPr>
        <w:t xml:space="preserve"> I</w:t>
      </w:r>
      <w:r w:rsidR="002061BD" w:rsidRPr="007C5FD5">
        <w:rPr>
          <w:rFonts w:cstheme="minorHAnsi"/>
        </w:rPr>
        <w:t>n that se</w:t>
      </w:r>
      <w:r w:rsidR="00E03092" w:rsidRPr="007C5FD5">
        <w:rPr>
          <w:rFonts w:cstheme="minorHAnsi"/>
        </w:rPr>
        <w:t>nse, m</w:t>
      </w:r>
      <w:r w:rsidR="007A53C0" w:rsidRPr="007C5FD5">
        <w:rPr>
          <w:rFonts w:cstheme="minorHAnsi"/>
        </w:rPr>
        <w:t>edical confidences</w:t>
      </w:r>
      <w:r w:rsidR="00C336D5" w:rsidRPr="007C5FD5">
        <w:rPr>
          <w:rFonts w:cstheme="minorHAnsi"/>
        </w:rPr>
        <w:t xml:space="preserve"> </w:t>
      </w:r>
      <w:r w:rsidR="007F594C" w:rsidRPr="007C5FD5">
        <w:rPr>
          <w:rFonts w:cstheme="minorHAnsi"/>
        </w:rPr>
        <w:t>intensify</w:t>
      </w:r>
      <w:r w:rsidR="007A53C0" w:rsidRPr="007C5FD5">
        <w:rPr>
          <w:rFonts w:cstheme="minorHAnsi"/>
        </w:rPr>
        <w:t xml:space="preserve"> the </w:t>
      </w:r>
      <w:r w:rsidR="00D35180" w:rsidRPr="007C5FD5">
        <w:rPr>
          <w:rFonts w:cstheme="minorHAnsi"/>
        </w:rPr>
        <w:t>counterintuitive</w:t>
      </w:r>
      <w:r w:rsidR="00D747B6" w:rsidRPr="007C5FD5">
        <w:rPr>
          <w:rFonts w:cstheme="minorHAnsi"/>
        </w:rPr>
        <w:t xml:space="preserve"> </w:t>
      </w:r>
      <w:r w:rsidR="007A53C0" w:rsidRPr="007C5FD5">
        <w:rPr>
          <w:rFonts w:cstheme="minorHAnsi"/>
        </w:rPr>
        <w:t>dimensions of constructing privacy as property</w:t>
      </w:r>
      <w:r w:rsidR="004F79ED" w:rsidRPr="007C5FD5">
        <w:rPr>
          <w:rFonts w:cstheme="minorHAnsi"/>
        </w:rPr>
        <w:t>.</w:t>
      </w:r>
      <w:r w:rsidR="00603F38" w:rsidRPr="007C5FD5">
        <w:rPr>
          <w:rStyle w:val="FootnoteReference"/>
          <w:rFonts w:cstheme="minorHAnsi"/>
        </w:rPr>
        <w:footnoteReference w:id="92"/>
      </w:r>
      <w:r w:rsidR="00EC1B1F" w:rsidRPr="007C5FD5">
        <w:rPr>
          <w:rFonts w:cstheme="minorHAnsi"/>
        </w:rPr>
        <w:t xml:space="preserve"> </w:t>
      </w:r>
      <w:r w:rsidR="007524D8" w:rsidRPr="007C5FD5">
        <w:rPr>
          <w:rFonts w:cstheme="minorHAnsi"/>
        </w:rPr>
        <w:t>Through</w:t>
      </w:r>
      <w:r w:rsidRPr="007C5FD5">
        <w:rPr>
          <w:rFonts w:cstheme="minorHAnsi"/>
        </w:rPr>
        <w:t xml:space="preserve"> such </w:t>
      </w:r>
      <w:r w:rsidR="007524D8" w:rsidRPr="007C5FD5">
        <w:rPr>
          <w:rFonts w:cstheme="minorHAnsi"/>
        </w:rPr>
        <w:t xml:space="preserve">a </w:t>
      </w:r>
      <w:r w:rsidR="00BC6C05" w:rsidRPr="007C5FD5">
        <w:rPr>
          <w:rFonts w:cstheme="minorHAnsi"/>
        </w:rPr>
        <w:t xml:space="preserve">proprietary </w:t>
      </w:r>
      <w:r w:rsidRPr="007C5FD5">
        <w:rPr>
          <w:rFonts w:cstheme="minorHAnsi"/>
        </w:rPr>
        <w:t xml:space="preserve">construction, the </w:t>
      </w:r>
      <w:r w:rsidR="004F79ED" w:rsidRPr="007C5FD5">
        <w:rPr>
          <w:rFonts w:cstheme="minorHAnsi"/>
        </w:rPr>
        <w:t>law</w:t>
      </w:r>
      <w:r w:rsidRPr="007C5FD5">
        <w:rPr>
          <w:rFonts w:cstheme="minorHAnsi"/>
        </w:rPr>
        <w:t xml:space="preserve"> </w:t>
      </w:r>
      <w:r w:rsidR="00BC6C05" w:rsidRPr="007C5FD5">
        <w:rPr>
          <w:rFonts w:cstheme="minorHAnsi"/>
        </w:rPr>
        <w:t xml:space="preserve">follows </w:t>
      </w:r>
      <w:r w:rsidR="00380C0F" w:rsidRPr="007C5FD5">
        <w:rPr>
          <w:rFonts w:cstheme="minorHAnsi"/>
        </w:rPr>
        <w:t>the</w:t>
      </w:r>
      <w:r w:rsidR="004F79ED" w:rsidRPr="007C5FD5">
        <w:rPr>
          <w:rFonts w:cstheme="minorHAnsi"/>
        </w:rPr>
        <w:t xml:space="preserve"> market </w:t>
      </w:r>
      <w:r w:rsidR="00380C0F" w:rsidRPr="007C5FD5">
        <w:rPr>
          <w:rFonts w:cstheme="minorHAnsi"/>
        </w:rPr>
        <w:t>in</w:t>
      </w:r>
      <w:r w:rsidR="00472990" w:rsidRPr="007C5FD5">
        <w:rPr>
          <w:rFonts w:cstheme="minorHAnsi"/>
        </w:rPr>
        <w:t xml:space="preserve"> </w:t>
      </w:r>
      <w:r w:rsidR="001B29D3" w:rsidRPr="007C5FD5">
        <w:rPr>
          <w:rFonts w:cstheme="minorHAnsi"/>
        </w:rPr>
        <w:t xml:space="preserve">trading in </w:t>
      </w:r>
      <w:r w:rsidR="004F79ED" w:rsidRPr="007C5FD5">
        <w:rPr>
          <w:rFonts w:cstheme="minorHAnsi"/>
        </w:rPr>
        <w:t xml:space="preserve">privacies with </w:t>
      </w:r>
      <w:r w:rsidR="00F36324" w:rsidRPr="007C5FD5">
        <w:rPr>
          <w:rFonts w:cstheme="minorHAnsi"/>
        </w:rPr>
        <w:t>all its</w:t>
      </w:r>
      <w:r w:rsidR="004F79ED" w:rsidRPr="007C5FD5">
        <w:rPr>
          <w:rFonts w:cstheme="minorHAnsi"/>
        </w:rPr>
        <w:t xml:space="preserve"> attendant </w:t>
      </w:r>
      <w:r w:rsidR="005A0C22" w:rsidRPr="007C5FD5">
        <w:rPr>
          <w:rFonts w:cstheme="minorHAnsi"/>
        </w:rPr>
        <w:t>inequalit</w:t>
      </w:r>
      <w:r w:rsidR="00603F38" w:rsidRPr="007C5FD5">
        <w:rPr>
          <w:rFonts w:cstheme="minorHAnsi"/>
        </w:rPr>
        <w:t>ies</w:t>
      </w:r>
      <w:r w:rsidR="00306416" w:rsidRPr="007C5FD5">
        <w:rPr>
          <w:rFonts w:cstheme="minorHAnsi"/>
        </w:rPr>
        <w:t xml:space="preserve">. </w:t>
      </w:r>
      <w:r w:rsidR="00D35180" w:rsidRPr="007C5FD5">
        <w:rPr>
          <w:rFonts w:cstheme="minorHAnsi"/>
        </w:rPr>
        <w:t>The</w:t>
      </w:r>
      <w:r w:rsidR="00B053D3" w:rsidRPr="007C5FD5">
        <w:rPr>
          <w:rFonts w:cstheme="minorHAnsi"/>
        </w:rPr>
        <w:t xml:space="preserve"> </w:t>
      </w:r>
      <w:r w:rsidR="007524D8" w:rsidRPr="007C5FD5">
        <w:rPr>
          <w:rFonts w:cstheme="minorHAnsi"/>
        </w:rPr>
        <w:t>medical confiden</w:t>
      </w:r>
      <w:r w:rsidR="00472990" w:rsidRPr="007C5FD5">
        <w:rPr>
          <w:rFonts w:cstheme="minorHAnsi"/>
        </w:rPr>
        <w:t>ces</w:t>
      </w:r>
      <w:r w:rsidR="007524D8" w:rsidRPr="007C5FD5">
        <w:rPr>
          <w:rFonts w:cstheme="minorHAnsi"/>
        </w:rPr>
        <w:t xml:space="preserve"> </w:t>
      </w:r>
      <w:r w:rsidR="00B053D3" w:rsidRPr="007C5FD5">
        <w:rPr>
          <w:rFonts w:cstheme="minorHAnsi"/>
        </w:rPr>
        <w:t>of</w:t>
      </w:r>
      <w:r w:rsidR="007524D8" w:rsidRPr="007C5FD5">
        <w:rPr>
          <w:rFonts w:cstheme="minorHAnsi"/>
        </w:rPr>
        <w:t xml:space="preserve"> President</w:t>
      </w:r>
      <w:r w:rsidR="00B053D3" w:rsidRPr="007C5FD5">
        <w:rPr>
          <w:rFonts w:cstheme="minorHAnsi"/>
        </w:rPr>
        <w:t xml:space="preserve"> </w:t>
      </w:r>
      <w:r w:rsidR="00317B5F" w:rsidRPr="007C5FD5">
        <w:rPr>
          <w:rFonts w:cstheme="minorHAnsi"/>
        </w:rPr>
        <w:t xml:space="preserve">Mitterrand and King George III </w:t>
      </w:r>
      <w:r w:rsidR="00570AF9" w:rsidRPr="007C5FD5">
        <w:rPr>
          <w:rFonts w:cstheme="minorHAnsi"/>
        </w:rPr>
        <w:t>were</w:t>
      </w:r>
      <w:r w:rsidR="007524D8" w:rsidRPr="007C5FD5">
        <w:rPr>
          <w:rFonts w:cstheme="minorHAnsi"/>
        </w:rPr>
        <w:t xml:space="preserve"> (post-mortem)</w:t>
      </w:r>
      <w:r w:rsidR="00D35180" w:rsidRPr="007C5FD5">
        <w:rPr>
          <w:rFonts w:cstheme="minorHAnsi"/>
        </w:rPr>
        <w:t xml:space="preserve"> </w:t>
      </w:r>
      <w:r w:rsidR="00570AF9" w:rsidRPr="007C5FD5">
        <w:rPr>
          <w:rFonts w:cstheme="minorHAnsi"/>
        </w:rPr>
        <w:t>highly priced</w:t>
      </w:r>
      <w:r w:rsidR="00D35180" w:rsidRPr="007C5FD5">
        <w:rPr>
          <w:rFonts w:cstheme="minorHAnsi"/>
        </w:rPr>
        <w:t xml:space="preserve"> and</w:t>
      </w:r>
      <w:r w:rsidR="007524D8" w:rsidRPr="007C5FD5">
        <w:rPr>
          <w:rFonts w:cstheme="minorHAnsi"/>
        </w:rPr>
        <w:t xml:space="preserve"> in both cases protected against the tide of prior legal authority; and in the case of President Mitterrand even against his ante-mortem consent</w:t>
      </w:r>
      <w:r w:rsidR="001B29D3" w:rsidRPr="007C5FD5">
        <w:rPr>
          <w:rFonts w:cstheme="minorHAnsi"/>
        </w:rPr>
        <w:t xml:space="preserve">, </w:t>
      </w:r>
      <w:r w:rsidR="009814BF" w:rsidRPr="007C5FD5">
        <w:rPr>
          <w:rFonts w:cstheme="minorHAnsi"/>
        </w:rPr>
        <w:t>which</w:t>
      </w:r>
      <w:r w:rsidR="003D2A9F" w:rsidRPr="007C5FD5">
        <w:rPr>
          <w:rFonts w:cstheme="minorHAnsi"/>
        </w:rPr>
        <w:t xml:space="preserve"> had the effect of</w:t>
      </w:r>
      <w:r w:rsidR="009814BF" w:rsidRPr="007C5FD5">
        <w:rPr>
          <w:rFonts w:cstheme="minorHAnsi"/>
        </w:rPr>
        <w:t xml:space="preserve"> </w:t>
      </w:r>
      <w:r w:rsidR="00CA2145" w:rsidRPr="007C5FD5">
        <w:rPr>
          <w:rFonts w:cstheme="minorHAnsi"/>
        </w:rPr>
        <w:t>preserv</w:t>
      </w:r>
      <w:r w:rsidR="003D2A9F" w:rsidRPr="007C5FD5">
        <w:rPr>
          <w:rFonts w:cstheme="minorHAnsi"/>
        </w:rPr>
        <w:t>ing</w:t>
      </w:r>
      <w:r w:rsidR="00CA2145" w:rsidRPr="007C5FD5">
        <w:rPr>
          <w:rFonts w:cstheme="minorHAnsi"/>
        </w:rPr>
        <w:t xml:space="preserve"> </w:t>
      </w:r>
      <w:r w:rsidR="0022387F" w:rsidRPr="007C5FD5">
        <w:rPr>
          <w:rFonts w:cstheme="minorHAnsi"/>
        </w:rPr>
        <w:t>their</w:t>
      </w:r>
      <w:r w:rsidR="00CA2145" w:rsidRPr="007C5FD5">
        <w:rPr>
          <w:rFonts w:cstheme="minorHAnsi"/>
        </w:rPr>
        <w:t xml:space="preserve"> price</w:t>
      </w:r>
      <w:r w:rsidR="005F45A4" w:rsidRPr="007C5FD5">
        <w:rPr>
          <w:rFonts w:cstheme="minorHAnsi"/>
        </w:rPr>
        <w:t xml:space="preserve"> and </w:t>
      </w:r>
      <w:r w:rsidR="007F594C" w:rsidRPr="007C5FD5">
        <w:rPr>
          <w:rFonts w:cstheme="minorHAnsi"/>
        </w:rPr>
        <w:t xml:space="preserve">the </w:t>
      </w:r>
      <w:r w:rsidR="005F45A4" w:rsidRPr="007C5FD5">
        <w:rPr>
          <w:rFonts w:cstheme="minorHAnsi"/>
        </w:rPr>
        <w:t>distribution of the profits already made.</w:t>
      </w:r>
      <w:r w:rsidR="007524D8" w:rsidRPr="007C5FD5">
        <w:rPr>
          <w:rStyle w:val="FootnoteReference"/>
          <w:rFonts w:cstheme="minorHAnsi"/>
        </w:rPr>
        <w:footnoteReference w:id="93"/>
      </w:r>
      <w:r w:rsidR="0022387F" w:rsidRPr="007C5FD5">
        <w:rPr>
          <w:rFonts w:cstheme="minorHAnsi"/>
        </w:rPr>
        <w:t xml:space="preserve"> </w:t>
      </w:r>
      <w:r w:rsidR="007524D8" w:rsidRPr="007C5FD5">
        <w:rPr>
          <w:rFonts w:cstheme="minorHAnsi"/>
        </w:rPr>
        <w:t>Meanwhile the</w:t>
      </w:r>
      <w:r w:rsidR="00EC1B1F" w:rsidRPr="007C5FD5">
        <w:rPr>
          <w:rFonts w:cstheme="minorHAnsi"/>
        </w:rPr>
        <w:t xml:space="preserve"> </w:t>
      </w:r>
      <w:r w:rsidR="00570AF9" w:rsidRPr="007C5FD5">
        <w:rPr>
          <w:rFonts w:cstheme="minorHAnsi"/>
        </w:rPr>
        <w:t>afflictions of ordinary individuals</w:t>
      </w:r>
      <w:r w:rsidR="00306416" w:rsidRPr="007C5FD5">
        <w:rPr>
          <w:rFonts w:cstheme="minorHAnsi"/>
        </w:rPr>
        <w:t xml:space="preserve"> </w:t>
      </w:r>
      <w:r w:rsidR="004F79ED" w:rsidRPr="007C5FD5">
        <w:rPr>
          <w:rFonts w:cstheme="minorHAnsi"/>
        </w:rPr>
        <w:t>are</w:t>
      </w:r>
      <w:r w:rsidR="00570AF9" w:rsidRPr="007C5FD5">
        <w:rPr>
          <w:rFonts w:cstheme="minorHAnsi"/>
        </w:rPr>
        <w:t xml:space="preserve"> commodities </w:t>
      </w:r>
      <w:r w:rsidR="00E96074" w:rsidRPr="007C5FD5">
        <w:rPr>
          <w:rFonts w:cstheme="minorHAnsi"/>
        </w:rPr>
        <w:t xml:space="preserve">of </w:t>
      </w:r>
      <w:r w:rsidR="0052470C" w:rsidRPr="007C5FD5">
        <w:rPr>
          <w:rFonts w:cstheme="minorHAnsi"/>
        </w:rPr>
        <w:t>little</w:t>
      </w:r>
      <w:r w:rsidR="00CA2145" w:rsidRPr="007C5FD5">
        <w:rPr>
          <w:rFonts w:cstheme="minorHAnsi"/>
        </w:rPr>
        <w:t xml:space="preserve"> (individual)</w:t>
      </w:r>
      <w:r w:rsidR="0052470C" w:rsidRPr="007C5FD5">
        <w:rPr>
          <w:rFonts w:cstheme="minorHAnsi"/>
        </w:rPr>
        <w:t xml:space="preserve"> </w:t>
      </w:r>
      <w:r w:rsidR="00570AF9" w:rsidRPr="007C5FD5">
        <w:rPr>
          <w:rFonts w:cstheme="minorHAnsi"/>
        </w:rPr>
        <w:t>value</w:t>
      </w:r>
      <w:r w:rsidR="0052470C" w:rsidRPr="007C5FD5">
        <w:rPr>
          <w:rFonts w:cstheme="minorHAnsi"/>
        </w:rPr>
        <w:t xml:space="preserve"> in</w:t>
      </w:r>
      <w:r w:rsidR="00570AF9" w:rsidRPr="007C5FD5">
        <w:rPr>
          <w:rFonts w:cstheme="minorHAnsi"/>
        </w:rPr>
        <w:t xml:space="preserve"> the market</w:t>
      </w:r>
      <w:r w:rsidR="00306416" w:rsidRPr="007C5FD5">
        <w:rPr>
          <w:rFonts w:cstheme="minorHAnsi"/>
        </w:rPr>
        <w:t>plac</w:t>
      </w:r>
      <w:r w:rsidR="00CA2145" w:rsidRPr="007C5FD5">
        <w:rPr>
          <w:rFonts w:cstheme="minorHAnsi"/>
        </w:rPr>
        <w:t>e</w:t>
      </w:r>
      <w:r w:rsidR="00ED13FB" w:rsidRPr="007C5FD5">
        <w:rPr>
          <w:rFonts w:cstheme="minorHAnsi"/>
        </w:rPr>
        <w:t xml:space="preserve">, </w:t>
      </w:r>
      <w:r w:rsidR="009814BF" w:rsidRPr="007C5FD5">
        <w:rPr>
          <w:rFonts w:cstheme="minorHAnsi"/>
        </w:rPr>
        <w:t xml:space="preserve">and </w:t>
      </w:r>
      <w:r w:rsidR="00ED13FB" w:rsidRPr="007C5FD5">
        <w:rPr>
          <w:rFonts w:cstheme="minorHAnsi"/>
        </w:rPr>
        <w:t>as</w:t>
      </w:r>
      <w:r w:rsidR="00D747B6" w:rsidRPr="007C5FD5">
        <w:rPr>
          <w:rFonts w:cstheme="minorHAnsi"/>
        </w:rPr>
        <w:t xml:space="preserve"> </w:t>
      </w:r>
      <w:r w:rsidR="009814BF" w:rsidRPr="007C5FD5">
        <w:rPr>
          <w:rFonts w:cstheme="minorHAnsi"/>
        </w:rPr>
        <w:t>devalued</w:t>
      </w:r>
      <w:r w:rsidR="00D747B6" w:rsidRPr="007C5FD5">
        <w:rPr>
          <w:rFonts w:cstheme="minorHAnsi"/>
        </w:rPr>
        <w:t xml:space="preserve"> </w:t>
      </w:r>
      <w:r w:rsidR="007A53C0" w:rsidRPr="007C5FD5">
        <w:rPr>
          <w:rFonts w:cstheme="minorHAnsi"/>
        </w:rPr>
        <w:t xml:space="preserve">goods </w:t>
      </w:r>
      <w:r w:rsidR="00380C0F" w:rsidRPr="007C5FD5">
        <w:rPr>
          <w:rFonts w:cstheme="minorHAnsi"/>
        </w:rPr>
        <w:t>a</w:t>
      </w:r>
      <w:r w:rsidR="00472990" w:rsidRPr="007C5FD5">
        <w:rPr>
          <w:rFonts w:cstheme="minorHAnsi"/>
        </w:rPr>
        <w:t xml:space="preserve">lso </w:t>
      </w:r>
      <w:r w:rsidR="007524D8" w:rsidRPr="007C5FD5">
        <w:rPr>
          <w:rFonts w:cstheme="minorHAnsi"/>
        </w:rPr>
        <w:t>more</w:t>
      </w:r>
      <w:r w:rsidR="00E96074" w:rsidRPr="007C5FD5">
        <w:rPr>
          <w:rFonts w:cstheme="minorHAnsi"/>
        </w:rPr>
        <w:t xml:space="preserve"> readily </w:t>
      </w:r>
      <w:r w:rsidR="00BC6C05" w:rsidRPr="007C5FD5">
        <w:rPr>
          <w:rFonts w:cstheme="minorHAnsi"/>
        </w:rPr>
        <w:t>alienated</w:t>
      </w:r>
      <w:r w:rsidR="00EF6BB8" w:rsidRPr="007C5FD5">
        <w:rPr>
          <w:rFonts w:cstheme="minorHAnsi"/>
        </w:rPr>
        <w:t xml:space="preserve">, </w:t>
      </w:r>
      <w:r w:rsidR="002A3040" w:rsidRPr="007C5FD5">
        <w:rPr>
          <w:rFonts w:cstheme="minorHAnsi"/>
        </w:rPr>
        <w:t xml:space="preserve">pre- </w:t>
      </w:r>
      <w:r w:rsidR="00257E56" w:rsidRPr="007C5FD5">
        <w:rPr>
          <w:rFonts w:cstheme="minorHAnsi"/>
        </w:rPr>
        <w:t>or</w:t>
      </w:r>
      <w:r w:rsidR="00EF6BB8" w:rsidRPr="007C5FD5">
        <w:rPr>
          <w:rFonts w:cstheme="minorHAnsi"/>
        </w:rPr>
        <w:t xml:space="preserve"> post-mortem</w:t>
      </w:r>
      <w:r w:rsidR="008D3B4C" w:rsidRPr="007C5FD5">
        <w:rPr>
          <w:rFonts w:cstheme="minorHAnsi"/>
        </w:rPr>
        <w:t>.</w:t>
      </w:r>
      <w:r w:rsidR="00EC1B1F" w:rsidRPr="007C5FD5">
        <w:rPr>
          <w:rStyle w:val="FootnoteReference"/>
          <w:rFonts w:cstheme="minorHAnsi"/>
        </w:rPr>
        <w:footnoteReference w:id="94"/>
      </w:r>
      <w:r w:rsidR="007524D8" w:rsidRPr="007C5FD5">
        <w:rPr>
          <w:rFonts w:cstheme="minorHAnsi"/>
        </w:rPr>
        <w:t xml:space="preserve"> </w:t>
      </w:r>
      <w:r w:rsidR="001B29D3" w:rsidRPr="007C5FD5">
        <w:rPr>
          <w:rFonts w:cstheme="minorHAnsi"/>
        </w:rPr>
        <w:t>Such</w:t>
      </w:r>
      <w:r w:rsidR="001C446D" w:rsidRPr="007C5FD5">
        <w:rPr>
          <w:rFonts w:cstheme="minorHAnsi"/>
        </w:rPr>
        <w:t xml:space="preserve"> relatively</w:t>
      </w:r>
      <w:r w:rsidR="00472990" w:rsidRPr="007C5FD5">
        <w:rPr>
          <w:rFonts w:cstheme="minorHAnsi"/>
        </w:rPr>
        <w:t xml:space="preserve"> </w:t>
      </w:r>
      <w:r w:rsidR="00EF6BB8" w:rsidRPr="007C5FD5">
        <w:rPr>
          <w:rFonts w:cstheme="minorHAnsi"/>
        </w:rPr>
        <w:t xml:space="preserve">easy </w:t>
      </w:r>
      <w:r w:rsidR="001B29D3" w:rsidRPr="007C5FD5">
        <w:rPr>
          <w:rFonts w:cstheme="minorHAnsi"/>
        </w:rPr>
        <w:t>alienation</w:t>
      </w:r>
      <w:r w:rsidR="00472990" w:rsidRPr="007C5FD5">
        <w:rPr>
          <w:rFonts w:cstheme="minorHAnsi"/>
        </w:rPr>
        <w:t xml:space="preserve"> occurs</w:t>
      </w:r>
      <w:r w:rsidR="008D3B4C" w:rsidRPr="007C5FD5">
        <w:rPr>
          <w:rFonts w:cstheme="minorHAnsi"/>
        </w:rPr>
        <w:t xml:space="preserve"> online</w:t>
      </w:r>
      <w:r w:rsidR="002A3040" w:rsidRPr="007C5FD5">
        <w:rPr>
          <w:rFonts w:cstheme="minorHAnsi"/>
        </w:rPr>
        <w:t xml:space="preserve"> </w:t>
      </w:r>
      <w:r w:rsidR="0022387F" w:rsidRPr="007C5FD5">
        <w:rPr>
          <w:rFonts w:cstheme="minorHAnsi"/>
        </w:rPr>
        <w:t xml:space="preserve">through </w:t>
      </w:r>
      <w:r w:rsidR="00E53CD4" w:rsidRPr="007C5FD5">
        <w:rPr>
          <w:rFonts w:cstheme="minorHAnsi"/>
        </w:rPr>
        <w:t xml:space="preserve">a </w:t>
      </w:r>
      <w:r w:rsidR="0022387F" w:rsidRPr="007C5FD5">
        <w:rPr>
          <w:rFonts w:cstheme="minorHAnsi"/>
        </w:rPr>
        <w:t>click of a privacy notice</w:t>
      </w:r>
      <w:r w:rsidR="008D3B4C" w:rsidRPr="007C5FD5">
        <w:rPr>
          <w:rFonts w:cstheme="minorHAnsi"/>
        </w:rPr>
        <w:t>, as</w:t>
      </w:r>
      <w:r w:rsidR="0022387F" w:rsidRPr="007C5FD5">
        <w:rPr>
          <w:rFonts w:cstheme="minorHAnsi"/>
        </w:rPr>
        <w:t xml:space="preserve"> legally accommodated</w:t>
      </w:r>
      <w:r w:rsidR="00F84D42" w:rsidRPr="007C5FD5">
        <w:rPr>
          <w:rFonts w:cstheme="minorHAnsi"/>
        </w:rPr>
        <w:t xml:space="preserve"> in the EU </w:t>
      </w:r>
      <w:r w:rsidR="007F594C" w:rsidRPr="007C5FD5">
        <w:rPr>
          <w:rFonts w:cstheme="minorHAnsi"/>
        </w:rPr>
        <w:t xml:space="preserve">through </w:t>
      </w:r>
      <w:r w:rsidR="001B29D3" w:rsidRPr="007C5FD5">
        <w:rPr>
          <w:rFonts w:cstheme="minorHAnsi"/>
        </w:rPr>
        <w:t>Art 9</w:t>
      </w:r>
      <w:r w:rsidR="00472990" w:rsidRPr="007C5FD5">
        <w:rPr>
          <w:rFonts w:cstheme="minorHAnsi"/>
        </w:rPr>
        <w:t xml:space="preserve"> </w:t>
      </w:r>
      <w:r w:rsidR="001B29D3" w:rsidRPr="007C5FD5">
        <w:rPr>
          <w:rFonts w:cstheme="minorHAnsi"/>
        </w:rPr>
        <w:t>of the GDP</w:t>
      </w:r>
      <w:r w:rsidR="00F84D42" w:rsidRPr="007C5FD5">
        <w:rPr>
          <w:rFonts w:cstheme="minorHAnsi"/>
        </w:rPr>
        <w:t>R</w:t>
      </w:r>
      <w:r w:rsidR="001B29D3" w:rsidRPr="007C5FD5">
        <w:rPr>
          <w:rFonts w:cstheme="minorHAnsi"/>
        </w:rPr>
        <w:t xml:space="preserve"> </w:t>
      </w:r>
      <w:r w:rsidR="00472990" w:rsidRPr="007C5FD5">
        <w:rPr>
          <w:rFonts w:cstheme="minorHAnsi"/>
        </w:rPr>
        <w:t xml:space="preserve">which, in emphasis, </w:t>
      </w:r>
      <w:r w:rsidR="00A43178" w:rsidRPr="007C5FD5">
        <w:rPr>
          <w:rFonts w:cstheme="minorHAnsi"/>
        </w:rPr>
        <w:t>appears</w:t>
      </w:r>
      <w:r w:rsidR="0022387F" w:rsidRPr="007C5FD5">
        <w:rPr>
          <w:rFonts w:cstheme="minorHAnsi"/>
        </w:rPr>
        <w:t xml:space="preserve"> </w:t>
      </w:r>
      <w:r w:rsidR="00472990" w:rsidRPr="007C5FD5">
        <w:rPr>
          <w:rFonts w:cstheme="minorHAnsi"/>
        </w:rPr>
        <w:t>more concerned with facilitating the</w:t>
      </w:r>
      <w:r w:rsidR="001B29D3" w:rsidRPr="007C5FD5">
        <w:rPr>
          <w:rFonts w:cstheme="minorHAnsi"/>
        </w:rPr>
        <w:t xml:space="preserve"> </w:t>
      </w:r>
      <w:r w:rsidR="00257E56" w:rsidRPr="007C5FD5">
        <w:rPr>
          <w:rFonts w:cstheme="minorHAnsi"/>
        </w:rPr>
        <w:t>use</w:t>
      </w:r>
      <w:r w:rsidR="001B29D3" w:rsidRPr="007C5FD5">
        <w:rPr>
          <w:rFonts w:cstheme="minorHAnsi"/>
        </w:rPr>
        <w:t xml:space="preserve"> of sensitive personal data, including ‘data concerning health’</w:t>
      </w:r>
      <w:r w:rsidR="00472990" w:rsidRPr="007C5FD5">
        <w:rPr>
          <w:rFonts w:cstheme="minorHAnsi"/>
        </w:rPr>
        <w:t>,</w:t>
      </w:r>
      <w:r w:rsidR="003A10D0" w:rsidRPr="007C5FD5">
        <w:rPr>
          <w:rFonts w:cstheme="minorHAnsi"/>
        </w:rPr>
        <w:t xml:space="preserve"> </w:t>
      </w:r>
      <w:r w:rsidR="00E53CD4" w:rsidRPr="007C5FD5">
        <w:rPr>
          <w:rFonts w:cstheme="minorHAnsi"/>
        </w:rPr>
        <w:t>t</w:t>
      </w:r>
      <w:r w:rsidR="00472990" w:rsidRPr="007C5FD5">
        <w:rPr>
          <w:rFonts w:cstheme="minorHAnsi"/>
        </w:rPr>
        <w:t>han maintaining its non-disclosure</w:t>
      </w:r>
      <w:r w:rsidR="001B29D3" w:rsidRPr="007C5FD5">
        <w:rPr>
          <w:rFonts w:cstheme="minorHAnsi"/>
        </w:rPr>
        <w:t>.</w:t>
      </w:r>
      <w:r w:rsidR="002A3040" w:rsidRPr="007C5FD5">
        <w:rPr>
          <w:rFonts w:cstheme="minorHAnsi"/>
        </w:rPr>
        <w:t xml:space="preserve"> A</w:t>
      </w:r>
      <w:r w:rsidR="009F0856" w:rsidRPr="007C5FD5">
        <w:rPr>
          <w:rFonts w:cstheme="minorHAnsi"/>
        </w:rPr>
        <w:t xml:space="preserve"> </w:t>
      </w:r>
      <w:r w:rsidR="00D747B6" w:rsidRPr="007C5FD5">
        <w:rPr>
          <w:rFonts w:cstheme="minorHAnsi"/>
        </w:rPr>
        <w:t>proprietary</w:t>
      </w:r>
      <w:r w:rsidR="009F0856" w:rsidRPr="007C5FD5">
        <w:rPr>
          <w:rFonts w:cstheme="minorHAnsi"/>
        </w:rPr>
        <w:t xml:space="preserve"> right </w:t>
      </w:r>
      <w:r w:rsidR="00D747B6" w:rsidRPr="007C5FD5">
        <w:rPr>
          <w:rFonts w:cstheme="minorHAnsi"/>
        </w:rPr>
        <w:t>to privacy</w:t>
      </w:r>
      <w:r w:rsidR="009F0856" w:rsidRPr="007C5FD5">
        <w:rPr>
          <w:rFonts w:cstheme="minorHAnsi"/>
        </w:rPr>
        <w:t xml:space="preserve"> </w:t>
      </w:r>
      <w:r w:rsidR="002A3040" w:rsidRPr="007C5FD5">
        <w:rPr>
          <w:rFonts w:cstheme="minorHAnsi"/>
        </w:rPr>
        <w:t xml:space="preserve">also </w:t>
      </w:r>
      <w:r w:rsidR="009F0856" w:rsidRPr="007C5FD5">
        <w:rPr>
          <w:rFonts w:cstheme="minorHAnsi"/>
        </w:rPr>
        <w:t>means that</w:t>
      </w:r>
      <w:r w:rsidR="00A43178" w:rsidRPr="007C5FD5">
        <w:rPr>
          <w:rFonts w:cstheme="minorHAnsi"/>
        </w:rPr>
        <w:t xml:space="preserve"> at the</w:t>
      </w:r>
      <w:r w:rsidR="00F84D42" w:rsidRPr="007C5FD5">
        <w:rPr>
          <w:rFonts w:cstheme="minorHAnsi"/>
        </w:rPr>
        <w:t xml:space="preserve"> post-mortem </w:t>
      </w:r>
      <w:r w:rsidR="00A43178" w:rsidRPr="007C5FD5">
        <w:rPr>
          <w:rFonts w:cstheme="minorHAnsi"/>
        </w:rPr>
        <w:t xml:space="preserve">stage </w:t>
      </w:r>
      <w:r w:rsidR="00A53571" w:rsidRPr="007C5FD5">
        <w:rPr>
          <w:rFonts w:cstheme="minorHAnsi"/>
        </w:rPr>
        <w:t>the</w:t>
      </w:r>
      <w:r w:rsidR="00F84D42" w:rsidRPr="007C5FD5">
        <w:rPr>
          <w:rFonts w:cstheme="minorHAnsi"/>
        </w:rPr>
        <w:t xml:space="preserve"> </w:t>
      </w:r>
      <w:r w:rsidR="00127D5A" w:rsidRPr="007C5FD5">
        <w:rPr>
          <w:rFonts w:cstheme="minorHAnsi"/>
        </w:rPr>
        <w:t xml:space="preserve">new </w:t>
      </w:r>
      <w:r w:rsidR="00A53571" w:rsidRPr="007C5FD5">
        <w:rPr>
          <w:rFonts w:cstheme="minorHAnsi"/>
        </w:rPr>
        <w:t>owner</w:t>
      </w:r>
      <w:r w:rsidR="001D0EA0" w:rsidRPr="007C5FD5">
        <w:rPr>
          <w:rFonts w:cstheme="minorHAnsi"/>
        </w:rPr>
        <w:t>s</w:t>
      </w:r>
      <w:r w:rsidR="00F84D42" w:rsidRPr="007C5FD5">
        <w:rPr>
          <w:rFonts w:cstheme="minorHAnsi"/>
        </w:rPr>
        <w:t xml:space="preserve"> of the confidentialities</w:t>
      </w:r>
      <w:r w:rsidR="001D0EA0" w:rsidRPr="007C5FD5">
        <w:rPr>
          <w:rFonts w:cstheme="minorHAnsi"/>
        </w:rPr>
        <w:t xml:space="preserve"> </w:t>
      </w:r>
      <w:r w:rsidR="00F84D42" w:rsidRPr="007C5FD5">
        <w:rPr>
          <w:rFonts w:cstheme="minorHAnsi"/>
        </w:rPr>
        <w:t>ought to be</w:t>
      </w:r>
      <w:r w:rsidR="00A53571" w:rsidRPr="007C5FD5">
        <w:rPr>
          <w:rFonts w:cstheme="minorHAnsi"/>
        </w:rPr>
        <w:t xml:space="preserve"> </w:t>
      </w:r>
      <w:r w:rsidR="005C01D3" w:rsidRPr="007C5FD5">
        <w:rPr>
          <w:rFonts w:cstheme="minorHAnsi"/>
        </w:rPr>
        <w:lastRenderedPageBreak/>
        <w:t xml:space="preserve">at liberty to sell off </w:t>
      </w:r>
      <w:r w:rsidR="008D3B4C" w:rsidRPr="007C5FD5">
        <w:rPr>
          <w:rFonts w:cstheme="minorHAnsi"/>
        </w:rPr>
        <w:t>‘</w:t>
      </w:r>
      <w:r w:rsidR="005C01D3" w:rsidRPr="007C5FD5">
        <w:rPr>
          <w:rFonts w:cstheme="minorHAnsi"/>
        </w:rPr>
        <w:t xml:space="preserve">valuable’ </w:t>
      </w:r>
      <w:r w:rsidR="009F0856" w:rsidRPr="007C5FD5">
        <w:rPr>
          <w:rFonts w:cstheme="minorHAnsi"/>
        </w:rPr>
        <w:t>ones</w:t>
      </w:r>
      <w:r w:rsidR="00F84D42" w:rsidRPr="007C5FD5">
        <w:rPr>
          <w:rFonts w:cstheme="minorHAnsi"/>
        </w:rPr>
        <w:t>.</w:t>
      </w:r>
      <w:r w:rsidR="001B29D3" w:rsidRPr="007C5FD5">
        <w:rPr>
          <w:rStyle w:val="FootnoteReference"/>
          <w:rFonts w:cstheme="minorHAnsi"/>
        </w:rPr>
        <w:footnoteReference w:id="95"/>
      </w:r>
      <w:r w:rsidR="001C446D" w:rsidRPr="007C5FD5">
        <w:rPr>
          <w:rFonts w:cstheme="minorHAnsi"/>
        </w:rPr>
        <w:t xml:space="preserve"> </w:t>
      </w:r>
      <w:r w:rsidR="00F84D42" w:rsidRPr="007C5FD5">
        <w:rPr>
          <w:rFonts w:cstheme="minorHAnsi"/>
        </w:rPr>
        <w:t>Alienability</w:t>
      </w:r>
      <w:r w:rsidR="00497CB1" w:rsidRPr="007C5FD5">
        <w:rPr>
          <w:rFonts w:cstheme="minorHAnsi"/>
        </w:rPr>
        <w:t xml:space="preserve"> </w:t>
      </w:r>
      <w:r w:rsidR="00F84D42" w:rsidRPr="007C5FD5">
        <w:rPr>
          <w:rFonts w:cstheme="minorHAnsi"/>
        </w:rPr>
        <w:t>is after all constitutive of property, its essential characteristic, and thus necessarily imported into any proprietary construction of privacy.</w:t>
      </w:r>
      <w:r w:rsidR="00F84D42" w:rsidRPr="007C5FD5">
        <w:rPr>
          <w:rStyle w:val="FootnoteReference"/>
          <w:rFonts w:cstheme="minorHAnsi"/>
        </w:rPr>
        <w:footnoteReference w:id="96"/>
      </w:r>
      <w:r w:rsidR="00F84D42" w:rsidRPr="007C5FD5">
        <w:rPr>
          <w:rFonts w:cstheme="minorHAnsi"/>
        </w:rPr>
        <w:t xml:space="preserve"> </w:t>
      </w:r>
      <w:r w:rsidR="005C7647" w:rsidRPr="007C5FD5">
        <w:rPr>
          <w:rFonts w:cstheme="minorHAnsi"/>
        </w:rPr>
        <w:t>The</w:t>
      </w:r>
      <w:r w:rsidR="00350452" w:rsidRPr="007C5FD5">
        <w:rPr>
          <w:rFonts w:cstheme="minorHAnsi"/>
        </w:rPr>
        <w:t xml:space="preserve"> </w:t>
      </w:r>
      <w:r w:rsidR="00D36976" w:rsidRPr="007C5FD5">
        <w:rPr>
          <w:rFonts w:cstheme="minorHAnsi"/>
        </w:rPr>
        <w:t>judge</w:t>
      </w:r>
      <w:r w:rsidR="00350452" w:rsidRPr="007C5FD5">
        <w:rPr>
          <w:rFonts w:cstheme="minorHAnsi"/>
        </w:rPr>
        <w:t xml:space="preserve"> in </w:t>
      </w:r>
      <w:r w:rsidR="00350452" w:rsidRPr="007C5FD5">
        <w:rPr>
          <w:rFonts w:cstheme="minorHAnsi"/>
          <w:i/>
          <w:iCs/>
        </w:rPr>
        <w:t>Lewis v Secretary of State for Health &amp; Anor</w:t>
      </w:r>
      <w:r w:rsidR="00350452" w:rsidRPr="007C5FD5">
        <w:rPr>
          <w:rFonts w:cstheme="minorHAnsi"/>
        </w:rPr>
        <w:t xml:space="preserve"> (2008) </w:t>
      </w:r>
      <w:r w:rsidR="00F84D42" w:rsidRPr="007C5FD5">
        <w:rPr>
          <w:rFonts w:cstheme="minorHAnsi"/>
        </w:rPr>
        <w:t>observed</w:t>
      </w:r>
      <w:r w:rsidR="00350452" w:rsidRPr="007C5FD5">
        <w:rPr>
          <w:rFonts w:cstheme="minorHAnsi"/>
        </w:rPr>
        <w:t xml:space="preserve"> that </w:t>
      </w:r>
      <w:r w:rsidR="00350452" w:rsidRPr="007C5FD5">
        <w:rPr>
          <w:rFonts w:eastAsia="Times New Roman" w:cstheme="minorHAnsi"/>
          <w:lang w:eastAsia="en-GB"/>
        </w:rPr>
        <w:t>‘[</w:t>
      </w:r>
      <w:proofErr w:type="spellStart"/>
      <w:r w:rsidR="00350452" w:rsidRPr="007C5FD5">
        <w:rPr>
          <w:rFonts w:eastAsia="Times New Roman" w:cstheme="minorHAnsi"/>
          <w:lang w:eastAsia="en-GB"/>
        </w:rPr>
        <w:t>i</w:t>
      </w:r>
      <w:proofErr w:type="spellEnd"/>
      <w:r w:rsidR="00350452" w:rsidRPr="007C5FD5">
        <w:rPr>
          <w:rFonts w:eastAsia="Times New Roman" w:cstheme="minorHAnsi"/>
          <w:lang w:eastAsia="en-GB"/>
        </w:rPr>
        <w:t>]f a doctor who treated a celebrity suffering from AIDS during his final illness were subsequently to sell to a newspaper intimate details which had been revealed to him by his former patient in confidence… it would seem contrary to justice that the doctor should make a windfall from his breach of his obligation</w:t>
      </w:r>
      <w:r w:rsidR="005C7647" w:rsidRPr="007C5FD5">
        <w:rPr>
          <w:rFonts w:eastAsia="Times New Roman" w:cstheme="minorHAnsi"/>
          <w:lang w:eastAsia="en-GB"/>
        </w:rPr>
        <w:t>.</w:t>
      </w:r>
      <w:r w:rsidR="00350452" w:rsidRPr="007C5FD5">
        <w:rPr>
          <w:rFonts w:eastAsia="Times New Roman" w:cstheme="minorHAnsi"/>
          <w:lang w:eastAsia="en-GB"/>
        </w:rPr>
        <w:t>’</w:t>
      </w:r>
      <w:r w:rsidR="00350452" w:rsidRPr="007C5FD5">
        <w:rPr>
          <w:rStyle w:val="FootnoteReference"/>
          <w:rFonts w:eastAsia="Times New Roman" w:cstheme="minorHAnsi"/>
          <w:lang w:eastAsia="en-GB"/>
        </w:rPr>
        <w:footnoteReference w:id="97"/>
      </w:r>
      <w:r w:rsidR="00F83BA2" w:rsidRPr="007C5FD5">
        <w:rPr>
          <w:rFonts w:eastAsia="Times New Roman" w:cstheme="minorHAnsi"/>
          <w:lang w:eastAsia="en-GB"/>
        </w:rPr>
        <w:t xml:space="preserve"> </w:t>
      </w:r>
      <w:r w:rsidR="005C7647" w:rsidRPr="007C5FD5">
        <w:rPr>
          <w:rFonts w:eastAsia="Times New Roman" w:cstheme="minorHAnsi"/>
          <w:lang w:eastAsia="en-GB"/>
        </w:rPr>
        <w:t>Yet,</w:t>
      </w:r>
      <w:r w:rsidR="00350452" w:rsidRPr="007C5FD5">
        <w:rPr>
          <w:rFonts w:eastAsia="Times New Roman" w:cstheme="minorHAnsi"/>
          <w:lang w:eastAsia="en-GB"/>
        </w:rPr>
        <w:t xml:space="preserve"> would the same </w:t>
      </w:r>
      <w:r w:rsidR="009630E3" w:rsidRPr="007C5FD5">
        <w:rPr>
          <w:rFonts w:eastAsia="Times New Roman" w:cstheme="minorHAnsi"/>
          <w:lang w:eastAsia="en-GB"/>
        </w:rPr>
        <w:t xml:space="preserve">hold for the beneficiaries </w:t>
      </w:r>
      <w:r w:rsidR="00E03092" w:rsidRPr="007C5FD5">
        <w:rPr>
          <w:rFonts w:eastAsia="Times New Roman" w:cstheme="minorHAnsi"/>
          <w:lang w:eastAsia="en-GB"/>
        </w:rPr>
        <w:t>of the</w:t>
      </w:r>
      <w:r w:rsidR="00350452" w:rsidRPr="007C5FD5">
        <w:rPr>
          <w:rFonts w:eastAsia="Times New Roman" w:cstheme="minorHAnsi"/>
          <w:lang w:eastAsia="en-GB"/>
        </w:rPr>
        <w:t xml:space="preserve"> deceased</w:t>
      </w:r>
      <w:r w:rsidR="00664B92" w:rsidRPr="007C5FD5">
        <w:rPr>
          <w:rFonts w:eastAsia="Times New Roman" w:cstheme="minorHAnsi"/>
          <w:lang w:eastAsia="en-GB"/>
        </w:rPr>
        <w:t xml:space="preserve">’s </w:t>
      </w:r>
      <w:r w:rsidR="00F84D42" w:rsidRPr="007C5FD5">
        <w:rPr>
          <w:rFonts w:eastAsia="Times New Roman" w:cstheme="minorHAnsi"/>
          <w:lang w:eastAsia="en-GB"/>
        </w:rPr>
        <w:t>confidentialities</w:t>
      </w:r>
      <w:r w:rsidR="00664B92" w:rsidRPr="007C5FD5">
        <w:rPr>
          <w:rFonts w:eastAsia="Times New Roman" w:cstheme="minorHAnsi"/>
          <w:lang w:eastAsia="en-GB"/>
        </w:rPr>
        <w:t>?</w:t>
      </w:r>
      <w:r w:rsidR="004C20D2" w:rsidRPr="007C5FD5">
        <w:rPr>
          <w:rFonts w:eastAsia="Times New Roman" w:cstheme="minorHAnsi"/>
          <w:lang w:eastAsia="en-GB"/>
        </w:rPr>
        <w:t xml:space="preserve"> </w:t>
      </w:r>
    </w:p>
    <w:p w14:paraId="7A1BE96E" w14:textId="1BD7146E" w:rsidR="00F84D42" w:rsidRPr="007C5FD5" w:rsidRDefault="00F84D42" w:rsidP="00FD77D8">
      <w:pPr>
        <w:spacing w:after="0" w:line="240" w:lineRule="auto"/>
        <w:jc w:val="both"/>
        <w:rPr>
          <w:rFonts w:eastAsia="Times New Roman" w:cstheme="minorHAnsi"/>
          <w:lang w:eastAsia="en-GB"/>
        </w:rPr>
      </w:pPr>
    </w:p>
    <w:p w14:paraId="7604A4FF" w14:textId="249CE9A2" w:rsidR="00226750" w:rsidRPr="007C5FD5" w:rsidRDefault="00427443" w:rsidP="00FD77D8">
      <w:pPr>
        <w:spacing w:after="0" w:line="240" w:lineRule="auto"/>
        <w:jc w:val="both"/>
        <w:rPr>
          <w:rFonts w:cstheme="minorHAnsi"/>
          <w:lang w:eastAsia="en-GB"/>
        </w:rPr>
      </w:pPr>
      <w:proofErr w:type="gramStart"/>
      <w:r w:rsidRPr="007C5FD5">
        <w:rPr>
          <w:rFonts w:eastAsia="Times New Roman" w:cstheme="minorHAnsi"/>
          <w:lang w:eastAsia="en-GB"/>
        </w:rPr>
        <w:t>Again</w:t>
      </w:r>
      <w:proofErr w:type="gramEnd"/>
      <w:r w:rsidRPr="007C5FD5">
        <w:rPr>
          <w:rFonts w:eastAsia="Times New Roman" w:cstheme="minorHAnsi"/>
          <w:lang w:eastAsia="en-GB"/>
        </w:rPr>
        <w:t xml:space="preserve"> </w:t>
      </w:r>
      <w:r w:rsidR="00D10FF8" w:rsidRPr="007C5FD5">
        <w:rPr>
          <w:rFonts w:eastAsia="Times New Roman" w:cstheme="minorHAnsi"/>
          <w:lang w:eastAsia="en-GB"/>
        </w:rPr>
        <w:t>German jurisprudence offers</w:t>
      </w:r>
      <w:r w:rsidR="00B826C5" w:rsidRPr="007C5FD5">
        <w:rPr>
          <w:rFonts w:eastAsia="Times New Roman" w:cstheme="minorHAnsi"/>
          <w:lang w:eastAsia="en-GB"/>
        </w:rPr>
        <w:t xml:space="preserve"> a</w:t>
      </w:r>
      <w:r w:rsidR="006172A1" w:rsidRPr="007C5FD5">
        <w:rPr>
          <w:rFonts w:eastAsia="Times New Roman" w:cstheme="minorHAnsi"/>
          <w:lang w:eastAsia="en-GB"/>
        </w:rPr>
        <w:t xml:space="preserve"> useful</w:t>
      </w:r>
      <w:r w:rsidR="001E4CEE" w:rsidRPr="007C5FD5">
        <w:rPr>
          <w:rFonts w:eastAsia="Times New Roman" w:cstheme="minorHAnsi"/>
          <w:lang w:eastAsia="en-GB"/>
        </w:rPr>
        <w:t xml:space="preserve"> </w:t>
      </w:r>
      <w:r w:rsidR="00D10FF8" w:rsidRPr="007C5FD5">
        <w:rPr>
          <w:rFonts w:eastAsia="Times New Roman" w:cstheme="minorHAnsi"/>
          <w:lang w:eastAsia="en-GB"/>
        </w:rPr>
        <w:t>commentary</w:t>
      </w:r>
      <w:r w:rsidR="000832C7" w:rsidRPr="007C5FD5">
        <w:rPr>
          <w:rFonts w:eastAsia="Times New Roman" w:cstheme="minorHAnsi"/>
          <w:lang w:eastAsia="en-GB"/>
        </w:rPr>
        <w:t xml:space="preserve"> </w:t>
      </w:r>
      <w:r w:rsidR="001E4CEE" w:rsidRPr="007C5FD5">
        <w:rPr>
          <w:rFonts w:eastAsia="Times New Roman" w:cstheme="minorHAnsi"/>
          <w:lang w:eastAsia="en-GB"/>
        </w:rPr>
        <w:t>on</w:t>
      </w:r>
      <w:r w:rsidR="00CF5C4C" w:rsidRPr="007C5FD5">
        <w:rPr>
          <w:rFonts w:eastAsia="Times New Roman" w:cstheme="minorHAnsi"/>
          <w:lang w:eastAsia="en-GB"/>
        </w:rPr>
        <w:t xml:space="preserve"> </w:t>
      </w:r>
      <w:r w:rsidR="008733BD" w:rsidRPr="007C5FD5">
        <w:rPr>
          <w:rFonts w:eastAsia="Times New Roman" w:cstheme="minorHAnsi"/>
          <w:lang w:eastAsia="en-GB"/>
        </w:rPr>
        <w:t xml:space="preserve">how </w:t>
      </w:r>
      <w:r w:rsidR="00D10FF8" w:rsidRPr="007C5FD5">
        <w:rPr>
          <w:rFonts w:eastAsia="Times New Roman" w:cstheme="minorHAnsi"/>
          <w:lang w:eastAsia="en-GB"/>
        </w:rPr>
        <w:t>privacy</w:t>
      </w:r>
      <w:r w:rsidR="001E4CEE" w:rsidRPr="007C5FD5">
        <w:rPr>
          <w:rFonts w:eastAsia="Times New Roman" w:cstheme="minorHAnsi"/>
          <w:lang w:eastAsia="en-GB"/>
        </w:rPr>
        <w:t xml:space="preserve"> as property</w:t>
      </w:r>
      <w:r w:rsidR="00D10FF8" w:rsidRPr="007C5FD5">
        <w:rPr>
          <w:rFonts w:eastAsia="Times New Roman" w:cstheme="minorHAnsi"/>
          <w:lang w:eastAsia="en-GB"/>
        </w:rPr>
        <w:t xml:space="preserve"> </w:t>
      </w:r>
      <w:r w:rsidR="003A5094" w:rsidRPr="007C5FD5">
        <w:rPr>
          <w:rFonts w:eastAsia="Times New Roman" w:cstheme="minorHAnsi"/>
          <w:lang w:eastAsia="en-GB"/>
        </w:rPr>
        <w:t xml:space="preserve">may fit </w:t>
      </w:r>
      <w:r w:rsidR="00D10FF8" w:rsidRPr="007C5FD5">
        <w:rPr>
          <w:rFonts w:eastAsia="Times New Roman" w:cstheme="minorHAnsi"/>
          <w:lang w:eastAsia="en-GB"/>
        </w:rPr>
        <w:t>within a constitutional setting that</w:t>
      </w:r>
      <w:r w:rsidR="002D1C68" w:rsidRPr="007C5FD5">
        <w:rPr>
          <w:rFonts w:eastAsia="Times New Roman" w:cstheme="minorHAnsi"/>
          <w:lang w:eastAsia="en-GB"/>
        </w:rPr>
        <w:t xml:space="preserve"> </w:t>
      </w:r>
      <w:r w:rsidR="006172A1" w:rsidRPr="007C5FD5">
        <w:rPr>
          <w:rFonts w:eastAsia="Times New Roman" w:cstheme="minorHAnsi"/>
          <w:lang w:eastAsia="en-GB"/>
        </w:rPr>
        <w:t>offers strong</w:t>
      </w:r>
      <w:r w:rsidR="00D10FF8" w:rsidRPr="007C5FD5">
        <w:rPr>
          <w:rFonts w:eastAsia="Times New Roman" w:cstheme="minorHAnsi"/>
          <w:lang w:eastAsia="en-GB"/>
        </w:rPr>
        <w:t xml:space="preserve"> </w:t>
      </w:r>
      <w:r w:rsidR="00D10FF8" w:rsidRPr="007C5FD5">
        <w:rPr>
          <w:rFonts w:cstheme="minorHAnsi"/>
        </w:rPr>
        <w:t xml:space="preserve">post-mortem </w:t>
      </w:r>
      <w:r w:rsidR="00E75322" w:rsidRPr="007C5FD5">
        <w:rPr>
          <w:rFonts w:cstheme="minorHAnsi"/>
        </w:rPr>
        <w:t xml:space="preserve">personality </w:t>
      </w:r>
      <w:r w:rsidR="00D10FF8" w:rsidRPr="007C5FD5">
        <w:rPr>
          <w:rFonts w:cstheme="minorHAnsi"/>
        </w:rPr>
        <w:t xml:space="preserve">protection. </w:t>
      </w:r>
      <w:r w:rsidR="00F00E2E" w:rsidRPr="007C5FD5">
        <w:rPr>
          <w:rFonts w:cstheme="minorHAnsi"/>
          <w:lang w:eastAsia="en-GB"/>
        </w:rPr>
        <w:t>B</w:t>
      </w:r>
      <w:r w:rsidR="003A5094" w:rsidRPr="007C5FD5">
        <w:rPr>
          <w:rFonts w:cstheme="minorHAnsi"/>
          <w:lang w:eastAsia="en-GB"/>
        </w:rPr>
        <w:t xml:space="preserve">y treating personal digital legacies as standard property, </w:t>
      </w:r>
      <w:r w:rsidR="00F00E2E" w:rsidRPr="007C5FD5">
        <w:rPr>
          <w:rFonts w:cstheme="minorHAnsi"/>
          <w:lang w:eastAsia="en-GB"/>
        </w:rPr>
        <w:t xml:space="preserve">the court </w:t>
      </w:r>
      <w:r w:rsidR="00F00E2E" w:rsidRPr="007C5FD5">
        <w:rPr>
          <w:rFonts w:cstheme="minorHAnsi"/>
        </w:rPr>
        <w:t xml:space="preserve">in </w:t>
      </w:r>
      <w:r w:rsidR="00F00E2E" w:rsidRPr="007C5FD5">
        <w:rPr>
          <w:rFonts w:cstheme="minorHAnsi"/>
          <w:i/>
          <w:iCs/>
          <w:lang w:eastAsia="en-GB"/>
        </w:rPr>
        <w:t>Digital Inheritance</w:t>
      </w:r>
      <w:r w:rsidR="00F00E2E" w:rsidRPr="007C5FD5">
        <w:rPr>
          <w:rFonts w:cstheme="minorHAnsi"/>
          <w:lang w:eastAsia="en-GB"/>
        </w:rPr>
        <w:t xml:space="preserve"> (2018) </w:t>
      </w:r>
      <w:r w:rsidR="008027FD" w:rsidRPr="007C5FD5">
        <w:rPr>
          <w:rFonts w:cstheme="minorHAnsi"/>
          <w:lang w:eastAsia="en-GB"/>
        </w:rPr>
        <w:t xml:space="preserve">applied settled principles of </w:t>
      </w:r>
      <w:r w:rsidR="003A5094" w:rsidRPr="007C5FD5">
        <w:rPr>
          <w:rFonts w:cstheme="minorHAnsi"/>
          <w:lang w:eastAsia="en-GB"/>
        </w:rPr>
        <w:t>German</w:t>
      </w:r>
      <w:r w:rsidR="008027FD" w:rsidRPr="007C5FD5">
        <w:rPr>
          <w:rFonts w:cstheme="minorHAnsi"/>
          <w:lang w:eastAsia="en-GB"/>
        </w:rPr>
        <w:t xml:space="preserve"> </w:t>
      </w:r>
      <w:r w:rsidR="00FC1438" w:rsidRPr="007C5FD5">
        <w:rPr>
          <w:rFonts w:cstheme="minorHAnsi"/>
          <w:lang w:eastAsia="en-GB"/>
        </w:rPr>
        <w:t xml:space="preserve">inheritance </w:t>
      </w:r>
      <w:r w:rsidR="008027FD" w:rsidRPr="007C5FD5">
        <w:rPr>
          <w:rFonts w:cstheme="minorHAnsi"/>
          <w:lang w:eastAsia="en-GB"/>
        </w:rPr>
        <w:t>law</w:t>
      </w:r>
      <w:r w:rsidR="009F2407" w:rsidRPr="007C5FD5">
        <w:rPr>
          <w:rFonts w:cstheme="minorHAnsi"/>
          <w:lang w:eastAsia="en-GB"/>
        </w:rPr>
        <w:t xml:space="preserve"> </w:t>
      </w:r>
      <w:r w:rsidR="003A5094" w:rsidRPr="007C5FD5">
        <w:rPr>
          <w:rFonts w:cstheme="minorHAnsi"/>
          <w:lang w:eastAsia="en-GB"/>
        </w:rPr>
        <w:t>which</w:t>
      </w:r>
      <w:r w:rsidR="00D10FF8" w:rsidRPr="007C5FD5">
        <w:rPr>
          <w:rFonts w:cstheme="minorHAnsi"/>
          <w:lang w:eastAsia="en-GB"/>
        </w:rPr>
        <w:t xml:space="preserve"> </w:t>
      </w:r>
      <w:r w:rsidR="008027FD" w:rsidRPr="007C5FD5">
        <w:rPr>
          <w:rFonts w:cstheme="minorHAnsi"/>
          <w:lang w:eastAsia="en-GB"/>
        </w:rPr>
        <w:t>draws</w:t>
      </w:r>
      <w:r w:rsidR="009F2407" w:rsidRPr="007C5FD5">
        <w:rPr>
          <w:rFonts w:cstheme="minorHAnsi"/>
          <w:lang w:eastAsia="en-GB"/>
        </w:rPr>
        <w:t xml:space="preserve"> </w:t>
      </w:r>
      <w:r w:rsidR="00D10FF8" w:rsidRPr="007C5FD5">
        <w:rPr>
          <w:rFonts w:cstheme="minorHAnsi"/>
          <w:lang w:eastAsia="en-GB"/>
        </w:rPr>
        <w:t>n</w:t>
      </w:r>
      <w:r w:rsidR="00FE3EE9">
        <w:rPr>
          <w:rFonts w:cstheme="minorHAnsi"/>
          <w:lang w:eastAsia="en-GB"/>
        </w:rPr>
        <w:t xml:space="preserve">either a </w:t>
      </w:r>
      <w:r w:rsidR="00D10FF8" w:rsidRPr="007C5FD5">
        <w:rPr>
          <w:rFonts w:cstheme="minorHAnsi"/>
          <w:lang w:eastAsia="en-GB"/>
        </w:rPr>
        <w:t>distinction between</w:t>
      </w:r>
      <w:r w:rsidR="00D70548" w:rsidRPr="007C5FD5">
        <w:rPr>
          <w:rFonts w:cstheme="minorHAnsi"/>
          <w:lang w:eastAsia="en-GB"/>
        </w:rPr>
        <w:t xml:space="preserve"> valuable and </w:t>
      </w:r>
      <w:r w:rsidR="000832C7" w:rsidRPr="007C5FD5">
        <w:rPr>
          <w:rFonts w:cstheme="minorHAnsi"/>
          <w:lang w:eastAsia="en-GB"/>
        </w:rPr>
        <w:t>p</w:t>
      </w:r>
      <w:r w:rsidR="00E81DFE" w:rsidRPr="007C5FD5">
        <w:rPr>
          <w:rFonts w:cstheme="minorHAnsi"/>
          <w:lang w:eastAsia="en-GB"/>
        </w:rPr>
        <w:t>rivate</w:t>
      </w:r>
      <w:r w:rsidR="000832C7" w:rsidRPr="007C5FD5">
        <w:rPr>
          <w:rFonts w:cstheme="minorHAnsi"/>
          <w:lang w:eastAsia="en-GB"/>
        </w:rPr>
        <w:t xml:space="preserve"> </w:t>
      </w:r>
      <w:r w:rsidR="00846158" w:rsidRPr="007C5FD5">
        <w:rPr>
          <w:rFonts w:cstheme="minorHAnsi"/>
          <w:lang w:eastAsia="en-GB"/>
        </w:rPr>
        <w:t>assets</w:t>
      </w:r>
      <w:r w:rsidR="003A5094" w:rsidRPr="007C5FD5">
        <w:rPr>
          <w:rFonts w:cstheme="minorHAnsi"/>
          <w:lang w:eastAsia="en-GB"/>
        </w:rPr>
        <w:t>,</w:t>
      </w:r>
      <w:r w:rsidR="003A5094" w:rsidRPr="007C5FD5">
        <w:rPr>
          <w:rStyle w:val="FootnoteReference"/>
          <w:rFonts w:cstheme="minorHAnsi"/>
          <w:lang w:eastAsia="en-GB"/>
        </w:rPr>
        <w:footnoteReference w:id="98"/>
      </w:r>
      <w:r w:rsidR="003A5094" w:rsidRPr="007C5FD5">
        <w:rPr>
          <w:rFonts w:cstheme="minorHAnsi"/>
          <w:lang w:eastAsia="en-GB"/>
        </w:rPr>
        <w:t xml:space="preserve"> </w:t>
      </w:r>
      <w:r w:rsidR="00FE3EE9">
        <w:rPr>
          <w:rFonts w:cstheme="minorHAnsi"/>
          <w:lang w:eastAsia="en-GB"/>
        </w:rPr>
        <w:t xml:space="preserve">nor </w:t>
      </w:r>
      <w:r w:rsidR="00846158" w:rsidRPr="007C5FD5">
        <w:rPr>
          <w:rFonts w:cstheme="minorHAnsi"/>
          <w:lang w:eastAsia="en-GB"/>
        </w:rPr>
        <w:t xml:space="preserve">between different media in which </w:t>
      </w:r>
      <w:r w:rsidR="000832C7" w:rsidRPr="007C5FD5">
        <w:rPr>
          <w:rFonts w:cstheme="minorHAnsi"/>
          <w:lang w:eastAsia="en-GB"/>
        </w:rPr>
        <w:t>such</w:t>
      </w:r>
      <w:r w:rsidR="00846158" w:rsidRPr="007C5FD5">
        <w:rPr>
          <w:rFonts w:cstheme="minorHAnsi"/>
          <w:lang w:eastAsia="en-GB"/>
        </w:rPr>
        <w:t xml:space="preserve"> assets </w:t>
      </w:r>
      <w:r w:rsidR="000832C7" w:rsidRPr="007C5FD5">
        <w:rPr>
          <w:rFonts w:cstheme="minorHAnsi"/>
          <w:lang w:eastAsia="en-GB"/>
        </w:rPr>
        <w:t>may be</w:t>
      </w:r>
      <w:r w:rsidR="00846158" w:rsidRPr="007C5FD5">
        <w:rPr>
          <w:rFonts w:cstheme="minorHAnsi"/>
          <w:lang w:eastAsia="en-GB"/>
        </w:rPr>
        <w:t xml:space="preserve"> stored.</w:t>
      </w:r>
      <w:r w:rsidR="009F2407" w:rsidRPr="007C5FD5">
        <w:rPr>
          <w:rStyle w:val="FootnoteReference"/>
          <w:rFonts w:cstheme="minorHAnsi"/>
          <w:lang w:eastAsia="en-GB"/>
        </w:rPr>
        <w:footnoteReference w:id="99"/>
      </w:r>
      <w:r w:rsidR="00D10FF8" w:rsidRPr="007C5FD5">
        <w:rPr>
          <w:rFonts w:cstheme="minorHAnsi"/>
          <w:lang w:eastAsia="en-GB"/>
        </w:rPr>
        <w:t xml:space="preserve"> </w:t>
      </w:r>
      <w:r w:rsidR="00497CB1" w:rsidRPr="007C5FD5">
        <w:rPr>
          <w:rFonts w:cstheme="minorHAnsi"/>
          <w:lang w:eastAsia="en-GB"/>
        </w:rPr>
        <w:t>S</w:t>
      </w:r>
      <w:r w:rsidR="00D10FF8" w:rsidRPr="007C5FD5">
        <w:rPr>
          <w:rFonts w:cstheme="minorHAnsi"/>
          <w:lang w:eastAsia="en-GB"/>
        </w:rPr>
        <w:t xml:space="preserve">uch ordering </w:t>
      </w:r>
      <w:r w:rsidR="00846158" w:rsidRPr="007C5FD5">
        <w:rPr>
          <w:rFonts w:cstheme="minorHAnsi"/>
          <w:lang w:eastAsia="en-GB"/>
        </w:rPr>
        <w:t xml:space="preserve">based on asset neutrality </w:t>
      </w:r>
      <w:r w:rsidR="003A5094" w:rsidRPr="007C5FD5">
        <w:rPr>
          <w:rFonts w:cstheme="minorHAnsi"/>
          <w:lang w:eastAsia="en-GB"/>
        </w:rPr>
        <w:t>was</w:t>
      </w:r>
      <w:r w:rsidR="00F00E2E" w:rsidRPr="007C5FD5">
        <w:rPr>
          <w:rFonts w:cstheme="minorHAnsi"/>
          <w:lang w:eastAsia="en-GB"/>
        </w:rPr>
        <w:t>, according to the court,</w:t>
      </w:r>
      <w:r w:rsidR="00281C0C" w:rsidRPr="007C5FD5">
        <w:rPr>
          <w:rFonts w:cstheme="minorHAnsi"/>
          <w:lang w:eastAsia="en-GB"/>
        </w:rPr>
        <w:t xml:space="preserve"> </w:t>
      </w:r>
      <w:r w:rsidR="00D10FF8" w:rsidRPr="007C5FD5">
        <w:rPr>
          <w:rFonts w:cstheme="minorHAnsi"/>
          <w:lang w:eastAsia="en-GB"/>
        </w:rPr>
        <w:t>not inconsistent with t</w:t>
      </w:r>
      <w:r w:rsidR="00E81DFE" w:rsidRPr="007C5FD5">
        <w:rPr>
          <w:rFonts w:cstheme="minorHAnsi"/>
          <w:lang w:eastAsia="en-GB"/>
        </w:rPr>
        <w:t>he deceased’s post-mortem personality rights</w:t>
      </w:r>
      <w:r w:rsidR="00D10FF8" w:rsidRPr="007C5FD5">
        <w:rPr>
          <w:rFonts w:cstheme="minorHAnsi"/>
          <w:lang w:eastAsia="en-GB"/>
        </w:rPr>
        <w:t>,</w:t>
      </w:r>
      <w:r w:rsidR="00FE3EE9">
        <w:rPr>
          <w:rFonts w:cstheme="minorHAnsi"/>
          <w:lang w:eastAsia="en-GB"/>
        </w:rPr>
        <w:t xml:space="preserve"> </w:t>
      </w:r>
      <w:r w:rsidR="00D10FF8" w:rsidRPr="007C5FD5">
        <w:rPr>
          <w:rFonts w:cstheme="minorHAnsi"/>
          <w:lang w:eastAsia="en-GB"/>
        </w:rPr>
        <w:t>particularly when the beneficiaries were also</w:t>
      </w:r>
      <w:r w:rsidR="0064386D" w:rsidRPr="007C5FD5">
        <w:rPr>
          <w:rFonts w:cstheme="minorHAnsi"/>
          <w:lang w:eastAsia="en-GB"/>
        </w:rPr>
        <w:t>, as in this case,</w:t>
      </w:r>
      <w:r w:rsidR="00D10FF8" w:rsidRPr="007C5FD5">
        <w:rPr>
          <w:rFonts w:cstheme="minorHAnsi"/>
          <w:lang w:eastAsia="en-GB"/>
        </w:rPr>
        <w:t xml:space="preserve"> </w:t>
      </w:r>
      <w:r w:rsidR="009F2407" w:rsidRPr="007C5FD5">
        <w:rPr>
          <w:rFonts w:cstheme="minorHAnsi"/>
          <w:lang w:eastAsia="en-GB"/>
        </w:rPr>
        <w:t>her</w:t>
      </w:r>
      <w:r w:rsidR="00D10FF8" w:rsidRPr="007C5FD5">
        <w:rPr>
          <w:rFonts w:cstheme="minorHAnsi"/>
          <w:lang w:eastAsia="en-GB"/>
        </w:rPr>
        <w:t xml:space="preserve"> closest </w:t>
      </w:r>
      <w:r w:rsidR="00C52D39" w:rsidRPr="007C5FD5">
        <w:rPr>
          <w:rFonts w:cstheme="minorHAnsi"/>
          <w:lang w:eastAsia="en-GB"/>
        </w:rPr>
        <w:t>relatives</w:t>
      </w:r>
      <w:r w:rsidR="0064386D" w:rsidRPr="007C5FD5">
        <w:rPr>
          <w:rFonts w:cstheme="minorHAnsi"/>
          <w:lang w:eastAsia="en-GB"/>
        </w:rPr>
        <w:t>.</w:t>
      </w:r>
      <w:r w:rsidR="00D10FF8" w:rsidRPr="007C5FD5">
        <w:rPr>
          <w:rStyle w:val="FootnoteReference"/>
          <w:rFonts w:cstheme="minorHAnsi"/>
          <w:lang w:eastAsia="en-GB"/>
        </w:rPr>
        <w:footnoteReference w:id="100"/>
      </w:r>
      <w:r w:rsidR="0064386D" w:rsidRPr="007C5FD5">
        <w:rPr>
          <w:rFonts w:cstheme="minorHAnsi"/>
          <w:lang w:eastAsia="en-GB"/>
        </w:rPr>
        <w:t xml:space="preserve"> </w:t>
      </w:r>
      <w:r w:rsidR="00D60C7D">
        <w:rPr>
          <w:rFonts w:cstheme="minorHAnsi"/>
          <w:lang w:eastAsia="en-GB"/>
        </w:rPr>
        <w:t>Arguably t</w:t>
      </w:r>
      <w:r w:rsidR="0064386D" w:rsidRPr="007C5FD5">
        <w:rPr>
          <w:rFonts w:cstheme="minorHAnsi"/>
          <w:lang w:eastAsia="en-GB"/>
        </w:rPr>
        <w:t xml:space="preserve">he law of succession </w:t>
      </w:r>
      <w:r w:rsidR="00D60C7D">
        <w:rPr>
          <w:rFonts w:cstheme="minorHAnsi"/>
          <w:lang w:eastAsia="en-GB"/>
        </w:rPr>
        <w:t>at least partially</w:t>
      </w:r>
      <w:r w:rsidR="006172A1" w:rsidRPr="007C5FD5">
        <w:rPr>
          <w:rFonts w:cstheme="minorHAnsi"/>
          <w:lang w:eastAsia="en-GB"/>
        </w:rPr>
        <w:t xml:space="preserve"> </w:t>
      </w:r>
      <w:r w:rsidR="0064386D" w:rsidRPr="007C5FD5">
        <w:rPr>
          <w:rFonts w:cstheme="minorHAnsi"/>
          <w:lang w:eastAsia="en-GB"/>
        </w:rPr>
        <w:t>embed</w:t>
      </w:r>
      <w:r w:rsidR="00D60C7D">
        <w:rPr>
          <w:rFonts w:cstheme="minorHAnsi"/>
          <w:lang w:eastAsia="en-GB"/>
        </w:rPr>
        <w:t>s</w:t>
      </w:r>
      <w:r w:rsidR="0064386D" w:rsidRPr="007C5FD5">
        <w:rPr>
          <w:rFonts w:cstheme="minorHAnsi"/>
          <w:lang w:eastAsia="en-GB"/>
        </w:rPr>
        <w:t xml:space="preserve"> </w:t>
      </w:r>
      <w:r w:rsidR="00281C0C" w:rsidRPr="007C5FD5">
        <w:rPr>
          <w:rFonts w:cstheme="minorHAnsi"/>
          <w:lang w:eastAsia="en-GB"/>
        </w:rPr>
        <w:t>post-mortem personality protection, whilst</w:t>
      </w:r>
      <w:r w:rsidR="00D10FF8" w:rsidRPr="007C5FD5">
        <w:rPr>
          <w:rFonts w:cstheme="minorHAnsi"/>
          <w:lang w:eastAsia="en-GB"/>
        </w:rPr>
        <w:t xml:space="preserve"> </w:t>
      </w:r>
      <w:r w:rsidR="00281C0C" w:rsidRPr="007C5FD5">
        <w:rPr>
          <w:rFonts w:cstheme="minorHAnsi"/>
          <w:lang w:eastAsia="en-GB"/>
        </w:rPr>
        <w:t>delivering</w:t>
      </w:r>
      <w:r w:rsidR="00C16252" w:rsidRPr="007C5FD5">
        <w:rPr>
          <w:rFonts w:cstheme="minorHAnsi"/>
          <w:lang w:eastAsia="en-GB"/>
        </w:rPr>
        <w:t xml:space="preserve"> </w:t>
      </w:r>
      <w:r w:rsidR="006172A1" w:rsidRPr="007C5FD5">
        <w:rPr>
          <w:rFonts w:cstheme="minorHAnsi"/>
          <w:lang w:eastAsia="en-GB"/>
        </w:rPr>
        <w:t xml:space="preserve">a </w:t>
      </w:r>
      <w:r w:rsidR="00FD404A" w:rsidRPr="007C5FD5">
        <w:rPr>
          <w:rFonts w:cstheme="minorHAnsi"/>
          <w:lang w:eastAsia="en-GB"/>
        </w:rPr>
        <w:t>pragmatic</w:t>
      </w:r>
      <w:r w:rsidR="00D40CC5" w:rsidRPr="007C5FD5">
        <w:rPr>
          <w:rFonts w:cstheme="minorHAnsi"/>
          <w:lang w:eastAsia="en-GB"/>
        </w:rPr>
        <w:t xml:space="preserve"> </w:t>
      </w:r>
      <w:r w:rsidR="009F2407" w:rsidRPr="007C5FD5">
        <w:rPr>
          <w:rFonts w:cstheme="minorHAnsi"/>
          <w:lang w:eastAsia="en-GB"/>
        </w:rPr>
        <w:t xml:space="preserve">solution </w:t>
      </w:r>
      <w:r w:rsidR="000832C7" w:rsidRPr="007C5FD5">
        <w:rPr>
          <w:rFonts w:cstheme="minorHAnsi"/>
          <w:lang w:eastAsia="en-GB"/>
        </w:rPr>
        <w:t>for</w:t>
      </w:r>
      <w:r w:rsidR="00D40CC5" w:rsidRPr="007C5FD5">
        <w:rPr>
          <w:rFonts w:cstheme="minorHAnsi"/>
          <w:lang w:eastAsia="en-GB"/>
        </w:rPr>
        <w:t xml:space="preserve"> handling personal</w:t>
      </w:r>
      <w:r w:rsidR="00846158" w:rsidRPr="007C5FD5">
        <w:rPr>
          <w:rFonts w:cstheme="minorHAnsi"/>
          <w:lang w:eastAsia="en-GB"/>
        </w:rPr>
        <w:t xml:space="preserve"> </w:t>
      </w:r>
      <w:r w:rsidR="00D40CC5" w:rsidRPr="007C5FD5">
        <w:rPr>
          <w:rFonts w:cstheme="minorHAnsi"/>
          <w:lang w:eastAsia="en-GB"/>
        </w:rPr>
        <w:t>effects</w:t>
      </w:r>
      <w:r w:rsidR="00846158" w:rsidRPr="007C5FD5">
        <w:rPr>
          <w:rFonts w:cstheme="minorHAnsi"/>
          <w:lang w:eastAsia="en-GB"/>
        </w:rPr>
        <w:t>.</w:t>
      </w:r>
      <w:r w:rsidR="00BA6C33" w:rsidRPr="007C5FD5">
        <w:rPr>
          <w:rStyle w:val="FootnoteReference"/>
          <w:rFonts w:cstheme="minorHAnsi"/>
          <w:lang w:eastAsia="en-GB"/>
        </w:rPr>
        <w:footnoteReference w:id="101"/>
      </w:r>
      <w:r w:rsidR="00846158" w:rsidRPr="007C5FD5">
        <w:rPr>
          <w:rFonts w:cstheme="minorHAnsi"/>
          <w:lang w:eastAsia="en-GB"/>
        </w:rPr>
        <w:t xml:space="preserve"> </w:t>
      </w:r>
      <w:r w:rsidR="003A5094" w:rsidRPr="007C5FD5">
        <w:rPr>
          <w:rFonts w:cstheme="minorHAnsi"/>
          <w:lang w:eastAsia="en-GB"/>
        </w:rPr>
        <w:t>Importantly</w:t>
      </w:r>
      <w:r w:rsidR="002D1C68" w:rsidRPr="007C5FD5">
        <w:rPr>
          <w:rFonts w:cstheme="minorHAnsi"/>
          <w:lang w:eastAsia="en-GB"/>
        </w:rPr>
        <w:t xml:space="preserve"> </w:t>
      </w:r>
      <w:r w:rsidR="003A5094" w:rsidRPr="007C5FD5">
        <w:rPr>
          <w:rFonts w:cstheme="minorHAnsi"/>
          <w:lang w:eastAsia="en-GB"/>
        </w:rPr>
        <w:t>f</w:t>
      </w:r>
      <w:r w:rsidR="004410B0" w:rsidRPr="007C5FD5">
        <w:rPr>
          <w:rFonts w:cstheme="minorHAnsi"/>
          <w:lang w:eastAsia="en-GB"/>
        </w:rPr>
        <w:t>or</w:t>
      </w:r>
      <w:r w:rsidR="00846158" w:rsidRPr="007C5FD5">
        <w:rPr>
          <w:rFonts w:cstheme="minorHAnsi"/>
          <w:lang w:eastAsia="en-GB"/>
        </w:rPr>
        <w:t xml:space="preserve"> the </w:t>
      </w:r>
      <w:r w:rsidR="009F2407" w:rsidRPr="007C5FD5">
        <w:rPr>
          <w:rFonts w:cstheme="minorHAnsi"/>
          <w:lang w:eastAsia="en-GB"/>
        </w:rPr>
        <w:t>purposes</w:t>
      </w:r>
      <w:r w:rsidR="00846158" w:rsidRPr="007C5FD5">
        <w:rPr>
          <w:rFonts w:cstheme="minorHAnsi"/>
          <w:lang w:eastAsia="en-GB"/>
        </w:rPr>
        <w:t xml:space="preserve"> here, </w:t>
      </w:r>
      <w:r w:rsidR="00DD52BA" w:rsidRPr="007C5FD5">
        <w:rPr>
          <w:rFonts w:cstheme="minorHAnsi"/>
          <w:lang w:eastAsia="en-GB"/>
        </w:rPr>
        <w:t xml:space="preserve">the </w:t>
      </w:r>
      <w:r w:rsidR="00497CB1" w:rsidRPr="007C5FD5">
        <w:rPr>
          <w:rFonts w:cstheme="minorHAnsi"/>
          <w:lang w:eastAsia="en-GB"/>
        </w:rPr>
        <w:t xml:space="preserve">digital </w:t>
      </w:r>
      <w:r w:rsidR="00DD52BA" w:rsidRPr="007C5FD5">
        <w:rPr>
          <w:rFonts w:cstheme="minorHAnsi"/>
          <w:lang w:eastAsia="en-GB"/>
        </w:rPr>
        <w:t>asset</w:t>
      </w:r>
      <w:r w:rsidR="00B826C5" w:rsidRPr="007C5FD5">
        <w:rPr>
          <w:rFonts w:cstheme="minorHAnsi"/>
          <w:lang w:eastAsia="en-GB"/>
        </w:rPr>
        <w:t xml:space="preserve"> </w:t>
      </w:r>
      <w:r w:rsidR="00DD52BA" w:rsidRPr="007C5FD5">
        <w:rPr>
          <w:rFonts w:cstheme="minorHAnsi"/>
          <w:lang w:eastAsia="en-GB"/>
        </w:rPr>
        <w:t>in the hands of the</w:t>
      </w:r>
      <w:r w:rsidR="009A4B10" w:rsidRPr="007C5FD5">
        <w:rPr>
          <w:rFonts w:cstheme="minorHAnsi"/>
          <w:lang w:eastAsia="en-GB"/>
        </w:rPr>
        <w:t xml:space="preserve"> parents</w:t>
      </w:r>
      <w:r w:rsidR="00F07718" w:rsidRPr="007C5FD5">
        <w:rPr>
          <w:rFonts w:cstheme="minorHAnsi"/>
          <w:lang w:eastAsia="en-GB"/>
        </w:rPr>
        <w:t xml:space="preserve"> be</w:t>
      </w:r>
      <w:r w:rsidR="003F10EA" w:rsidRPr="007C5FD5">
        <w:rPr>
          <w:rFonts w:cstheme="minorHAnsi"/>
          <w:lang w:eastAsia="en-GB"/>
        </w:rPr>
        <w:t>c</w:t>
      </w:r>
      <w:r w:rsidR="00C16252" w:rsidRPr="007C5FD5">
        <w:rPr>
          <w:rFonts w:cstheme="minorHAnsi"/>
          <w:lang w:eastAsia="en-GB"/>
        </w:rPr>
        <w:t>ame</w:t>
      </w:r>
      <w:r w:rsidR="00F07718" w:rsidRPr="007C5FD5">
        <w:rPr>
          <w:rFonts w:cstheme="minorHAnsi"/>
          <w:lang w:eastAsia="en-GB"/>
        </w:rPr>
        <w:t xml:space="preserve"> </w:t>
      </w:r>
      <w:r w:rsidR="00CF5C4C" w:rsidRPr="007C5FD5">
        <w:rPr>
          <w:rFonts w:cstheme="minorHAnsi"/>
          <w:lang w:eastAsia="en-GB"/>
        </w:rPr>
        <w:t xml:space="preserve">encumbered </w:t>
      </w:r>
      <w:r w:rsidR="00D74FDD" w:rsidRPr="007C5FD5">
        <w:rPr>
          <w:rFonts w:cstheme="minorHAnsi"/>
          <w:lang w:eastAsia="en-GB"/>
        </w:rPr>
        <w:t>in the process of the transfer</w:t>
      </w:r>
      <w:r w:rsidR="007943FA" w:rsidRPr="007C5FD5">
        <w:rPr>
          <w:rFonts w:cstheme="minorHAnsi"/>
          <w:lang w:eastAsia="en-GB"/>
        </w:rPr>
        <w:t>,</w:t>
      </w:r>
      <w:r w:rsidR="004410B0" w:rsidRPr="007C5FD5">
        <w:rPr>
          <w:rFonts w:cstheme="minorHAnsi"/>
          <w:lang w:eastAsia="en-GB"/>
        </w:rPr>
        <w:t xml:space="preserve"> </w:t>
      </w:r>
      <w:r w:rsidR="00CF5C4C" w:rsidRPr="007C5FD5">
        <w:rPr>
          <w:rFonts w:cstheme="minorHAnsi"/>
          <w:lang w:eastAsia="en-GB"/>
        </w:rPr>
        <w:t>not</w:t>
      </w:r>
      <w:r w:rsidR="00A02E19" w:rsidRPr="007C5FD5">
        <w:rPr>
          <w:rFonts w:cstheme="minorHAnsi"/>
          <w:lang w:eastAsia="en-GB"/>
        </w:rPr>
        <w:t xml:space="preserve"> </w:t>
      </w:r>
      <w:r w:rsidR="00CF5C4C" w:rsidRPr="007C5FD5">
        <w:rPr>
          <w:rFonts w:cstheme="minorHAnsi"/>
          <w:lang w:eastAsia="en-GB"/>
        </w:rPr>
        <w:t>by</w:t>
      </w:r>
      <w:r w:rsidR="007C5214" w:rsidRPr="007C5FD5">
        <w:rPr>
          <w:rFonts w:cstheme="minorHAnsi"/>
          <w:lang w:eastAsia="en-GB"/>
        </w:rPr>
        <w:t xml:space="preserve"> </w:t>
      </w:r>
      <w:r w:rsidR="00497CB1" w:rsidRPr="007C5FD5">
        <w:rPr>
          <w:rFonts w:cstheme="minorHAnsi"/>
          <w:lang w:eastAsia="en-GB"/>
        </w:rPr>
        <w:t xml:space="preserve">any additional </w:t>
      </w:r>
      <w:r w:rsidR="00CF5C4C" w:rsidRPr="007C5FD5">
        <w:rPr>
          <w:rFonts w:cstheme="minorHAnsi"/>
          <w:lang w:eastAsia="en-GB"/>
        </w:rPr>
        <w:t xml:space="preserve">post-mortem </w:t>
      </w:r>
      <w:r w:rsidR="00B826C5" w:rsidRPr="007C5FD5">
        <w:rPr>
          <w:rFonts w:cstheme="minorHAnsi"/>
          <w:lang w:eastAsia="en-GB"/>
        </w:rPr>
        <w:t>interest</w:t>
      </w:r>
      <w:r w:rsidR="00D60C7D">
        <w:rPr>
          <w:rFonts w:cstheme="minorHAnsi"/>
          <w:lang w:eastAsia="en-GB"/>
        </w:rPr>
        <w:t xml:space="preserve">s </w:t>
      </w:r>
      <w:r w:rsidR="00CF5C4C" w:rsidRPr="007C5FD5">
        <w:rPr>
          <w:rFonts w:cstheme="minorHAnsi"/>
          <w:lang w:eastAsia="en-GB"/>
        </w:rPr>
        <w:t>of the deceased</w:t>
      </w:r>
      <w:r w:rsidR="004410B0" w:rsidRPr="007C5FD5">
        <w:rPr>
          <w:rFonts w:cstheme="minorHAnsi"/>
          <w:lang w:eastAsia="en-GB"/>
        </w:rPr>
        <w:t xml:space="preserve">, but </w:t>
      </w:r>
      <w:r w:rsidR="00D63821" w:rsidRPr="007C5FD5">
        <w:rPr>
          <w:rFonts w:cstheme="minorHAnsi"/>
          <w:lang w:eastAsia="en-GB"/>
        </w:rPr>
        <w:t>by the entangled proprietary and privacy stakes</w:t>
      </w:r>
      <w:r w:rsidR="008733BD" w:rsidRPr="007C5FD5">
        <w:rPr>
          <w:rFonts w:cstheme="minorHAnsi"/>
          <w:lang w:eastAsia="en-GB"/>
        </w:rPr>
        <w:t xml:space="preserve"> of others</w:t>
      </w:r>
      <w:r w:rsidR="00D63821" w:rsidRPr="007C5FD5">
        <w:rPr>
          <w:rFonts w:cstheme="minorHAnsi"/>
          <w:i/>
          <w:iCs/>
          <w:lang w:eastAsia="en-GB"/>
        </w:rPr>
        <w:t xml:space="preserve"> - </w:t>
      </w:r>
      <w:r w:rsidR="00DD52BA" w:rsidRPr="007C5FD5">
        <w:rPr>
          <w:rFonts w:cstheme="minorHAnsi"/>
          <w:i/>
          <w:iCs/>
          <w:lang w:eastAsia="en-GB"/>
        </w:rPr>
        <w:t>vis-à-vis</w:t>
      </w:r>
      <w:r w:rsidR="00DD52BA" w:rsidRPr="007C5FD5">
        <w:rPr>
          <w:rFonts w:cstheme="minorHAnsi"/>
          <w:lang w:eastAsia="en-GB"/>
        </w:rPr>
        <w:t xml:space="preserve"> Facebook (the</w:t>
      </w:r>
      <w:r w:rsidR="00B826C5" w:rsidRPr="007C5FD5">
        <w:rPr>
          <w:rFonts w:cstheme="minorHAnsi"/>
          <w:lang w:eastAsia="en-GB"/>
        </w:rPr>
        <w:t xml:space="preserve"> parents</w:t>
      </w:r>
      <w:r w:rsidR="00DD52BA" w:rsidRPr="007C5FD5">
        <w:rPr>
          <w:rFonts w:cstheme="minorHAnsi"/>
          <w:lang w:eastAsia="en-GB"/>
        </w:rPr>
        <w:t xml:space="preserve"> could not actively use the account</w:t>
      </w:r>
      <w:r w:rsidR="002D1C68" w:rsidRPr="007C5FD5">
        <w:rPr>
          <w:rFonts w:cstheme="minorHAnsi"/>
          <w:lang w:eastAsia="en-GB"/>
        </w:rPr>
        <w:t xml:space="preserve"> or interfere with </w:t>
      </w:r>
      <w:r w:rsidR="0064386D" w:rsidRPr="007C5FD5">
        <w:rPr>
          <w:rFonts w:cstheme="minorHAnsi"/>
          <w:lang w:eastAsia="en-GB"/>
        </w:rPr>
        <w:t xml:space="preserve">the platform’s </w:t>
      </w:r>
      <w:r w:rsidR="002D1C68" w:rsidRPr="007C5FD5">
        <w:rPr>
          <w:rFonts w:cstheme="minorHAnsi"/>
          <w:lang w:eastAsia="en-GB"/>
        </w:rPr>
        <w:t xml:space="preserve">IP </w:t>
      </w:r>
      <w:r w:rsidR="0064386D" w:rsidRPr="007C5FD5">
        <w:rPr>
          <w:rFonts w:cstheme="minorHAnsi"/>
          <w:lang w:eastAsia="en-GB"/>
        </w:rPr>
        <w:t>rights in the content of the deceased</w:t>
      </w:r>
      <w:r w:rsidR="000832C7" w:rsidRPr="007C5FD5">
        <w:rPr>
          <w:rStyle w:val="FootnoteReference"/>
          <w:rFonts w:cstheme="minorHAnsi"/>
          <w:lang w:eastAsia="en-GB"/>
        </w:rPr>
        <w:footnoteReference w:id="102"/>
      </w:r>
      <w:r w:rsidR="001E4CEE" w:rsidRPr="007C5FD5">
        <w:rPr>
          <w:rFonts w:cstheme="minorHAnsi"/>
          <w:lang w:eastAsia="en-GB"/>
        </w:rPr>
        <w:t xml:space="preserve">) </w:t>
      </w:r>
      <w:r w:rsidR="00DD52BA" w:rsidRPr="007C5FD5">
        <w:rPr>
          <w:rFonts w:cstheme="minorHAnsi"/>
          <w:lang w:eastAsia="en-GB"/>
        </w:rPr>
        <w:t xml:space="preserve">and </w:t>
      </w:r>
      <w:r w:rsidR="000832C7" w:rsidRPr="007C5FD5">
        <w:rPr>
          <w:rFonts w:cstheme="minorHAnsi"/>
          <w:i/>
          <w:iCs/>
          <w:lang w:eastAsia="en-GB"/>
        </w:rPr>
        <w:t>vis-à-vis</w:t>
      </w:r>
      <w:r w:rsidR="000832C7" w:rsidRPr="007C5FD5">
        <w:rPr>
          <w:rFonts w:cstheme="minorHAnsi"/>
          <w:lang w:eastAsia="en-GB"/>
        </w:rPr>
        <w:t xml:space="preserve"> </w:t>
      </w:r>
      <w:r w:rsidR="00DD52BA" w:rsidRPr="007C5FD5">
        <w:rPr>
          <w:rFonts w:cstheme="minorHAnsi"/>
          <w:lang w:eastAsia="en-GB"/>
        </w:rPr>
        <w:t>the deceased’s communication partner</w:t>
      </w:r>
      <w:r w:rsidR="009F2407" w:rsidRPr="007C5FD5">
        <w:rPr>
          <w:rFonts w:cstheme="minorHAnsi"/>
          <w:lang w:eastAsia="en-GB"/>
        </w:rPr>
        <w:t>s</w:t>
      </w:r>
      <w:r w:rsidR="00DD52BA" w:rsidRPr="007C5FD5">
        <w:rPr>
          <w:rFonts w:cstheme="minorHAnsi"/>
          <w:lang w:eastAsia="en-GB"/>
        </w:rPr>
        <w:t xml:space="preserve"> (the</w:t>
      </w:r>
      <w:r w:rsidR="00281C0C" w:rsidRPr="007C5FD5">
        <w:rPr>
          <w:rFonts w:cstheme="minorHAnsi"/>
          <w:lang w:eastAsia="en-GB"/>
        </w:rPr>
        <w:t xml:space="preserve"> parents </w:t>
      </w:r>
      <w:r w:rsidR="00DD52BA" w:rsidRPr="007C5FD5">
        <w:rPr>
          <w:rFonts w:cstheme="minorHAnsi"/>
          <w:lang w:eastAsia="en-GB"/>
        </w:rPr>
        <w:t>could</w:t>
      </w:r>
      <w:r w:rsidR="000832C7" w:rsidRPr="007C5FD5">
        <w:rPr>
          <w:rFonts w:cstheme="minorHAnsi"/>
          <w:lang w:eastAsia="en-GB"/>
        </w:rPr>
        <w:t xml:space="preserve"> access the</w:t>
      </w:r>
      <w:r w:rsidR="00F71DF1" w:rsidRPr="007C5FD5">
        <w:rPr>
          <w:rFonts w:cstheme="minorHAnsi"/>
          <w:lang w:eastAsia="en-GB"/>
        </w:rPr>
        <w:t xml:space="preserve"> daughter’s</w:t>
      </w:r>
      <w:r w:rsidR="000832C7" w:rsidRPr="007C5FD5">
        <w:rPr>
          <w:rFonts w:cstheme="minorHAnsi"/>
          <w:lang w:eastAsia="en-GB"/>
        </w:rPr>
        <w:t xml:space="preserve"> content but not disclose </w:t>
      </w:r>
      <w:r w:rsidR="00F07718" w:rsidRPr="007C5FD5">
        <w:rPr>
          <w:rFonts w:cstheme="minorHAnsi"/>
          <w:lang w:eastAsia="en-GB"/>
        </w:rPr>
        <w:t xml:space="preserve">it </w:t>
      </w:r>
      <w:r w:rsidR="000832C7" w:rsidRPr="007C5FD5">
        <w:rPr>
          <w:rFonts w:cstheme="minorHAnsi"/>
          <w:lang w:eastAsia="en-GB"/>
        </w:rPr>
        <w:t>further</w:t>
      </w:r>
      <w:r w:rsidR="000832C7" w:rsidRPr="007C5FD5">
        <w:rPr>
          <w:rStyle w:val="FootnoteReference"/>
          <w:rFonts w:cstheme="minorHAnsi"/>
          <w:lang w:eastAsia="en-GB"/>
        </w:rPr>
        <w:footnoteReference w:id="103"/>
      </w:r>
      <w:r w:rsidR="000832C7" w:rsidRPr="007C5FD5">
        <w:rPr>
          <w:rFonts w:cstheme="minorHAnsi"/>
          <w:lang w:eastAsia="en-GB"/>
        </w:rPr>
        <w:t>)</w:t>
      </w:r>
      <w:r w:rsidR="00D63821" w:rsidRPr="007C5FD5">
        <w:rPr>
          <w:rFonts w:cstheme="minorHAnsi"/>
          <w:lang w:eastAsia="en-GB"/>
        </w:rPr>
        <w:t>.</w:t>
      </w:r>
      <w:r w:rsidR="009A4B10" w:rsidRPr="007C5FD5">
        <w:rPr>
          <w:rFonts w:cstheme="minorHAnsi"/>
          <w:lang w:eastAsia="en-GB"/>
        </w:rPr>
        <w:t xml:space="preserve"> </w:t>
      </w:r>
      <w:r w:rsidR="00281C0C" w:rsidRPr="007C5FD5">
        <w:rPr>
          <w:rFonts w:cstheme="minorHAnsi"/>
          <w:lang w:eastAsia="en-GB"/>
        </w:rPr>
        <w:t>Although the court had insisted that the daughter’s social media contacts, even as teenagers, ought to have known that</w:t>
      </w:r>
      <w:r w:rsidR="00F00E2E" w:rsidRPr="007C5FD5">
        <w:rPr>
          <w:rFonts w:cstheme="minorHAnsi"/>
          <w:lang w:eastAsia="en-GB"/>
        </w:rPr>
        <w:t xml:space="preserve"> their</w:t>
      </w:r>
      <w:r w:rsidR="00281C0C" w:rsidRPr="007C5FD5">
        <w:rPr>
          <w:rFonts w:cstheme="minorHAnsi"/>
          <w:lang w:eastAsia="en-GB"/>
        </w:rPr>
        <w:t xml:space="preserve"> messages to another account might become accessible to </w:t>
      </w:r>
      <w:r w:rsidR="008A31E7" w:rsidRPr="007C5FD5">
        <w:rPr>
          <w:rFonts w:cstheme="minorHAnsi"/>
          <w:lang w:eastAsia="en-GB"/>
        </w:rPr>
        <w:t xml:space="preserve">parties other </w:t>
      </w:r>
      <w:r w:rsidR="00281C0C" w:rsidRPr="007C5FD5">
        <w:rPr>
          <w:rFonts w:cstheme="minorHAnsi"/>
          <w:lang w:eastAsia="en-GB"/>
        </w:rPr>
        <w:t>than the account holder, it still impose</w:t>
      </w:r>
      <w:r w:rsidR="006210B1" w:rsidRPr="007C5FD5">
        <w:rPr>
          <w:rFonts w:cstheme="minorHAnsi"/>
          <w:lang w:eastAsia="en-GB"/>
        </w:rPr>
        <w:t>d</w:t>
      </w:r>
      <w:r w:rsidR="00281C0C" w:rsidRPr="007C5FD5">
        <w:rPr>
          <w:rFonts w:cstheme="minorHAnsi"/>
          <w:lang w:eastAsia="en-GB"/>
        </w:rPr>
        <w:t xml:space="preserve"> </w:t>
      </w:r>
      <w:r w:rsidR="006210B1" w:rsidRPr="007C5FD5">
        <w:rPr>
          <w:rFonts w:cstheme="minorHAnsi"/>
          <w:lang w:eastAsia="en-GB"/>
        </w:rPr>
        <w:t xml:space="preserve">on the parents </w:t>
      </w:r>
      <w:r w:rsidR="00281C0C" w:rsidRPr="007C5FD5">
        <w:rPr>
          <w:rFonts w:cstheme="minorHAnsi"/>
          <w:lang w:eastAsia="en-GB"/>
        </w:rPr>
        <w:t xml:space="preserve">a </w:t>
      </w:r>
      <w:r w:rsidR="00F15417" w:rsidRPr="007C5FD5">
        <w:rPr>
          <w:rFonts w:cstheme="minorHAnsi"/>
          <w:lang w:eastAsia="en-GB"/>
        </w:rPr>
        <w:t xml:space="preserve">duty </w:t>
      </w:r>
      <w:r w:rsidR="006210B1" w:rsidRPr="007C5FD5">
        <w:rPr>
          <w:rFonts w:cstheme="minorHAnsi"/>
          <w:lang w:eastAsia="en-GB"/>
        </w:rPr>
        <w:t>of confidentiality in respect of</w:t>
      </w:r>
      <w:r w:rsidR="00497CB1" w:rsidRPr="007C5FD5">
        <w:rPr>
          <w:rFonts w:cstheme="minorHAnsi"/>
          <w:lang w:eastAsia="en-GB"/>
        </w:rPr>
        <w:t xml:space="preserve"> the</w:t>
      </w:r>
      <w:r w:rsidR="003A5094" w:rsidRPr="007C5FD5">
        <w:rPr>
          <w:rFonts w:cstheme="minorHAnsi"/>
          <w:lang w:eastAsia="en-GB"/>
        </w:rPr>
        <w:t xml:space="preserve"> </w:t>
      </w:r>
      <w:r w:rsidR="00497CB1" w:rsidRPr="007C5FD5">
        <w:rPr>
          <w:rFonts w:cstheme="minorHAnsi"/>
          <w:lang w:eastAsia="en-GB"/>
        </w:rPr>
        <w:t xml:space="preserve">confidences of </w:t>
      </w:r>
      <w:r w:rsidR="00281C0C" w:rsidRPr="007C5FD5">
        <w:rPr>
          <w:rFonts w:cstheme="minorHAnsi"/>
          <w:lang w:eastAsia="en-GB"/>
        </w:rPr>
        <w:t>the</w:t>
      </w:r>
      <w:r w:rsidR="008A31E7" w:rsidRPr="007C5FD5">
        <w:rPr>
          <w:rFonts w:cstheme="minorHAnsi"/>
          <w:lang w:eastAsia="en-GB"/>
        </w:rPr>
        <w:t>se</w:t>
      </w:r>
      <w:r w:rsidR="00281C0C" w:rsidRPr="007C5FD5">
        <w:rPr>
          <w:rFonts w:cstheme="minorHAnsi"/>
          <w:lang w:eastAsia="en-GB"/>
        </w:rPr>
        <w:t xml:space="preserve"> communication partners. </w:t>
      </w:r>
      <w:r w:rsidR="006E2B54" w:rsidRPr="007C5FD5">
        <w:rPr>
          <w:rFonts w:cstheme="minorHAnsi"/>
          <w:lang w:eastAsia="en-GB"/>
        </w:rPr>
        <w:t>Such analytical messiness is</w:t>
      </w:r>
      <w:r w:rsidRPr="007C5FD5">
        <w:rPr>
          <w:rFonts w:cstheme="minorHAnsi"/>
          <w:lang w:eastAsia="en-GB"/>
        </w:rPr>
        <w:t xml:space="preserve"> inevitable</w:t>
      </w:r>
      <w:r w:rsidR="006E2B54" w:rsidRPr="007C5FD5">
        <w:rPr>
          <w:rFonts w:cstheme="minorHAnsi"/>
          <w:lang w:eastAsia="en-GB"/>
        </w:rPr>
        <w:t xml:space="preserve"> given that privacy is</w:t>
      </w:r>
      <w:r w:rsidR="00FF1B2D" w:rsidRPr="007C5FD5">
        <w:rPr>
          <w:rFonts w:cstheme="minorHAnsi"/>
          <w:lang w:eastAsia="en-GB"/>
        </w:rPr>
        <w:t xml:space="preserve"> generally not </w:t>
      </w:r>
      <w:r w:rsidR="006E2B54" w:rsidRPr="007C5FD5">
        <w:rPr>
          <w:rFonts w:cstheme="minorHAnsi"/>
          <w:lang w:eastAsia="en-GB"/>
        </w:rPr>
        <w:t>located in isolated relationship</w:t>
      </w:r>
      <w:r w:rsidR="00FF1B2D" w:rsidRPr="007C5FD5">
        <w:rPr>
          <w:rFonts w:cstheme="minorHAnsi"/>
          <w:lang w:eastAsia="en-GB"/>
        </w:rPr>
        <w:t>s</w:t>
      </w:r>
      <w:r w:rsidRPr="007C5FD5">
        <w:rPr>
          <w:rFonts w:cstheme="minorHAnsi"/>
          <w:lang w:eastAsia="en-GB"/>
        </w:rPr>
        <w:t xml:space="preserve"> but in a web of overlapping</w:t>
      </w:r>
      <w:r w:rsidR="00D82999">
        <w:rPr>
          <w:rFonts w:cstheme="minorHAnsi"/>
          <w:lang w:eastAsia="en-GB"/>
        </w:rPr>
        <w:t xml:space="preserve">, reciprocal </w:t>
      </w:r>
      <w:r w:rsidRPr="007C5FD5">
        <w:rPr>
          <w:rFonts w:cstheme="minorHAnsi"/>
          <w:lang w:eastAsia="en-GB"/>
        </w:rPr>
        <w:t>social interactions of relative trust</w:t>
      </w:r>
      <w:r w:rsidR="00D82999">
        <w:rPr>
          <w:rFonts w:cstheme="minorHAnsi"/>
          <w:lang w:eastAsia="en-GB"/>
        </w:rPr>
        <w:t>,</w:t>
      </w:r>
      <w:r w:rsidR="00A47215">
        <w:rPr>
          <w:rStyle w:val="FootnoteReference"/>
          <w:rFonts w:cstheme="minorHAnsi"/>
          <w:lang w:eastAsia="en-GB"/>
        </w:rPr>
        <w:footnoteReference w:id="104"/>
      </w:r>
      <w:r w:rsidR="00FF1B2D" w:rsidRPr="007C5FD5">
        <w:rPr>
          <w:rFonts w:cstheme="minorHAnsi"/>
          <w:lang w:eastAsia="en-GB"/>
        </w:rPr>
        <w:t xml:space="preserve"> which were</w:t>
      </w:r>
      <w:r w:rsidR="00B21E9E" w:rsidRPr="007C5FD5">
        <w:rPr>
          <w:rFonts w:cstheme="minorHAnsi"/>
          <w:lang w:eastAsia="en-GB"/>
        </w:rPr>
        <w:t xml:space="preserve"> here</w:t>
      </w:r>
      <w:r w:rsidRPr="007C5FD5">
        <w:rPr>
          <w:rFonts w:cstheme="minorHAnsi"/>
          <w:lang w:eastAsia="en-GB"/>
        </w:rPr>
        <w:t xml:space="preserve"> </w:t>
      </w:r>
      <w:r w:rsidR="00FF1B2D" w:rsidRPr="007C5FD5">
        <w:rPr>
          <w:rFonts w:cstheme="minorHAnsi"/>
          <w:lang w:eastAsia="en-GB"/>
        </w:rPr>
        <w:t xml:space="preserve">accommodated </w:t>
      </w:r>
      <w:r w:rsidRPr="007C5FD5">
        <w:rPr>
          <w:rFonts w:cstheme="minorHAnsi"/>
          <w:lang w:eastAsia="en-GB"/>
        </w:rPr>
        <w:t xml:space="preserve">through an encumbered property right. </w:t>
      </w:r>
      <w:r w:rsidR="008A31E7" w:rsidRPr="007C5FD5">
        <w:rPr>
          <w:rFonts w:cstheme="minorHAnsi"/>
          <w:lang w:eastAsia="en-GB"/>
        </w:rPr>
        <w:t xml:space="preserve">Notably whilst the parents </w:t>
      </w:r>
      <w:r w:rsidR="00B21E9E" w:rsidRPr="007C5FD5">
        <w:rPr>
          <w:rFonts w:cstheme="minorHAnsi"/>
          <w:lang w:eastAsia="en-GB"/>
        </w:rPr>
        <w:t>may be ‘</w:t>
      </w:r>
      <w:r w:rsidR="008A31E7" w:rsidRPr="007C5FD5">
        <w:rPr>
          <w:rFonts w:cstheme="minorHAnsi"/>
          <w:lang w:eastAsia="en-GB"/>
        </w:rPr>
        <w:t>natural</w:t>
      </w:r>
      <w:r w:rsidR="00B21E9E" w:rsidRPr="007C5FD5">
        <w:rPr>
          <w:rFonts w:cstheme="minorHAnsi"/>
          <w:lang w:eastAsia="en-GB"/>
        </w:rPr>
        <w:t>’</w:t>
      </w:r>
      <w:r w:rsidR="008A31E7" w:rsidRPr="007C5FD5">
        <w:rPr>
          <w:rFonts w:cstheme="minorHAnsi"/>
          <w:lang w:eastAsia="en-GB"/>
        </w:rPr>
        <w:t xml:space="preserve"> guardians of the daughter’s post-mortem dignity, the </w:t>
      </w:r>
      <w:r w:rsidR="00B21E9E" w:rsidRPr="007C5FD5">
        <w:rPr>
          <w:rFonts w:cstheme="minorHAnsi"/>
          <w:lang w:eastAsia="en-GB"/>
        </w:rPr>
        <w:t xml:space="preserve">legal protection of the </w:t>
      </w:r>
      <w:r w:rsidR="00D82999">
        <w:rPr>
          <w:rFonts w:cstheme="minorHAnsi"/>
          <w:lang w:eastAsia="en-GB"/>
        </w:rPr>
        <w:lastRenderedPageBreak/>
        <w:t xml:space="preserve">communications </w:t>
      </w:r>
      <w:r w:rsidR="00B21E9E" w:rsidRPr="007C5FD5">
        <w:rPr>
          <w:rFonts w:cstheme="minorHAnsi"/>
          <w:lang w:eastAsia="en-GB"/>
        </w:rPr>
        <w:t xml:space="preserve">by her social media </w:t>
      </w:r>
      <w:r w:rsidR="008A31E7" w:rsidRPr="007C5FD5">
        <w:rPr>
          <w:rFonts w:cstheme="minorHAnsi"/>
          <w:lang w:eastAsia="en-GB"/>
        </w:rPr>
        <w:t xml:space="preserve">contacts </w:t>
      </w:r>
      <w:r w:rsidR="00B21E9E" w:rsidRPr="007C5FD5">
        <w:rPr>
          <w:rFonts w:cstheme="minorHAnsi"/>
          <w:lang w:eastAsia="en-GB"/>
        </w:rPr>
        <w:t xml:space="preserve">from further public disclosure </w:t>
      </w:r>
      <w:r w:rsidR="008A31E7" w:rsidRPr="007C5FD5">
        <w:rPr>
          <w:rFonts w:cstheme="minorHAnsi"/>
          <w:lang w:eastAsia="en-GB"/>
        </w:rPr>
        <w:t xml:space="preserve">would have also </w:t>
      </w:r>
      <w:r w:rsidR="00D60C7D">
        <w:rPr>
          <w:rFonts w:cstheme="minorHAnsi"/>
          <w:lang w:eastAsia="en-GB"/>
        </w:rPr>
        <w:t xml:space="preserve">- </w:t>
      </w:r>
      <w:r w:rsidR="00D82999">
        <w:rPr>
          <w:rFonts w:cstheme="minorHAnsi"/>
          <w:lang w:eastAsia="en-GB"/>
        </w:rPr>
        <w:t xml:space="preserve">incidentally </w:t>
      </w:r>
      <w:r w:rsidR="00D60C7D">
        <w:rPr>
          <w:rFonts w:cstheme="minorHAnsi"/>
          <w:lang w:eastAsia="en-GB"/>
        </w:rPr>
        <w:t xml:space="preserve">- </w:t>
      </w:r>
      <w:r w:rsidR="00B21E9E" w:rsidRPr="007C5FD5">
        <w:rPr>
          <w:rFonts w:cstheme="minorHAnsi"/>
          <w:lang w:eastAsia="en-GB"/>
        </w:rPr>
        <w:t>sheltered</w:t>
      </w:r>
      <w:r w:rsidR="008A31E7" w:rsidRPr="007C5FD5">
        <w:rPr>
          <w:rFonts w:cstheme="minorHAnsi"/>
          <w:lang w:eastAsia="en-GB"/>
        </w:rPr>
        <w:t xml:space="preserve"> </w:t>
      </w:r>
      <w:r w:rsidR="003572D2" w:rsidRPr="007C5FD5">
        <w:rPr>
          <w:rFonts w:cstheme="minorHAnsi"/>
          <w:lang w:eastAsia="en-GB"/>
        </w:rPr>
        <w:t>the daughter’s parallel</w:t>
      </w:r>
      <w:r w:rsidR="008A31E7" w:rsidRPr="007C5FD5">
        <w:rPr>
          <w:rFonts w:cstheme="minorHAnsi"/>
          <w:lang w:eastAsia="en-GB"/>
        </w:rPr>
        <w:t xml:space="preserve"> confidentialitie</w:t>
      </w:r>
      <w:r w:rsidR="003572D2" w:rsidRPr="007C5FD5">
        <w:rPr>
          <w:rFonts w:cstheme="minorHAnsi"/>
          <w:lang w:eastAsia="en-GB"/>
        </w:rPr>
        <w:t>s</w:t>
      </w:r>
      <w:r w:rsidR="00B21E9E" w:rsidRPr="007C5FD5">
        <w:rPr>
          <w:rFonts w:cstheme="minorHAnsi"/>
          <w:lang w:eastAsia="en-GB"/>
        </w:rPr>
        <w:t>.</w:t>
      </w:r>
    </w:p>
    <w:p w14:paraId="15FA1D34" w14:textId="77777777" w:rsidR="002D1C68" w:rsidRPr="007C5FD5" w:rsidRDefault="002D1C68" w:rsidP="00FD77D8">
      <w:pPr>
        <w:spacing w:after="0" w:line="240" w:lineRule="auto"/>
        <w:jc w:val="both"/>
        <w:rPr>
          <w:rFonts w:cstheme="minorHAnsi"/>
          <w:lang w:eastAsia="en-GB"/>
        </w:rPr>
      </w:pPr>
    </w:p>
    <w:p w14:paraId="1B400844" w14:textId="24F701E1" w:rsidR="008733BD" w:rsidRPr="007C5FD5" w:rsidRDefault="004410B0" w:rsidP="00FD77D8">
      <w:pPr>
        <w:spacing w:after="0" w:line="240" w:lineRule="auto"/>
        <w:jc w:val="both"/>
        <w:rPr>
          <w:rFonts w:cstheme="minorHAnsi"/>
          <w:lang w:eastAsia="en-GB"/>
        </w:rPr>
      </w:pPr>
      <w:r w:rsidRPr="007C5FD5">
        <w:rPr>
          <w:rFonts w:cstheme="minorHAnsi"/>
          <w:lang w:eastAsia="en-GB"/>
        </w:rPr>
        <w:t>The alternative</w:t>
      </w:r>
      <w:r w:rsidR="00E7525B" w:rsidRPr="007C5FD5">
        <w:rPr>
          <w:rFonts w:cstheme="minorHAnsi"/>
          <w:lang w:eastAsia="en-GB"/>
        </w:rPr>
        <w:t xml:space="preserve"> </w:t>
      </w:r>
      <w:r w:rsidR="00DB6695" w:rsidRPr="007C5FD5">
        <w:rPr>
          <w:rFonts w:cstheme="minorHAnsi"/>
          <w:lang w:eastAsia="en-GB"/>
        </w:rPr>
        <w:t xml:space="preserve">market-based ordering </w:t>
      </w:r>
      <w:r w:rsidR="003F10EA" w:rsidRPr="007C5FD5">
        <w:rPr>
          <w:rFonts w:cstheme="minorHAnsi"/>
          <w:lang w:eastAsia="en-GB"/>
        </w:rPr>
        <w:t>enshrined in</w:t>
      </w:r>
      <w:r w:rsidR="00DB6695" w:rsidRPr="007C5FD5">
        <w:rPr>
          <w:rFonts w:cstheme="minorHAnsi"/>
          <w:lang w:eastAsia="en-GB"/>
        </w:rPr>
        <w:t xml:space="preserve"> the </w:t>
      </w:r>
      <w:r w:rsidR="00F07718" w:rsidRPr="007C5FD5">
        <w:rPr>
          <w:rFonts w:cstheme="minorHAnsi"/>
          <w:i/>
          <w:iCs/>
        </w:rPr>
        <w:t>Revised U</w:t>
      </w:r>
      <w:r w:rsidR="00BA6C33" w:rsidRPr="007C5FD5">
        <w:rPr>
          <w:rFonts w:cstheme="minorHAnsi"/>
          <w:i/>
          <w:iCs/>
        </w:rPr>
        <w:t>niform Fiduciary Access to Digital Assets Act</w:t>
      </w:r>
      <w:r w:rsidR="00BA6C33" w:rsidRPr="007C5FD5">
        <w:rPr>
          <w:rFonts w:cstheme="minorHAnsi"/>
        </w:rPr>
        <w:t xml:space="preserve"> (2015) </w:t>
      </w:r>
      <w:r w:rsidR="00DB6695" w:rsidRPr="007C5FD5">
        <w:rPr>
          <w:rFonts w:cstheme="minorHAnsi"/>
        </w:rPr>
        <w:t>leaves the digital assets</w:t>
      </w:r>
      <w:r w:rsidR="00D63821" w:rsidRPr="007C5FD5">
        <w:rPr>
          <w:rFonts w:cstheme="minorHAnsi"/>
        </w:rPr>
        <w:t xml:space="preserve"> of deceased</w:t>
      </w:r>
      <w:r w:rsidR="00DB6695" w:rsidRPr="007C5FD5">
        <w:rPr>
          <w:rFonts w:cstheme="minorHAnsi"/>
        </w:rPr>
        <w:t xml:space="preserve"> </w:t>
      </w:r>
      <w:r w:rsidR="00D63821" w:rsidRPr="007C5FD5">
        <w:rPr>
          <w:rFonts w:cstheme="minorHAnsi"/>
        </w:rPr>
        <w:t>user</w:t>
      </w:r>
      <w:r w:rsidR="008733BD" w:rsidRPr="007C5FD5">
        <w:rPr>
          <w:rFonts w:cstheme="minorHAnsi"/>
        </w:rPr>
        <w:t>s</w:t>
      </w:r>
      <w:r w:rsidR="00AE418E" w:rsidRPr="007C5FD5">
        <w:rPr>
          <w:rFonts w:cstheme="minorHAnsi"/>
        </w:rPr>
        <w:t>,</w:t>
      </w:r>
      <w:r w:rsidR="00D63821" w:rsidRPr="007C5FD5">
        <w:rPr>
          <w:rFonts w:cstheme="minorHAnsi"/>
        </w:rPr>
        <w:t xml:space="preserve"> </w:t>
      </w:r>
      <w:r w:rsidR="00DB6695" w:rsidRPr="007C5FD5">
        <w:rPr>
          <w:rFonts w:cstheme="minorHAnsi"/>
        </w:rPr>
        <w:t>by default</w:t>
      </w:r>
      <w:r w:rsidR="00AE418E" w:rsidRPr="007C5FD5">
        <w:rPr>
          <w:rFonts w:cstheme="minorHAnsi"/>
        </w:rPr>
        <w:t>,</w:t>
      </w:r>
      <w:r w:rsidR="00DB6695" w:rsidRPr="007C5FD5">
        <w:rPr>
          <w:rFonts w:cstheme="minorHAnsi"/>
        </w:rPr>
        <w:t xml:space="preserve"> in </w:t>
      </w:r>
      <w:r w:rsidR="00AE418E" w:rsidRPr="007C5FD5">
        <w:rPr>
          <w:rFonts w:cstheme="minorHAnsi"/>
        </w:rPr>
        <w:t>the hands</w:t>
      </w:r>
      <w:r w:rsidR="00DB6695" w:rsidRPr="007C5FD5">
        <w:rPr>
          <w:rFonts w:cstheme="minorHAnsi"/>
        </w:rPr>
        <w:t xml:space="preserve"> of platform</w:t>
      </w:r>
      <w:r w:rsidR="00D63821" w:rsidRPr="007C5FD5">
        <w:rPr>
          <w:rFonts w:cstheme="minorHAnsi"/>
        </w:rPr>
        <w:t>s as their</w:t>
      </w:r>
      <w:r w:rsidR="00DB6695" w:rsidRPr="007C5FD5">
        <w:rPr>
          <w:rFonts w:cstheme="minorHAnsi"/>
        </w:rPr>
        <w:t xml:space="preserve"> custodian</w:t>
      </w:r>
      <w:r w:rsidR="00D63821" w:rsidRPr="007C5FD5">
        <w:rPr>
          <w:rFonts w:cstheme="minorHAnsi"/>
        </w:rPr>
        <w:t>s</w:t>
      </w:r>
      <w:r w:rsidR="007C5214" w:rsidRPr="007C5FD5">
        <w:rPr>
          <w:rFonts w:cstheme="minorHAnsi"/>
        </w:rPr>
        <w:t>. As the Act is</w:t>
      </w:r>
      <w:r w:rsidR="00DB6695" w:rsidRPr="007C5FD5">
        <w:rPr>
          <w:rFonts w:cstheme="minorHAnsi"/>
        </w:rPr>
        <w:t xml:space="preserve"> silen</w:t>
      </w:r>
      <w:r w:rsidR="007C5214" w:rsidRPr="007C5FD5">
        <w:rPr>
          <w:rFonts w:cstheme="minorHAnsi"/>
        </w:rPr>
        <w:t>t</w:t>
      </w:r>
      <w:r w:rsidR="00DB6695" w:rsidRPr="007C5FD5">
        <w:rPr>
          <w:rFonts w:cstheme="minorHAnsi"/>
        </w:rPr>
        <w:t xml:space="preserve"> on </w:t>
      </w:r>
      <w:r w:rsidR="007943FA" w:rsidRPr="007C5FD5">
        <w:rPr>
          <w:rFonts w:cstheme="minorHAnsi"/>
        </w:rPr>
        <w:t xml:space="preserve">the </w:t>
      </w:r>
      <w:r w:rsidR="00D63821" w:rsidRPr="007C5FD5">
        <w:rPr>
          <w:rFonts w:cstheme="minorHAnsi"/>
        </w:rPr>
        <w:t xml:space="preserve">custodian </w:t>
      </w:r>
      <w:r w:rsidR="00DB6695" w:rsidRPr="007C5FD5">
        <w:rPr>
          <w:rFonts w:cstheme="minorHAnsi"/>
        </w:rPr>
        <w:t>duties</w:t>
      </w:r>
      <w:r w:rsidR="00AE418E" w:rsidRPr="007C5FD5">
        <w:rPr>
          <w:rFonts w:cstheme="minorHAnsi"/>
        </w:rPr>
        <w:t xml:space="preserve"> </w:t>
      </w:r>
      <w:r w:rsidR="007943FA" w:rsidRPr="007C5FD5">
        <w:rPr>
          <w:rFonts w:cstheme="minorHAnsi"/>
        </w:rPr>
        <w:t xml:space="preserve">of the platform </w:t>
      </w:r>
      <w:r w:rsidR="00F71DF1" w:rsidRPr="007C5FD5">
        <w:rPr>
          <w:rFonts w:cstheme="minorHAnsi"/>
        </w:rPr>
        <w:t>–</w:t>
      </w:r>
      <w:r w:rsidR="008027FD" w:rsidRPr="007C5FD5">
        <w:rPr>
          <w:rFonts w:cstheme="minorHAnsi"/>
        </w:rPr>
        <w:t xml:space="preserve"> </w:t>
      </w:r>
      <w:r w:rsidR="00F15417" w:rsidRPr="007C5FD5">
        <w:rPr>
          <w:rFonts w:cstheme="minorHAnsi"/>
        </w:rPr>
        <w:t>such as</w:t>
      </w:r>
      <w:r w:rsidR="001C2053" w:rsidRPr="007C5FD5">
        <w:rPr>
          <w:rFonts w:cstheme="minorHAnsi"/>
        </w:rPr>
        <w:t xml:space="preserve"> fiduciary duties</w:t>
      </w:r>
      <w:r w:rsidR="001C2053" w:rsidRPr="007C5FD5">
        <w:rPr>
          <w:rStyle w:val="FootnoteReference"/>
          <w:rFonts w:cstheme="minorHAnsi"/>
        </w:rPr>
        <w:footnoteReference w:id="105"/>
      </w:r>
      <w:r w:rsidR="008027FD" w:rsidRPr="007C5FD5">
        <w:rPr>
          <w:rFonts w:cstheme="minorHAnsi"/>
        </w:rPr>
        <w:t xml:space="preserve"> or data protection duties</w:t>
      </w:r>
      <w:r w:rsidR="00AE418E" w:rsidRPr="007C5FD5">
        <w:rPr>
          <w:rFonts w:cstheme="minorHAnsi"/>
        </w:rPr>
        <w:t xml:space="preserve"> </w:t>
      </w:r>
      <w:r w:rsidR="006E2B54" w:rsidRPr="007C5FD5">
        <w:rPr>
          <w:rFonts w:cstheme="minorHAnsi"/>
        </w:rPr>
        <w:t>of</w:t>
      </w:r>
      <w:r w:rsidR="00AE418E" w:rsidRPr="007C5FD5">
        <w:rPr>
          <w:rFonts w:cstheme="minorHAnsi"/>
        </w:rPr>
        <w:t xml:space="preserve"> </w:t>
      </w:r>
      <w:r w:rsidR="002D1C68" w:rsidRPr="007C5FD5">
        <w:rPr>
          <w:rFonts w:cstheme="minorHAnsi"/>
        </w:rPr>
        <w:t xml:space="preserve">purpose or </w:t>
      </w:r>
      <w:r w:rsidR="00AE418E" w:rsidRPr="007C5FD5">
        <w:rPr>
          <w:rFonts w:cstheme="minorHAnsi"/>
        </w:rPr>
        <w:t xml:space="preserve">storage limitation - </w:t>
      </w:r>
      <w:r w:rsidR="008733BD" w:rsidRPr="007C5FD5">
        <w:rPr>
          <w:rFonts w:cstheme="minorHAnsi"/>
        </w:rPr>
        <w:t xml:space="preserve">it </w:t>
      </w:r>
      <w:r w:rsidR="001C2053" w:rsidRPr="007C5FD5">
        <w:rPr>
          <w:rFonts w:cstheme="minorHAnsi"/>
        </w:rPr>
        <w:t>both</w:t>
      </w:r>
      <w:r w:rsidR="008733BD" w:rsidRPr="007C5FD5">
        <w:rPr>
          <w:rFonts w:cstheme="minorHAnsi"/>
        </w:rPr>
        <w:t xml:space="preserve"> actualise</w:t>
      </w:r>
      <w:r w:rsidR="001C2053" w:rsidRPr="007C5FD5">
        <w:rPr>
          <w:rFonts w:cstheme="minorHAnsi"/>
        </w:rPr>
        <w:t>s</w:t>
      </w:r>
      <w:r w:rsidR="008733BD" w:rsidRPr="007C5FD5">
        <w:rPr>
          <w:rFonts w:cstheme="minorHAnsi"/>
        </w:rPr>
        <w:t xml:space="preserve"> the narrow construction of privacy as property</w:t>
      </w:r>
      <w:r w:rsidR="001C2053" w:rsidRPr="007C5FD5">
        <w:rPr>
          <w:rFonts w:cstheme="minorHAnsi"/>
        </w:rPr>
        <w:t xml:space="preserve"> </w:t>
      </w:r>
      <w:r w:rsidR="00AE418E" w:rsidRPr="007C5FD5">
        <w:rPr>
          <w:rFonts w:cstheme="minorHAnsi"/>
        </w:rPr>
        <w:t xml:space="preserve">as a disposable commodity </w:t>
      </w:r>
      <w:r w:rsidR="001C2053" w:rsidRPr="007C5FD5">
        <w:rPr>
          <w:rFonts w:cstheme="minorHAnsi"/>
        </w:rPr>
        <w:t xml:space="preserve">and </w:t>
      </w:r>
      <w:r w:rsidR="008733BD" w:rsidRPr="007C5FD5">
        <w:rPr>
          <w:rFonts w:cstheme="minorHAnsi"/>
        </w:rPr>
        <w:t>dissipates</w:t>
      </w:r>
      <w:r w:rsidR="001C2053" w:rsidRPr="007C5FD5">
        <w:rPr>
          <w:rFonts w:cstheme="minorHAnsi"/>
        </w:rPr>
        <w:t xml:space="preserve"> </w:t>
      </w:r>
      <w:r w:rsidR="00AE418E" w:rsidRPr="007C5FD5">
        <w:rPr>
          <w:rFonts w:cstheme="minorHAnsi"/>
        </w:rPr>
        <w:t xml:space="preserve">its </w:t>
      </w:r>
      <w:r w:rsidR="008027FD" w:rsidRPr="007C5FD5">
        <w:rPr>
          <w:rFonts w:cstheme="minorHAnsi"/>
        </w:rPr>
        <w:t xml:space="preserve">meaning in </w:t>
      </w:r>
      <w:r w:rsidR="001C2053" w:rsidRPr="007C5FD5">
        <w:rPr>
          <w:rFonts w:cstheme="minorHAnsi"/>
        </w:rPr>
        <w:t>the</w:t>
      </w:r>
      <w:r w:rsidR="00AE418E" w:rsidRPr="007C5FD5">
        <w:rPr>
          <w:rFonts w:cstheme="minorHAnsi"/>
        </w:rPr>
        <w:t xml:space="preserve"> </w:t>
      </w:r>
      <w:r w:rsidR="001C2053" w:rsidRPr="007C5FD5">
        <w:rPr>
          <w:rFonts w:cstheme="minorHAnsi"/>
        </w:rPr>
        <w:t xml:space="preserve">process. </w:t>
      </w:r>
      <w:r w:rsidRPr="007C5FD5">
        <w:rPr>
          <w:rFonts w:cstheme="minorHAnsi"/>
        </w:rPr>
        <w:t xml:space="preserve">Privacy as a </w:t>
      </w:r>
      <w:r w:rsidR="00805785" w:rsidRPr="007C5FD5">
        <w:rPr>
          <w:rFonts w:cstheme="minorHAnsi"/>
        </w:rPr>
        <w:t xml:space="preserve">legal right </w:t>
      </w:r>
      <w:r w:rsidR="00AE418E" w:rsidRPr="007C5FD5">
        <w:rPr>
          <w:rFonts w:cstheme="minorHAnsi"/>
        </w:rPr>
        <w:t>is</w:t>
      </w:r>
      <w:r w:rsidR="00B21E9E" w:rsidRPr="007C5FD5">
        <w:rPr>
          <w:rFonts w:cstheme="minorHAnsi"/>
        </w:rPr>
        <w:t xml:space="preserve"> effectively</w:t>
      </w:r>
      <w:r w:rsidR="00AE418E" w:rsidRPr="007C5FD5">
        <w:rPr>
          <w:rFonts w:cstheme="minorHAnsi"/>
        </w:rPr>
        <w:t xml:space="preserve"> lost</w:t>
      </w:r>
      <w:r w:rsidR="00B21E9E" w:rsidRPr="007C5FD5">
        <w:rPr>
          <w:rFonts w:cstheme="minorHAnsi"/>
        </w:rPr>
        <w:t xml:space="preserve"> upon death</w:t>
      </w:r>
      <w:r w:rsidRPr="007C5FD5">
        <w:rPr>
          <w:rFonts w:cstheme="minorHAnsi"/>
        </w:rPr>
        <w:t>,</w:t>
      </w:r>
      <w:r w:rsidR="00E7525B" w:rsidRPr="007C5FD5">
        <w:rPr>
          <w:rFonts w:cstheme="minorHAnsi"/>
        </w:rPr>
        <w:t xml:space="preserve"> and</w:t>
      </w:r>
      <w:r w:rsidRPr="007C5FD5">
        <w:rPr>
          <w:rFonts w:cstheme="minorHAnsi"/>
        </w:rPr>
        <w:t xml:space="preserve"> privacy as a fact ma</w:t>
      </w:r>
      <w:r w:rsidR="00F71DF1" w:rsidRPr="007C5FD5">
        <w:rPr>
          <w:rFonts w:cstheme="minorHAnsi"/>
        </w:rPr>
        <w:t>y or may not continue</w:t>
      </w:r>
      <w:r w:rsidR="002D1C68" w:rsidRPr="007C5FD5">
        <w:rPr>
          <w:rFonts w:cstheme="minorHAnsi"/>
        </w:rPr>
        <w:t xml:space="preserve"> depending on the market-driven decisions of the platform</w:t>
      </w:r>
      <w:r w:rsidR="006E2B54" w:rsidRPr="007C5FD5">
        <w:rPr>
          <w:rFonts w:cstheme="minorHAnsi"/>
        </w:rPr>
        <w:t>s</w:t>
      </w:r>
      <w:r w:rsidR="003572D2" w:rsidRPr="007C5FD5">
        <w:rPr>
          <w:rFonts w:cstheme="minorHAnsi"/>
        </w:rPr>
        <w:t xml:space="preserve"> vis-à-vis </w:t>
      </w:r>
      <w:r w:rsidR="00805785" w:rsidRPr="007C5FD5">
        <w:rPr>
          <w:rFonts w:cstheme="minorHAnsi"/>
        </w:rPr>
        <w:t>its users</w:t>
      </w:r>
      <w:r w:rsidR="00A442C3" w:rsidRPr="007C5FD5">
        <w:rPr>
          <w:rFonts w:cstheme="minorHAnsi"/>
        </w:rPr>
        <w:t xml:space="preserve">, as </w:t>
      </w:r>
      <w:r w:rsidR="003572D2" w:rsidRPr="007C5FD5">
        <w:rPr>
          <w:rFonts w:cstheme="minorHAnsi"/>
        </w:rPr>
        <w:t>enshrined</w:t>
      </w:r>
      <w:r w:rsidR="00A442C3" w:rsidRPr="007C5FD5">
        <w:rPr>
          <w:rFonts w:cstheme="minorHAnsi"/>
        </w:rPr>
        <w:t xml:space="preserve"> in its terms of</w:t>
      </w:r>
      <w:r w:rsidR="006E2B54" w:rsidRPr="007C5FD5">
        <w:rPr>
          <w:rFonts w:cstheme="minorHAnsi"/>
        </w:rPr>
        <w:t xml:space="preserve"> service</w:t>
      </w:r>
      <w:r w:rsidR="00A442C3" w:rsidRPr="007C5FD5">
        <w:rPr>
          <w:rFonts w:cstheme="minorHAnsi"/>
        </w:rPr>
        <w:t>.</w:t>
      </w:r>
    </w:p>
    <w:p w14:paraId="50FDD4BA" w14:textId="77777777" w:rsidR="00F07718" w:rsidRPr="007C5FD5" w:rsidRDefault="00F07718" w:rsidP="00FD77D8">
      <w:pPr>
        <w:spacing w:after="0" w:line="240" w:lineRule="auto"/>
        <w:jc w:val="both"/>
        <w:rPr>
          <w:rFonts w:cstheme="minorHAnsi"/>
        </w:rPr>
      </w:pPr>
    </w:p>
    <w:p w14:paraId="48B6B021" w14:textId="1E19B4BB" w:rsidR="00D82B6C" w:rsidRPr="007C5FD5" w:rsidRDefault="00014714" w:rsidP="00FD77D8">
      <w:pPr>
        <w:spacing w:after="0" w:line="240" w:lineRule="auto"/>
        <w:jc w:val="both"/>
        <w:rPr>
          <w:rFonts w:cstheme="minorHAnsi"/>
        </w:rPr>
      </w:pPr>
      <w:r w:rsidRPr="007C5FD5">
        <w:rPr>
          <w:rFonts w:cstheme="minorHAnsi"/>
          <w:u w:val="single"/>
        </w:rPr>
        <w:t>Privacy</w:t>
      </w:r>
      <w:r w:rsidR="00E75322" w:rsidRPr="007C5FD5">
        <w:rPr>
          <w:rFonts w:cstheme="minorHAnsi"/>
          <w:u w:val="single"/>
        </w:rPr>
        <w:t xml:space="preserve"> </w:t>
      </w:r>
      <w:r w:rsidR="007579FB" w:rsidRPr="007C5FD5">
        <w:rPr>
          <w:rFonts w:cstheme="minorHAnsi"/>
          <w:u w:val="single"/>
        </w:rPr>
        <w:t>based on</w:t>
      </w:r>
      <w:r w:rsidR="00E75322" w:rsidRPr="007C5FD5">
        <w:rPr>
          <w:rFonts w:cstheme="minorHAnsi"/>
          <w:u w:val="single"/>
        </w:rPr>
        <w:t xml:space="preserve"> </w:t>
      </w:r>
      <w:r w:rsidR="008A30D7">
        <w:rPr>
          <w:rFonts w:cstheme="minorHAnsi"/>
          <w:u w:val="single"/>
        </w:rPr>
        <w:t xml:space="preserve">embodied </w:t>
      </w:r>
      <w:r w:rsidRPr="007C5FD5">
        <w:rPr>
          <w:rFonts w:cstheme="minorHAnsi"/>
          <w:u w:val="single"/>
        </w:rPr>
        <w:t>vulnerability</w:t>
      </w:r>
      <w:r w:rsidRPr="007C5FD5">
        <w:rPr>
          <w:rFonts w:cstheme="minorHAnsi"/>
        </w:rPr>
        <w:t xml:space="preserve">. </w:t>
      </w:r>
      <w:r w:rsidR="00826313" w:rsidRPr="007C5FD5">
        <w:rPr>
          <w:rFonts w:cstheme="minorHAnsi"/>
        </w:rPr>
        <w:t xml:space="preserve"> Despite variations in Western constructions of privacy</w:t>
      </w:r>
      <w:r w:rsidR="00E63AF0" w:rsidRPr="007C5FD5">
        <w:rPr>
          <w:rFonts w:cstheme="minorHAnsi"/>
        </w:rPr>
        <w:t xml:space="preserve"> embedded in</w:t>
      </w:r>
      <w:r w:rsidR="006E3F00" w:rsidRPr="007C5FD5">
        <w:rPr>
          <w:rFonts w:cstheme="minorHAnsi"/>
        </w:rPr>
        <w:t xml:space="preserve"> distinct</w:t>
      </w:r>
      <w:r w:rsidR="00E63AF0" w:rsidRPr="007C5FD5">
        <w:rPr>
          <w:rFonts w:cstheme="minorHAnsi"/>
        </w:rPr>
        <w:t xml:space="preserve"> social </w:t>
      </w:r>
      <w:r w:rsidR="006E3F00" w:rsidRPr="007C5FD5">
        <w:rPr>
          <w:rFonts w:cstheme="minorHAnsi"/>
        </w:rPr>
        <w:t>and</w:t>
      </w:r>
      <w:r w:rsidR="00E63AF0" w:rsidRPr="007C5FD5">
        <w:rPr>
          <w:rFonts w:cstheme="minorHAnsi"/>
        </w:rPr>
        <w:t xml:space="preserve"> cultural histories</w:t>
      </w:r>
      <w:r w:rsidR="00444B0E" w:rsidRPr="007C5FD5">
        <w:rPr>
          <w:rFonts w:cstheme="minorHAnsi"/>
        </w:rPr>
        <w:t>,</w:t>
      </w:r>
      <w:r w:rsidR="00826313" w:rsidRPr="007C5FD5">
        <w:rPr>
          <w:rStyle w:val="FootnoteReference"/>
          <w:rFonts w:cstheme="minorHAnsi"/>
        </w:rPr>
        <w:footnoteReference w:id="106"/>
      </w:r>
      <w:r w:rsidR="00444B0E" w:rsidRPr="007C5FD5">
        <w:rPr>
          <w:rFonts w:cstheme="minorHAnsi"/>
        </w:rPr>
        <w:t xml:space="preserve"> </w:t>
      </w:r>
      <w:r w:rsidR="00826313" w:rsidRPr="007C5FD5">
        <w:rPr>
          <w:rFonts w:cstheme="minorHAnsi"/>
        </w:rPr>
        <w:t xml:space="preserve">information privacy is broadly underwritten by the </w:t>
      </w:r>
      <w:r w:rsidR="001D0EA0" w:rsidRPr="007C5FD5">
        <w:rPr>
          <w:rFonts w:cstheme="minorHAnsi"/>
        </w:rPr>
        <w:t>idea</w:t>
      </w:r>
      <w:r w:rsidR="006F0A11" w:rsidRPr="007C5FD5">
        <w:rPr>
          <w:rFonts w:cstheme="minorHAnsi"/>
        </w:rPr>
        <w:t xml:space="preserve"> of</w:t>
      </w:r>
      <w:r w:rsidR="00DF2C65" w:rsidRPr="007C5FD5">
        <w:rPr>
          <w:rFonts w:cstheme="minorHAnsi"/>
        </w:rPr>
        <w:t xml:space="preserve"> vulnerability</w:t>
      </w:r>
      <w:r w:rsidR="007D61EE" w:rsidRPr="007C5FD5">
        <w:rPr>
          <w:rFonts w:cstheme="minorHAnsi"/>
        </w:rPr>
        <w:t xml:space="preserve"> </w:t>
      </w:r>
      <w:r w:rsidR="00826313" w:rsidRPr="007C5FD5">
        <w:rPr>
          <w:rFonts w:cstheme="minorHAnsi"/>
        </w:rPr>
        <w:t xml:space="preserve">or </w:t>
      </w:r>
      <w:r w:rsidR="0085552B" w:rsidRPr="007C5FD5">
        <w:rPr>
          <w:rFonts w:cstheme="minorHAnsi"/>
        </w:rPr>
        <w:t>shielding</w:t>
      </w:r>
      <w:r w:rsidR="008E306F" w:rsidRPr="007C5FD5">
        <w:rPr>
          <w:rFonts w:cstheme="minorHAnsi"/>
        </w:rPr>
        <w:t xml:space="preserve"> </w:t>
      </w:r>
      <w:r w:rsidR="006F0A11" w:rsidRPr="007C5FD5">
        <w:rPr>
          <w:rFonts w:cstheme="minorHAnsi"/>
        </w:rPr>
        <w:t>individuals</w:t>
      </w:r>
      <w:r w:rsidR="00E63AF0" w:rsidRPr="007C5FD5">
        <w:rPr>
          <w:rFonts w:cstheme="minorHAnsi"/>
        </w:rPr>
        <w:t xml:space="preserve"> </w:t>
      </w:r>
      <w:r w:rsidR="006F0A11" w:rsidRPr="007C5FD5">
        <w:rPr>
          <w:rFonts w:cstheme="minorHAnsi"/>
        </w:rPr>
        <w:t xml:space="preserve">from </w:t>
      </w:r>
      <w:r w:rsidR="00DF2C65" w:rsidRPr="007C5FD5">
        <w:rPr>
          <w:rFonts w:cstheme="minorHAnsi"/>
        </w:rPr>
        <w:t>the harsh</w:t>
      </w:r>
      <w:r w:rsidR="00E53CD4" w:rsidRPr="007C5FD5">
        <w:rPr>
          <w:rFonts w:cstheme="minorHAnsi"/>
        </w:rPr>
        <w:t xml:space="preserve"> </w:t>
      </w:r>
      <w:r w:rsidR="00DF2C65" w:rsidRPr="007C5FD5">
        <w:rPr>
          <w:rFonts w:cstheme="minorHAnsi"/>
        </w:rPr>
        <w:t>light of public exposure</w:t>
      </w:r>
      <w:r w:rsidR="006F1B3F" w:rsidRPr="007C5FD5">
        <w:rPr>
          <w:rFonts w:cstheme="minorHAnsi"/>
        </w:rPr>
        <w:t>.</w:t>
      </w:r>
      <w:r w:rsidR="006F1B3F" w:rsidRPr="007C5FD5">
        <w:rPr>
          <w:rStyle w:val="FootnoteReference"/>
          <w:rFonts w:cstheme="minorHAnsi"/>
        </w:rPr>
        <w:footnoteReference w:id="107"/>
      </w:r>
      <w:r w:rsidR="006F1B3F" w:rsidRPr="007C5FD5">
        <w:rPr>
          <w:rFonts w:cstheme="minorHAnsi"/>
        </w:rPr>
        <w:t xml:space="preserve"> </w:t>
      </w:r>
      <w:r w:rsidR="00B05568" w:rsidRPr="007C5FD5">
        <w:rPr>
          <w:rFonts w:cstheme="minorHAnsi"/>
        </w:rPr>
        <w:t xml:space="preserve">As such, </w:t>
      </w:r>
      <w:r w:rsidR="00826313" w:rsidRPr="007C5FD5">
        <w:rPr>
          <w:rFonts w:cstheme="minorHAnsi"/>
        </w:rPr>
        <w:t>it makes</w:t>
      </w:r>
      <w:r w:rsidR="00197D84" w:rsidRPr="007C5FD5">
        <w:rPr>
          <w:rFonts w:cstheme="minorHAnsi"/>
        </w:rPr>
        <w:t xml:space="preserve"> a good fit with the</w:t>
      </w:r>
      <w:r w:rsidR="001D0EA0" w:rsidRPr="007C5FD5">
        <w:rPr>
          <w:rFonts w:cstheme="minorHAnsi"/>
        </w:rPr>
        <w:t xml:space="preserve"> concept</w:t>
      </w:r>
      <w:r w:rsidR="00197D84" w:rsidRPr="007C5FD5">
        <w:rPr>
          <w:rFonts w:cstheme="minorHAnsi"/>
        </w:rPr>
        <w:t xml:space="preserve"> of</w:t>
      </w:r>
      <w:r w:rsidR="00265DA3" w:rsidRPr="007C5FD5">
        <w:rPr>
          <w:rFonts w:cstheme="minorHAnsi"/>
        </w:rPr>
        <w:t xml:space="preserve"> </w:t>
      </w:r>
      <w:r w:rsidR="00A75ED4" w:rsidRPr="007C5FD5">
        <w:rPr>
          <w:rFonts w:cstheme="minorHAnsi"/>
        </w:rPr>
        <w:t>‘</w:t>
      </w:r>
      <w:r w:rsidR="00265DA3" w:rsidRPr="007C5FD5">
        <w:rPr>
          <w:rFonts w:cstheme="minorHAnsi"/>
        </w:rPr>
        <w:t>e</w:t>
      </w:r>
      <w:r w:rsidR="00A75ED4" w:rsidRPr="007C5FD5">
        <w:rPr>
          <w:rFonts w:cstheme="minorHAnsi"/>
        </w:rPr>
        <w:t xml:space="preserve">mbodied vulnerability’ </w:t>
      </w:r>
      <w:r w:rsidR="00197D84" w:rsidRPr="007C5FD5">
        <w:rPr>
          <w:rFonts w:cstheme="minorHAnsi"/>
        </w:rPr>
        <w:t xml:space="preserve">that </w:t>
      </w:r>
      <w:r w:rsidR="00A75ED4" w:rsidRPr="007C5FD5">
        <w:rPr>
          <w:rFonts w:cstheme="minorHAnsi"/>
        </w:rPr>
        <w:t xml:space="preserve">has in </w:t>
      </w:r>
      <w:r w:rsidR="00033EA5" w:rsidRPr="007C5FD5">
        <w:rPr>
          <w:rFonts w:cstheme="minorHAnsi"/>
        </w:rPr>
        <w:t>r</w:t>
      </w:r>
      <w:r w:rsidR="006F0A11" w:rsidRPr="007C5FD5">
        <w:rPr>
          <w:rFonts w:cstheme="minorHAnsi"/>
        </w:rPr>
        <w:t xml:space="preserve">ecent </w:t>
      </w:r>
      <w:r w:rsidR="00AE418E" w:rsidRPr="007C5FD5">
        <w:rPr>
          <w:rFonts w:cstheme="minorHAnsi"/>
        </w:rPr>
        <w:t xml:space="preserve">human </w:t>
      </w:r>
      <w:r w:rsidR="00A27A5C" w:rsidRPr="007C5FD5">
        <w:rPr>
          <w:rFonts w:cstheme="minorHAnsi"/>
        </w:rPr>
        <w:t xml:space="preserve">rights </w:t>
      </w:r>
      <w:r w:rsidR="006F0A11" w:rsidRPr="007C5FD5">
        <w:rPr>
          <w:rFonts w:cstheme="minorHAnsi"/>
        </w:rPr>
        <w:t>discourse</w:t>
      </w:r>
      <w:r w:rsidR="00700E41" w:rsidRPr="007C5FD5">
        <w:rPr>
          <w:rFonts w:cstheme="minorHAnsi"/>
        </w:rPr>
        <w:t xml:space="preserve"> </w:t>
      </w:r>
      <w:r w:rsidR="00E44F62" w:rsidRPr="007C5FD5">
        <w:rPr>
          <w:rFonts w:cstheme="minorHAnsi"/>
        </w:rPr>
        <w:t xml:space="preserve">been </w:t>
      </w:r>
      <w:r w:rsidR="00700E41" w:rsidRPr="007C5FD5">
        <w:rPr>
          <w:rFonts w:cstheme="minorHAnsi"/>
        </w:rPr>
        <w:t>posited as</w:t>
      </w:r>
      <w:r w:rsidR="006F0A11" w:rsidRPr="007C5FD5">
        <w:rPr>
          <w:rFonts w:cstheme="minorHAnsi"/>
        </w:rPr>
        <w:t xml:space="preserve"> the</w:t>
      </w:r>
      <w:r w:rsidR="00AE418E" w:rsidRPr="007C5FD5">
        <w:rPr>
          <w:rFonts w:cstheme="minorHAnsi"/>
        </w:rPr>
        <w:t>ir</w:t>
      </w:r>
      <w:r w:rsidR="007627A0" w:rsidRPr="007C5FD5">
        <w:rPr>
          <w:rFonts w:cstheme="minorHAnsi"/>
        </w:rPr>
        <w:t xml:space="preserve"> </w:t>
      </w:r>
      <w:r w:rsidR="006F0A11" w:rsidRPr="007C5FD5">
        <w:rPr>
          <w:rFonts w:cstheme="minorHAnsi"/>
        </w:rPr>
        <w:t>hallmark</w:t>
      </w:r>
      <w:r w:rsidR="00033EA5" w:rsidRPr="007C5FD5">
        <w:rPr>
          <w:rFonts w:cstheme="minorHAnsi"/>
        </w:rPr>
        <w:t xml:space="preserve">, justifying </w:t>
      </w:r>
      <w:r w:rsidR="00AE418E" w:rsidRPr="007C5FD5">
        <w:rPr>
          <w:rFonts w:cstheme="minorHAnsi"/>
        </w:rPr>
        <w:t>their</w:t>
      </w:r>
      <w:r w:rsidR="00033EA5" w:rsidRPr="007C5FD5">
        <w:rPr>
          <w:rFonts w:cstheme="minorHAnsi"/>
        </w:rPr>
        <w:t xml:space="preserve"> </w:t>
      </w:r>
      <w:r w:rsidR="00B26FB2" w:rsidRPr="007C5FD5">
        <w:rPr>
          <w:rFonts w:cstheme="minorHAnsi"/>
        </w:rPr>
        <w:t xml:space="preserve">claim </w:t>
      </w:r>
      <w:r w:rsidR="00E14AE2" w:rsidRPr="007C5FD5">
        <w:rPr>
          <w:rFonts w:cstheme="minorHAnsi"/>
        </w:rPr>
        <w:t xml:space="preserve">to </w:t>
      </w:r>
      <w:r w:rsidR="006F0A11" w:rsidRPr="007C5FD5">
        <w:rPr>
          <w:rFonts w:cstheme="minorHAnsi"/>
        </w:rPr>
        <w:t>universalis</w:t>
      </w:r>
      <w:r w:rsidR="00E63AF0" w:rsidRPr="007C5FD5">
        <w:rPr>
          <w:rFonts w:cstheme="minorHAnsi"/>
        </w:rPr>
        <w:t>m</w:t>
      </w:r>
      <w:r w:rsidR="006F0A11" w:rsidRPr="007C5FD5">
        <w:rPr>
          <w:rFonts w:cstheme="minorHAnsi"/>
        </w:rPr>
        <w:t xml:space="preserve">. </w:t>
      </w:r>
      <w:r w:rsidR="00A75ED4" w:rsidRPr="007C5FD5">
        <w:rPr>
          <w:rFonts w:cstheme="minorHAnsi"/>
        </w:rPr>
        <w:t xml:space="preserve">In </w:t>
      </w:r>
      <w:r w:rsidR="00A75ED4" w:rsidRPr="007C5FD5">
        <w:rPr>
          <w:rFonts w:cstheme="minorHAnsi"/>
          <w:i/>
          <w:iCs/>
        </w:rPr>
        <w:t>Vulnerability and Human Rights</w:t>
      </w:r>
      <w:r w:rsidR="00A75ED4" w:rsidRPr="007C5FD5">
        <w:rPr>
          <w:rFonts w:cstheme="minorHAnsi"/>
        </w:rPr>
        <w:t xml:space="preserve"> (2006)</w:t>
      </w:r>
      <w:r w:rsidR="00A75ED4" w:rsidRPr="007C5FD5">
        <w:rPr>
          <w:rStyle w:val="FootnoteReference"/>
          <w:rFonts w:cstheme="minorHAnsi"/>
        </w:rPr>
        <w:footnoteReference w:id="108"/>
      </w:r>
      <w:r w:rsidR="00A75ED4" w:rsidRPr="007C5FD5">
        <w:rPr>
          <w:rFonts w:cstheme="minorHAnsi"/>
        </w:rPr>
        <w:t xml:space="preserve"> sociologist Bryan Turner d</w:t>
      </w:r>
      <w:r w:rsidR="006F0A11" w:rsidRPr="007C5FD5">
        <w:rPr>
          <w:rFonts w:cstheme="minorHAnsi"/>
        </w:rPr>
        <w:t>efend</w:t>
      </w:r>
      <w:r w:rsidR="00A27A5C" w:rsidRPr="007C5FD5">
        <w:rPr>
          <w:rFonts w:cstheme="minorHAnsi"/>
        </w:rPr>
        <w:t>ed</w:t>
      </w:r>
      <w:r w:rsidR="006F0A11" w:rsidRPr="007C5FD5">
        <w:rPr>
          <w:rFonts w:cstheme="minorHAnsi"/>
        </w:rPr>
        <w:t xml:space="preserve"> </w:t>
      </w:r>
      <w:r w:rsidR="00510A5B" w:rsidRPr="007C5FD5">
        <w:rPr>
          <w:rFonts w:cstheme="minorHAnsi"/>
        </w:rPr>
        <w:t xml:space="preserve">the concept of </w:t>
      </w:r>
      <w:r w:rsidR="006F0A11" w:rsidRPr="007C5FD5">
        <w:rPr>
          <w:rFonts w:cstheme="minorHAnsi"/>
        </w:rPr>
        <w:t>human rights against</w:t>
      </w:r>
      <w:r w:rsidR="006E3F00" w:rsidRPr="007C5FD5">
        <w:rPr>
          <w:rFonts w:cstheme="minorHAnsi"/>
        </w:rPr>
        <w:t xml:space="preserve"> critiques </w:t>
      </w:r>
      <w:r w:rsidR="00510A5B" w:rsidRPr="007C5FD5">
        <w:rPr>
          <w:rFonts w:cstheme="minorHAnsi"/>
        </w:rPr>
        <w:t>by</w:t>
      </w:r>
      <w:r w:rsidR="006E3F00" w:rsidRPr="007C5FD5">
        <w:rPr>
          <w:rFonts w:cstheme="minorHAnsi"/>
        </w:rPr>
        <w:t xml:space="preserve"> </w:t>
      </w:r>
      <w:r w:rsidR="006F0A11" w:rsidRPr="007C5FD5">
        <w:rPr>
          <w:rFonts w:cstheme="minorHAnsi"/>
        </w:rPr>
        <w:t>cultural relativis</w:t>
      </w:r>
      <w:r w:rsidR="00510A5B" w:rsidRPr="007C5FD5">
        <w:rPr>
          <w:rFonts w:cstheme="minorHAnsi"/>
        </w:rPr>
        <w:t xml:space="preserve">ts: </w:t>
      </w:r>
    </w:p>
    <w:p w14:paraId="7436EDA1" w14:textId="77777777" w:rsidR="00B43C3D" w:rsidRPr="007C5FD5" w:rsidRDefault="00B43C3D" w:rsidP="00FD77D8">
      <w:pPr>
        <w:spacing w:after="0" w:line="240" w:lineRule="auto"/>
        <w:jc w:val="both"/>
        <w:rPr>
          <w:rFonts w:cstheme="minorHAnsi"/>
        </w:rPr>
      </w:pPr>
    </w:p>
    <w:p w14:paraId="51B68604" w14:textId="51F79ED4" w:rsidR="008E306F" w:rsidRPr="007C5FD5" w:rsidRDefault="00D82B6C" w:rsidP="00FD77D8">
      <w:pPr>
        <w:spacing w:after="0" w:line="240" w:lineRule="auto"/>
        <w:ind w:left="360"/>
        <w:jc w:val="both"/>
        <w:rPr>
          <w:rFonts w:cstheme="minorHAnsi"/>
        </w:rPr>
      </w:pPr>
      <w:r w:rsidRPr="007C5FD5">
        <w:rPr>
          <w:rFonts w:cstheme="minorHAnsi"/>
        </w:rPr>
        <w:t>‘</w:t>
      </w:r>
      <w:r w:rsidR="00B43C3D" w:rsidRPr="007C5FD5">
        <w:rPr>
          <w:rFonts w:cstheme="minorHAnsi"/>
        </w:rPr>
        <w:t xml:space="preserve">There is a foundation to human rights – namely our common vulnerability. </w:t>
      </w:r>
      <w:r w:rsidRPr="007C5FD5">
        <w:rPr>
          <w:rFonts w:cstheme="minorHAnsi"/>
        </w:rPr>
        <w:t>Whilst humans may not share a common culture, they are bound together by the risks and perturbations that arise from their vulnerability. Because we have a common ontological condition as vulnerable, intelligent beings, human happiness is diverse, but misery is common and uniform</w:t>
      </w:r>
      <w:r w:rsidR="00B74921" w:rsidRPr="007C5FD5">
        <w:rPr>
          <w:rFonts w:cstheme="minorHAnsi"/>
        </w:rPr>
        <w:t>.</w:t>
      </w:r>
      <w:r w:rsidR="008E306F" w:rsidRPr="007C5FD5">
        <w:rPr>
          <w:rFonts w:cstheme="minorHAnsi"/>
        </w:rPr>
        <w:t>’</w:t>
      </w:r>
      <w:r w:rsidR="008E306F" w:rsidRPr="007C5FD5">
        <w:rPr>
          <w:rStyle w:val="FootnoteReference"/>
          <w:rFonts w:cstheme="minorHAnsi"/>
        </w:rPr>
        <w:footnoteReference w:id="109"/>
      </w:r>
    </w:p>
    <w:p w14:paraId="692E7919" w14:textId="77777777" w:rsidR="00067F95" w:rsidRPr="007C5FD5" w:rsidRDefault="00067F95" w:rsidP="00FD77D8">
      <w:pPr>
        <w:spacing w:after="0" w:line="240" w:lineRule="auto"/>
        <w:jc w:val="both"/>
        <w:rPr>
          <w:rFonts w:cstheme="minorHAnsi"/>
        </w:rPr>
      </w:pPr>
    </w:p>
    <w:p w14:paraId="4D1490EB" w14:textId="3CECB278" w:rsidR="006F1B3F" w:rsidRPr="007C5FD5" w:rsidRDefault="00E63AF0" w:rsidP="00FD77D8">
      <w:pPr>
        <w:spacing w:after="0" w:line="240" w:lineRule="auto"/>
        <w:jc w:val="both"/>
        <w:rPr>
          <w:rFonts w:cstheme="minorHAnsi"/>
        </w:rPr>
      </w:pPr>
      <w:r w:rsidRPr="007C5FD5">
        <w:rPr>
          <w:rFonts w:cstheme="minorHAnsi"/>
        </w:rPr>
        <w:t>According to Turner</w:t>
      </w:r>
      <w:r w:rsidR="004D0427" w:rsidRPr="007C5FD5">
        <w:rPr>
          <w:rFonts w:cstheme="minorHAnsi"/>
        </w:rPr>
        <w:t xml:space="preserve">, </w:t>
      </w:r>
      <w:r w:rsidR="00B74921" w:rsidRPr="007C5FD5">
        <w:rPr>
          <w:rFonts w:cstheme="minorHAnsi"/>
        </w:rPr>
        <w:t xml:space="preserve">human vulnerability </w:t>
      </w:r>
      <w:r w:rsidR="00607F23" w:rsidRPr="007C5FD5">
        <w:rPr>
          <w:rFonts w:cstheme="minorHAnsi"/>
        </w:rPr>
        <w:t>arises</w:t>
      </w:r>
      <w:r w:rsidR="00B74921" w:rsidRPr="007C5FD5">
        <w:rPr>
          <w:rFonts w:cstheme="minorHAnsi"/>
        </w:rPr>
        <w:t xml:space="preserve"> </w:t>
      </w:r>
      <w:r w:rsidR="00607F23" w:rsidRPr="007C5FD5">
        <w:rPr>
          <w:rFonts w:cstheme="minorHAnsi"/>
        </w:rPr>
        <w:t>from</w:t>
      </w:r>
      <w:r w:rsidR="00B74921" w:rsidRPr="007C5FD5">
        <w:rPr>
          <w:rFonts w:cstheme="minorHAnsi"/>
        </w:rPr>
        <w:t xml:space="preserve"> the body, the mind and the ‘location within which experiences of the body and of our </w:t>
      </w:r>
      <w:r w:rsidR="00B74921" w:rsidRPr="007C5FD5">
        <w:rPr>
          <w:rFonts w:cstheme="minorHAnsi"/>
          <w:i/>
          <w:iCs/>
        </w:rPr>
        <w:t>dependencies</w:t>
      </w:r>
      <w:r w:rsidR="00B74921" w:rsidRPr="007C5FD5">
        <w:rPr>
          <w:rFonts w:cstheme="minorHAnsi"/>
        </w:rPr>
        <w:t xml:space="preserve"> of on other humans unfold.’</w:t>
      </w:r>
      <w:r w:rsidR="00B74921" w:rsidRPr="007C5FD5">
        <w:rPr>
          <w:rStyle w:val="FootnoteReference"/>
          <w:rFonts w:cstheme="minorHAnsi"/>
        </w:rPr>
        <w:footnoteReference w:id="110"/>
      </w:r>
      <w:r w:rsidR="00B74921" w:rsidRPr="007C5FD5">
        <w:rPr>
          <w:rFonts w:cstheme="minorHAnsi"/>
        </w:rPr>
        <w:t xml:space="preserve"> </w:t>
      </w:r>
      <w:r w:rsidRPr="007C5FD5">
        <w:rPr>
          <w:rFonts w:cstheme="minorHAnsi"/>
        </w:rPr>
        <w:t xml:space="preserve">By implication </w:t>
      </w:r>
      <w:r w:rsidR="006E3F00" w:rsidRPr="007C5FD5">
        <w:rPr>
          <w:rFonts w:cstheme="minorHAnsi"/>
        </w:rPr>
        <w:t>human rights</w:t>
      </w:r>
      <w:r w:rsidR="00B74921" w:rsidRPr="007C5FD5">
        <w:rPr>
          <w:rFonts w:cstheme="minorHAnsi"/>
        </w:rPr>
        <w:t xml:space="preserve"> </w:t>
      </w:r>
      <w:r w:rsidRPr="007C5FD5">
        <w:rPr>
          <w:rFonts w:cstheme="minorHAnsi"/>
        </w:rPr>
        <w:t>at</w:t>
      </w:r>
      <w:r w:rsidR="004D0427" w:rsidRPr="007C5FD5">
        <w:rPr>
          <w:rFonts w:cstheme="minorHAnsi"/>
        </w:rPr>
        <w:t>tach to</w:t>
      </w:r>
      <w:r w:rsidR="00B74921" w:rsidRPr="007C5FD5">
        <w:rPr>
          <w:rFonts w:cstheme="minorHAnsi"/>
        </w:rPr>
        <w:t xml:space="preserve"> ‘conditions that make embodiment, </w:t>
      </w:r>
      <w:proofErr w:type="spellStart"/>
      <w:r w:rsidR="00B74921" w:rsidRPr="007C5FD5">
        <w:rPr>
          <w:rFonts w:cstheme="minorHAnsi"/>
        </w:rPr>
        <w:t>enselfment</w:t>
      </w:r>
      <w:proofErr w:type="spellEnd"/>
      <w:r w:rsidR="00B74921" w:rsidRPr="007C5FD5">
        <w:rPr>
          <w:rFonts w:cstheme="minorHAnsi"/>
        </w:rPr>
        <w:t>, and emplacement possible</w:t>
      </w:r>
      <w:r w:rsidR="006F1B3F" w:rsidRPr="007C5FD5">
        <w:rPr>
          <w:rFonts w:cstheme="minorHAnsi"/>
        </w:rPr>
        <w:t>…</w:t>
      </w:r>
      <w:r w:rsidR="00B74921" w:rsidRPr="007C5FD5">
        <w:rPr>
          <w:rFonts w:cstheme="minorHAnsi"/>
        </w:rPr>
        <w:t xml:space="preserve"> </w:t>
      </w:r>
      <w:r w:rsidR="006F1B3F" w:rsidRPr="007C5FD5">
        <w:rPr>
          <w:rFonts w:cstheme="minorHAnsi"/>
        </w:rPr>
        <w:t>[</w:t>
      </w:r>
      <w:r w:rsidR="00700E41" w:rsidRPr="007C5FD5">
        <w:rPr>
          <w:rFonts w:cstheme="minorHAnsi"/>
        </w:rPr>
        <w:t>and h</w:t>
      </w:r>
      <w:r w:rsidR="00607F23" w:rsidRPr="007C5FD5">
        <w:rPr>
          <w:rFonts w:cstheme="minorHAnsi"/>
        </w:rPr>
        <w:t xml:space="preserve">uman rights </w:t>
      </w:r>
      <w:r w:rsidR="004D0427" w:rsidRPr="007C5FD5">
        <w:rPr>
          <w:rFonts w:cstheme="minorHAnsi"/>
        </w:rPr>
        <w:t xml:space="preserve">abuses] </w:t>
      </w:r>
      <w:r w:rsidR="00B74921" w:rsidRPr="007C5FD5">
        <w:rPr>
          <w:rFonts w:cstheme="minorHAnsi"/>
        </w:rPr>
        <w:t>typically involve some attack on the body through torture and deprivation, an assault on the dignity of the self through psychological threat</w:t>
      </w:r>
      <w:r w:rsidR="009C687D" w:rsidRPr="007C5FD5">
        <w:rPr>
          <w:rFonts w:cstheme="minorHAnsi"/>
        </w:rPr>
        <w:t xml:space="preserve"> [e.g. privacy]</w:t>
      </w:r>
      <w:r w:rsidR="00B74921" w:rsidRPr="007C5FD5">
        <w:rPr>
          <w:rFonts w:cstheme="minorHAnsi"/>
        </w:rPr>
        <w:t>, and some disruption to place through exclusion – imprisonment, deportation, seizure of land, or exile.’</w:t>
      </w:r>
      <w:r w:rsidR="00B74921" w:rsidRPr="007C5FD5">
        <w:rPr>
          <w:rStyle w:val="FootnoteReference"/>
          <w:rFonts w:cstheme="minorHAnsi"/>
        </w:rPr>
        <w:footnoteReference w:id="111"/>
      </w:r>
      <w:r w:rsidR="009C687D" w:rsidRPr="007C5FD5">
        <w:rPr>
          <w:rFonts w:cstheme="minorHAnsi"/>
        </w:rPr>
        <w:t xml:space="preserve"> </w:t>
      </w:r>
      <w:r w:rsidR="00607F23" w:rsidRPr="007C5FD5">
        <w:rPr>
          <w:rFonts w:cstheme="minorHAnsi"/>
        </w:rPr>
        <w:t xml:space="preserve">Along </w:t>
      </w:r>
      <w:r w:rsidR="00510A5B" w:rsidRPr="007C5FD5">
        <w:rPr>
          <w:rFonts w:cstheme="minorHAnsi"/>
        </w:rPr>
        <w:t>similar</w:t>
      </w:r>
      <w:r w:rsidR="00B26FB2" w:rsidRPr="007C5FD5">
        <w:rPr>
          <w:rFonts w:cstheme="minorHAnsi"/>
        </w:rPr>
        <w:t xml:space="preserve"> lines</w:t>
      </w:r>
      <w:r w:rsidR="00607F23" w:rsidRPr="007C5FD5">
        <w:rPr>
          <w:rFonts w:cstheme="minorHAnsi"/>
        </w:rPr>
        <w:t>,</w:t>
      </w:r>
      <w:r w:rsidR="00FE13A5" w:rsidRPr="007C5FD5">
        <w:rPr>
          <w:rFonts w:cstheme="minorHAnsi"/>
        </w:rPr>
        <w:t xml:space="preserve"> </w:t>
      </w:r>
      <w:r w:rsidR="00607F23" w:rsidRPr="007C5FD5">
        <w:rPr>
          <w:rFonts w:cstheme="minorHAnsi"/>
        </w:rPr>
        <w:t>Martha Fineman</w:t>
      </w:r>
      <w:r w:rsidR="00033EA5" w:rsidRPr="007C5FD5">
        <w:rPr>
          <w:rFonts w:cstheme="minorHAnsi"/>
        </w:rPr>
        <w:t xml:space="preserve"> has </w:t>
      </w:r>
      <w:r w:rsidR="00A23763" w:rsidRPr="007C5FD5">
        <w:rPr>
          <w:rFonts w:cstheme="minorHAnsi"/>
        </w:rPr>
        <w:t>argued</w:t>
      </w:r>
      <w:r w:rsidR="00876A04" w:rsidRPr="007C5FD5">
        <w:rPr>
          <w:rFonts w:cstheme="minorHAnsi"/>
        </w:rPr>
        <w:t xml:space="preserve"> </w:t>
      </w:r>
      <w:r w:rsidR="00FE13A5" w:rsidRPr="007C5FD5">
        <w:rPr>
          <w:rFonts w:cstheme="minorHAnsi"/>
        </w:rPr>
        <w:t>that</w:t>
      </w:r>
      <w:r w:rsidR="004E2A0F" w:rsidRPr="007C5FD5">
        <w:rPr>
          <w:rFonts w:cstheme="minorHAnsi"/>
        </w:rPr>
        <w:t xml:space="preserve"> </w:t>
      </w:r>
      <w:r w:rsidR="00FE13A5" w:rsidRPr="007C5FD5">
        <w:rPr>
          <w:rFonts w:cstheme="minorHAnsi"/>
        </w:rPr>
        <w:t xml:space="preserve">using the concept of vulnerability to define </w:t>
      </w:r>
      <w:r w:rsidR="004D0427" w:rsidRPr="007C5FD5">
        <w:rPr>
          <w:rFonts w:cstheme="minorHAnsi"/>
        </w:rPr>
        <w:t>marginalised</w:t>
      </w:r>
      <w:r w:rsidR="00FE13A5" w:rsidRPr="007C5FD5">
        <w:rPr>
          <w:rFonts w:cstheme="minorHAnsi"/>
        </w:rPr>
        <w:t xml:space="preserve"> groups fails to recognise vulnerability as a ‘universal, inevitable, enduring aspect of the human condition</w:t>
      </w:r>
      <w:r w:rsidR="00033EA5" w:rsidRPr="007C5FD5">
        <w:rPr>
          <w:rFonts w:cstheme="minorHAnsi"/>
        </w:rPr>
        <w:t>‘</w:t>
      </w:r>
      <w:r w:rsidR="00033EA5" w:rsidRPr="007C5FD5">
        <w:rPr>
          <w:rStyle w:val="FootnoteReference"/>
          <w:rFonts w:cstheme="minorHAnsi"/>
        </w:rPr>
        <w:footnoteReference w:id="112"/>
      </w:r>
      <w:r w:rsidR="006F1B3F" w:rsidRPr="007C5FD5">
        <w:rPr>
          <w:rFonts w:cstheme="minorHAnsi"/>
        </w:rPr>
        <w:t xml:space="preserve"> </w:t>
      </w:r>
      <w:r w:rsidR="00033EA5" w:rsidRPr="007C5FD5">
        <w:rPr>
          <w:rFonts w:cstheme="minorHAnsi"/>
        </w:rPr>
        <w:t xml:space="preserve">- </w:t>
      </w:r>
      <w:r w:rsidR="006F1B3F" w:rsidRPr="007C5FD5">
        <w:rPr>
          <w:rFonts w:cstheme="minorHAnsi"/>
        </w:rPr>
        <w:t>with</w:t>
      </w:r>
      <w:r w:rsidR="004D0427" w:rsidRPr="007C5FD5">
        <w:rPr>
          <w:rFonts w:cstheme="minorHAnsi"/>
        </w:rPr>
        <w:t xml:space="preserve"> </w:t>
      </w:r>
      <w:r w:rsidR="00A75ED4" w:rsidRPr="007C5FD5">
        <w:rPr>
          <w:rFonts w:cstheme="minorHAnsi"/>
        </w:rPr>
        <w:t xml:space="preserve">consequences </w:t>
      </w:r>
      <w:r w:rsidR="004D0427" w:rsidRPr="007C5FD5">
        <w:rPr>
          <w:rFonts w:cstheme="minorHAnsi"/>
        </w:rPr>
        <w:t>for social and state responsibility.</w:t>
      </w:r>
      <w:r w:rsidR="00607F23" w:rsidRPr="007C5FD5">
        <w:rPr>
          <w:rFonts w:cstheme="minorHAnsi"/>
        </w:rPr>
        <w:t xml:space="preserve"> </w:t>
      </w:r>
      <w:r w:rsidR="004D0427" w:rsidRPr="007C5FD5">
        <w:rPr>
          <w:rFonts w:cstheme="minorHAnsi"/>
        </w:rPr>
        <w:t xml:space="preserve">This vulnerability arises ‘from our embodiment, which carries with it the ever-present possibility of harm, injury, and misfortune… [and thus] the ever-constant possibility of </w:t>
      </w:r>
      <w:proofErr w:type="gramStart"/>
      <w:r w:rsidR="004D0427" w:rsidRPr="007C5FD5">
        <w:rPr>
          <w:rFonts w:cstheme="minorHAnsi"/>
          <w:i/>
          <w:iCs/>
        </w:rPr>
        <w:t>dependency</w:t>
      </w:r>
      <w:r w:rsidR="00215EF2">
        <w:rPr>
          <w:rFonts w:cstheme="minorHAnsi"/>
        </w:rPr>
        <w:t xml:space="preserve"> </w:t>
      </w:r>
      <w:r w:rsidR="00607F23" w:rsidRPr="007C5FD5">
        <w:rPr>
          <w:rFonts w:cstheme="minorHAnsi"/>
        </w:rPr>
        <w:t>’</w:t>
      </w:r>
      <w:proofErr w:type="gramEnd"/>
      <w:r w:rsidR="00607F23" w:rsidRPr="007C5FD5">
        <w:rPr>
          <w:rStyle w:val="FootnoteReference"/>
          <w:rFonts w:cstheme="minorHAnsi"/>
        </w:rPr>
        <w:footnoteReference w:id="113"/>
      </w:r>
      <w:r w:rsidR="004D0427" w:rsidRPr="007C5FD5">
        <w:rPr>
          <w:rFonts w:cstheme="minorHAnsi"/>
        </w:rPr>
        <w:t xml:space="preserve"> </w:t>
      </w:r>
      <w:r w:rsidR="009C687D" w:rsidRPr="007C5FD5">
        <w:rPr>
          <w:rFonts w:cstheme="minorHAnsi"/>
        </w:rPr>
        <w:t>Although</w:t>
      </w:r>
      <w:r w:rsidR="004D0427" w:rsidRPr="007C5FD5">
        <w:rPr>
          <w:rFonts w:cstheme="minorHAnsi"/>
        </w:rPr>
        <w:t xml:space="preserve"> ‘vulnerabilities range in magnitude and potential at individual level… no individual can avoid vulnerability entirely</w:t>
      </w:r>
      <w:r w:rsidR="009C687D" w:rsidRPr="007C5FD5">
        <w:rPr>
          <w:rFonts w:cstheme="minorHAnsi"/>
        </w:rPr>
        <w:t>.</w:t>
      </w:r>
      <w:r w:rsidR="004D0427" w:rsidRPr="007C5FD5">
        <w:rPr>
          <w:rFonts w:cstheme="minorHAnsi"/>
        </w:rPr>
        <w:t>’</w:t>
      </w:r>
      <w:r w:rsidR="00607F23" w:rsidRPr="007C5FD5">
        <w:rPr>
          <w:rStyle w:val="FootnoteReference"/>
          <w:rFonts w:cstheme="minorHAnsi"/>
        </w:rPr>
        <w:footnoteReference w:id="114"/>
      </w:r>
      <w:r w:rsidR="006F1B3F" w:rsidRPr="007C5FD5">
        <w:rPr>
          <w:rFonts w:cstheme="minorHAnsi"/>
        </w:rPr>
        <w:t xml:space="preserve"> </w:t>
      </w:r>
    </w:p>
    <w:p w14:paraId="44A54256" w14:textId="77777777" w:rsidR="006F1B3F" w:rsidRPr="007C5FD5" w:rsidRDefault="006F1B3F" w:rsidP="00FD77D8">
      <w:pPr>
        <w:spacing w:after="0" w:line="240" w:lineRule="auto"/>
        <w:jc w:val="both"/>
        <w:rPr>
          <w:rFonts w:cstheme="minorHAnsi"/>
        </w:rPr>
      </w:pPr>
    </w:p>
    <w:p w14:paraId="014ED4E3" w14:textId="2430CB51" w:rsidR="00BD5CD2" w:rsidRPr="007C5FD5" w:rsidRDefault="007D61EE" w:rsidP="00FD77D8">
      <w:pPr>
        <w:spacing w:after="0" w:line="240" w:lineRule="auto"/>
        <w:jc w:val="both"/>
        <w:rPr>
          <w:rFonts w:cstheme="minorHAnsi"/>
        </w:rPr>
      </w:pPr>
      <w:r w:rsidRPr="007C5FD5">
        <w:rPr>
          <w:rFonts w:cstheme="minorHAnsi"/>
        </w:rPr>
        <w:lastRenderedPageBreak/>
        <w:t xml:space="preserve">Through </w:t>
      </w:r>
      <w:r w:rsidR="00F31467" w:rsidRPr="007C5FD5">
        <w:rPr>
          <w:rFonts w:cstheme="minorHAnsi"/>
        </w:rPr>
        <w:t xml:space="preserve">this </w:t>
      </w:r>
      <w:r w:rsidR="000B650B" w:rsidRPr="007C5FD5">
        <w:rPr>
          <w:rFonts w:cstheme="minorHAnsi"/>
        </w:rPr>
        <w:t>v</w:t>
      </w:r>
      <w:r w:rsidR="00F31467" w:rsidRPr="007C5FD5">
        <w:rPr>
          <w:rFonts w:cstheme="minorHAnsi"/>
        </w:rPr>
        <w:t>ulnerability</w:t>
      </w:r>
      <w:r w:rsidR="00E14AE2" w:rsidRPr="007C5FD5">
        <w:rPr>
          <w:rFonts w:cstheme="minorHAnsi"/>
        </w:rPr>
        <w:t xml:space="preserve">-dependency </w:t>
      </w:r>
      <w:r w:rsidRPr="007C5FD5">
        <w:rPr>
          <w:rFonts w:cstheme="minorHAnsi"/>
        </w:rPr>
        <w:t>lens</w:t>
      </w:r>
      <w:r w:rsidR="00F31467" w:rsidRPr="007C5FD5">
        <w:rPr>
          <w:rFonts w:cstheme="minorHAnsi"/>
        </w:rPr>
        <w:t xml:space="preserve">, </w:t>
      </w:r>
      <w:r w:rsidR="006F1B3F" w:rsidRPr="007C5FD5">
        <w:rPr>
          <w:rFonts w:cstheme="minorHAnsi"/>
        </w:rPr>
        <w:t>medical confid</w:t>
      </w:r>
      <w:r w:rsidR="00F35993" w:rsidRPr="007C5FD5">
        <w:rPr>
          <w:rFonts w:cstheme="minorHAnsi"/>
        </w:rPr>
        <w:t xml:space="preserve">entiality </w:t>
      </w:r>
      <w:r w:rsidR="00405DCA" w:rsidRPr="007C5FD5">
        <w:rPr>
          <w:rFonts w:cstheme="minorHAnsi"/>
        </w:rPr>
        <w:t>encapsulates</w:t>
      </w:r>
      <w:r w:rsidR="00DE4B1E" w:rsidRPr="007C5FD5">
        <w:rPr>
          <w:rFonts w:cstheme="minorHAnsi"/>
        </w:rPr>
        <w:t xml:space="preserve"> </w:t>
      </w:r>
      <w:r w:rsidR="00F31467" w:rsidRPr="007C5FD5">
        <w:rPr>
          <w:rFonts w:cstheme="minorHAnsi"/>
        </w:rPr>
        <w:t xml:space="preserve">the </w:t>
      </w:r>
      <w:r w:rsidR="000B650B" w:rsidRPr="007C5FD5">
        <w:rPr>
          <w:rFonts w:cstheme="minorHAnsi"/>
        </w:rPr>
        <w:t xml:space="preserve">very </w:t>
      </w:r>
      <w:r w:rsidR="00F31467" w:rsidRPr="007C5FD5">
        <w:rPr>
          <w:rFonts w:cstheme="minorHAnsi"/>
        </w:rPr>
        <w:t xml:space="preserve">essence of </w:t>
      </w:r>
      <w:r w:rsidR="000B650B" w:rsidRPr="007C5FD5">
        <w:rPr>
          <w:rFonts w:cstheme="minorHAnsi"/>
        </w:rPr>
        <w:t xml:space="preserve">information </w:t>
      </w:r>
      <w:r w:rsidR="00DE4B1E" w:rsidRPr="007C5FD5">
        <w:rPr>
          <w:rFonts w:cstheme="minorHAnsi"/>
        </w:rPr>
        <w:t>privacy</w:t>
      </w:r>
      <w:r w:rsidR="00226750">
        <w:rPr>
          <w:rFonts w:cstheme="minorHAnsi"/>
        </w:rPr>
        <w:t>.</w:t>
      </w:r>
      <w:r w:rsidR="00A439FA" w:rsidRPr="007C5FD5">
        <w:rPr>
          <w:rStyle w:val="FootnoteReference"/>
          <w:rFonts w:cstheme="minorHAnsi"/>
        </w:rPr>
        <w:footnoteReference w:id="115"/>
      </w:r>
      <w:r w:rsidR="00226750">
        <w:rPr>
          <w:rFonts w:cstheme="minorHAnsi"/>
        </w:rPr>
        <w:t xml:space="preserve"> </w:t>
      </w:r>
      <w:r w:rsidR="00F71DF1" w:rsidRPr="007C5FD5">
        <w:rPr>
          <w:rFonts w:cstheme="minorHAnsi"/>
        </w:rPr>
        <w:t xml:space="preserve"> </w:t>
      </w:r>
      <w:r w:rsidR="00F35993" w:rsidRPr="007C5FD5">
        <w:rPr>
          <w:rFonts w:cstheme="minorHAnsi"/>
        </w:rPr>
        <w:t>In the case of medical confidences the</w:t>
      </w:r>
      <w:r w:rsidR="00DE4B1E" w:rsidRPr="007C5FD5">
        <w:rPr>
          <w:rFonts w:cstheme="minorHAnsi"/>
        </w:rPr>
        <w:t xml:space="preserve"> ever-present possibility</w:t>
      </w:r>
      <w:r w:rsidR="00DE4B1E" w:rsidRPr="007C5FD5">
        <w:rPr>
          <w:rFonts w:cstheme="minorHAnsi"/>
          <w:i/>
          <w:iCs/>
        </w:rPr>
        <w:t xml:space="preserve"> </w:t>
      </w:r>
      <w:r w:rsidR="00DE4B1E" w:rsidRPr="007C5FD5">
        <w:rPr>
          <w:rFonts w:cstheme="minorHAnsi"/>
        </w:rPr>
        <w:t xml:space="preserve">of harm, injury and misfortune </w:t>
      </w:r>
      <w:r w:rsidR="00F35993" w:rsidRPr="007C5FD5">
        <w:rPr>
          <w:rFonts w:cstheme="minorHAnsi"/>
        </w:rPr>
        <w:t>has become actualised,</w:t>
      </w:r>
      <w:r w:rsidR="00DE4B1E" w:rsidRPr="007C5FD5">
        <w:rPr>
          <w:rFonts w:cstheme="minorHAnsi"/>
        </w:rPr>
        <w:t xml:space="preserve"> </w:t>
      </w:r>
      <w:r w:rsidR="00F31467" w:rsidRPr="007C5FD5">
        <w:rPr>
          <w:rFonts w:cstheme="minorHAnsi"/>
        </w:rPr>
        <w:t>a real physical</w:t>
      </w:r>
      <w:r w:rsidR="00265DA3" w:rsidRPr="007C5FD5">
        <w:rPr>
          <w:rFonts w:cstheme="minorHAnsi"/>
        </w:rPr>
        <w:t xml:space="preserve"> or mental</w:t>
      </w:r>
      <w:r w:rsidR="00F31467" w:rsidRPr="007C5FD5">
        <w:rPr>
          <w:rFonts w:cstheme="minorHAnsi"/>
        </w:rPr>
        <w:t xml:space="preserve"> vulnerability, </w:t>
      </w:r>
      <w:r w:rsidR="00DE4B1E" w:rsidRPr="007C5FD5">
        <w:rPr>
          <w:rFonts w:cstheme="minorHAnsi"/>
        </w:rPr>
        <w:t>and</w:t>
      </w:r>
      <w:r w:rsidR="00876A04" w:rsidRPr="007C5FD5">
        <w:rPr>
          <w:rFonts w:cstheme="minorHAnsi"/>
        </w:rPr>
        <w:t xml:space="preserve"> </w:t>
      </w:r>
      <w:r w:rsidR="00700E41" w:rsidRPr="007C5FD5">
        <w:rPr>
          <w:rFonts w:cstheme="minorHAnsi"/>
        </w:rPr>
        <w:t>with</w:t>
      </w:r>
      <w:r w:rsidR="00495E97" w:rsidRPr="007C5FD5">
        <w:rPr>
          <w:rFonts w:cstheme="minorHAnsi"/>
        </w:rPr>
        <w:t xml:space="preserve"> it comes the threat of</w:t>
      </w:r>
      <w:r w:rsidR="00F35993" w:rsidRPr="007C5FD5">
        <w:rPr>
          <w:rFonts w:cstheme="minorHAnsi"/>
        </w:rPr>
        <w:t xml:space="preserve"> </w:t>
      </w:r>
      <w:r w:rsidR="00495E97" w:rsidRPr="007C5FD5">
        <w:rPr>
          <w:rFonts w:cstheme="minorHAnsi"/>
        </w:rPr>
        <w:t xml:space="preserve">public </w:t>
      </w:r>
      <w:r w:rsidR="00DE4B1E" w:rsidRPr="007C5FD5">
        <w:rPr>
          <w:rFonts w:cstheme="minorHAnsi"/>
        </w:rPr>
        <w:t>disclosure</w:t>
      </w:r>
      <w:r w:rsidR="00556AE7">
        <w:rPr>
          <w:rFonts w:cstheme="minorHAnsi"/>
        </w:rPr>
        <w:t xml:space="preserve">, </w:t>
      </w:r>
      <w:r w:rsidR="00556AE7" w:rsidRPr="007C5FD5">
        <w:rPr>
          <w:rFonts w:cstheme="minorHAnsi"/>
        </w:rPr>
        <w:t>insult to injury</w:t>
      </w:r>
      <w:r w:rsidR="00556AE7">
        <w:rPr>
          <w:rFonts w:cstheme="minorHAnsi"/>
        </w:rPr>
        <w:t>,</w:t>
      </w:r>
      <w:r w:rsidR="00AE418E" w:rsidRPr="007C5FD5">
        <w:rPr>
          <w:rFonts w:cstheme="minorHAnsi"/>
        </w:rPr>
        <w:t xml:space="preserve"> </w:t>
      </w:r>
      <w:r w:rsidR="00DA61B9" w:rsidRPr="007C5FD5">
        <w:rPr>
          <w:rFonts w:cstheme="minorHAnsi"/>
        </w:rPr>
        <w:t xml:space="preserve">and a loss of dignity and of </w:t>
      </w:r>
      <w:r w:rsidR="00B26FB2" w:rsidRPr="007C5FD5">
        <w:rPr>
          <w:rFonts w:cstheme="minorHAnsi"/>
        </w:rPr>
        <w:t>o</w:t>
      </w:r>
      <w:r w:rsidR="00BD5F95" w:rsidRPr="007C5FD5">
        <w:rPr>
          <w:rFonts w:cstheme="minorHAnsi"/>
        </w:rPr>
        <w:t xml:space="preserve">ne’s </w:t>
      </w:r>
      <w:r w:rsidR="00DA61B9" w:rsidRPr="007C5FD5">
        <w:rPr>
          <w:rFonts w:cstheme="minorHAnsi"/>
        </w:rPr>
        <w:t xml:space="preserve">good </w:t>
      </w:r>
      <w:r w:rsidR="00B26FB2" w:rsidRPr="007C5FD5">
        <w:rPr>
          <w:rFonts w:cstheme="minorHAnsi"/>
        </w:rPr>
        <w:t xml:space="preserve">standing in </w:t>
      </w:r>
      <w:r w:rsidR="00BD5F95" w:rsidRPr="007C5FD5">
        <w:rPr>
          <w:rFonts w:cstheme="minorHAnsi"/>
        </w:rPr>
        <w:t>society</w:t>
      </w:r>
      <w:r w:rsidR="00DE4B1E" w:rsidRPr="007C5FD5">
        <w:rPr>
          <w:rFonts w:cstheme="minorHAnsi"/>
        </w:rPr>
        <w:t>.</w:t>
      </w:r>
      <w:r w:rsidR="001047D8" w:rsidRPr="007C5FD5">
        <w:rPr>
          <w:rStyle w:val="FootnoteReference"/>
          <w:rFonts w:cstheme="minorHAnsi"/>
        </w:rPr>
        <w:footnoteReference w:id="116"/>
      </w:r>
      <w:r w:rsidRPr="007C5FD5">
        <w:rPr>
          <w:rFonts w:cstheme="minorHAnsi"/>
        </w:rPr>
        <w:t xml:space="preserve"> </w:t>
      </w:r>
      <w:r w:rsidR="00B05568" w:rsidRPr="007C5FD5">
        <w:rPr>
          <w:rFonts w:cstheme="minorHAnsi"/>
        </w:rPr>
        <w:t>After all</w:t>
      </w:r>
      <w:r w:rsidR="00405DCA" w:rsidRPr="007C5FD5">
        <w:rPr>
          <w:rFonts w:cstheme="minorHAnsi"/>
        </w:rPr>
        <w:t xml:space="preserve"> ‘mind and body are never separated. Who we are is a social process that is always constructed in terms of a particular experience of embodiment.’</w:t>
      </w:r>
      <w:r w:rsidR="00405DCA" w:rsidRPr="007C5FD5">
        <w:rPr>
          <w:rStyle w:val="FootnoteReference"/>
          <w:rFonts w:cstheme="minorHAnsi"/>
        </w:rPr>
        <w:footnoteReference w:id="117"/>
      </w:r>
      <w:r w:rsidR="00D42414" w:rsidRPr="007C5FD5">
        <w:rPr>
          <w:rFonts w:cstheme="minorHAnsi"/>
        </w:rPr>
        <w:t xml:space="preserve"> </w:t>
      </w:r>
      <w:r w:rsidR="00B05568" w:rsidRPr="007C5FD5">
        <w:rPr>
          <w:rFonts w:cstheme="minorHAnsi"/>
        </w:rPr>
        <w:t xml:space="preserve">Yet, </w:t>
      </w:r>
      <w:r w:rsidR="00AF2FDB" w:rsidRPr="007C5FD5">
        <w:rPr>
          <w:rFonts w:cstheme="minorHAnsi"/>
        </w:rPr>
        <w:t xml:space="preserve">an </w:t>
      </w:r>
      <w:r w:rsidR="00BD5CD2" w:rsidRPr="007C5FD5">
        <w:rPr>
          <w:rFonts w:cstheme="minorHAnsi"/>
        </w:rPr>
        <w:t xml:space="preserve">illness </w:t>
      </w:r>
      <w:r w:rsidR="00197D84" w:rsidRPr="007C5FD5">
        <w:rPr>
          <w:rFonts w:cstheme="minorHAnsi"/>
        </w:rPr>
        <w:t xml:space="preserve">or infirmity </w:t>
      </w:r>
      <w:r w:rsidR="00B05568" w:rsidRPr="007C5FD5">
        <w:rPr>
          <w:rFonts w:cstheme="minorHAnsi"/>
        </w:rPr>
        <w:t>should not be</w:t>
      </w:r>
      <w:r w:rsidR="0067310A" w:rsidRPr="007C5FD5">
        <w:rPr>
          <w:rFonts w:cstheme="minorHAnsi"/>
        </w:rPr>
        <w:t xml:space="preserve"> to one’s discredit, </w:t>
      </w:r>
      <w:r w:rsidR="00BD5CD2" w:rsidRPr="007C5FD5">
        <w:rPr>
          <w:rFonts w:cstheme="minorHAnsi"/>
        </w:rPr>
        <w:t xml:space="preserve">as Justice Jackson </w:t>
      </w:r>
      <w:r w:rsidR="00F31467" w:rsidRPr="007C5FD5">
        <w:rPr>
          <w:rFonts w:cstheme="minorHAnsi"/>
        </w:rPr>
        <w:t>found</w:t>
      </w:r>
      <w:r w:rsidR="00BD5CD2" w:rsidRPr="007C5FD5">
        <w:rPr>
          <w:rFonts w:cstheme="minorHAnsi"/>
        </w:rPr>
        <w:t xml:space="preserve"> in </w:t>
      </w:r>
      <w:r w:rsidR="00BD5CD2" w:rsidRPr="007C5FD5">
        <w:rPr>
          <w:rFonts w:cstheme="minorHAnsi"/>
          <w:i/>
          <w:iCs/>
        </w:rPr>
        <w:t xml:space="preserve">The Press Association v Newcastle Upon Tyne Hospitals Foundation Trust </w:t>
      </w:r>
      <w:r w:rsidR="00BD5CD2" w:rsidRPr="007C5FD5">
        <w:rPr>
          <w:rFonts w:cstheme="minorHAnsi"/>
        </w:rPr>
        <w:t xml:space="preserve">(2014) to justify the post-mortem disclosure of </w:t>
      </w:r>
      <w:r w:rsidR="00AF2FDB" w:rsidRPr="007C5FD5">
        <w:rPr>
          <w:rFonts w:cstheme="minorHAnsi"/>
        </w:rPr>
        <w:t>the patient’s</w:t>
      </w:r>
      <w:r w:rsidR="00BD5CD2" w:rsidRPr="007C5FD5">
        <w:rPr>
          <w:rFonts w:cstheme="minorHAnsi"/>
        </w:rPr>
        <w:t xml:space="preserve"> identity: </w:t>
      </w:r>
    </w:p>
    <w:p w14:paraId="6D377435" w14:textId="77777777" w:rsidR="00BD5CD2" w:rsidRPr="007C5FD5" w:rsidRDefault="00BD5CD2" w:rsidP="00FD77D8">
      <w:pPr>
        <w:spacing w:after="0" w:line="240" w:lineRule="auto"/>
        <w:jc w:val="both"/>
        <w:rPr>
          <w:rFonts w:cstheme="minorHAnsi"/>
        </w:rPr>
      </w:pPr>
    </w:p>
    <w:p w14:paraId="23CBD996" w14:textId="5857E1B7" w:rsidR="00607F23" w:rsidRPr="007C5FD5" w:rsidRDefault="00BD5CD2" w:rsidP="00FD77D8">
      <w:pPr>
        <w:spacing w:after="0" w:line="240" w:lineRule="auto"/>
        <w:ind w:left="360"/>
        <w:jc w:val="both"/>
        <w:rPr>
          <w:rFonts w:cstheme="minorHAnsi"/>
        </w:rPr>
      </w:pPr>
      <w:bookmarkStart w:id="16" w:name="para45"/>
      <w:r w:rsidRPr="007C5FD5">
        <w:rPr>
          <w:rFonts w:cstheme="minorHAnsi"/>
        </w:rPr>
        <w:t xml:space="preserve">‘It [the judgment] described LM's history of mental health difficulties, her longstanding religious faith and her declining health. None of the information given in the judgment or referred to during the hearing is of </w:t>
      </w:r>
      <w:proofErr w:type="gramStart"/>
      <w:r w:rsidRPr="007C5FD5">
        <w:rPr>
          <w:rFonts w:cstheme="minorHAnsi"/>
        </w:rPr>
        <w:t>particular sensitivity</w:t>
      </w:r>
      <w:proofErr w:type="gramEnd"/>
      <w:r w:rsidRPr="007C5FD5">
        <w:rPr>
          <w:rFonts w:cstheme="minorHAnsi"/>
        </w:rPr>
        <w:t xml:space="preserve"> or confidentiality, nor does it reflect any discredit on LM. The physical, </w:t>
      </w:r>
      <w:proofErr w:type="gramStart"/>
      <w:r w:rsidRPr="007C5FD5">
        <w:rPr>
          <w:rFonts w:cstheme="minorHAnsi"/>
        </w:rPr>
        <w:t>mental</w:t>
      </w:r>
      <w:proofErr w:type="gramEnd"/>
      <w:r w:rsidRPr="007C5FD5">
        <w:rPr>
          <w:rFonts w:cstheme="minorHAnsi"/>
        </w:rPr>
        <w:t xml:space="preserve"> and spiritual challenges that she faced could confront anyone. Also, her way of life, whether better described as independent or isolated, makes it unlikely that any wider harm will come from linking her name with her story.</w:t>
      </w:r>
      <w:bookmarkEnd w:id="16"/>
      <w:r w:rsidR="0067310A" w:rsidRPr="007C5FD5">
        <w:rPr>
          <w:rFonts w:cstheme="minorHAnsi"/>
        </w:rPr>
        <w:t>’</w:t>
      </w:r>
      <w:r w:rsidR="0067310A" w:rsidRPr="007C5FD5">
        <w:rPr>
          <w:rStyle w:val="FootnoteReference"/>
          <w:rFonts w:cstheme="minorHAnsi"/>
        </w:rPr>
        <w:footnoteReference w:id="118"/>
      </w:r>
    </w:p>
    <w:p w14:paraId="3E7B2064" w14:textId="14968049" w:rsidR="0067310A" w:rsidRPr="007C5FD5" w:rsidRDefault="0067310A" w:rsidP="00FD77D8">
      <w:pPr>
        <w:spacing w:after="0" w:line="240" w:lineRule="auto"/>
        <w:ind w:left="360"/>
        <w:jc w:val="both"/>
        <w:rPr>
          <w:rFonts w:cstheme="minorHAnsi"/>
        </w:rPr>
      </w:pPr>
    </w:p>
    <w:p w14:paraId="0C973520" w14:textId="27BBAA91" w:rsidR="00547757" w:rsidRPr="007C5FD5" w:rsidRDefault="00632CAB" w:rsidP="00FD77D8">
      <w:pPr>
        <w:spacing w:after="0" w:line="240" w:lineRule="auto"/>
        <w:jc w:val="both"/>
        <w:rPr>
          <w:rFonts w:cstheme="minorHAnsi"/>
        </w:rPr>
      </w:pPr>
      <w:r w:rsidRPr="007C5FD5">
        <w:rPr>
          <w:rFonts w:cstheme="minorHAnsi"/>
        </w:rPr>
        <w:t>S</w:t>
      </w:r>
      <w:r w:rsidR="00387ED8" w:rsidRPr="007C5FD5">
        <w:rPr>
          <w:rFonts w:cstheme="minorHAnsi"/>
        </w:rPr>
        <w:t>uch</w:t>
      </w:r>
      <w:r w:rsidR="0067310A" w:rsidRPr="007C5FD5">
        <w:rPr>
          <w:rFonts w:cstheme="minorHAnsi"/>
        </w:rPr>
        <w:t xml:space="preserve"> </w:t>
      </w:r>
      <w:r w:rsidR="002D77D1" w:rsidRPr="007C5FD5">
        <w:rPr>
          <w:rFonts w:cstheme="minorHAnsi"/>
        </w:rPr>
        <w:t xml:space="preserve">reasoning </w:t>
      </w:r>
      <w:r w:rsidR="0067310A" w:rsidRPr="007C5FD5">
        <w:rPr>
          <w:rFonts w:cstheme="minorHAnsi"/>
        </w:rPr>
        <w:t>misunderstands the nature of the</w:t>
      </w:r>
      <w:r w:rsidR="00F31467" w:rsidRPr="007C5FD5">
        <w:rPr>
          <w:rFonts w:cstheme="minorHAnsi"/>
        </w:rPr>
        <w:t xml:space="preserve"> harm against which</w:t>
      </w:r>
      <w:r w:rsidR="006D568D" w:rsidRPr="007C5FD5">
        <w:rPr>
          <w:rFonts w:cstheme="minorHAnsi"/>
        </w:rPr>
        <w:t xml:space="preserve"> </w:t>
      </w:r>
      <w:r w:rsidR="00FD09D6" w:rsidRPr="007C5FD5">
        <w:rPr>
          <w:rFonts w:cstheme="minorHAnsi"/>
        </w:rPr>
        <w:t xml:space="preserve">the right to </w:t>
      </w:r>
      <w:r w:rsidR="006D568D" w:rsidRPr="007C5FD5">
        <w:rPr>
          <w:rFonts w:cstheme="minorHAnsi"/>
        </w:rPr>
        <w:t>privacy</w:t>
      </w:r>
      <w:r w:rsidR="0067310A" w:rsidRPr="007C5FD5">
        <w:rPr>
          <w:rFonts w:cstheme="minorHAnsi"/>
        </w:rPr>
        <w:t xml:space="preserve"> </w:t>
      </w:r>
      <w:r w:rsidR="006D568D" w:rsidRPr="007C5FD5">
        <w:rPr>
          <w:rFonts w:cstheme="minorHAnsi"/>
        </w:rPr>
        <w:t>protects</w:t>
      </w:r>
      <w:r w:rsidR="0067310A" w:rsidRPr="007C5FD5">
        <w:rPr>
          <w:rFonts w:cstheme="minorHAnsi"/>
        </w:rPr>
        <w:t xml:space="preserve">. </w:t>
      </w:r>
      <w:r w:rsidR="00F31467" w:rsidRPr="007C5FD5">
        <w:rPr>
          <w:rFonts w:cstheme="minorHAnsi"/>
        </w:rPr>
        <w:t>The v</w:t>
      </w:r>
      <w:r w:rsidR="0067310A" w:rsidRPr="007C5FD5">
        <w:rPr>
          <w:rFonts w:cstheme="minorHAnsi"/>
        </w:rPr>
        <w:t>ulnerabilities at stake in privacy, or</w:t>
      </w:r>
      <w:r w:rsidR="00BD5F95" w:rsidRPr="007C5FD5">
        <w:rPr>
          <w:rFonts w:cstheme="minorHAnsi"/>
        </w:rPr>
        <w:t xml:space="preserve"> other</w:t>
      </w:r>
      <w:r w:rsidR="0067310A" w:rsidRPr="007C5FD5">
        <w:rPr>
          <w:rFonts w:cstheme="minorHAnsi"/>
        </w:rPr>
        <w:t xml:space="preserve"> human rights, are rarely self-inflicted or objectively discrediting.</w:t>
      </w:r>
      <w:r w:rsidR="002D77D1" w:rsidRPr="007C5FD5">
        <w:rPr>
          <w:rFonts w:cstheme="minorHAnsi"/>
        </w:rPr>
        <w:t xml:space="preserve"> Indeed, o</w:t>
      </w:r>
      <w:r w:rsidR="0067310A" w:rsidRPr="007C5FD5">
        <w:rPr>
          <w:rFonts w:cstheme="minorHAnsi"/>
        </w:rPr>
        <w:t xml:space="preserve">ften they are entirely beyond </w:t>
      </w:r>
      <w:r w:rsidR="00556AE7" w:rsidRPr="007C5FD5">
        <w:rPr>
          <w:rFonts w:cstheme="minorHAnsi"/>
        </w:rPr>
        <w:t>persona</w:t>
      </w:r>
      <w:r w:rsidR="00556AE7">
        <w:rPr>
          <w:rFonts w:cstheme="minorHAnsi"/>
        </w:rPr>
        <w:t xml:space="preserve">l or </w:t>
      </w:r>
      <w:r w:rsidR="0067310A" w:rsidRPr="007C5FD5">
        <w:rPr>
          <w:rFonts w:cstheme="minorHAnsi"/>
        </w:rPr>
        <w:t xml:space="preserve">human control, and they </w:t>
      </w:r>
      <w:r w:rsidR="002D77D1" w:rsidRPr="007C5FD5">
        <w:rPr>
          <w:rFonts w:cstheme="minorHAnsi"/>
        </w:rPr>
        <w:t>may still</w:t>
      </w:r>
      <w:r w:rsidR="0067310A" w:rsidRPr="007C5FD5">
        <w:rPr>
          <w:rFonts w:cstheme="minorHAnsi"/>
        </w:rPr>
        <w:t xml:space="preserve"> impact on one’s standing in the community and </w:t>
      </w:r>
      <w:r w:rsidR="00556AE7">
        <w:rPr>
          <w:rFonts w:cstheme="minorHAnsi"/>
        </w:rPr>
        <w:t xml:space="preserve">so </w:t>
      </w:r>
      <w:r w:rsidR="002D77D1" w:rsidRPr="007C5FD5">
        <w:rPr>
          <w:rFonts w:cstheme="minorHAnsi"/>
        </w:rPr>
        <w:t xml:space="preserve">on </w:t>
      </w:r>
      <w:r w:rsidR="0067310A" w:rsidRPr="007C5FD5">
        <w:rPr>
          <w:rFonts w:cstheme="minorHAnsi"/>
        </w:rPr>
        <w:t xml:space="preserve">one’s life choices. The ECtHR </w:t>
      </w:r>
      <w:r w:rsidR="002D77D1" w:rsidRPr="007C5FD5">
        <w:rPr>
          <w:rFonts w:cstheme="minorHAnsi"/>
        </w:rPr>
        <w:t xml:space="preserve">in </w:t>
      </w:r>
      <w:r w:rsidR="002D77D1" w:rsidRPr="007C5FD5">
        <w:rPr>
          <w:rFonts w:cstheme="minorHAnsi"/>
          <w:i/>
          <w:iCs/>
        </w:rPr>
        <w:t xml:space="preserve">Z v Finland </w:t>
      </w:r>
      <w:r w:rsidR="002D77D1" w:rsidRPr="007C5FD5">
        <w:rPr>
          <w:rFonts w:cstheme="minorHAnsi"/>
        </w:rPr>
        <w:t xml:space="preserve">(1997) recognised that the confidentiality of a person’s HIV infection was </w:t>
      </w:r>
      <w:r w:rsidR="00A23763" w:rsidRPr="007C5FD5">
        <w:rPr>
          <w:rFonts w:cstheme="minorHAnsi"/>
        </w:rPr>
        <w:t xml:space="preserve">imperative </w:t>
      </w:r>
      <w:r w:rsidR="002D77D1" w:rsidRPr="007C5FD5">
        <w:rPr>
          <w:rFonts w:cstheme="minorHAnsi"/>
        </w:rPr>
        <w:t>given that ‘[t]he disclosure of such data may dramatically affect his or her private and family life, as well as social and employment situation, by exposing him or her to opprobrium and the risk of ostracism.’</w:t>
      </w:r>
      <w:r w:rsidR="002D77D1" w:rsidRPr="007C5FD5">
        <w:rPr>
          <w:rStyle w:val="FootnoteReference"/>
          <w:rFonts w:cstheme="minorHAnsi"/>
        </w:rPr>
        <w:footnoteReference w:id="119"/>
      </w:r>
      <w:r w:rsidR="002D77D1" w:rsidRPr="007C5FD5">
        <w:rPr>
          <w:rFonts w:cstheme="minorHAnsi"/>
        </w:rPr>
        <w:t xml:space="preserve"> </w:t>
      </w:r>
      <w:r w:rsidR="00556AE7">
        <w:rPr>
          <w:rFonts w:cstheme="minorHAnsi"/>
        </w:rPr>
        <w:t>M</w:t>
      </w:r>
      <w:r w:rsidR="002D77D1" w:rsidRPr="007C5FD5">
        <w:rPr>
          <w:rFonts w:cstheme="minorHAnsi"/>
        </w:rPr>
        <w:t xml:space="preserve">edical </w:t>
      </w:r>
      <w:r w:rsidR="00FD77D8" w:rsidRPr="007C5FD5">
        <w:rPr>
          <w:rFonts w:cstheme="minorHAnsi"/>
        </w:rPr>
        <w:t>c</w:t>
      </w:r>
      <w:r w:rsidR="00AF2FDB" w:rsidRPr="007C5FD5">
        <w:rPr>
          <w:rFonts w:cstheme="minorHAnsi"/>
        </w:rPr>
        <w:t>on</w:t>
      </w:r>
      <w:r w:rsidR="00FD77D8" w:rsidRPr="007C5FD5">
        <w:rPr>
          <w:rFonts w:cstheme="minorHAnsi"/>
        </w:rPr>
        <w:t>fidentiality</w:t>
      </w:r>
      <w:r w:rsidR="00AF2FDB" w:rsidRPr="007C5FD5">
        <w:rPr>
          <w:rFonts w:cstheme="minorHAnsi"/>
        </w:rPr>
        <w:t xml:space="preserve"> </w:t>
      </w:r>
      <w:r w:rsidR="000B650B" w:rsidRPr="007C5FD5">
        <w:rPr>
          <w:rFonts w:cstheme="minorHAnsi"/>
        </w:rPr>
        <w:t>magnifies</w:t>
      </w:r>
      <w:r w:rsidR="00876A04" w:rsidRPr="007C5FD5">
        <w:rPr>
          <w:rFonts w:cstheme="minorHAnsi"/>
        </w:rPr>
        <w:t xml:space="preserve"> the</w:t>
      </w:r>
      <w:r w:rsidR="00497729" w:rsidRPr="007C5FD5">
        <w:rPr>
          <w:rFonts w:cstheme="minorHAnsi"/>
        </w:rPr>
        <w:t xml:space="preserve"> basic</w:t>
      </w:r>
      <w:r w:rsidR="00876A04" w:rsidRPr="007C5FD5">
        <w:rPr>
          <w:rFonts w:cstheme="minorHAnsi"/>
        </w:rPr>
        <w:t xml:space="preserve"> </w:t>
      </w:r>
      <w:r w:rsidR="00FD77D8" w:rsidRPr="007C5FD5">
        <w:rPr>
          <w:rFonts w:cstheme="minorHAnsi"/>
        </w:rPr>
        <w:t>interests and values protected by</w:t>
      </w:r>
      <w:r w:rsidR="00D4010F" w:rsidRPr="007C5FD5">
        <w:rPr>
          <w:rFonts w:cstheme="minorHAnsi"/>
        </w:rPr>
        <w:t xml:space="preserve"> </w:t>
      </w:r>
      <w:r w:rsidR="002D77D1" w:rsidRPr="007C5FD5">
        <w:rPr>
          <w:rFonts w:cstheme="minorHAnsi"/>
        </w:rPr>
        <w:t>privacy</w:t>
      </w:r>
      <w:r w:rsidR="00927D7E" w:rsidRPr="007C5FD5">
        <w:rPr>
          <w:rFonts w:cstheme="minorHAnsi"/>
        </w:rPr>
        <w:t>.</w:t>
      </w:r>
      <w:r w:rsidR="00FF7896" w:rsidRPr="007C5FD5">
        <w:rPr>
          <w:rFonts w:cstheme="minorHAnsi"/>
        </w:rPr>
        <w:t xml:space="preserve"> </w:t>
      </w:r>
      <w:r w:rsidR="00927D7E" w:rsidRPr="007C5FD5">
        <w:rPr>
          <w:rFonts w:cstheme="minorHAnsi"/>
        </w:rPr>
        <w:t>I</w:t>
      </w:r>
      <w:r w:rsidR="00FF7896" w:rsidRPr="007C5FD5">
        <w:rPr>
          <w:rFonts w:cstheme="minorHAnsi"/>
        </w:rPr>
        <w:t xml:space="preserve">ts principal purpose is not to hide individual wrongdoing but </w:t>
      </w:r>
      <w:r w:rsidR="00556AE7">
        <w:rPr>
          <w:rFonts w:cstheme="minorHAnsi"/>
        </w:rPr>
        <w:t>to</w:t>
      </w:r>
      <w:r w:rsidR="00D4010F" w:rsidRPr="007C5FD5">
        <w:rPr>
          <w:rFonts w:cstheme="minorHAnsi"/>
        </w:rPr>
        <w:t xml:space="preserve"> shield</w:t>
      </w:r>
      <w:r w:rsidR="002D77D1" w:rsidRPr="007C5FD5">
        <w:rPr>
          <w:rFonts w:cstheme="minorHAnsi"/>
        </w:rPr>
        <w:t xml:space="preserve"> </w:t>
      </w:r>
      <w:r w:rsidR="00D4010F" w:rsidRPr="007C5FD5">
        <w:rPr>
          <w:rFonts w:cstheme="minorHAnsi"/>
        </w:rPr>
        <w:t>the individual</w:t>
      </w:r>
      <w:r w:rsidR="00EB6DD8" w:rsidRPr="007C5FD5">
        <w:rPr>
          <w:rFonts w:cstheme="minorHAnsi"/>
        </w:rPr>
        <w:t xml:space="preserve"> </w:t>
      </w:r>
      <w:r w:rsidR="002D77D1" w:rsidRPr="007C5FD5">
        <w:rPr>
          <w:rFonts w:cstheme="minorHAnsi"/>
        </w:rPr>
        <w:t>from</w:t>
      </w:r>
      <w:r w:rsidR="00F31467" w:rsidRPr="007C5FD5">
        <w:rPr>
          <w:rFonts w:cstheme="minorHAnsi"/>
        </w:rPr>
        <w:t xml:space="preserve"> </w:t>
      </w:r>
      <w:r w:rsidR="007767EC" w:rsidRPr="007C5FD5">
        <w:rPr>
          <w:rFonts w:cstheme="minorHAnsi"/>
        </w:rPr>
        <w:t xml:space="preserve">public scrutiny and the threat of </w:t>
      </w:r>
      <w:r w:rsidR="00AF2FDB" w:rsidRPr="007C5FD5">
        <w:rPr>
          <w:rFonts w:cstheme="minorHAnsi"/>
        </w:rPr>
        <w:t xml:space="preserve">prejudiced </w:t>
      </w:r>
      <w:r w:rsidR="007627A0" w:rsidRPr="007C5FD5">
        <w:rPr>
          <w:rFonts w:cstheme="minorHAnsi"/>
        </w:rPr>
        <w:t>reactions</w:t>
      </w:r>
      <w:r w:rsidR="007767EC" w:rsidRPr="007C5FD5">
        <w:rPr>
          <w:rFonts w:cstheme="minorHAnsi"/>
        </w:rPr>
        <w:t>.</w:t>
      </w:r>
      <w:r w:rsidR="00927D7E" w:rsidRPr="007C5FD5">
        <w:rPr>
          <w:rFonts w:cstheme="minorHAnsi"/>
        </w:rPr>
        <w:t xml:space="preserve"> </w:t>
      </w:r>
    </w:p>
    <w:p w14:paraId="1B921AED" w14:textId="77777777" w:rsidR="00547757" w:rsidRPr="007C5FD5" w:rsidRDefault="00547757" w:rsidP="00FD77D8">
      <w:pPr>
        <w:spacing w:after="0" w:line="240" w:lineRule="auto"/>
        <w:jc w:val="both"/>
        <w:rPr>
          <w:rFonts w:cstheme="minorHAnsi"/>
        </w:rPr>
      </w:pPr>
    </w:p>
    <w:p w14:paraId="64C5E16B" w14:textId="082E65E0" w:rsidR="00547757" w:rsidRPr="007C5FD5" w:rsidRDefault="00F31467" w:rsidP="00FD77D8">
      <w:pPr>
        <w:spacing w:after="0" w:line="240" w:lineRule="auto"/>
        <w:jc w:val="both"/>
        <w:rPr>
          <w:rFonts w:cstheme="minorHAnsi"/>
        </w:rPr>
      </w:pPr>
      <w:r w:rsidRPr="007C5FD5">
        <w:rPr>
          <w:rFonts w:cstheme="minorHAnsi"/>
        </w:rPr>
        <w:t>This much has</w:t>
      </w:r>
      <w:r w:rsidR="00AF2FDB" w:rsidRPr="007C5FD5">
        <w:rPr>
          <w:rFonts w:cstheme="minorHAnsi"/>
        </w:rPr>
        <w:t xml:space="preserve"> been</w:t>
      </w:r>
      <w:r w:rsidR="00D4010F" w:rsidRPr="007C5FD5">
        <w:rPr>
          <w:rFonts w:cstheme="minorHAnsi"/>
        </w:rPr>
        <w:t xml:space="preserve"> recognised in</w:t>
      </w:r>
      <w:r w:rsidR="00495E97" w:rsidRPr="007C5FD5">
        <w:rPr>
          <w:rFonts w:cstheme="minorHAnsi"/>
        </w:rPr>
        <w:t xml:space="preserve"> </w:t>
      </w:r>
      <w:r w:rsidR="00D4010F" w:rsidRPr="007C5FD5">
        <w:rPr>
          <w:rFonts w:cstheme="minorHAnsi"/>
        </w:rPr>
        <w:t>defamation law</w:t>
      </w:r>
      <w:r w:rsidR="00AF2FDB" w:rsidRPr="007C5FD5">
        <w:rPr>
          <w:rFonts w:cstheme="minorHAnsi"/>
        </w:rPr>
        <w:t xml:space="preserve"> </w:t>
      </w:r>
      <w:r w:rsidR="00D4010F" w:rsidRPr="007C5FD5">
        <w:rPr>
          <w:rFonts w:cstheme="minorHAnsi"/>
        </w:rPr>
        <w:t xml:space="preserve">where the </w:t>
      </w:r>
      <w:r w:rsidR="00AF2FDB" w:rsidRPr="007C5FD5">
        <w:rPr>
          <w:rFonts w:cstheme="minorHAnsi"/>
        </w:rPr>
        <w:t xml:space="preserve">test to decide whether </w:t>
      </w:r>
      <w:r w:rsidR="006E3F00" w:rsidRPr="007C5FD5">
        <w:rPr>
          <w:rFonts w:cstheme="minorHAnsi"/>
        </w:rPr>
        <w:t>a statement</w:t>
      </w:r>
      <w:r w:rsidR="00AF2FDB" w:rsidRPr="007C5FD5">
        <w:rPr>
          <w:rFonts w:cstheme="minorHAnsi"/>
        </w:rPr>
        <w:t xml:space="preserve"> is or is not defamatory</w:t>
      </w:r>
      <w:r w:rsidR="00927D7E" w:rsidRPr="007C5FD5">
        <w:rPr>
          <w:rFonts w:cstheme="minorHAnsi"/>
        </w:rPr>
        <w:t>,</w:t>
      </w:r>
      <w:r w:rsidR="00622588" w:rsidRPr="007C5FD5">
        <w:rPr>
          <w:rFonts w:cstheme="minorHAnsi"/>
        </w:rPr>
        <w:t xml:space="preserve"> is whether the </w:t>
      </w:r>
      <w:r w:rsidR="00EB6DD8" w:rsidRPr="007C5FD5">
        <w:rPr>
          <w:rFonts w:cstheme="minorHAnsi"/>
        </w:rPr>
        <w:t xml:space="preserve">publication </w:t>
      </w:r>
      <w:r w:rsidR="00622588" w:rsidRPr="007C5FD5">
        <w:rPr>
          <w:rFonts w:cstheme="minorHAnsi"/>
        </w:rPr>
        <w:t>would tend to lower the defamed ‘in the estimation of right thinking members of society generally</w:t>
      </w:r>
      <w:r w:rsidR="007C18EB" w:rsidRPr="007C5FD5">
        <w:rPr>
          <w:rFonts w:cstheme="minorHAnsi"/>
        </w:rPr>
        <w:t>.</w:t>
      </w:r>
      <w:r w:rsidR="00622588" w:rsidRPr="007C5FD5">
        <w:rPr>
          <w:rFonts w:cstheme="minorHAnsi"/>
        </w:rPr>
        <w:t>’</w:t>
      </w:r>
      <w:r w:rsidR="00622588" w:rsidRPr="007C5FD5">
        <w:rPr>
          <w:rStyle w:val="FootnoteReference"/>
          <w:rFonts w:cstheme="minorHAnsi"/>
        </w:rPr>
        <w:footnoteReference w:id="120"/>
      </w:r>
      <w:r w:rsidR="00BD5F95" w:rsidRPr="007C5FD5">
        <w:rPr>
          <w:rFonts w:cstheme="minorHAnsi"/>
        </w:rPr>
        <w:t xml:space="preserve"> </w:t>
      </w:r>
      <w:r w:rsidR="007B1BEE" w:rsidRPr="007C5FD5">
        <w:rPr>
          <w:rFonts w:cstheme="minorHAnsi"/>
        </w:rPr>
        <w:t>W</w:t>
      </w:r>
      <w:r w:rsidR="00905EC2" w:rsidRPr="007C5FD5">
        <w:rPr>
          <w:rFonts w:cstheme="minorHAnsi"/>
        </w:rPr>
        <w:t xml:space="preserve">hilst </w:t>
      </w:r>
      <w:r w:rsidRPr="007C5FD5">
        <w:rPr>
          <w:rFonts w:cstheme="minorHAnsi"/>
        </w:rPr>
        <w:t>‘</w:t>
      </w:r>
      <w:r w:rsidR="00622588" w:rsidRPr="007C5FD5">
        <w:rPr>
          <w:rFonts w:cstheme="minorHAnsi"/>
        </w:rPr>
        <w:t>right thinking members</w:t>
      </w:r>
      <w:r w:rsidRPr="007C5FD5">
        <w:rPr>
          <w:rFonts w:cstheme="minorHAnsi"/>
        </w:rPr>
        <w:t xml:space="preserve">’ </w:t>
      </w:r>
      <w:r w:rsidR="00622588" w:rsidRPr="007C5FD5">
        <w:rPr>
          <w:rFonts w:cstheme="minorHAnsi"/>
        </w:rPr>
        <w:t xml:space="preserve">of society </w:t>
      </w:r>
      <w:r w:rsidR="00622588" w:rsidRPr="007C5FD5">
        <w:rPr>
          <w:rFonts w:cstheme="minorHAnsi"/>
          <w:i/>
          <w:iCs/>
        </w:rPr>
        <w:t>should</w:t>
      </w:r>
      <w:r w:rsidR="00622588" w:rsidRPr="007C5FD5">
        <w:rPr>
          <w:rFonts w:cstheme="minorHAnsi"/>
        </w:rPr>
        <w:t xml:space="preserve"> not think less of a woman</w:t>
      </w:r>
      <w:r w:rsidR="00927D7E" w:rsidRPr="007C5FD5">
        <w:rPr>
          <w:rFonts w:cstheme="minorHAnsi"/>
        </w:rPr>
        <w:t xml:space="preserve"> </w:t>
      </w:r>
      <w:r w:rsidR="00622588" w:rsidRPr="007C5FD5">
        <w:rPr>
          <w:rFonts w:cstheme="minorHAnsi"/>
        </w:rPr>
        <w:t>alleged to have been rape</w:t>
      </w:r>
      <w:r w:rsidR="006E3F00" w:rsidRPr="007C5FD5">
        <w:rPr>
          <w:rFonts w:cstheme="minorHAnsi"/>
        </w:rPr>
        <w:t>d</w:t>
      </w:r>
      <w:r w:rsidR="00927D7E" w:rsidRPr="007C5FD5">
        <w:rPr>
          <w:rFonts w:cstheme="minorHAnsi"/>
        </w:rPr>
        <w:t xml:space="preserve">, </w:t>
      </w:r>
      <w:r w:rsidR="00622588" w:rsidRPr="007C5FD5">
        <w:rPr>
          <w:rFonts w:cstheme="minorHAnsi"/>
        </w:rPr>
        <w:t xml:space="preserve">to be gay or </w:t>
      </w:r>
      <w:r w:rsidR="00927D7E" w:rsidRPr="007C5FD5">
        <w:rPr>
          <w:rFonts w:cstheme="minorHAnsi"/>
        </w:rPr>
        <w:t xml:space="preserve">to </w:t>
      </w:r>
      <w:r w:rsidR="00622588" w:rsidRPr="007C5FD5">
        <w:rPr>
          <w:rFonts w:cstheme="minorHAnsi"/>
        </w:rPr>
        <w:t>ha</w:t>
      </w:r>
      <w:r w:rsidRPr="007C5FD5">
        <w:rPr>
          <w:rFonts w:cstheme="minorHAnsi"/>
        </w:rPr>
        <w:t>ve</w:t>
      </w:r>
      <w:r w:rsidR="00622588" w:rsidRPr="007C5FD5">
        <w:rPr>
          <w:rFonts w:cstheme="minorHAnsi"/>
        </w:rPr>
        <w:t xml:space="preserve"> HIV</w:t>
      </w:r>
      <w:r w:rsidRPr="007C5FD5">
        <w:rPr>
          <w:rFonts w:cstheme="minorHAnsi"/>
        </w:rPr>
        <w:t xml:space="preserve">, many </w:t>
      </w:r>
      <w:r w:rsidR="00E80D86" w:rsidRPr="007C5FD5">
        <w:rPr>
          <w:rFonts w:cstheme="minorHAnsi"/>
        </w:rPr>
        <w:t xml:space="preserve">ordinary </w:t>
      </w:r>
      <w:r w:rsidR="00632CAB" w:rsidRPr="007C5FD5">
        <w:rPr>
          <w:rFonts w:cstheme="minorHAnsi"/>
        </w:rPr>
        <w:t>‘</w:t>
      </w:r>
      <w:r w:rsidR="00E80D86" w:rsidRPr="007C5FD5">
        <w:rPr>
          <w:rFonts w:cstheme="minorHAnsi"/>
        </w:rPr>
        <w:t>respectable</w:t>
      </w:r>
      <w:r w:rsidR="00632CAB" w:rsidRPr="007C5FD5">
        <w:rPr>
          <w:rFonts w:cstheme="minorHAnsi"/>
        </w:rPr>
        <w:t>’</w:t>
      </w:r>
      <w:r w:rsidR="00E80D86" w:rsidRPr="007C5FD5">
        <w:rPr>
          <w:rFonts w:cstheme="minorHAnsi"/>
        </w:rPr>
        <w:t xml:space="preserve"> </w:t>
      </w:r>
      <w:r w:rsidRPr="007C5FD5">
        <w:rPr>
          <w:rFonts w:cstheme="minorHAnsi"/>
        </w:rPr>
        <w:t>members of society actually do</w:t>
      </w:r>
      <w:r w:rsidR="007C18EB" w:rsidRPr="007C5FD5">
        <w:rPr>
          <w:rFonts w:cstheme="minorHAnsi"/>
        </w:rPr>
        <w:t xml:space="preserve"> and so protection </w:t>
      </w:r>
      <w:r w:rsidR="00A06D46" w:rsidRPr="007C5FD5">
        <w:rPr>
          <w:rFonts w:cstheme="minorHAnsi"/>
        </w:rPr>
        <w:t>has</w:t>
      </w:r>
      <w:r w:rsidR="007B1BEE" w:rsidRPr="007C5FD5">
        <w:rPr>
          <w:rFonts w:cstheme="minorHAnsi"/>
        </w:rPr>
        <w:t xml:space="preserve"> still</w:t>
      </w:r>
      <w:r w:rsidR="00A06D46" w:rsidRPr="007C5FD5">
        <w:rPr>
          <w:rFonts w:cstheme="minorHAnsi"/>
        </w:rPr>
        <w:t xml:space="preserve"> been</w:t>
      </w:r>
      <w:r w:rsidR="007C18EB" w:rsidRPr="007C5FD5">
        <w:rPr>
          <w:rFonts w:cstheme="minorHAnsi"/>
        </w:rPr>
        <w:t xml:space="preserve"> granted.</w:t>
      </w:r>
      <w:r w:rsidR="00D4010F" w:rsidRPr="007C5FD5">
        <w:rPr>
          <w:rStyle w:val="FootnoteReference"/>
          <w:rFonts w:cstheme="minorHAnsi"/>
        </w:rPr>
        <w:footnoteReference w:id="121"/>
      </w:r>
      <w:r w:rsidR="00D4010F" w:rsidRPr="007C5FD5">
        <w:rPr>
          <w:rFonts w:cstheme="minorHAnsi"/>
        </w:rPr>
        <w:t xml:space="preserve"> </w:t>
      </w:r>
      <w:r w:rsidR="0085552B" w:rsidRPr="007C5FD5">
        <w:rPr>
          <w:rFonts w:cstheme="minorHAnsi"/>
        </w:rPr>
        <w:t>Such prejudices are</w:t>
      </w:r>
      <w:r w:rsidR="00905EC2" w:rsidRPr="007C5FD5">
        <w:rPr>
          <w:rFonts w:cstheme="minorHAnsi"/>
        </w:rPr>
        <w:t xml:space="preserve"> not a temporary problem</w:t>
      </w:r>
      <w:r w:rsidR="00EB6DD8" w:rsidRPr="007C5FD5">
        <w:rPr>
          <w:rFonts w:cstheme="minorHAnsi"/>
        </w:rPr>
        <w:t xml:space="preserve"> to be overcome with</w:t>
      </w:r>
      <w:r w:rsidR="0085552B" w:rsidRPr="007C5FD5">
        <w:rPr>
          <w:rFonts w:cstheme="minorHAnsi"/>
        </w:rPr>
        <w:t xml:space="preserve"> more</w:t>
      </w:r>
      <w:r w:rsidR="00EB6DD8" w:rsidRPr="007C5FD5">
        <w:rPr>
          <w:rFonts w:cstheme="minorHAnsi"/>
        </w:rPr>
        <w:t xml:space="preserve"> education</w:t>
      </w:r>
      <w:r w:rsidR="00B05568" w:rsidRPr="007C5FD5">
        <w:rPr>
          <w:rFonts w:cstheme="minorHAnsi"/>
        </w:rPr>
        <w:t xml:space="preserve"> or regulation,</w:t>
      </w:r>
      <w:r w:rsidRPr="007C5FD5">
        <w:rPr>
          <w:rFonts w:cstheme="minorHAnsi"/>
        </w:rPr>
        <w:t xml:space="preserve"> </w:t>
      </w:r>
      <w:r w:rsidR="00905EC2" w:rsidRPr="007C5FD5">
        <w:rPr>
          <w:rFonts w:cstheme="minorHAnsi"/>
        </w:rPr>
        <w:t>but</w:t>
      </w:r>
      <w:r w:rsidR="0085552B" w:rsidRPr="007C5FD5">
        <w:rPr>
          <w:rFonts w:cstheme="minorHAnsi"/>
        </w:rPr>
        <w:t xml:space="preserve"> are</w:t>
      </w:r>
      <w:r w:rsidR="00905EC2" w:rsidRPr="007C5FD5">
        <w:rPr>
          <w:rFonts w:cstheme="minorHAnsi"/>
        </w:rPr>
        <w:t xml:space="preserve"> </w:t>
      </w:r>
      <w:r w:rsidR="00EB6DD8" w:rsidRPr="007C5FD5">
        <w:rPr>
          <w:rFonts w:cstheme="minorHAnsi"/>
        </w:rPr>
        <w:t>an</w:t>
      </w:r>
      <w:r w:rsidR="00905EC2" w:rsidRPr="007C5FD5">
        <w:rPr>
          <w:rFonts w:cstheme="minorHAnsi"/>
        </w:rPr>
        <w:t xml:space="preserve"> </w:t>
      </w:r>
      <w:r w:rsidR="00EB6DD8" w:rsidRPr="007C5FD5">
        <w:rPr>
          <w:rFonts w:cstheme="minorHAnsi"/>
        </w:rPr>
        <w:t xml:space="preserve">inevitable aspect of </w:t>
      </w:r>
      <w:r w:rsidRPr="007C5FD5">
        <w:rPr>
          <w:rFonts w:cstheme="minorHAnsi"/>
        </w:rPr>
        <w:t>so</w:t>
      </w:r>
      <w:r w:rsidR="00EB6DD8" w:rsidRPr="007C5FD5">
        <w:rPr>
          <w:rFonts w:cstheme="minorHAnsi"/>
        </w:rPr>
        <w:t xml:space="preserve">cial life where </w:t>
      </w:r>
      <w:r w:rsidR="007767EC" w:rsidRPr="007C5FD5">
        <w:rPr>
          <w:rFonts w:cstheme="minorHAnsi"/>
        </w:rPr>
        <w:t>public scrutiny</w:t>
      </w:r>
      <w:r w:rsidR="00EB6DD8" w:rsidRPr="007C5FD5">
        <w:rPr>
          <w:rFonts w:cstheme="minorHAnsi"/>
        </w:rPr>
        <w:t xml:space="preserve"> </w:t>
      </w:r>
      <w:r w:rsidR="007767EC" w:rsidRPr="007C5FD5">
        <w:rPr>
          <w:rFonts w:cstheme="minorHAnsi"/>
        </w:rPr>
        <w:t xml:space="preserve">acts </w:t>
      </w:r>
      <w:r w:rsidR="000E4D20" w:rsidRPr="007C5FD5">
        <w:rPr>
          <w:rFonts w:cstheme="minorHAnsi"/>
        </w:rPr>
        <w:t xml:space="preserve">by default </w:t>
      </w:r>
      <w:r w:rsidR="00927D7E" w:rsidRPr="007C5FD5">
        <w:rPr>
          <w:rFonts w:cstheme="minorHAnsi"/>
        </w:rPr>
        <w:t>as a</w:t>
      </w:r>
      <w:r w:rsidR="00EB6DD8" w:rsidRPr="007C5FD5">
        <w:rPr>
          <w:rFonts w:cstheme="minorHAnsi"/>
        </w:rPr>
        <w:t>n</w:t>
      </w:r>
      <w:r w:rsidR="00927D7E" w:rsidRPr="007C5FD5">
        <w:rPr>
          <w:rFonts w:cstheme="minorHAnsi"/>
        </w:rPr>
        <w:t xml:space="preserve"> inhibitor o</w:t>
      </w:r>
      <w:r w:rsidR="00EB6DD8" w:rsidRPr="007C5FD5">
        <w:rPr>
          <w:rFonts w:cstheme="minorHAnsi"/>
        </w:rPr>
        <w:t>f</w:t>
      </w:r>
      <w:r w:rsidR="00927D7E" w:rsidRPr="007C5FD5">
        <w:rPr>
          <w:rFonts w:cstheme="minorHAnsi"/>
        </w:rPr>
        <w:t xml:space="preserve"> personal </w:t>
      </w:r>
      <w:r w:rsidR="00927D7E" w:rsidRPr="007C5FD5">
        <w:rPr>
          <w:rFonts w:cstheme="minorHAnsi"/>
        </w:rPr>
        <w:lastRenderedPageBreak/>
        <w:t>freedom</w:t>
      </w:r>
      <w:r w:rsidR="00033EA5" w:rsidRPr="007C5FD5">
        <w:rPr>
          <w:rFonts w:cstheme="minorHAnsi"/>
        </w:rPr>
        <w:t>s,</w:t>
      </w:r>
      <w:r w:rsidR="0085552B" w:rsidRPr="007C5FD5">
        <w:rPr>
          <w:rFonts w:cstheme="minorHAnsi"/>
        </w:rPr>
        <w:t xml:space="preserve"> and</w:t>
      </w:r>
      <w:r w:rsidR="00BD5F95" w:rsidRPr="007C5FD5">
        <w:rPr>
          <w:rFonts w:cstheme="minorHAnsi"/>
        </w:rPr>
        <w:t xml:space="preserve"> </w:t>
      </w:r>
      <w:r w:rsidR="00033EA5" w:rsidRPr="007C5FD5">
        <w:rPr>
          <w:rFonts w:cstheme="minorHAnsi"/>
        </w:rPr>
        <w:t xml:space="preserve">at times </w:t>
      </w:r>
      <w:r w:rsidR="00D01233" w:rsidRPr="007C5FD5">
        <w:rPr>
          <w:rFonts w:cstheme="minorHAnsi"/>
        </w:rPr>
        <w:t xml:space="preserve">unduly so </w:t>
      </w:r>
      <w:r w:rsidR="00A439FA" w:rsidRPr="007C5FD5">
        <w:rPr>
          <w:rFonts w:cstheme="minorHAnsi"/>
        </w:rPr>
        <w:t xml:space="preserve">– as recognised </w:t>
      </w:r>
      <w:r w:rsidR="000B650B" w:rsidRPr="007C5FD5">
        <w:rPr>
          <w:rFonts w:cstheme="minorHAnsi"/>
        </w:rPr>
        <w:t>and redressed by</w:t>
      </w:r>
      <w:r w:rsidR="00A439FA" w:rsidRPr="007C5FD5">
        <w:rPr>
          <w:rFonts w:cstheme="minorHAnsi"/>
        </w:rPr>
        <w:t xml:space="preserve"> the right to privacy</w:t>
      </w:r>
      <w:r w:rsidR="00D01233" w:rsidRPr="007C5FD5">
        <w:rPr>
          <w:rFonts w:cstheme="minorHAnsi"/>
        </w:rPr>
        <w:t>.</w:t>
      </w:r>
      <w:r w:rsidR="00927D7E" w:rsidRPr="007C5FD5">
        <w:rPr>
          <w:rFonts w:cstheme="minorHAnsi"/>
        </w:rPr>
        <w:t xml:space="preserve"> Th</w:t>
      </w:r>
      <w:r w:rsidR="00C0035B" w:rsidRPr="007C5FD5">
        <w:rPr>
          <w:rFonts w:cstheme="minorHAnsi"/>
        </w:rPr>
        <w:t>e</w:t>
      </w:r>
      <w:r w:rsidR="00033EA5" w:rsidRPr="007C5FD5">
        <w:rPr>
          <w:rFonts w:cstheme="minorHAnsi"/>
        </w:rPr>
        <w:t xml:space="preserve"> </w:t>
      </w:r>
      <w:r w:rsidR="00BD5F95" w:rsidRPr="007C5FD5">
        <w:rPr>
          <w:rFonts w:cstheme="minorHAnsi"/>
        </w:rPr>
        <w:t xml:space="preserve">threat of undue </w:t>
      </w:r>
      <w:r w:rsidR="00DC2912" w:rsidRPr="007C5FD5">
        <w:rPr>
          <w:rFonts w:cstheme="minorHAnsi"/>
        </w:rPr>
        <w:t>public</w:t>
      </w:r>
      <w:r w:rsidR="00BD5F95" w:rsidRPr="007C5FD5">
        <w:rPr>
          <w:rFonts w:cstheme="minorHAnsi"/>
        </w:rPr>
        <w:t xml:space="preserve"> </w:t>
      </w:r>
      <w:r w:rsidR="007627A0" w:rsidRPr="007C5FD5">
        <w:rPr>
          <w:rFonts w:cstheme="minorHAnsi"/>
        </w:rPr>
        <w:t>scrutiny and p</w:t>
      </w:r>
      <w:r w:rsidR="00BD5F95" w:rsidRPr="007C5FD5">
        <w:rPr>
          <w:rFonts w:cstheme="minorHAnsi"/>
        </w:rPr>
        <w:t>rejudice</w:t>
      </w:r>
      <w:r w:rsidR="00E44F62" w:rsidRPr="007C5FD5">
        <w:rPr>
          <w:rFonts w:cstheme="minorHAnsi"/>
        </w:rPr>
        <w:t xml:space="preserve"> </w:t>
      </w:r>
      <w:r w:rsidR="00547757" w:rsidRPr="007C5FD5">
        <w:rPr>
          <w:rFonts w:cstheme="minorHAnsi"/>
        </w:rPr>
        <w:t xml:space="preserve">also </w:t>
      </w:r>
      <w:r w:rsidR="007627A0" w:rsidRPr="007C5FD5">
        <w:rPr>
          <w:rFonts w:cstheme="minorHAnsi"/>
        </w:rPr>
        <w:t>c</w:t>
      </w:r>
      <w:r w:rsidR="00BD5F95" w:rsidRPr="007C5FD5">
        <w:rPr>
          <w:rFonts w:cstheme="minorHAnsi"/>
        </w:rPr>
        <w:t>ontextualise</w:t>
      </w:r>
      <w:r w:rsidR="00DC2912" w:rsidRPr="007C5FD5">
        <w:rPr>
          <w:rFonts w:cstheme="minorHAnsi"/>
        </w:rPr>
        <w:t>s</w:t>
      </w:r>
      <w:r w:rsidR="00BD5F95" w:rsidRPr="007C5FD5">
        <w:rPr>
          <w:rFonts w:cstheme="minorHAnsi"/>
        </w:rPr>
        <w:t xml:space="preserve"> </w:t>
      </w:r>
      <w:r w:rsidR="00927D7E" w:rsidRPr="007C5FD5">
        <w:rPr>
          <w:rFonts w:cstheme="minorHAnsi"/>
        </w:rPr>
        <w:t xml:space="preserve">Art 9 of the GDPR </w:t>
      </w:r>
      <w:r w:rsidR="00BD5F95" w:rsidRPr="007C5FD5">
        <w:rPr>
          <w:rFonts w:cstheme="minorHAnsi"/>
        </w:rPr>
        <w:t>and its list of</w:t>
      </w:r>
      <w:r w:rsidR="00EB6DD8" w:rsidRPr="007C5FD5">
        <w:rPr>
          <w:rFonts w:cstheme="minorHAnsi"/>
        </w:rPr>
        <w:t xml:space="preserve"> sensitive personal data </w:t>
      </w:r>
      <w:r w:rsidR="000E4D20" w:rsidRPr="007C5FD5">
        <w:rPr>
          <w:rFonts w:cstheme="minorHAnsi"/>
        </w:rPr>
        <w:t xml:space="preserve">over and </w:t>
      </w:r>
      <w:r w:rsidR="00DC2912" w:rsidRPr="007C5FD5">
        <w:rPr>
          <w:rFonts w:cstheme="minorHAnsi"/>
        </w:rPr>
        <w:t xml:space="preserve">beyond health and body-related data, </w:t>
      </w:r>
      <w:r w:rsidR="00BD5F95" w:rsidRPr="007C5FD5">
        <w:rPr>
          <w:rFonts w:cstheme="minorHAnsi"/>
        </w:rPr>
        <w:t xml:space="preserve">such as </w:t>
      </w:r>
      <w:r w:rsidR="00EB6DD8" w:rsidRPr="007C5FD5">
        <w:rPr>
          <w:rFonts w:cstheme="minorHAnsi"/>
        </w:rPr>
        <w:t>one’s ‘racial or ethnic origin, political opinions, religious or philosophical beliefs, or trade union membership</w:t>
      </w:r>
      <w:r w:rsidR="00033EA5" w:rsidRPr="007C5FD5">
        <w:rPr>
          <w:rFonts w:cstheme="minorHAnsi"/>
        </w:rPr>
        <w:t xml:space="preserve">… </w:t>
      </w:r>
      <w:r w:rsidR="00EB6DD8" w:rsidRPr="007C5FD5">
        <w:rPr>
          <w:rFonts w:cstheme="minorHAnsi"/>
        </w:rPr>
        <w:t>sex life or sexual orientation</w:t>
      </w:r>
      <w:r w:rsidR="00DC2912" w:rsidRPr="007C5FD5">
        <w:rPr>
          <w:rFonts w:cstheme="minorHAnsi"/>
        </w:rPr>
        <w:t>…</w:t>
      </w:r>
      <w:r w:rsidR="00EB6DD8" w:rsidRPr="007C5FD5">
        <w:rPr>
          <w:rFonts w:cstheme="minorHAnsi"/>
        </w:rPr>
        <w:t xml:space="preserve">’ </w:t>
      </w:r>
      <w:r w:rsidR="00E82590" w:rsidRPr="007C5FD5">
        <w:rPr>
          <w:rFonts w:cstheme="minorHAnsi"/>
        </w:rPr>
        <w:t xml:space="preserve"> </w:t>
      </w:r>
      <w:r w:rsidR="00033EA5" w:rsidRPr="007C5FD5">
        <w:rPr>
          <w:rFonts w:cstheme="minorHAnsi"/>
        </w:rPr>
        <w:t xml:space="preserve">This list is expressive of </w:t>
      </w:r>
      <w:r w:rsidR="00497729" w:rsidRPr="007C5FD5">
        <w:rPr>
          <w:rFonts w:cstheme="minorHAnsi"/>
        </w:rPr>
        <w:t>the life choices and areas of autonomous decision-making that are shielded</w:t>
      </w:r>
      <w:r w:rsidR="000E4D20" w:rsidRPr="007C5FD5">
        <w:rPr>
          <w:rFonts w:cstheme="minorHAnsi"/>
        </w:rPr>
        <w:t>, through data protection</w:t>
      </w:r>
      <w:r w:rsidR="00497729" w:rsidRPr="007C5FD5">
        <w:rPr>
          <w:rFonts w:cstheme="minorHAnsi"/>
        </w:rPr>
        <w:t xml:space="preserve"> law</w:t>
      </w:r>
      <w:r w:rsidR="000E4D20" w:rsidRPr="007C5FD5">
        <w:rPr>
          <w:rFonts w:cstheme="minorHAnsi"/>
        </w:rPr>
        <w:t xml:space="preserve">, </w:t>
      </w:r>
      <w:r w:rsidR="00497729" w:rsidRPr="007C5FD5">
        <w:rPr>
          <w:rFonts w:cstheme="minorHAnsi"/>
        </w:rPr>
        <w:t xml:space="preserve">for the purpose of guarding their free nature. </w:t>
      </w:r>
      <w:r w:rsidR="00C0035B" w:rsidRPr="007C5FD5">
        <w:rPr>
          <w:rFonts w:cstheme="minorHAnsi"/>
        </w:rPr>
        <w:t>In so far as Art 9 does not just extend to health, sex life or religious beliefs, but also to political opinions and trade union membership, information</w:t>
      </w:r>
      <w:r w:rsidR="00A23763" w:rsidRPr="007C5FD5">
        <w:rPr>
          <w:rFonts w:cstheme="minorHAnsi"/>
        </w:rPr>
        <w:t>al</w:t>
      </w:r>
      <w:r w:rsidR="00C0035B" w:rsidRPr="007C5FD5">
        <w:rPr>
          <w:rFonts w:cstheme="minorHAnsi"/>
        </w:rPr>
        <w:t xml:space="preserve"> privacy</w:t>
      </w:r>
      <w:r w:rsidR="00265DA3" w:rsidRPr="007C5FD5">
        <w:rPr>
          <w:rFonts w:cstheme="minorHAnsi"/>
        </w:rPr>
        <w:t xml:space="preserve"> </w:t>
      </w:r>
      <w:r w:rsidR="00C0035B" w:rsidRPr="007C5FD5">
        <w:rPr>
          <w:rFonts w:cstheme="minorHAnsi"/>
        </w:rPr>
        <w:t xml:space="preserve">emerges as a backbone of democratic processes </w:t>
      </w:r>
      <w:r w:rsidR="007767EC" w:rsidRPr="007C5FD5">
        <w:rPr>
          <w:rFonts w:cstheme="minorHAnsi"/>
        </w:rPr>
        <w:t>and showcases privacy as protecting important public goods and not just individual flourishing</w:t>
      </w:r>
      <w:r w:rsidR="00C52283" w:rsidRPr="007C5FD5">
        <w:rPr>
          <w:rFonts w:cstheme="minorHAnsi"/>
        </w:rPr>
        <w:t>.</w:t>
      </w:r>
      <w:r w:rsidR="007767EC" w:rsidRPr="007C5FD5">
        <w:rPr>
          <w:rStyle w:val="FootnoteReference"/>
          <w:rFonts w:cstheme="minorHAnsi"/>
        </w:rPr>
        <w:footnoteReference w:id="122"/>
      </w:r>
      <w:r w:rsidR="007767EC" w:rsidRPr="007C5FD5">
        <w:rPr>
          <w:rFonts w:cstheme="minorHAnsi"/>
        </w:rPr>
        <w:t xml:space="preserve"> </w:t>
      </w:r>
      <w:r w:rsidR="00A439FA" w:rsidRPr="007C5FD5">
        <w:rPr>
          <w:rFonts w:cstheme="minorHAnsi"/>
        </w:rPr>
        <w:t xml:space="preserve"> </w:t>
      </w:r>
    </w:p>
    <w:p w14:paraId="552B2996" w14:textId="77777777" w:rsidR="00547757" w:rsidRPr="007C5FD5" w:rsidRDefault="00547757" w:rsidP="00FD77D8">
      <w:pPr>
        <w:spacing w:after="0" w:line="240" w:lineRule="auto"/>
        <w:jc w:val="both"/>
        <w:rPr>
          <w:rFonts w:cstheme="minorHAnsi"/>
        </w:rPr>
      </w:pPr>
    </w:p>
    <w:p w14:paraId="2F8C6657" w14:textId="38A79F4E" w:rsidR="00200165" w:rsidRPr="007C5FD5" w:rsidRDefault="00497729" w:rsidP="00FD77D8">
      <w:pPr>
        <w:spacing w:after="0" w:line="240" w:lineRule="auto"/>
        <w:jc w:val="both"/>
        <w:rPr>
          <w:rFonts w:cstheme="minorHAnsi"/>
        </w:rPr>
      </w:pPr>
      <w:r w:rsidRPr="007C5FD5">
        <w:rPr>
          <w:rFonts w:cstheme="minorHAnsi"/>
        </w:rPr>
        <w:t>The</w:t>
      </w:r>
      <w:r w:rsidR="00FC3B6B" w:rsidRPr="007C5FD5">
        <w:rPr>
          <w:rFonts w:cstheme="minorHAnsi"/>
        </w:rPr>
        <w:t xml:space="preserve"> idea of</w:t>
      </w:r>
      <w:r w:rsidRPr="007C5FD5">
        <w:rPr>
          <w:rFonts w:cstheme="minorHAnsi"/>
        </w:rPr>
        <w:t xml:space="preserve"> </w:t>
      </w:r>
      <w:r w:rsidR="00FC3B6B" w:rsidRPr="007C5FD5">
        <w:rPr>
          <w:rFonts w:cstheme="minorHAnsi"/>
        </w:rPr>
        <w:t>privacy as</w:t>
      </w:r>
      <w:r w:rsidR="00221AB7" w:rsidRPr="007C5FD5">
        <w:rPr>
          <w:rFonts w:cstheme="minorHAnsi"/>
        </w:rPr>
        <w:t xml:space="preserve"> an</w:t>
      </w:r>
      <w:r w:rsidR="00FC3B6B" w:rsidRPr="007C5FD5">
        <w:rPr>
          <w:rFonts w:cstheme="minorHAnsi"/>
        </w:rPr>
        <w:t xml:space="preserve"> enabler of self-authorship</w:t>
      </w:r>
      <w:r w:rsidR="000711E6" w:rsidRPr="007C5FD5">
        <w:rPr>
          <w:rFonts w:cstheme="minorHAnsi"/>
        </w:rPr>
        <w:t xml:space="preserve"> through</w:t>
      </w:r>
      <w:r w:rsidR="00A23763" w:rsidRPr="007C5FD5">
        <w:rPr>
          <w:rFonts w:cstheme="minorHAnsi"/>
        </w:rPr>
        <w:t xml:space="preserve"> shielding </w:t>
      </w:r>
      <w:r w:rsidR="000711E6" w:rsidRPr="007C5FD5">
        <w:rPr>
          <w:rFonts w:cstheme="minorHAnsi"/>
        </w:rPr>
        <w:t xml:space="preserve">an individual’s </w:t>
      </w:r>
      <w:r w:rsidR="00A23763" w:rsidRPr="007C5FD5">
        <w:rPr>
          <w:rFonts w:cstheme="minorHAnsi"/>
        </w:rPr>
        <w:t xml:space="preserve">choices </w:t>
      </w:r>
      <w:r w:rsidR="000711E6" w:rsidRPr="007C5FD5">
        <w:rPr>
          <w:rFonts w:cstheme="minorHAnsi"/>
        </w:rPr>
        <w:t xml:space="preserve">and personal information </w:t>
      </w:r>
      <w:r w:rsidR="00A23763" w:rsidRPr="007C5FD5">
        <w:rPr>
          <w:rFonts w:cstheme="minorHAnsi"/>
        </w:rPr>
        <w:t>from</w:t>
      </w:r>
      <w:r w:rsidR="00FC3B6B" w:rsidRPr="007C5FD5">
        <w:rPr>
          <w:rFonts w:cstheme="minorHAnsi"/>
        </w:rPr>
        <w:t xml:space="preserve"> </w:t>
      </w:r>
      <w:r w:rsidR="00221AB7" w:rsidRPr="007C5FD5">
        <w:rPr>
          <w:rFonts w:cstheme="minorHAnsi"/>
        </w:rPr>
        <w:t xml:space="preserve">public </w:t>
      </w:r>
      <w:r w:rsidR="00FC3B6B" w:rsidRPr="007C5FD5">
        <w:rPr>
          <w:rFonts w:cstheme="minorHAnsi"/>
        </w:rPr>
        <w:t>scrutiny c</w:t>
      </w:r>
      <w:r w:rsidRPr="007C5FD5">
        <w:rPr>
          <w:rFonts w:cstheme="minorHAnsi"/>
        </w:rPr>
        <w:t xml:space="preserve">uts </w:t>
      </w:r>
      <w:r w:rsidR="00E03458">
        <w:rPr>
          <w:rFonts w:cstheme="minorHAnsi"/>
        </w:rPr>
        <w:t>both</w:t>
      </w:r>
      <w:r w:rsidRPr="007C5FD5">
        <w:rPr>
          <w:rFonts w:cstheme="minorHAnsi"/>
        </w:rPr>
        <w:t xml:space="preserve"> ways </w:t>
      </w:r>
      <w:r w:rsidR="00FC3B6B" w:rsidRPr="007C5FD5">
        <w:rPr>
          <w:rFonts w:eastAsia="Times New Roman" w:cstheme="minorHAnsi"/>
          <w:lang w:eastAsia="en-GB"/>
        </w:rPr>
        <w:t xml:space="preserve">vis-à-vis </w:t>
      </w:r>
      <w:r w:rsidRPr="007C5FD5">
        <w:rPr>
          <w:rFonts w:cstheme="minorHAnsi"/>
        </w:rPr>
        <w:t xml:space="preserve">post-mortem privacy. </w:t>
      </w:r>
      <w:r w:rsidR="00FC3B6B" w:rsidRPr="007C5FD5">
        <w:rPr>
          <w:rFonts w:cstheme="minorHAnsi"/>
        </w:rPr>
        <w:t xml:space="preserve">In the first place, </w:t>
      </w:r>
      <w:r w:rsidR="004660F2" w:rsidRPr="007C5FD5">
        <w:rPr>
          <w:rFonts w:cstheme="minorHAnsi"/>
        </w:rPr>
        <w:t xml:space="preserve">privacy </w:t>
      </w:r>
      <w:r w:rsidR="00FC3B6B" w:rsidRPr="007C5FD5">
        <w:rPr>
          <w:rFonts w:cstheme="minorHAnsi"/>
        </w:rPr>
        <w:t>is</w:t>
      </w:r>
      <w:r w:rsidR="00D60C7D">
        <w:rPr>
          <w:rFonts w:cstheme="minorHAnsi"/>
        </w:rPr>
        <w:t xml:space="preserve"> - </w:t>
      </w:r>
      <w:r w:rsidR="00A439FA" w:rsidRPr="007C5FD5">
        <w:rPr>
          <w:rFonts w:cstheme="minorHAnsi"/>
        </w:rPr>
        <w:t>on this construction</w:t>
      </w:r>
      <w:r w:rsidR="00D60C7D">
        <w:rPr>
          <w:rFonts w:cstheme="minorHAnsi"/>
        </w:rPr>
        <w:t xml:space="preserve"> - </w:t>
      </w:r>
      <w:r w:rsidR="00FC3B6B" w:rsidRPr="007C5FD5">
        <w:rPr>
          <w:rFonts w:cstheme="minorHAnsi"/>
        </w:rPr>
        <w:t>a tool for the living to allow</w:t>
      </w:r>
      <w:r w:rsidR="008F3AB0" w:rsidRPr="007C5FD5">
        <w:rPr>
          <w:rFonts w:cstheme="minorHAnsi"/>
        </w:rPr>
        <w:t xml:space="preserve"> </w:t>
      </w:r>
      <w:r w:rsidR="00FC3B6B" w:rsidRPr="007C5FD5">
        <w:rPr>
          <w:rFonts w:cstheme="minorHAnsi"/>
        </w:rPr>
        <w:t>unencumbered</w:t>
      </w:r>
      <w:r w:rsidR="000711E6" w:rsidRPr="007C5FD5">
        <w:rPr>
          <w:rFonts w:cstheme="minorHAnsi"/>
        </w:rPr>
        <w:t>,</w:t>
      </w:r>
      <w:r w:rsidR="00FC3B6B" w:rsidRPr="007C5FD5">
        <w:rPr>
          <w:rFonts w:cstheme="minorHAnsi"/>
        </w:rPr>
        <w:t xml:space="preserve"> </w:t>
      </w:r>
      <w:r w:rsidR="00C0035B" w:rsidRPr="007C5FD5">
        <w:rPr>
          <w:rFonts w:cstheme="minorHAnsi"/>
        </w:rPr>
        <w:t xml:space="preserve">autonomous </w:t>
      </w:r>
      <w:r w:rsidR="00FC3B6B" w:rsidRPr="007C5FD5">
        <w:rPr>
          <w:rFonts w:cstheme="minorHAnsi"/>
        </w:rPr>
        <w:t>decision-making</w:t>
      </w:r>
      <w:r w:rsidR="00C0035B" w:rsidRPr="007C5FD5">
        <w:rPr>
          <w:rFonts w:cstheme="minorHAnsi"/>
        </w:rPr>
        <w:t xml:space="preserve"> in support of </w:t>
      </w:r>
      <w:r w:rsidR="00FC3B6B" w:rsidRPr="007C5FD5">
        <w:rPr>
          <w:rFonts w:cstheme="minorHAnsi"/>
        </w:rPr>
        <w:t>personal</w:t>
      </w:r>
      <w:r w:rsidR="00C0035B" w:rsidRPr="007C5FD5">
        <w:rPr>
          <w:rFonts w:cstheme="minorHAnsi"/>
        </w:rPr>
        <w:t xml:space="preserve"> </w:t>
      </w:r>
      <w:r w:rsidR="007767EC" w:rsidRPr="007C5FD5">
        <w:rPr>
          <w:rFonts w:cstheme="minorHAnsi"/>
        </w:rPr>
        <w:t>(</w:t>
      </w:r>
      <w:r w:rsidR="00C0035B" w:rsidRPr="007C5FD5">
        <w:rPr>
          <w:rFonts w:cstheme="minorHAnsi"/>
        </w:rPr>
        <w:t>and democratic</w:t>
      </w:r>
      <w:r w:rsidR="007767EC" w:rsidRPr="007C5FD5">
        <w:rPr>
          <w:rFonts w:cstheme="minorHAnsi"/>
        </w:rPr>
        <w:t>)</w:t>
      </w:r>
      <w:r w:rsidR="00FC3B6B" w:rsidRPr="007C5FD5">
        <w:rPr>
          <w:rFonts w:cstheme="minorHAnsi"/>
        </w:rPr>
        <w:t xml:space="preserve"> flourishing</w:t>
      </w:r>
      <w:r w:rsidR="004660F2" w:rsidRPr="007C5FD5">
        <w:rPr>
          <w:rFonts w:cstheme="minorHAnsi"/>
        </w:rPr>
        <w:t>.</w:t>
      </w:r>
      <w:r w:rsidR="007767EC" w:rsidRPr="007C5FD5">
        <w:rPr>
          <w:rFonts w:cstheme="minorHAnsi"/>
        </w:rPr>
        <w:t xml:space="preserve"> </w:t>
      </w:r>
      <w:r w:rsidR="00EF3637">
        <w:rPr>
          <w:rFonts w:cstheme="minorHAnsi"/>
        </w:rPr>
        <w:t>Here the</w:t>
      </w:r>
      <w:r w:rsidR="006E56D5" w:rsidRPr="007C5FD5">
        <w:rPr>
          <w:rFonts w:cstheme="minorHAnsi"/>
        </w:rPr>
        <w:t xml:space="preserve"> post-mortem</w:t>
      </w:r>
      <w:r w:rsidR="00A439FA" w:rsidRPr="007C5FD5">
        <w:rPr>
          <w:rFonts w:cstheme="minorHAnsi"/>
        </w:rPr>
        <w:t xml:space="preserve"> right</w:t>
      </w:r>
      <w:r w:rsidR="00221AB7" w:rsidRPr="007C5FD5">
        <w:rPr>
          <w:rFonts w:cstheme="minorHAnsi"/>
        </w:rPr>
        <w:t xml:space="preserve"> has nothing to offer </w:t>
      </w:r>
      <w:r w:rsidR="008F3AB0" w:rsidRPr="007C5FD5">
        <w:rPr>
          <w:rFonts w:cstheme="minorHAnsi"/>
        </w:rPr>
        <w:t xml:space="preserve">after the death of </w:t>
      </w:r>
      <w:r w:rsidR="00221AB7" w:rsidRPr="007C5FD5">
        <w:rPr>
          <w:rFonts w:cstheme="minorHAnsi"/>
        </w:rPr>
        <w:t>the right</w:t>
      </w:r>
      <w:r w:rsidR="008F3AB0" w:rsidRPr="007C5FD5">
        <w:rPr>
          <w:rFonts w:cstheme="minorHAnsi"/>
        </w:rPr>
        <w:t>s</w:t>
      </w:r>
      <w:r w:rsidR="00221AB7" w:rsidRPr="007C5FD5">
        <w:rPr>
          <w:rFonts w:cstheme="minorHAnsi"/>
        </w:rPr>
        <w:t>holder</w:t>
      </w:r>
      <w:r w:rsidR="00BC49C1">
        <w:rPr>
          <w:rFonts w:cstheme="minorHAnsi"/>
        </w:rPr>
        <w:t xml:space="preserve"> </w:t>
      </w:r>
      <w:r w:rsidR="00B05568" w:rsidRPr="007C5FD5">
        <w:rPr>
          <w:rFonts w:cstheme="minorHAnsi"/>
        </w:rPr>
        <w:t>when</w:t>
      </w:r>
      <w:r w:rsidR="00197D84" w:rsidRPr="007C5FD5">
        <w:rPr>
          <w:rFonts w:cstheme="minorHAnsi"/>
        </w:rPr>
        <w:t xml:space="preserve"> e</w:t>
      </w:r>
      <w:r w:rsidR="00F450F6" w:rsidRPr="007C5FD5">
        <w:rPr>
          <w:rFonts w:cstheme="minorHAnsi"/>
        </w:rPr>
        <w:t>mbodied vulnerabilit</w:t>
      </w:r>
      <w:r w:rsidR="00B966D4" w:rsidRPr="007C5FD5">
        <w:rPr>
          <w:rFonts w:cstheme="minorHAnsi"/>
        </w:rPr>
        <w:t>y</w:t>
      </w:r>
      <w:r w:rsidR="00E7525B" w:rsidRPr="007C5FD5">
        <w:rPr>
          <w:rFonts w:cstheme="minorHAnsi"/>
        </w:rPr>
        <w:t xml:space="preserve"> and dependencies</w:t>
      </w:r>
      <w:r w:rsidR="00B966D4" w:rsidRPr="007C5FD5">
        <w:rPr>
          <w:rFonts w:cstheme="minorHAnsi"/>
        </w:rPr>
        <w:t xml:space="preserve"> </w:t>
      </w:r>
      <w:r w:rsidR="00AA4AC4" w:rsidRPr="007C5FD5">
        <w:rPr>
          <w:rFonts w:cstheme="minorHAnsi"/>
        </w:rPr>
        <w:t>cease</w:t>
      </w:r>
      <w:r w:rsidR="00E7525B" w:rsidRPr="007C5FD5">
        <w:rPr>
          <w:rFonts w:cstheme="minorHAnsi"/>
        </w:rPr>
        <w:t>,</w:t>
      </w:r>
      <w:r w:rsidR="00197D84" w:rsidRPr="007C5FD5">
        <w:rPr>
          <w:rFonts w:cstheme="minorHAnsi"/>
        </w:rPr>
        <w:t xml:space="preserve"> and </w:t>
      </w:r>
      <w:r w:rsidR="008C4509" w:rsidRPr="007C5FD5">
        <w:rPr>
          <w:rFonts w:cstheme="minorHAnsi"/>
        </w:rPr>
        <w:t xml:space="preserve">so </w:t>
      </w:r>
      <w:r w:rsidR="00197D84" w:rsidRPr="007C5FD5">
        <w:rPr>
          <w:rFonts w:cstheme="minorHAnsi"/>
        </w:rPr>
        <w:t>t</w:t>
      </w:r>
      <w:r w:rsidR="00CC3B97" w:rsidRPr="007C5FD5">
        <w:rPr>
          <w:rFonts w:cstheme="minorHAnsi"/>
        </w:rPr>
        <w:t>oo t</w:t>
      </w:r>
      <w:r w:rsidR="00197D84" w:rsidRPr="007C5FD5">
        <w:rPr>
          <w:rFonts w:cstheme="minorHAnsi"/>
        </w:rPr>
        <w:t>he need for protection</w:t>
      </w:r>
      <w:r w:rsidR="00F450F6" w:rsidRPr="007C5FD5">
        <w:rPr>
          <w:rFonts w:cstheme="minorHAnsi"/>
        </w:rPr>
        <w:t>.</w:t>
      </w:r>
      <w:r w:rsidR="00E14AE2" w:rsidRPr="007C5FD5">
        <w:rPr>
          <w:rFonts w:cstheme="minorHAnsi"/>
        </w:rPr>
        <w:t xml:space="preserve"> </w:t>
      </w:r>
      <w:r w:rsidR="00A07C86" w:rsidRPr="007C5FD5">
        <w:rPr>
          <w:rFonts w:cstheme="minorHAnsi"/>
        </w:rPr>
        <w:t>I</w:t>
      </w:r>
      <w:r w:rsidR="00C0035B" w:rsidRPr="007C5FD5">
        <w:rPr>
          <w:rFonts w:cstheme="minorHAnsi"/>
        </w:rPr>
        <w:t>n the second place,</w:t>
      </w:r>
      <w:r w:rsidR="009C26D0" w:rsidRPr="007C5FD5">
        <w:rPr>
          <w:rFonts w:cstheme="minorHAnsi"/>
        </w:rPr>
        <w:t xml:space="preserve"> </w:t>
      </w:r>
      <w:r w:rsidR="00D60FED" w:rsidRPr="007C5FD5">
        <w:rPr>
          <w:rFonts w:cstheme="minorHAnsi"/>
        </w:rPr>
        <w:t xml:space="preserve">however, </w:t>
      </w:r>
      <w:r w:rsidR="00E44F62" w:rsidRPr="007C5FD5">
        <w:rPr>
          <w:rFonts w:cstheme="minorHAnsi"/>
        </w:rPr>
        <w:t>privacy</w:t>
      </w:r>
      <w:r w:rsidR="00C0035B" w:rsidRPr="007C5FD5">
        <w:rPr>
          <w:rFonts w:cstheme="minorHAnsi"/>
        </w:rPr>
        <w:t xml:space="preserve"> as a shield against</w:t>
      </w:r>
      <w:r w:rsidR="00A07C86" w:rsidRPr="007C5FD5">
        <w:rPr>
          <w:rFonts w:cstheme="minorHAnsi"/>
        </w:rPr>
        <w:t xml:space="preserve"> public prejudice also </w:t>
      </w:r>
      <w:r w:rsidR="002C00FA" w:rsidRPr="007C5FD5">
        <w:rPr>
          <w:rFonts w:cstheme="minorHAnsi"/>
        </w:rPr>
        <w:t xml:space="preserve">points to </w:t>
      </w:r>
      <w:r w:rsidR="00F56098" w:rsidRPr="007C5FD5">
        <w:rPr>
          <w:rFonts w:cstheme="minorHAnsi"/>
        </w:rPr>
        <w:t>the</w:t>
      </w:r>
      <w:r w:rsidR="00EF05EA" w:rsidRPr="007C5FD5">
        <w:rPr>
          <w:rFonts w:cstheme="minorHAnsi"/>
        </w:rPr>
        <w:t xml:space="preserve"> </w:t>
      </w:r>
      <w:r w:rsidR="00A07C86" w:rsidRPr="007C5FD5">
        <w:rPr>
          <w:rFonts w:cstheme="minorHAnsi"/>
        </w:rPr>
        <w:t>wrong</w:t>
      </w:r>
      <w:r w:rsidR="007E232A" w:rsidRPr="007C5FD5">
        <w:rPr>
          <w:rFonts w:cstheme="minorHAnsi"/>
        </w:rPr>
        <w:t xml:space="preserve"> </w:t>
      </w:r>
      <w:r w:rsidR="00A07C86" w:rsidRPr="007C5FD5">
        <w:rPr>
          <w:rFonts w:cstheme="minorHAnsi"/>
        </w:rPr>
        <w:t xml:space="preserve">against which </w:t>
      </w:r>
      <w:r w:rsidR="00201D13" w:rsidRPr="007C5FD5">
        <w:rPr>
          <w:rFonts w:cstheme="minorHAnsi"/>
        </w:rPr>
        <w:t xml:space="preserve">the </w:t>
      </w:r>
      <w:r w:rsidR="00A07C86" w:rsidRPr="007C5FD5">
        <w:rPr>
          <w:rFonts w:cstheme="minorHAnsi"/>
        </w:rPr>
        <w:t>protection is sought</w:t>
      </w:r>
      <w:r w:rsidR="008F3AB0" w:rsidRPr="007C5FD5">
        <w:rPr>
          <w:rFonts w:cstheme="minorHAnsi"/>
        </w:rPr>
        <w:t xml:space="preserve">, </w:t>
      </w:r>
      <w:r w:rsidR="00A07C86" w:rsidRPr="007C5FD5">
        <w:rPr>
          <w:rFonts w:cstheme="minorHAnsi"/>
        </w:rPr>
        <w:t>and</w:t>
      </w:r>
      <w:r w:rsidR="00F450F6" w:rsidRPr="007C5FD5">
        <w:rPr>
          <w:rFonts w:cstheme="minorHAnsi"/>
        </w:rPr>
        <w:t xml:space="preserve"> </w:t>
      </w:r>
      <w:r w:rsidR="00A07C86" w:rsidRPr="007C5FD5">
        <w:rPr>
          <w:rFonts w:cstheme="minorHAnsi"/>
        </w:rPr>
        <w:t>this wrong</w:t>
      </w:r>
      <w:r w:rsidR="00A06D46" w:rsidRPr="007C5FD5">
        <w:rPr>
          <w:rFonts w:cstheme="minorHAnsi"/>
        </w:rPr>
        <w:t xml:space="preserve"> appears to</w:t>
      </w:r>
      <w:r w:rsidR="00A07C86" w:rsidRPr="007C5FD5">
        <w:rPr>
          <w:rFonts w:cstheme="minorHAnsi"/>
        </w:rPr>
        <w:t xml:space="preserve"> remain</w:t>
      </w:r>
      <w:r w:rsidR="00A23763" w:rsidRPr="007C5FD5">
        <w:rPr>
          <w:rFonts w:cstheme="minorHAnsi"/>
        </w:rPr>
        <w:t xml:space="preserve"> </w:t>
      </w:r>
      <w:r w:rsidR="00A07C86" w:rsidRPr="007C5FD5">
        <w:rPr>
          <w:rFonts w:cstheme="minorHAnsi"/>
        </w:rPr>
        <w:t>a wrong</w:t>
      </w:r>
      <w:r w:rsidR="00A13738" w:rsidRPr="007C5FD5">
        <w:rPr>
          <w:rFonts w:cstheme="minorHAnsi"/>
        </w:rPr>
        <w:t>,</w:t>
      </w:r>
      <w:r w:rsidR="00F450F6" w:rsidRPr="007C5FD5">
        <w:rPr>
          <w:rFonts w:cstheme="minorHAnsi"/>
        </w:rPr>
        <w:t xml:space="preserve"> </w:t>
      </w:r>
      <w:r w:rsidR="00A07C86" w:rsidRPr="007C5FD5">
        <w:rPr>
          <w:rFonts w:cstheme="minorHAnsi"/>
        </w:rPr>
        <w:t>quite regardless of whether its</w:t>
      </w:r>
      <w:r w:rsidR="00221AB7" w:rsidRPr="007C5FD5">
        <w:rPr>
          <w:rFonts w:cstheme="minorHAnsi"/>
        </w:rPr>
        <w:t xml:space="preserve"> </w:t>
      </w:r>
      <w:r w:rsidR="00221AB7" w:rsidRPr="007C5FD5">
        <w:rPr>
          <w:rFonts w:cstheme="minorHAnsi"/>
          <w:i/>
          <w:iCs/>
        </w:rPr>
        <w:t>primary</w:t>
      </w:r>
      <w:r w:rsidR="00A07C86" w:rsidRPr="007C5FD5">
        <w:rPr>
          <w:rFonts w:cstheme="minorHAnsi"/>
          <w:i/>
          <w:iCs/>
        </w:rPr>
        <w:t xml:space="preserve"> </w:t>
      </w:r>
      <w:r w:rsidR="00A07C86" w:rsidRPr="007C5FD5">
        <w:rPr>
          <w:rFonts w:cstheme="minorHAnsi"/>
        </w:rPr>
        <w:t>victim</w:t>
      </w:r>
      <w:r w:rsidR="00D60FED" w:rsidRPr="007C5FD5">
        <w:rPr>
          <w:rFonts w:cstheme="minorHAnsi"/>
        </w:rPr>
        <w:t xml:space="preserve"> has died</w:t>
      </w:r>
      <w:r w:rsidR="000B650B" w:rsidRPr="007C5FD5">
        <w:rPr>
          <w:rFonts w:cstheme="minorHAnsi"/>
        </w:rPr>
        <w:t>.</w:t>
      </w:r>
      <w:bookmarkEnd w:id="11"/>
      <w:r w:rsidR="00EA1C91" w:rsidRPr="007C5FD5">
        <w:rPr>
          <w:rFonts w:cstheme="minorHAnsi"/>
        </w:rPr>
        <w:t xml:space="preserve"> Moreover,</w:t>
      </w:r>
      <w:r w:rsidR="00D60FED" w:rsidRPr="007C5FD5">
        <w:rPr>
          <w:rFonts w:cstheme="minorHAnsi"/>
        </w:rPr>
        <w:t xml:space="preserve"> p</w:t>
      </w:r>
      <w:r w:rsidR="009C26D0" w:rsidRPr="007C5FD5">
        <w:rPr>
          <w:rFonts w:cstheme="minorHAnsi"/>
        </w:rPr>
        <w:t xml:space="preserve">rivacy based on vulnerability invokes the notion of dependency and </w:t>
      </w:r>
      <w:r w:rsidR="00E828B6" w:rsidRPr="007C5FD5">
        <w:rPr>
          <w:rFonts w:cstheme="minorHAnsi"/>
        </w:rPr>
        <w:t>th</w:t>
      </w:r>
      <w:r w:rsidR="00D60C7D">
        <w:rPr>
          <w:rFonts w:cstheme="minorHAnsi"/>
        </w:rPr>
        <w:t xml:space="preserve">us </w:t>
      </w:r>
      <w:r w:rsidR="00E828B6" w:rsidRPr="007C5FD5">
        <w:rPr>
          <w:rFonts w:cstheme="minorHAnsi"/>
        </w:rPr>
        <w:t>locates privacy in relationships</w:t>
      </w:r>
      <w:r w:rsidR="007E232A" w:rsidRPr="007C5FD5">
        <w:rPr>
          <w:rFonts w:cstheme="minorHAnsi"/>
        </w:rPr>
        <w:t>, that is relationships</w:t>
      </w:r>
      <w:r w:rsidR="009C26D0" w:rsidRPr="007C5FD5">
        <w:rPr>
          <w:rFonts w:cstheme="minorHAnsi"/>
        </w:rPr>
        <w:t xml:space="preserve"> of dependenc</w:t>
      </w:r>
      <w:r w:rsidR="0079733F">
        <w:rPr>
          <w:rFonts w:cstheme="minorHAnsi"/>
        </w:rPr>
        <w:t>y or</w:t>
      </w:r>
      <w:r w:rsidR="00BC49C1">
        <w:rPr>
          <w:rFonts w:cstheme="minorHAnsi"/>
        </w:rPr>
        <w:t xml:space="preserve">, </w:t>
      </w:r>
      <w:proofErr w:type="gramStart"/>
      <w:r w:rsidR="00BC49C1">
        <w:rPr>
          <w:rFonts w:cstheme="minorHAnsi"/>
        </w:rPr>
        <w:t>as the case may be</w:t>
      </w:r>
      <w:r w:rsidR="007D0D60">
        <w:rPr>
          <w:rFonts w:cstheme="minorHAnsi"/>
        </w:rPr>
        <w:t xml:space="preserve"> of</w:t>
      </w:r>
      <w:proofErr w:type="gramEnd"/>
      <w:r w:rsidR="007D0D60">
        <w:rPr>
          <w:rFonts w:cstheme="minorHAnsi"/>
        </w:rPr>
        <w:t xml:space="preserve"> </w:t>
      </w:r>
      <w:r w:rsidR="003572D2" w:rsidRPr="000514D3">
        <w:rPr>
          <w:rFonts w:cstheme="minorHAnsi"/>
          <w:i/>
          <w:iCs/>
        </w:rPr>
        <w:t xml:space="preserve">mutual </w:t>
      </w:r>
      <w:r w:rsidR="003572D2" w:rsidRPr="007C5FD5">
        <w:rPr>
          <w:rFonts w:cstheme="minorHAnsi"/>
        </w:rPr>
        <w:t>dependencies.</w:t>
      </w:r>
      <w:r w:rsidR="0079733F">
        <w:rPr>
          <w:rFonts w:cstheme="minorHAnsi"/>
        </w:rPr>
        <w:t xml:space="preserve"> </w:t>
      </w:r>
      <w:r w:rsidR="00221AB7" w:rsidRPr="007C5FD5">
        <w:rPr>
          <w:rFonts w:cstheme="minorHAnsi"/>
        </w:rPr>
        <w:t xml:space="preserve">This brings the discussion </w:t>
      </w:r>
      <w:r w:rsidR="00AB4B87" w:rsidRPr="007C5FD5">
        <w:rPr>
          <w:rFonts w:cstheme="minorHAnsi"/>
        </w:rPr>
        <w:t xml:space="preserve">squarely </w:t>
      </w:r>
      <w:r w:rsidR="00221AB7" w:rsidRPr="007C5FD5">
        <w:rPr>
          <w:rFonts w:cstheme="minorHAnsi"/>
        </w:rPr>
        <w:t xml:space="preserve">to </w:t>
      </w:r>
      <w:r w:rsidR="008F3AB0" w:rsidRPr="007C5FD5">
        <w:rPr>
          <w:rFonts w:cstheme="minorHAnsi"/>
        </w:rPr>
        <w:t>the</w:t>
      </w:r>
      <w:r w:rsidR="00EF05EA" w:rsidRPr="007C5FD5">
        <w:rPr>
          <w:rFonts w:cstheme="minorHAnsi"/>
        </w:rPr>
        <w:t xml:space="preserve"> question </w:t>
      </w:r>
      <w:r w:rsidR="00D60FED" w:rsidRPr="007C5FD5">
        <w:rPr>
          <w:rFonts w:cstheme="minorHAnsi"/>
        </w:rPr>
        <w:t xml:space="preserve">of what </w:t>
      </w:r>
      <w:r w:rsidR="00221AB7" w:rsidRPr="007C5FD5">
        <w:rPr>
          <w:rFonts w:cstheme="minorHAnsi"/>
        </w:rPr>
        <w:t>harm</w:t>
      </w:r>
      <w:r w:rsidR="00D60FED" w:rsidRPr="007C5FD5">
        <w:rPr>
          <w:rFonts w:cstheme="minorHAnsi"/>
        </w:rPr>
        <w:t xml:space="preserve"> may be suffered</w:t>
      </w:r>
      <w:r w:rsidR="00221AB7" w:rsidRPr="007C5FD5">
        <w:rPr>
          <w:rFonts w:cstheme="minorHAnsi"/>
        </w:rPr>
        <w:t xml:space="preserve"> by</w:t>
      </w:r>
      <w:r w:rsidR="000711E6" w:rsidRPr="007C5FD5">
        <w:rPr>
          <w:rFonts w:cstheme="minorHAnsi"/>
        </w:rPr>
        <w:t xml:space="preserve"> </w:t>
      </w:r>
      <w:r w:rsidR="00CC3B97" w:rsidRPr="007C5FD5">
        <w:rPr>
          <w:rFonts w:cstheme="minorHAnsi"/>
        </w:rPr>
        <w:t>a</w:t>
      </w:r>
      <w:r w:rsidR="007A6EE5" w:rsidRPr="007C5FD5">
        <w:rPr>
          <w:rFonts w:cstheme="minorHAnsi"/>
        </w:rPr>
        <w:t xml:space="preserve"> lack of </w:t>
      </w:r>
      <w:r w:rsidR="009270D1" w:rsidRPr="007C5FD5">
        <w:rPr>
          <w:rFonts w:cstheme="minorHAnsi"/>
        </w:rPr>
        <w:t xml:space="preserve">medical confidentiality, </w:t>
      </w:r>
      <w:r w:rsidR="00F120DC" w:rsidRPr="007C5FD5">
        <w:rPr>
          <w:rFonts w:cstheme="minorHAnsi"/>
        </w:rPr>
        <w:t>or</w:t>
      </w:r>
      <w:r w:rsidR="007E232A" w:rsidRPr="007C5FD5">
        <w:rPr>
          <w:rFonts w:cstheme="minorHAnsi"/>
        </w:rPr>
        <w:t xml:space="preserve"> information</w:t>
      </w:r>
      <w:r w:rsidR="009270D1" w:rsidRPr="007C5FD5">
        <w:rPr>
          <w:rFonts w:cstheme="minorHAnsi"/>
        </w:rPr>
        <w:t xml:space="preserve"> </w:t>
      </w:r>
      <w:r w:rsidR="007A6EE5" w:rsidRPr="007C5FD5">
        <w:rPr>
          <w:rFonts w:cstheme="minorHAnsi"/>
        </w:rPr>
        <w:t>privacy</w:t>
      </w:r>
      <w:r w:rsidR="009270D1" w:rsidRPr="007C5FD5">
        <w:rPr>
          <w:rFonts w:cstheme="minorHAnsi"/>
        </w:rPr>
        <w:t>,</w:t>
      </w:r>
      <w:r w:rsidR="00D60FED" w:rsidRPr="007C5FD5">
        <w:rPr>
          <w:rFonts w:cstheme="minorHAnsi"/>
        </w:rPr>
        <w:t xml:space="preserve"> after death. </w:t>
      </w:r>
    </w:p>
    <w:p w14:paraId="66D3E254" w14:textId="77777777" w:rsidR="00C52283" w:rsidRPr="007C5FD5" w:rsidRDefault="00C52283" w:rsidP="00FD77D8">
      <w:pPr>
        <w:autoSpaceDE w:val="0"/>
        <w:autoSpaceDN w:val="0"/>
        <w:adjustRightInd w:val="0"/>
        <w:spacing w:after="0" w:line="240" w:lineRule="auto"/>
        <w:jc w:val="both"/>
        <w:rPr>
          <w:rFonts w:cstheme="minorHAnsi"/>
        </w:rPr>
      </w:pPr>
    </w:p>
    <w:p w14:paraId="383EE65B" w14:textId="53CC304E" w:rsidR="00200165" w:rsidRPr="007C5FD5" w:rsidRDefault="00A30D11" w:rsidP="00FD77D8">
      <w:pPr>
        <w:pStyle w:val="Heading2"/>
        <w:spacing w:before="0" w:line="240" w:lineRule="auto"/>
        <w:jc w:val="both"/>
        <w:rPr>
          <w:rFonts w:asciiTheme="minorHAnsi" w:hAnsiTheme="minorHAnsi" w:cstheme="minorHAnsi"/>
        </w:rPr>
      </w:pPr>
      <w:bookmarkStart w:id="17" w:name="_Toc95071551"/>
      <w:bookmarkStart w:id="18" w:name="_Toc104129820"/>
      <w:bookmarkStart w:id="19" w:name="_Toc105945048"/>
      <w:r w:rsidRPr="007C5FD5">
        <w:rPr>
          <w:rFonts w:asciiTheme="minorHAnsi" w:hAnsiTheme="minorHAnsi" w:cstheme="minorHAnsi"/>
        </w:rPr>
        <w:t>3.2</w:t>
      </w:r>
      <w:r w:rsidR="00200165" w:rsidRPr="007C5FD5">
        <w:rPr>
          <w:rFonts w:asciiTheme="minorHAnsi" w:hAnsiTheme="minorHAnsi" w:cstheme="minorHAnsi"/>
        </w:rPr>
        <w:t xml:space="preserve">. Harm?  </w:t>
      </w:r>
      <w:r w:rsidR="00A06D46" w:rsidRPr="007C5FD5">
        <w:rPr>
          <w:rFonts w:asciiTheme="minorHAnsi" w:hAnsiTheme="minorHAnsi" w:cstheme="minorHAnsi"/>
        </w:rPr>
        <w:t>‘</w:t>
      </w:r>
      <w:r w:rsidR="00200165" w:rsidRPr="007C5FD5">
        <w:rPr>
          <w:rFonts w:asciiTheme="minorHAnsi" w:hAnsiTheme="minorHAnsi" w:cstheme="minorHAnsi"/>
        </w:rPr>
        <w:t>A Mo</w:t>
      </w:r>
      <w:r w:rsidR="00547757" w:rsidRPr="007C5FD5">
        <w:rPr>
          <w:rFonts w:asciiTheme="minorHAnsi" w:hAnsiTheme="minorHAnsi" w:cstheme="minorHAnsi"/>
        </w:rPr>
        <w:t>u</w:t>
      </w:r>
      <w:r w:rsidR="00200165" w:rsidRPr="007C5FD5">
        <w:rPr>
          <w:rFonts w:asciiTheme="minorHAnsi" w:hAnsiTheme="minorHAnsi" w:cstheme="minorHAnsi"/>
        </w:rPr>
        <w:t>ldering Corpse has no Feelings</w:t>
      </w:r>
      <w:bookmarkEnd w:id="17"/>
      <w:r w:rsidR="00A06D46" w:rsidRPr="007C5FD5">
        <w:rPr>
          <w:rFonts w:asciiTheme="minorHAnsi" w:hAnsiTheme="minorHAnsi" w:cstheme="minorHAnsi"/>
        </w:rPr>
        <w:t>’</w:t>
      </w:r>
      <w:bookmarkEnd w:id="18"/>
      <w:bookmarkEnd w:id="19"/>
    </w:p>
    <w:p w14:paraId="7EA0C210" w14:textId="77777777" w:rsidR="007F39E4" w:rsidRPr="007C5FD5" w:rsidRDefault="007F39E4" w:rsidP="00FD77D8">
      <w:pPr>
        <w:autoSpaceDE w:val="0"/>
        <w:autoSpaceDN w:val="0"/>
        <w:adjustRightInd w:val="0"/>
        <w:spacing w:after="0" w:line="240" w:lineRule="auto"/>
        <w:jc w:val="both"/>
        <w:rPr>
          <w:rFonts w:cstheme="minorHAnsi"/>
        </w:rPr>
      </w:pPr>
    </w:p>
    <w:p w14:paraId="701AECA8" w14:textId="41194052" w:rsidR="007D61EE" w:rsidRPr="007C5FD5" w:rsidRDefault="007F39E4" w:rsidP="00FD77D8">
      <w:pPr>
        <w:autoSpaceDE w:val="0"/>
        <w:autoSpaceDN w:val="0"/>
        <w:adjustRightInd w:val="0"/>
        <w:spacing w:after="0" w:line="240" w:lineRule="auto"/>
        <w:jc w:val="both"/>
        <w:rPr>
          <w:rFonts w:cstheme="minorHAnsi"/>
        </w:rPr>
      </w:pPr>
      <w:r w:rsidRPr="007C5FD5">
        <w:rPr>
          <w:rFonts w:cstheme="minorHAnsi"/>
        </w:rPr>
        <w:t>The standard</w:t>
      </w:r>
      <w:r w:rsidR="00805785" w:rsidRPr="007C5FD5">
        <w:rPr>
          <w:rFonts w:cstheme="minorHAnsi"/>
        </w:rPr>
        <w:t xml:space="preserve"> core</w:t>
      </w:r>
      <w:r w:rsidRPr="007C5FD5">
        <w:rPr>
          <w:rFonts w:cstheme="minorHAnsi"/>
        </w:rPr>
        <w:t xml:space="preserve"> </w:t>
      </w:r>
      <w:r w:rsidR="00A06D46" w:rsidRPr="007C5FD5">
        <w:rPr>
          <w:rFonts w:cstheme="minorHAnsi"/>
        </w:rPr>
        <w:t>argument against post-mortem privacy is that a ‘mouldering corpse has no feelings</w:t>
      </w:r>
      <w:r w:rsidR="006D4280" w:rsidRPr="007C5FD5">
        <w:rPr>
          <w:rFonts w:cstheme="minorHAnsi"/>
        </w:rPr>
        <w:t>.</w:t>
      </w:r>
      <w:r w:rsidR="00A06D46" w:rsidRPr="007C5FD5">
        <w:rPr>
          <w:rFonts w:cstheme="minorHAnsi"/>
        </w:rPr>
        <w:t>’</w:t>
      </w:r>
      <w:r w:rsidR="00A06D46" w:rsidRPr="007C5FD5">
        <w:rPr>
          <w:rStyle w:val="FootnoteReference"/>
          <w:rFonts w:cstheme="minorHAnsi"/>
        </w:rPr>
        <w:footnoteReference w:id="123"/>
      </w:r>
      <w:r w:rsidR="00A06D46" w:rsidRPr="007C5FD5">
        <w:rPr>
          <w:rFonts w:cstheme="minorHAnsi"/>
        </w:rPr>
        <w:t xml:space="preserve"> </w:t>
      </w:r>
      <w:r w:rsidR="006D4280" w:rsidRPr="007C5FD5">
        <w:rPr>
          <w:rFonts w:cstheme="minorHAnsi"/>
        </w:rPr>
        <w:t>As ‘reputation and injured dignity are generally of no concern to a deceased person</w:t>
      </w:r>
      <w:r w:rsidR="00407AAF" w:rsidRPr="007C5FD5">
        <w:rPr>
          <w:rFonts w:cstheme="minorHAnsi"/>
        </w:rPr>
        <w:t>,</w:t>
      </w:r>
      <w:r w:rsidR="006D4280" w:rsidRPr="007C5FD5">
        <w:rPr>
          <w:rFonts w:cstheme="minorHAnsi"/>
        </w:rPr>
        <w:t>’</w:t>
      </w:r>
      <w:r w:rsidR="006D4280" w:rsidRPr="007C5FD5">
        <w:rPr>
          <w:rStyle w:val="FootnoteReference"/>
          <w:rFonts w:cstheme="minorHAnsi"/>
        </w:rPr>
        <w:footnoteReference w:id="124"/>
      </w:r>
      <w:r w:rsidR="00E862AF" w:rsidRPr="007C5FD5">
        <w:rPr>
          <w:rFonts w:cstheme="minorHAnsi"/>
        </w:rPr>
        <w:t xml:space="preserve"> </w:t>
      </w:r>
      <w:r w:rsidR="00143276" w:rsidRPr="007C5FD5">
        <w:rPr>
          <w:rFonts w:cstheme="minorHAnsi"/>
        </w:rPr>
        <w:t>no harm can be done</w:t>
      </w:r>
      <w:r w:rsidR="006D4280" w:rsidRPr="007C5FD5">
        <w:rPr>
          <w:rFonts w:cstheme="minorHAnsi"/>
        </w:rPr>
        <w:t xml:space="preserve"> </w:t>
      </w:r>
      <w:r w:rsidR="00143276" w:rsidRPr="007C5FD5">
        <w:rPr>
          <w:rFonts w:cstheme="minorHAnsi"/>
        </w:rPr>
        <w:t>by</w:t>
      </w:r>
      <w:r w:rsidR="0007176A" w:rsidRPr="007C5FD5">
        <w:rPr>
          <w:rFonts w:cstheme="minorHAnsi"/>
        </w:rPr>
        <w:t xml:space="preserve"> </w:t>
      </w:r>
      <w:r w:rsidR="006840B7" w:rsidRPr="007C5FD5">
        <w:rPr>
          <w:rFonts w:cstheme="minorHAnsi"/>
        </w:rPr>
        <w:t>disclosing pre-mortem confiden</w:t>
      </w:r>
      <w:r w:rsidR="004C5EDE" w:rsidRPr="007C5FD5">
        <w:rPr>
          <w:rFonts w:cstheme="minorHAnsi"/>
        </w:rPr>
        <w:t>ces</w:t>
      </w:r>
      <w:r w:rsidR="00E862AF" w:rsidRPr="007C5FD5">
        <w:rPr>
          <w:rFonts w:cstheme="minorHAnsi"/>
        </w:rPr>
        <w:t>:</w:t>
      </w:r>
      <w:r w:rsidR="00A217B0" w:rsidRPr="007C5FD5">
        <w:rPr>
          <w:rFonts w:cstheme="minorHAnsi"/>
        </w:rPr>
        <w:t xml:space="preserve"> </w:t>
      </w:r>
      <w:r w:rsidR="004C5EDE" w:rsidRPr="007C5FD5">
        <w:rPr>
          <w:rFonts w:cstheme="minorHAnsi"/>
        </w:rPr>
        <w:t>‘[O]</w:t>
      </w:r>
      <w:proofErr w:type="spellStart"/>
      <w:r w:rsidR="004C5EDE" w:rsidRPr="007C5FD5">
        <w:rPr>
          <w:rFonts w:cstheme="minorHAnsi"/>
        </w:rPr>
        <w:t>ne’s</w:t>
      </w:r>
      <w:proofErr w:type="spellEnd"/>
      <w:r w:rsidR="004C5EDE" w:rsidRPr="007C5FD5">
        <w:rPr>
          <w:rFonts w:cstheme="minorHAnsi"/>
        </w:rPr>
        <w:t xml:space="preserve"> death means the permanent end not only of one’s physical life, but also of one’s conscious life. Death, so conceived, has its obvious drawbacks, but also its benefits; for the dead are at least free from pain, grief, despair, and other unpleasant sensations, moods, emotions, and so on.’</w:t>
      </w:r>
      <w:r w:rsidR="004C5EDE" w:rsidRPr="007C5FD5">
        <w:rPr>
          <w:rStyle w:val="FootnoteReference"/>
          <w:rFonts w:cstheme="minorHAnsi"/>
        </w:rPr>
        <w:footnoteReference w:id="125"/>
      </w:r>
      <w:r w:rsidR="00A217B0" w:rsidRPr="007C5FD5">
        <w:rPr>
          <w:rFonts w:cstheme="minorHAnsi"/>
        </w:rPr>
        <w:t xml:space="preserve"> </w:t>
      </w:r>
    </w:p>
    <w:p w14:paraId="1A88E56A" w14:textId="77777777" w:rsidR="007D61EE" w:rsidRPr="007C5FD5" w:rsidRDefault="007D61EE" w:rsidP="00FD77D8">
      <w:pPr>
        <w:autoSpaceDE w:val="0"/>
        <w:autoSpaceDN w:val="0"/>
        <w:adjustRightInd w:val="0"/>
        <w:spacing w:after="0" w:line="240" w:lineRule="auto"/>
        <w:jc w:val="both"/>
        <w:rPr>
          <w:rFonts w:cstheme="minorHAnsi"/>
        </w:rPr>
      </w:pPr>
    </w:p>
    <w:p w14:paraId="00E0C62C" w14:textId="29D90D95" w:rsidR="00B047D7" w:rsidRPr="007C5FD5" w:rsidRDefault="00B047D7" w:rsidP="00FD77D8">
      <w:pPr>
        <w:autoSpaceDE w:val="0"/>
        <w:autoSpaceDN w:val="0"/>
        <w:adjustRightInd w:val="0"/>
        <w:spacing w:after="0" w:line="240" w:lineRule="auto"/>
        <w:jc w:val="both"/>
        <w:rPr>
          <w:rFonts w:cstheme="minorHAnsi"/>
        </w:rPr>
      </w:pPr>
      <w:r w:rsidRPr="007C5FD5">
        <w:rPr>
          <w:rFonts w:cstheme="minorHAnsi"/>
          <w:u w:val="single"/>
        </w:rPr>
        <w:t xml:space="preserve">Relational </w:t>
      </w:r>
      <w:r w:rsidR="007579FB" w:rsidRPr="007C5FD5">
        <w:rPr>
          <w:rFonts w:cstheme="minorHAnsi"/>
          <w:u w:val="single"/>
        </w:rPr>
        <w:t>c</w:t>
      </w:r>
      <w:r w:rsidR="00FF4F53" w:rsidRPr="007C5FD5">
        <w:rPr>
          <w:rFonts w:cstheme="minorHAnsi"/>
          <w:u w:val="single"/>
        </w:rPr>
        <w:t>onfidentialities</w:t>
      </w:r>
      <w:r w:rsidRPr="007C5FD5">
        <w:rPr>
          <w:rFonts w:cstheme="minorHAnsi"/>
          <w:u w:val="single"/>
        </w:rPr>
        <w:t>.</w:t>
      </w:r>
      <w:r w:rsidRPr="007C5FD5">
        <w:rPr>
          <w:rFonts w:cstheme="minorHAnsi"/>
        </w:rPr>
        <w:t xml:space="preserve"> </w:t>
      </w:r>
      <w:r w:rsidR="00A27A5C" w:rsidRPr="007C5FD5">
        <w:rPr>
          <w:rFonts w:cstheme="minorHAnsi"/>
        </w:rPr>
        <w:t>P</w:t>
      </w:r>
      <w:r w:rsidR="00E862AF" w:rsidRPr="007C5FD5">
        <w:rPr>
          <w:rFonts w:cstheme="minorHAnsi"/>
        </w:rPr>
        <w:t xml:space="preserve">ost-mortem medical confidentiality </w:t>
      </w:r>
      <w:r w:rsidR="00BC1DF9" w:rsidRPr="007C5FD5">
        <w:rPr>
          <w:rFonts w:cstheme="minorHAnsi"/>
        </w:rPr>
        <w:t>judgments</w:t>
      </w:r>
      <w:r w:rsidR="00A80031" w:rsidRPr="007C5FD5">
        <w:rPr>
          <w:rFonts w:cstheme="minorHAnsi"/>
        </w:rPr>
        <w:t xml:space="preserve"> have </w:t>
      </w:r>
      <w:r w:rsidR="00CD7683" w:rsidRPr="007C5FD5">
        <w:rPr>
          <w:rFonts w:cstheme="minorHAnsi"/>
        </w:rPr>
        <w:t>tend</w:t>
      </w:r>
      <w:r w:rsidR="00A80031" w:rsidRPr="007C5FD5">
        <w:rPr>
          <w:rFonts w:cstheme="minorHAnsi"/>
        </w:rPr>
        <w:t>ed to</w:t>
      </w:r>
      <w:r w:rsidR="00CD7683" w:rsidRPr="007C5FD5">
        <w:rPr>
          <w:rFonts w:cstheme="minorHAnsi"/>
        </w:rPr>
        <w:t xml:space="preserve"> </w:t>
      </w:r>
      <w:r w:rsidR="00A80031" w:rsidRPr="007C5FD5">
        <w:rPr>
          <w:rFonts w:cstheme="minorHAnsi"/>
        </w:rPr>
        <w:t>rely</w:t>
      </w:r>
      <w:r w:rsidR="00210B60" w:rsidRPr="007C5FD5">
        <w:rPr>
          <w:rFonts w:cstheme="minorHAnsi"/>
        </w:rPr>
        <w:t xml:space="preserve"> </w:t>
      </w:r>
      <w:r w:rsidR="00082F55" w:rsidRPr="007C5FD5">
        <w:rPr>
          <w:rFonts w:cstheme="minorHAnsi"/>
        </w:rPr>
        <w:t>on</w:t>
      </w:r>
      <w:r w:rsidR="001C7656" w:rsidRPr="007C5FD5">
        <w:rPr>
          <w:rFonts w:cstheme="minorHAnsi"/>
        </w:rPr>
        <w:t xml:space="preserve"> the</w:t>
      </w:r>
      <w:r w:rsidR="007D61EE" w:rsidRPr="007C5FD5">
        <w:rPr>
          <w:rFonts w:cstheme="minorHAnsi"/>
        </w:rPr>
        <w:t xml:space="preserve"> </w:t>
      </w:r>
      <w:r w:rsidR="001C7656" w:rsidRPr="007C5FD5">
        <w:rPr>
          <w:rFonts w:cstheme="minorHAnsi"/>
        </w:rPr>
        <w:t>inhibitive effect</w:t>
      </w:r>
      <w:r w:rsidR="00DD3614" w:rsidRPr="007C5FD5">
        <w:rPr>
          <w:rFonts w:cstheme="minorHAnsi"/>
        </w:rPr>
        <w:t xml:space="preserve"> that</w:t>
      </w:r>
      <w:r w:rsidR="001C7656" w:rsidRPr="007C5FD5">
        <w:rPr>
          <w:rFonts w:cstheme="minorHAnsi"/>
        </w:rPr>
        <w:t xml:space="preserve"> a </w:t>
      </w:r>
      <w:r w:rsidR="00CD7683" w:rsidRPr="007C5FD5">
        <w:rPr>
          <w:rFonts w:cstheme="minorHAnsi"/>
        </w:rPr>
        <w:t xml:space="preserve">post-mortem </w:t>
      </w:r>
      <w:r w:rsidR="001C7656" w:rsidRPr="007C5FD5">
        <w:rPr>
          <w:rFonts w:cstheme="minorHAnsi"/>
        </w:rPr>
        <w:t xml:space="preserve">loss of confidentiality </w:t>
      </w:r>
      <w:r w:rsidR="00504159" w:rsidRPr="007C5FD5">
        <w:rPr>
          <w:rFonts w:cstheme="minorHAnsi"/>
        </w:rPr>
        <w:t>may</w:t>
      </w:r>
      <w:r w:rsidR="001C7656" w:rsidRPr="007C5FD5">
        <w:rPr>
          <w:rFonts w:cstheme="minorHAnsi"/>
        </w:rPr>
        <w:t xml:space="preserve"> have on ante-mortem care</w:t>
      </w:r>
      <w:r w:rsidR="00CD7683" w:rsidRPr="007C5FD5">
        <w:rPr>
          <w:rFonts w:cstheme="minorHAnsi"/>
        </w:rPr>
        <w:t>,</w:t>
      </w:r>
      <w:r w:rsidR="00E828B6" w:rsidRPr="007C5FD5">
        <w:rPr>
          <w:rStyle w:val="FootnoteReference"/>
          <w:rFonts w:cstheme="minorHAnsi"/>
        </w:rPr>
        <w:footnoteReference w:id="126"/>
      </w:r>
      <w:r w:rsidR="00BC1DF9" w:rsidRPr="007C5FD5">
        <w:rPr>
          <w:rFonts w:cstheme="minorHAnsi"/>
        </w:rPr>
        <w:t xml:space="preserve"> </w:t>
      </w:r>
      <w:r w:rsidR="00210B60" w:rsidRPr="007C5FD5">
        <w:rPr>
          <w:rFonts w:cstheme="minorHAnsi"/>
        </w:rPr>
        <w:t xml:space="preserve">and </w:t>
      </w:r>
      <w:r w:rsidR="00504159" w:rsidRPr="007C5FD5">
        <w:rPr>
          <w:rFonts w:cstheme="minorHAnsi"/>
        </w:rPr>
        <w:t xml:space="preserve">so </w:t>
      </w:r>
      <w:r w:rsidR="00D60FED" w:rsidRPr="007C5FD5">
        <w:rPr>
          <w:rFonts w:cstheme="minorHAnsi"/>
        </w:rPr>
        <w:t xml:space="preserve">afforded </w:t>
      </w:r>
      <w:r w:rsidR="00082F55" w:rsidRPr="007C5FD5">
        <w:rPr>
          <w:rFonts w:cstheme="minorHAnsi"/>
        </w:rPr>
        <w:t>protection</w:t>
      </w:r>
      <w:r w:rsidR="00E130CC" w:rsidRPr="007C5FD5">
        <w:rPr>
          <w:rFonts w:cstheme="minorHAnsi"/>
        </w:rPr>
        <w:t xml:space="preserve"> </w:t>
      </w:r>
      <w:r w:rsidR="00E828B6" w:rsidRPr="007C5FD5">
        <w:rPr>
          <w:rFonts w:cstheme="minorHAnsi"/>
        </w:rPr>
        <w:t>to</w:t>
      </w:r>
      <w:r w:rsidR="00EF05EA" w:rsidRPr="007C5FD5">
        <w:rPr>
          <w:rFonts w:cstheme="minorHAnsi"/>
        </w:rPr>
        <w:t xml:space="preserve"> </w:t>
      </w:r>
      <w:r w:rsidR="001C7656" w:rsidRPr="007C5FD5">
        <w:rPr>
          <w:rFonts w:cstheme="minorHAnsi"/>
        </w:rPr>
        <w:t xml:space="preserve">medical </w:t>
      </w:r>
      <w:r w:rsidR="00504159" w:rsidRPr="007C5FD5">
        <w:rPr>
          <w:rFonts w:cstheme="minorHAnsi"/>
        </w:rPr>
        <w:t>or</w:t>
      </w:r>
      <w:r w:rsidR="00310AFE" w:rsidRPr="007C5FD5">
        <w:rPr>
          <w:rFonts w:cstheme="minorHAnsi"/>
        </w:rPr>
        <w:t xml:space="preserve"> care </w:t>
      </w:r>
      <w:r w:rsidR="001C7656" w:rsidRPr="007C5FD5">
        <w:rPr>
          <w:rFonts w:cstheme="minorHAnsi"/>
        </w:rPr>
        <w:t xml:space="preserve">staff </w:t>
      </w:r>
      <w:r w:rsidR="00210B60" w:rsidRPr="007C5FD5">
        <w:rPr>
          <w:rFonts w:cstheme="minorHAnsi"/>
        </w:rPr>
        <w:t>and</w:t>
      </w:r>
      <w:r w:rsidR="00DD3614" w:rsidRPr="007C5FD5">
        <w:rPr>
          <w:rFonts w:cstheme="minorHAnsi"/>
        </w:rPr>
        <w:t xml:space="preserve"> </w:t>
      </w:r>
      <w:r w:rsidR="00E130CC" w:rsidRPr="007C5FD5">
        <w:rPr>
          <w:rFonts w:cstheme="minorHAnsi"/>
        </w:rPr>
        <w:t xml:space="preserve">relatives </w:t>
      </w:r>
      <w:r w:rsidR="001C7656" w:rsidRPr="007C5FD5">
        <w:rPr>
          <w:rFonts w:cstheme="minorHAnsi"/>
        </w:rPr>
        <w:t xml:space="preserve">consulted about </w:t>
      </w:r>
      <w:r w:rsidR="00DD3614" w:rsidRPr="007C5FD5">
        <w:rPr>
          <w:rFonts w:cstheme="minorHAnsi"/>
        </w:rPr>
        <w:t xml:space="preserve">the </w:t>
      </w:r>
      <w:r w:rsidR="001C7656" w:rsidRPr="007C5FD5">
        <w:rPr>
          <w:rFonts w:cstheme="minorHAnsi"/>
        </w:rPr>
        <w:t>treatment</w:t>
      </w:r>
      <w:r w:rsidR="00BE4636" w:rsidRPr="007C5FD5">
        <w:rPr>
          <w:rFonts w:cstheme="minorHAnsi"/>
        </w:rPr>
        <w:t>.</w:t>
      </w:r>
      <w:r w:rsidR="00186A83" w:rsidRPr="007C5FD5">
        <w:rPr>
          <w:rStyle w:val="FootnoteReference"/>
          <w:rFonts w:cstheme="minorHAnsi"/>
        </w:rPr>
        <w:footnoteReference w:id="127"/>
      </w:r>
      <w:r w:rsidR="00BE4636" w:rsidRPr="007C5FD5">
        <w:rPr>
          <w:rFonts w:cstheme="minorHAnsi"/>
        </w:rPr>
        <w:t xml:space="preserve"> </w:t>
      </w:r>
      <w:r w:rsidR="00E130CC" w:rsidRPr="007C5FD5">
        <w:rPr>
          <w:rFonts w:cstheme="minorHAnsi"/>
        </w:rPr>
        <w:t>Justice Brown</w:t>
      </w:r>
      <w:r w:rsidR="009D7D2A" w:rsidRPr="007C5FD5">
        <w:rPr>
          <w:rFonts w:cstheme="minorHAnsi"/>
        </w:rPr>
        <w:t xml:space="preserve"> in</w:t>
      </w:r>
      <w:r w:rsidR="00E130CC" w:rsidRPr="007C5FD5">
        <w:rPr>
          <w:rFonts w:cstheme="minorHAnsi"/>
        </w:rPr>
        <w:t xml:space="preserve"> </w:t>
      </w:r>
      <w:r w:rsidR="009D7D2A" w:rsidRPr="007C5FD5">
        <w:rPr>
          <w:rFonts w:cstheme="minorHAnsi"/>
          <w:i/>
          <w:iCs/>
        </w:rPr>
        <w:t>Re C</w:t>
      </w:r>
      <w:r w:rsidR="009D7D2A" w:rsidRPr="007C5FD5">
        <w:rPr>
          <w:rFonts w:cstheme="minorHAnsi"/>
        </w:rPr>
        <w:t xml:space="preserve"> </w:t>
      </w:r>
      <w:r w:rsidR="00E813AF" w:rsidRPr="007C5FD5">
        <w:rPr>
          <w:rFonts w:cstheme="minorHAnsi"/>
        </w:rPr>
        <w:t xml:space="preserve">referred to </w:t>
      </w:r>
      <w:r w:rsidR="00E130CC" w:rsidRPr="007C5FD5">
        <w:rPr>
          <w:rFonts w:cstheme="minorHAnsi"/>
        </w:rPr>
        <w:t>a ‘public interest that those who may be faced with considering the making of an application of the kind</w:t>
      </w:r>
      <w:r w:rsidR="00BE4636" w:rsidRPr="007C5FD5">
        <w:rPr>
          <w:rFonts w:cstheme="minorHAnsi"/>
        </w:rPr>
        <w:t xml:space="preserve"> [taking away life-sustaining treatment]… </w:t>
      </w:r>
      <w:r w:rsidR="00E130CC" w:rsidRPr="007C5FD5">
        <w:rPr>
          <w:rFonts w:cstheme="minorHAnsi"/>
        </w:rPr>
        <w:t>should be untrammelled</w:t>
      </w:r>
      <w:r w:rsidR="00BE4636" w:rsidRPr="007C5FD5">
        <w:rPr>
          <w:rFonts w:cstheme="minorHAnsi"/>
        </w:rPr>
        <w:t xml:space="preserve"> </w:t>
      </w:r>
      <w:r w:rsidR="00E130CC" w:rsidRPr="007C5FD5">
        <w:rPr>
          <w:rFonts w:cstheme="minorHAnsi"/>
        </w:rPr>
        <w:t>by the fear of publicity in coming to the very sensitive and fundamental decision</w:t>
      </w:r>
      <w:r w:rsidR="00BE4636" w:rsidRPr="007C5FD5">
        <w:rPr>
          <w:rFonts w:cstheme="minorHAnsi"/>
        </w:rPr>
        <w:t>.’</w:t>
      </w:r>
      <w:r w:rsidR="00BE4636" w:rsidRPr="007C5FD5">
        <w:rPr>
          <w:rStyle w:val="FootnoteReference"/>
          <w:rFonts w:cstheme="minorHAnsi"/>
        </w:rPr>
        <w:footnoteReference w:id="128"/>
      </w:r>
      <w:r w:rsidR="00F401C0" w:rsidRPr="007C5FD5">
        <w:rPr>
          <w:rFonts w:cstheme="minorHAnsi"/>
        </w:rPr>
        <w:t xml:space="preserve"> </w:t>
      </w:r>
      <w:r w:rsidR="00D60FED" w:rsidRPr="007C5FD5">
        <w:rPr>
          <w:rFonts w:cstheme="minorHAnsi"/>
        </w:rPr>
        <w:t>He</w:t>
      </w:r>
      <w:r w:rsidR="008E7B79" w:rsidRPr="007C5FD5">
        <w:rPr>
          <w:rFonts w:cstheme="minorHAnsi"/>
        </w:rPr>
        <w:t xml:space="preserve"> </w:t>
      </w:r>
      <w:r w:rsidR="00D60FED" w:rsidRPr="007C5FD5">
        <w:rPr>
          <w:rFonts w:cstheme="minorHAnsi"/>
        </w:rPr>
        <w:t xml:space="preserve">extended </w:t>
      </w:r>
      <w:r w:rsidR="008E7B79" w:rsidRPr="007C5FD5">
        <w:rPr>
          <w:rFonts w:cstheme="minorHAnsi"/>
        </w:rPr>
        <w:t xml:space="preserve">the </w:t>
      </w:r>
      <w:r w:rsidR="00D60FED" w:rsidRPr="007C5FD5">
        <w:rPr>
          <w:rFonts w:cstheme="minorHAnsi"/>
        </w:rPr>
        <w:t xml:space="preserve">publicity </w:t>
      </w:r>
      <w:r w:rsidR="008E7B79" w:rsidRPr="007C5FD5">
        <w:rPr>
          <w:rFonts w:cstheme="minorHAnsi"/>
        </w:rPr>
        <w:t xml:space="preserve">restriction </w:t>
      </w:r>
      <w:r w:rsidR="00D60FED" w:rsidRPr="007C5FD5">
        <w:rPr>
          <w:rFonts w:cstheme="minorHAnsi"/>
        </w:rPr>
        <w:t>in order to</w:t>
      </w:r>
      <w:r w:rsidR="008E7B79" w:rsidRPr="007C5FD5">
        <w:rPr>
          <w:rFonts w:cstheme="minorHAnsi"/>
        </w:rPr>
        <w:t xml:space="preserve"> protect the identity of the deceased patient’s family and his doctor</w:t>
      </w:r>
      <w:r w:rsidR="00BE4636" w:rsidRPr="007C5FD5">
        <w:rPr>
          <w:rFonts w:cstheme="minorHAnsi"/>
        </w:rPr>
        <w:t xml:space="preserve"> </w:t>
      </w:r>
      <w:r w:rsidR="008E7B79" w:rsidRPr="007C5FD5">
        <w:rPr>
          <w:rFonts w:cstheme="minorHAnsi"/>
        </w:rPr>
        <w:t xml:space="preserve">and </w:t>
      </w:r>
      <w:r w:rsidR="008E7B79" w:rsidRPr="007C5FD5">
        <w:rPr>
          <w:rFonts w:cstheme="minorHAnsi"/>
        </w:rPr>
        <w:lastRenderedPageBreak/>
        <w:t xml:space="preserve">carers. </w:t>
      </w:r>
      <w:r w:rsidR="00BE4636" w:rsidRPr="007C5FD5">
        <w:rPr>
          <w:rFonts w:cstheme="minorHAnsi"/>
        </w:rPr>
        <w:t xml:space="preserve">In </w:t>
      </w:r>
      <w:r w:rsidR="00BE4636" w:rsidRPr="007C5FD5">
        <w:rPr>
          <w:rFonts w:cstheme="minorHAnsi"/>
          <w:i/>
          <w:iCs/>
        </w:rPr>
        <w:t>Re Meek</w:t>
      </w:r>
      <w:r w:rsidR="00BE4636" w:rsidRPr="007C5FD5">
        <w:rPr>
          <w:rFonts w:cstheme="minorHAnsi"/>
        </w:rPr>
        <w:t>, Judge Hodge observed that ‘[</w:t>
      </w:r>
      <w:proofErr w:type="spellStart"/>
      <w:r w:rsidR="00BE4636" w:rsidRPr="007C5FD5">
        <w:rPr>
          <w:rFonts w:cstheme="minorHAnsi"/>
        </w:rPr>
        <w:t>i</w:t>
      </w:r>
      <w:proofErr w:type="spellEnd"/>
      <w:r w:rsidR="00BE4636" w:rsidRPr="007C5FD5">
        <w:rPr>
          <w:rFonts w:cstheme="minorHAnsi"/>
        </w:rPr>
        <w:t xml:space="preserve">]t is </w:t>
      </w:r>
      <w:bookmarkStart w:id="20" w:name="para104"/>
      <w:r w:rsidR="00BE4636" w:rsidRPr="007C5FD5">
        <w:rPr>
          <w:rFonts w:cstheme="minorHAnsi"/>
        </w:rPr>
        <w:t xml:space="preserve">in the public interest that those who aspire to care for an </w:t>
      </w:r>
      <w:proofErr w:type="spellStart"/>
      <w:r w:rsidR="00BE4636" w:rsidRPr="007C5FD5">
        <w:rPr>
          <w:rFonts w:cstheme="minorHAnsi"/>
        </w:rPr>
        <w:t>incapacitous</w:t>
      </w:r>
      <w:proofErr w:type="spellEnd"/>
      <w:r w:rsidR="00BE4636" w:rsidRPr="007C5FD5">
        <w:rPr>
          <w:rFonts w:cstheme="minorHAnsi"/>
        </w:rPr>
        <w:t xml:space="preserve"> person, or to manage his affairs, should not be exposed to the full glare of public criticism if they genuinely fall short. To do so might discourage others to take on such a role</w:t>
      </w:r>
      <w:bookmarkEnd w:id="20"/>
      <w:r w:rsidR="005416DB" w:rsidRPr="007C5FD5">
        <w:rPr>
          <w:rFonts w:cstheme="minorHAnsi"/>
        </w:rPr>
        <w:t>.</w:t>
      </w:r>
      <w:r w:rsidR="00BE4636" w:rsidRPr="007C5FD5">
        <w:rPr>
          <w:rFonts w:cstheme="minorHAnsi"/>
        </w:rPr>
        <w:t>’</w:t>
      </w:r>
      <w:r w:rsidR="00BE4636" w:rsidRPr="007C5FD5">
        <w:rPr>
          <w:rStyle w:val="FootnoteReference"/>
          <w:rFonts w:cstheme="minorHAnsi"/>
        </w:rPr>
        <w:footnoteReference w:id="129"/>
      </w:r>
      <w:r w:rsidR="00082F55" w:rsidRPr="007C5FD5">
        <w:rPr>
          <w:rFonts w:cstheme="minorHAnsi"/>
        </w:rPr>
        <w:t xml:space="preserve"> </w:t>
      </w:r>
      <w:r w:rsidR="00B6572F" w:rsidRPr="007C5FD5">
        <w:rPr>
          <w:rFonts w:cstheme="minorHAnsi"/>
        </w:rPr>
        <w:t xml:space="preserve"> </w:t>
      </w:r>
      <w:r w:rsidR="00D60FED" w:rsidRPr="007C5FD5">
        <w:rPr>
          <w:rFonts w:cstheme="minorHAnsi"/>
        </w:rPr>
        <w:t>In these cases, t</w:t>
      </w:r>
      <w:r w:rsidR="00E828B6" w:rsidRPr="007C5FD5">
        <w:rPr>
          <w:rFonts w:cstheme="minorHAnsi"/>
        </w:rPr>
        <w:t xml:space="preserve">he </w:t>
      </w:r>
      <w:r w:rsidR="00E813AF" w:rsidRPr="007C5FD5">
        <w:rPr>
          <w:rFonts w:cstheme="minorHAnsi"/>
        </w:rPr>
        <w:t xml:space="preserve">privacy of </w:t>
      </w:r>
      <w:r w:rsidR="00D94224" w:rsidRPr="007C5FD5">
        <w:rPr>
          <w:rFonts w:cstheme="minorHAnsi"/>
        </w:rPr>
        <w:t xml:space="preserve">medical </w:t>
      </w:r>
      <w:r w:rsidR="00E813AF" w:rsidRPr="007C5FD5">
        <w:rPr>
          <w:rFonts w:cstheme="minorHAnsi"/>
        </w:rPr>
        <w:t xml:space="preserve">staff, carers and </w:t>
      </w:r>
      <w:r w:rsidR="00082F55" w:rsidRPr="007C5FD5">
        <w:rPr>
          <w:rFonts w:cstheme="minorHAnsi"/>
        </w:rPr>
        <w:t xml:space="preserve">relatives </w:t>
      </w:r>
      <w:r w:rsidR="00E813AF" w:rsidRPr="007C5FD5">
        <w:rPr>
          <w:rFonts w:cstheme="minorHAnsi"/>
        </w:rPr>
        <w:t>was protected</w:t>
      </w:r>
      <w:r w:rsidR="00082F55" w:rsidRPr="007C5FD5">
        <w:rPr>
          <w:rFonts w:cstheme="minorHAnsi"/>
        </w:rPr>
        <w:t xml:space="preserve"> in their own right</w:t>
      </w:r>
      <w:r w:rsidR="00B80D7B" w:rsidRPr="007C5FD5">
        <w:rPr>
          <w:rFonts w:cstheme="minorHAnsi"/>
        </w:rPr>
        <w:t xml:space="preserve"> </w:t>
      </w:r>
      <w:r w:rsidR="00310AFE" w:rsidRPr="007C5FD5">
        <w:rPr>
          <w:rFonts w:cstheme="minorHAnsi"/>
        </w:rPr>
        <w:t xml:space="preserve">as </w:t>
      </w:r>
      <w:r w:rsidR="00E813AF" w:rsidRPr="007C5FD5">
        <w:rPr>
          <w:rFonts w:cstheme="minorHAnsi"/>
          <w:i/>
          <w:iCs/>
        </w:rPr>
        <w:t xml:space="preserve">directly </w:t>
      </w:r>
      <w:r w:rsidR="00310AFE" w:rsidRPr="007C5FD5">
        <w:rPr>
          <w:rFonts w:cstheme="minorHAnsi"/>
        </w:rPr>
        <w:t xml:space="preserve">implicated in </w:t>
      </w:r>
      <w:r w:rsidR="00177230" w:rsidRPr="007C5FD5">
        <w:rPr>
          <w:rFonts w:cstheme="minorHAnsi"/>
        </w:rPr>
        <w:t>the</w:t>
      </w:r>
      <w:r w:rsidR="00EE0483" w:rsidRPr="007C5FD5">
        <w:rPr>
          <w:rFonts w:cstheme="minorHAnsi"/>
        </w:rPr>
        <w:t xml:space="preserve"> same</w:t>
      </w:r>
      <w:r w:rsidR="00177230" w:rsidRPr="007C5FD5">
        <w:rPr>
          <w:rFonts w:cstheme="minorHAnsi"/>
        </w:rPr>
        <w:t xml:space="preserve"> </w:t>
      </w:r>
      <w:r w:rsidR="00310AFE" w:rsidRPr="007C5FD5">
        <w:rPr>
          <w:rFonts w:cstheme="minorHAnsi"/>
        </w:rPr>
        <w:t>confidences</w:t>
      </w:r>
      <w:r w:rsidR="00B6572F" w:rsidRPr="007C5FD5">
        <w:rPr>
          <w:rFonts w:cstheme="minorHAnsi"/>
        </w:rPr>
        <w:t xml:space="preserve"> as the deceased</w:t>
      </w:r>
      <w:r w:rsidR="00EA1C91" w:rsidRPr="007C5FD5">
        <w:rPr>
          <w:rFonts w:cstheme="minorHAnsi"/>
        </w:rPr>
        <w:t>.</w:t>
      </w:r>
      <w:r w:rsidR="00E813AF" w:rsidRPr="007C5FD5">
        <w:rPr>
          <w:rStyle w:val="FootnoteReference"/>
          <w:rFonts w:cstheme="minorHAnsi"/>
        </w:rPr>
        <w:footnoteReference w:id="130"/>
      </w:r>
      <w:r w:rsidR="00EA1C91" w:rsidRPr="007C5FD5">
        <w:rPr>
          <w:rFonts w:cstheme="minorHAnsi"/>
        </w:rPr>
        <w:t xml:space="preserve"> </w:t>
      </w:r>
      <w:r w:rsidR="00D320A4" w:rsidRPr="007C5FD5">
        <w:rPr>
          <w:rFonts w:cstheme="minorHAnsi"/>
        </w:rPr>
        <w:t xml:space="preserve">So </w:t>
      </w:r>
      <w:r w:rsidR="00D60FED" w:rsidRPr="007C5FD5">
        <w:rPr>
          <w:rFonts w:cstheme="minorHAnsi"/>
        </w:rPr>
        <w:t xml:space="preserve">whilst the </w:t>
      </w:r>
      <w:r w:rsidR="00D320A4" w:rsidRPr="007C5FD5">
        <w:rPr>
          <w:rFonts w:cstheme="minorHAnsi"/>
        </w:rPr>
        <w:t>patient depende</w:t>
      </w:r>
      <w:r w:rsidR="00504159" w:rsidRPr="007C5FD5">
        <w:rPr>
          <w:rFonts w:cstheme="minorHAnsi"/>
        </w:rPr>
        <w:t xml:space="preserve">d on the </w:t>
      </w:r>
      <w:r w:rsidR="00EA1C91" w:rsidRPr="007C5FD5">
        <w:rPr>
          <w:rFonts w:cstheme="minorHAnsi"/>
        </w:rPr>
        <w:t xml:space="preserve">care, </w:t>
      </w:r>
      <w:r w:rsidR="00504159" w:rsidRPr="007C5FD5">
        <w:rPr>
          <w:rFonts w:cstheme="minorHAnsi"/>
        </w:rPr>
        <w:t>loyalty and confidentiality of medical staff and</w:t>
      </w:r>
      <w:r w:rsidR="008A09F8" w:rsidRPr="007C5FD5">
        <w:rPr>
          <w:rFonts w:cstheme="minorHAnsi"/>
        </w:rPr>
        <w:t xml:space="preserve"> relation, </w:t>
      </w:r>
      <w:r w:rsidR="00504159" w:rsidRPr="007C5FD5">
        <w:rPr>
          <w:rFonts w:cstheme="minorHAnsi"/>
        </w:rPr>
        <w:t>the</w:t>
      </w:r>
      <w:r w:rsidR="00EA1C91" w:rsidRPr="007C5FD5">
        <w:rPr>
          <w:rFonts w:cstheme="minorHAnsi"/>
        </w:rPr>
        <w:t xml:space="preserve">y </w:t>
      </w:r>
      <w:r w:rsidR="008A09F8" w:rsidRPr="007C5FD5">
        <w:rPr>
          <w:rFonts w:cstheme="minorHAnsi"/>
        </w:rPr>
        <w:t xml:space="preserve">too were </w:t>
      </w:r>
      <w:r w:rsidR="00EA1C91" w:rsidRPr="007C5FD5">
        <w:rPr>
          <w:rFonts w:cstheme="minorHAnsi"/>
        </w:rPr>
        <w:t>vulnerable</w:t>
      </w:r>
      <w:r w:rsidR="007E232A" w:rsidRPr="007C5FD5">
        <w:rPr>
          <w:rFonts w:cstheme="minorHAnsi"/>
        </w:rPr>
        <w:t xml:space="preserve"> -</w:t>
      </w:r>
      <w:r w:rsidR="008A09F8" w:rsidRPr="007C5FD5">
        <w:rPr>
          <w:rFonts w:cstheme="minorHAnsi"/>
        </w:rPr>
        <w:t xml:space="preserve"> by virtue of the fact that</w:t>
      </w:r>
      <w:r w:rsidR="00AB4B87" w:rsidRPr="007C5FD5">
        <w:rPr>
          <w:rFonts w:cstheme="minorHAnsi"/>
        </w:rPr>
        <w:t xml:space="preserve"> their</w:t>
      </w:r>
      <w:r w:rsidR="00EA1C91" w:rsidRPr="007C5FD5">
        <w:rPr>
          <w:rFonts w:cstheme="minorHAnsi"/>
        </w:rPr>
        <w:t xml:space="preserve"> well-intentioned</w:t>
      </w:r>
      <w:r w:rsidR="00AB4B87" w:rsidRPr="007C5FD5">
        <w:rPr>
          <w:rFonts w:cstheme="minorHAnsi"/>
        </w:rPr>
        <w:t xml:space="preserve"> but difficult</w:t>
      </w:r>
      <w:r w:rsidR="00EA1C91" w:rsidRPr="007C5FD5">
        <w:rPr>
          <w:rFonts w:cstheme="minorHAnsi"/>
        </w:rPr>
        <w:t xml:space="preserve"> decisions and actions </w:t>
      </w:r>
      <w:r w:rsidR="00AA541F">
        <w:rPr>
          <w:rFonts w:cstheme="minorHAnsi"/>
        </w:rPr>
        <w:t>c</w:t>
      </w:r>
      <w:r w:rsidR="00EA1C91" w:rsidRPr="007C5FD5">
        <w:rPr>
          <w:rFonts w:cstheme="minorHAnsi"/>
        </w:rPr>
        <w:t xml:space="preserve">ould be judged </w:t>
      </w:r>
      <w:r w:rsidR="00AB4B87" w:rsidRPr="007C5FD5">
        <w:rPr>
          <w:rFonts w:cstheme="minorHAnsi"/>
        </w:rPr>
        <w:t xml:space="preserve">harshly by the public. </w:t>
      </w:r>
    </w:p>
    <w:p w14:paraId="7FED5A89" w14:textId="3CBDDF6A" w:rsidR="005416DB" w:rsidRPr="007C5FD5" w:rsidRDefault="005416DB" w:rsidP="00FD77D8">
      <w:pPr>
        <w:autoSpaceDE w:val="0"/>
        <w:autoSpaceDN w:val="0"/>
        <w:adjustRightInd w:val="0"/>
        <w:spacing w:after="0" w:line="240" w:lineRule="auto"/>
        <w:jc w:val="both"/>
        <w:rPr>
          <w:rFonts w:cstheme="minorHAnsi"/>
        </w:rPr>
      </w:pPr>
    </w:p>
    <w:p w14:paraId="22E78C0A" w14:textId="20FCA008" w:rsidR="00BE6AB2" w:rsidRPr="007C5FD5" w:rsidRDefault="00522305" w:rsidP="00FD77D8">
      <w:pPr>
        <w:autoSpaceDE w:val="0"/>
        <w:autoSpaceDN w:val="0"/>
        <w:adjustRightInd w:val="0"/>
        <w:spacing w:after="0" w:line="240" w:lineRule="auto"/>
        <w:jc w:val="both"/>
        <w:rPr>
          <w:rFonts w:cstheme="minorHAnsi"/>
        </w:rPr>
      </w:pPr>
      <w:r w:rsidRPr="007C5FD5">
        <w:rPr>
          <w:rFonts w:cstheme="minorHAnsi"/>
        </w:rPr>
        <w:t>Such direct</w:t>
      </w:r>
      <w:r w:rsidR="007E232A" w:rsidRPr="007C5FD5">
        <w:rPr>
          <w:rFonts w:cstheme="minorHAnsi"/>
        </w:rPr>
        <w:t xml:space="preserve"> overlapping</w:t>
      </w:r>
      <w:r w:rsidR="00177230" w:rsidRPr="007C5FD5">
        <w:rPr>
          <w:rFonts w:cstheme="minorHAnsi"/>
        </w:rPr>
        <w:t xml:space="preserve"> confidentiality</w:t>
      </w:r>
      <w:r w:rsidR="00AE25CC" w:rsidRPr="007C5FD5">
        <w:rPr>
          <w:rFonts w:cstheme="minorHAnsi"/>
        </w:rPr>
        <w:t xml:space="preserve"> </w:t>
      </w:r>
      <w:r w:rsidR="00690321" w:rsidRPr="007C5FD5">
        <w:rPr>
          <w:rFonts w:cstheme="minorHAnsi"/>
        </w:rPr>
        <w:t xml:space="preserve">is </w:t>
      </w:r>
      <w:r w:rsidR="00BE6AB2" w:rsidRPr="007C5FD5">
        <w:rPr>
          <w:rFonts w:cstheme="minorHAnsi"/>
        </w:rPr>
        <w:t>akin to</w:t>
      </w:r>
      <w:r w:rsidR="007E232A" w:rsidRPr="007C5FD5">
        <w:rPr>
          <w:rFonts w:cstheme="minorHAnsi"/>
        </w:rPr>
        <w:t xml:space="preserve"> the concept of</w:t>
      </w:r>
      <w:r w:rsidR="00AB4B87" w:rsidRPr="007C5FD5">
        <w:rPr>
          <w:rFonts w:cstheme="minorHAnsi"/>
        </w:rPr>
        <w:t xml:space="preserve"> </w:t>
      </w:r>
      <w:r w:rsidR="00AE25CC" w:rsidRPr="007C5FD5">
        <w:rPr>
          <w:rFonts w:cstheme="minorHAnsi"/>
        </w:rPr>
        <w:t>r</w:t>
      </w:r>
      <w:r w:rsidR="005A6578" w:rsidRPr="007C5FD5">
        <w:rPr>
          <w:rFonts w:cstheme="minorHAnsi"/>
        </w:rPr>
        <w:t>elational</w:t>
      </w:r>
      <w:r w:rsidR="0047298E" w:rsidRPr="007C5FD5">
        <w:rPr>
          <w:rFonts w:cstheme="minorHAnsi"/>
        </w:rPr>
        <w:t xml:space="preserve"> </w:t>
      </w:r>
      <w:r w:rsidR="00EE0483" w:rsidRPr="007C5FD5">
        <w:rPr>
          <w:rFonts w:cstheme="minorHAnsi"/>
        </w:rPr>
        <w:t>privacy</w:t>
      </w:r>
      <w:r w:rsidR="00AE25CC" w:rsidRPr="007C5FD5">
        <w:rPr>
          <w:rFonts w:cstheme="minorHAnsi"/>
        </w:rPr>
        <w:t>, where the</w:t>
      </w:r>
      <w:r w:rsidR="00EE0483" w:rsidRPr="007C5FD5">
        <w:rPr>
          <w:rFonts w:cstheme="minorHAnsi"/>
        </w:rPr>
        <w:t xml:space="preserve"> </w:t>
      </w:r>
      <w:r w:rsidR="00AE25CC" w:rsidRPr="007C5FD5">
        <w:rPr>
          <w:rFonts w:cstheme="minorHAnsi"/>
        </w:rPr>
        <w:t xml:space="preserve">invasion of </w:t>
      </w:r>
      <w:r w:rsidR="004D0E29" w:rsidRPr="007C5FD5">
        <w:rPr>
          <w:rFonts w:cstheme="minorHAnsi"/>
        </w:rPr>
        <w:t xml:space="preserve">the </w:t>
      </w:r>
      <w:r w:rsidR="00AE25CC" w:rsidRPr="007C5FD5">
        <w:rPr>
          <w:rFonts w:cstheme="minorHAnsi"/>
        </w:rPr>
        <w:t xml:space="preserve">privacy of the living arises from </w:t>
      </w:r>
      <w:r w:rsidR="00AB4B87" w:rsidRPr="007C5FD5">
        <w:rPr>
          <w:rFonts w:cstheme="minorHAnsi"/>
        </w:rPr>
        <w:t xml:space="preserve">the </w:t>
      </w:r>
      <w:r w:rsidR="005A6578" w:rsidRPr="007C5FD5">
        <w:rPr>
          <w:rFonts w:cstheme="minorHAnsi"/>
        </w:rPr>
        <w:t xml:space="preserve">post-mortem breach of </w:t>
      </w:r>
      <w:r w:rsidR="00AA541F">
        <w:rPr>
          <w:rFonts w:cstheme="minorHAnsi"/>
        </w:rPr>
        <w:t xml:space="preserve">the notional </w:t>
      </w:r>
      <w:r w:rsidR="005A6578" w:rsidRPr="007C5FD5">
        <w:rPr>
          <w:rFonts w:cstheme="minorHAnsi"/>
        </w:rPr>
        <w:t>privacy of</w:t>
      </w:r>
      <w:r w:rsidR="007E232A" w:rsidRPr="007C5FD5">
        <w:rPr>
          <w:rFonts w:cstheme="minorHAnsi"/>
        </w:rPr>
        <w:t xml:space="preserve"> the </w:t>
      </w:r>
      <w:r w:rsidR="002E58A9" w:rsidRPr="007C5FD5">
        <w:rPr>
          <w:rFonts w:cstheme="minorHAnsi"/>
        </w:rPr>
        <w:t>deceased</w:t>
      </w:r>
      <w:r w:rsidR="000052AF" w:rsidRPr="007C5FD5">
        <w:rPr>
          <w:rFonts w:cstheme="minorHAnsi"/>
        </w:rPr>
        <w:t>.</w:t>
      </w:r>
      <w:r w:rsidR="00663810" w:rsidRPr="007C5FD5">
        <w:rPr>
          <w:rFonts w:cstheme="minorHAnsi"/>
        </w:rPr>
        <w:t xml:space="preserve"> </w:t>
      </w:r>
      <w:r w:rsidR="00AB4B87" w:rsidRPr="007C5FD5">
        <w:rPr>
          <w:rFonts w:cstheme="minorHAnsi"/>
        </w:rPr>
        <w:t>Typically, i</w:t>
      </w:r>
      <w:r w:rsidR="00EE0483" w:rsidRPr="007C5FD5">
        <w:rPr>
          <w:rFonts w:cstheme="minorHAnsi"/>
        </w:rPr>
        <w:t xml:space="preserve">n </w:t>
      </w:r>
      <w:r w:rsidR="00EE0483" w:rsidRPr="007C5FD5">
        <w:rPr>
          <w:rStyle w:val="sa2b98c15"/>
          <w:rFonts w:cstheme="minorHAnsi"/>
          <w:i/>
          <w:iCs/>
        </w:rPr>
        <w:t xml:space="preserve">ML v Slovakia </w:t>
      </w:r>
      <w:r w:rsidR="00EE0483" w:rsidRPr="007C5FD5">
        <w:rPr>
          <w:rStyle w:val="sa2b98c15"/>
          <w:rFonts w:cstheme="minorHAnsi"/>
        </w:rPr>
        <w:t>(2021)</w:t>
      </w:r>
      <w:r w:rsidR="00EE0483" w:rsidRPr="007C5FD5">
        <w:rPr>
          <w:rStyle w:val="FootnoteReference"/>
          <w:rFonts w:cstheme="minorHAnsi"/>
        </w:rPr>
        <w:footnoteReference w:id="131"/>
      </w:r>
      <w:r w:rsidR="00EE0483" w:rsidRPr="007C5FD5">
        <w:rPr>
          <w:rStyle w:val="sa2b98c15"/>
          <w:rFonts w:cstheme="minorHAnsi"/>
        </w:rPr>
        <w:t xml:space="preserve"> the ECtHR accepted that ML’s </w:t>
      </w:r>
      <w:r w:rsidR="00EE0483" w:rsidRPr="007C5FD5">
        <w:rPr>
          <w:rStyle w:val="sa2b98c15"/>
          <w:rFonts w:cstheme="minorHAnsi"/>
          <w:i/>
          <w:iCs/>
        </w:rPr>
        <w:t>own</w:t>
      </w:r>
      <w:r w:rsidR="00EE0483" w:rsidRPr="007C5FD5">
        <w:rPr>
          <w:rStyle w:val="sa2b98c15"/>
          <w:rFonts w:cstheme="minorHAnsi"/>
        </w:rPr>
        <w:t xml:space="preserve"> privacy</w:t>
      </w:r>
      <w:r w:rsidR="00EE0483" w:rsidRPr="007C5FD5">
        <w:rPr>
          <w:rStyle w:val="sa2b98c15"/>
          <w:rFonts w:cstheme="minorHAnsi"/>
          <w:i/>
          <w:iCs/>
        </w:rPr>
        <w:t xml:space="preserve"> </w:t>
      </w:r>
      <w:r w:rsidR="00EE0483" w:rsidRPr="007C5FD5">
        <w:rPr>
          <w:rStyle w:val="sa2b98c15"/>
          <w:rFonts w:cstheme="minorHAnsi"/>
        </w:rPr>
        <w:t xml:space="preserve">was breached by the sensational lurid articles about her son’s sexual abuses, </w:t>
      </w:r>
      <w:proofErr w:type="gramStart"/>
      <w:r w:rsidR="00EE0483" w:rsidRPr="007C5FD5">
        <w:rPr>
          <w:rStyle w:val="sa2b98c15"/>
          <w:rFonts w:cstheme="minorHAnsi"/>
        </w:rPr>
        <w:t>convictions</w:t>
      </w:r>
      <w:proofErr w:type="gramEnd"/>
      <w:r w:rsidR="00EE0483" w:rsidRPr="007C5FD5">
        <w:rPr>
          <w:rStyle w:val="sa2b98c15"/>
          <w:rFonts w:cstheme="minorHAnsi"/>
        </w:rPr>
        <w:t xml:space="preserve"> and later suicide in tabloid newspapers two years after his death. These triggered ‘</w:t>
      </w:r>
      <w:r w:rsidR="00EE0483" w:rsidRPr="007C5FD5">
        <w:rPr>
          <w:rStyle w:val="s68f5eaef"/>
          <w:rFonts w:cstheme="minorHAnsi"/>
        </w:rPr>
        <w:t>negative reactions to them by the people around her [which] had had significant detrimental effects on her, particularly as she was known to be the mother of the deceased, bore the same family name as him, and lived in the village mentioned in the article.’</w:t>
      </w:r>
      <w:r w:rsidR="00EE0483" w:rsidRPr="007C5FD5">
        <w:rPr>
          <w:rStyle w:val="FootnoteReference"/>
          <w:rFonts w:cstheme="minorHAnsi"/>
        </w:rPr>
        <w:footnoteReference w:id="132"/>
      </w:r>
      <w:r w:rsidR="00EE0483" w:rsidRPr="007C5FD5">
        <w:rPr>
          <w:rStyle w:val="s68f5eaef"/>
          <w:rFonts w:cstheme="minorHAnsi"/>
        </w:rPr>
        <w:t xml:space="preserve"> Whilst the claim concerned ML’s own privacy, it hinged on a finding of a </w:t>
      </w:r>
      <w:r w:rsidR="00AB4B87" w:rsidRPr="007C5FD5">
        <w:rPr>
          <w:rStyle w:val="s68f5eaef"/>
          <w:rFonts w:cstheme="minorHAnsi"/>
        </w:rPr>
        <w:t>would-be</w:t>
      </w:r>
      <w:r w:rsidR="00EE0483" w:rsidRPr="007C5FD5">
        <w:rPr>
          <w:rStyle w:val="s68f5eaef"/>
          <w:rFonts w:cstheme="minorHAnsi"/>
        </w:rPr>
        <w:t xml:space="preserve"> breach of </w:t>
      </w:r>
      <w:r w:rsidR="00AE25CC" w:rsidRPr="007C5FD5">
        <w:rPr>
          <w:rStyle w:val="s68f5eaef"/>
          <w:rFonts w:cstheme="minorHAnsi"/>
        </w:rPr>
        <w:t>her</w:t>
      </w:r>
      <w:r w:rsidR="00AB4B87" w:rsidRPr="007C5FD5">
        <w:rPr>
          <w:rStyle w:val="s68f5eaef"/>
          <w:rFonts w:cstheme="minorHAnsi"/>
        </w:rPr>
        <w:t xml:space="preserve"> deceased</w:t>
      </w:r>
      <w:r w:rsidR="00EE0483" w:rsidRPr="007C5FD5">
        <w:rPr>
          <w:rStyle w:val="s68f5eaef"/>
          <w:rFonts w:cstheme="minorHAnsi"/>
        </w:rPr>
        <w:t xml:space="preserve"> son’s privacy.</w:t>
      </w:r>
      <w:r w:rsidR="00EE0483" w:rsidRPr="007C5FD5">
        <w:rPr>
          <w:rStyle w:val="FootnoteReference"/>
          <w:rFonts w:cstheme="minorHAnsi"/>
        </w:rPr>
        <w:footnoteReference w:id="133"/>
      </w:r>
      <w:r w:rsidR="00EE0483" w:rsidRPr="007C5FD5">
        <w:rPr>
          <w:rStyle w:val="s68f5eaef"/>
          <w:rFonts w:cstheme="minorHAnsi"/>
        </w:rPr>
        <w:t xml:space="preserve"> </w:t>
      </w:r>
      <w:r w:rsidR="00374DB8" w:rsidRPr="007C5FD5">
        <w:rPr>
          <w:rStyle w:val="s68f5eaef"/>
          <w:rFonts w:cstheme="minorHAnsi"/>
        </w:rPr>
        <w:t>Similarly,</w:t>
      </w:r>
      <w:r w:rsidR="00750434" w:rsidRPr="007C5FD5">
        <w:rPr>
          <w:rStyle w:val="s68f5eaef"/>
          <w:rFonts w:cstheme="minorHAnsi"/>
        </w:rPr>
        <w:t xml:space="preserve"> in the above cases</w:t>
      </w:r>
      <w:r w:rsidR="00AE25CC" w:rsidRPr="007C5FD5">
        <w:rPr>
          <w:rStyle w:val="s68f5eaef"/>
          <w:rFonts w:cstheme="minorHAnsi"/>
        </w:rPr>
        <w:t xml:space="preserve"> </w:t>
      </w:r>
      <w:r w:rsidR="00EE0483" w:rsidRPr="007C5FD5">
        <w:rPr>
          <w:rStyle w:val="s68f5eaef"/>
          <w:rFonts w:cstheme="minorHAnsi"/>
        </w:rPr>
        <w:t xml:space="preserve">the </w:t>
      </w:r>
      <w:r w:rsidR="00FF4F53" w:rsidRPr="007C5FD5">
        <w:rPr>
          <w:rStyle w:val="s68f5eaef"/>
          <w:rFonts w:cstheme="minorHAnsi"/>
        </w:rPr>
        <w:t>claim</w:t>
      </w:r>
      <w:r w:rsidR="00374DB8" w:rsidRPr="007C5FD5">
        <w:rPr>
          <w:rStyle w:val="s68f5eaef"/>
          <w:rFonts w:cstheme="minorHAnsi"/>
        </w:rPr>
        <w:t>s</w:t>
      </w:r>
      <w:r w:rsidR="005A6578" w:rsidRPr="007C5FD5">
        <w:rPr>
          <w:rStyle w:val="s68f5eaef"/>
          <w:rFonts w:cstheme="minorHAnsi"/>
        </w:rPr>
        <w:t xml:space="preserve"> </w:t>
      </w:r>
      <w:r w:rsidR="00EE0483" w:rsidRPr="007C5FD5">
        <w:rPr>
          <w:rStyle w:val="s68f5eaef"/>
          <w:rFonts w:cstheme="minorHAnsi"/>
        </w:rPr>
        <w:t xml:space="preserve">belonged to the living, </w:t>
      </w:r>
      <w:r w:rsidR="001D57CC" w:rsidRPr="007C5FD5">
        <w:rPr>
          <w:rStyle w:val="s68f5eaef"/>
          <w:rFonts w:cstheme="minorHAnsi"/>
        </w:rPr>
        <w:t>and only indirectly to</w:t>
      </w:r>
      <w:r w:rsidR="00EE0483" w:rsidRPr="007C5FD5">
        <w:rPr>
          <w:rStyle w:val="s68f5eaef"/>
          <w:rFonts w:cstheme="minorHAnsi"/>
        </w:rPr>
        <w:t xml:space="preserve"> the dead</w:t>
      </w:r>
      <w:r w:rsidR="003815BC" w:rsidRPr="007C5FD5">
        <w:rPr>
          <w:rStyle w:val="s68f5eaef"/>
          <w:rFonts w:cstheme="minorHAnsi"/>
        </w:rPr>
        <w:t xml:space="preserve">, and therein </w:t>
      </w:r>
      <w:r w:rsidR="003D5FEB" w:rsidRPr="007C5FD5">
        <w:rPr>
          <w:rStyle w:val="s68f5eaef"/>
          <w:rFonts w:cstheme="minorHAnsi"/>
        </w:rPr>
        <w:t xml:space="preserve">lies </w:t>
      </w:r>
      <w:r w:rsidR="00D60FED" w:rsidRPr="007C5FD5">
        <w:rPr>
          <w:rStyle w:val="s68f5eaef"/>
          <w:rFonts w:cstheme="minorHAnsi"/>
        </w:rPr>
        <w:t>an</w:t>
      </w:r>
      <w:r w:rsidR="003815BC" w:rsidRPr="007C5FD5">
        <w:rPr>
          <w:rStyle w:val="s68f5eaef"/>
          <w:rFonts w:cstheme="minorHAnsi"/>
        </w:rPr>
        <w:t xml:space="preserve"> answer to post-mortem privacy: </w:t>
      </w:r>
      <w:r w:rsidR="00D60FED" w:rsidRPr="007C5FD5">
        <w:rPr>
          <w:rStyle w:val="s68f5eaef"/>
          <w:rFonts w:cstheme="minorHAnsi"/>
        </w:rPr>
        <w:t xml:space="preserve"> </w:t>
      </w:r>
      <w:r w:rsidR="003815BC" w:rsidRPr="007C5FD5">
        <w:rPr>
          <w:rStyle w:val="s68f5eaef"/>
          <w:rFonts w:cstheme="minorHAnsi"/>
        </w:rPr>
        <w:t>‘</w:t>
      </w:r>
      <w:r w:rsidR="003D5FEB" w:rsidRPr="007C5FD5">
        <w:rPr>
          <w:rFonts w:cstheme="minorHAnsi"/>
        </w:rPr>
        <w:t>distinguishing between the content of an obligation and its justification</w:t>
      </w:r>
      <w:r w:rsidR="003815BC" w:rsidRPr="007C5FD5">
        <w:rPr>
          <w:rFonts w:cstheme="minorHAnsi"/>
        </w:rPr>
        <w:t xml:space="preserve">… </w:t>
      </w:r>
      <w:r w:rsidR="003D5FEB" w:rsidRPr="007C5FD5">
        <w:rPr>
          <w:rFonts w:cstheme="minorHAnsi"/>
        </w:rPr>
        <w:t>suggests that wrongful actions regarding the dead violate claims of the living</w:t>
      </w:r>
      <w:r w:rsidR="00AB4B87" w:rsidRPr="007C5FD5">
        <w:rPr>
          <w:rFonts w:cstheme="minorHAnsi"/>
        </w:rPr>
        <w:t>…</w:t>
      </w:r>
      <w:r w:rsidR="003815BC" w:rsidRPr="007C5FD5">
        <w:rPr>
          <w:rFonts w:cstheme="minorHAnsi"/>
        </w:rPr>
        <w:t>’</w:t>
      </w:r>
      <w:r w:rsidR="00825B29" w:rsidRPr="007C5FD5">
        <w:rPr>
          <w:rStyle w:val="FootnoteReference"/>
          <w:rFonts w:cstheme="minorHAnsi"/>
        </w:rPr>
        <w:footnoteReference w:id="134"/>
      </w:r>
      <w:r w:rsidR="00AB4B87" w:rsidRPr="007C5FD5">
        <w:rPr>
          <w:rStyle w:val="s68f5eaef"/>
          <w:rFonts w:cstheme="minorHAnsi"/>
        </w:rPr>
        <w:t xml:space="preserve"> So when the law in such circumstances protects the claims of the living, such protection also incidentally carries the privacies of the dead. </w:t>
      </w:r>
      <w:r w:rsidR="00F37C24" w:rsidRPr="007C5FD5">
        <w:rPr>
          <w:rStyle w:val="s68f5eaef"/>
          <w:rFonts w:cstheme="minorHAnsi"/>
        </w:rPr>
        <w:t>By the same token</w:t>
      </w:r>
      <w:r w:rsidR="00AB4B87" w:rsidRPr="007C5FD5">
        <w:rPr>
          <w:rStyle w:val="s68f5eaef"/>
          <w:rFonts w:cstheme="minorHAnsi"/>
        </w:rPr>
        <w:t xml:space="preserve"> the </w:t>
      </w:r>
      <w:r w:rsidR="00F37C24" w:rsidRPr="007C5FD5">
        <w:rPr>
          <w:rStyle w:val="s68f5eaef"/>
          <w:rFonts w:cstheme="minorHAnsi"/>
        </w:rPr>
        <w:t xml:space="preserve">German court’s decision in </w:t>
      </w:r>
      <w:r w:rsidR="00F37C24" w:rsidRPr="007C5FD5">
        <w:rPr>
          <w:rFonts w:cstheme="minorHAnsi"/>
          <w:i/>
          <w:iCs/>
          <w:lang w:eastAsia="en-GB"/>
        </w:rPr>
        <w:t>Digital Inheritance</w:t>
      </w:r>
      <w:r w:rsidR="000D0519">
        <w:rPr>
          <w:rFonts w:cstheme="minorHAnsi"/>
          <w:i/>
          <w:iCs/>
          <w:lang w:eastAsia="en-GB"/>
        </w:rPr>
        <w:t xml:space="preserve"> </w:t>
      </w:r>
      <w:r w:rsidR="000D0519">
        <w:rPr>
          <w:rFonts w:cstheme="minorHAnsi"/>
          <w:lang w:eastAsia="en-GB"/>
        </w:rPr>
        <w:t>(2018)</w:t>
      </w:r>
      <w:r w:rsidR="00F37C24" w:rsidRPr="007C5FD5">
        <w:rPr>
          <w:rFonts w:cstheme="minorHAnsi"/>
          <w:lang w:eastAsia="en-GB"/>
        </w:rPr>
        <w:t xml:space="preserve"> to allow the parents</w:t>
      </w:r>
      <w:r w:rsidR="008A09F8" w:rsidRPr="007C5FD5">
        <w:rPr>
          <w:rFonts w:cstheme="minorHAnsi"/>
          <w:lang w:eastAsia="en-GB"/>
        </w:rPr>
        <w:t>’</w:t>
      </w:r>
      <w:r w:rsidR="00F37C24" w:rsidRPr="007C5FD5">
        <w:rPr>
          <w:rFonts w:cstheme="minorHAnsi"/>
          <w:lang w:eastAsia="en-GB"/>
        </w:rPr>
        <w:t xml:space="preserve"> claim to access their daughter’s account subject to </w:t>
      </w:r>
      <w:r w:rsidR="007E232A" w:rsidRPr="007C5FD5">
        <w:rPr>
          <w:rFonts w:cstheme="minorHAnsi"/>
          <w:lang w:eastAsia="en-GB"/>
        </w:rPr>
        <w:t>protecting</w:t>
      </w:r>
      <w:r w:rsidR="00F37C24" w:rsidRPr="007C5FD5">
        <w:rPr>
          <w:rFonts w:cstheme="minorHAnsi"/>
          <w:lang w:eastAsia="en-GB"/>
        </w:rPr>
        <w:t xml:space="preserve"> her communication partners</w:t>
      </w:r>
      <w:r w:rsidR="007E232A" w:rsidRPr="007C5FD5">
        <w:rPr>
          <w:rFonts w:cstheme="minorHAnsi"/>
          <w:lang w:eastAsia="en-GB"/>
        </w:rPr>
        <w:t xml:space="preserve">’ messages from further disclosure </w:t>
      </w:r>
      <w:r w:rsidR="00F37C24" w:rsidRPr="007C5FD5">
        <w:rPr>
          <w:rFonts w:cstheme="minorHAnsi"/>
          <w:lang w:eastAsia="en-GB"/>
        </w:rPr>
        <w:t>recognised</w:t>
      </w:r>
      <w:r w:rsidR="007E232A" w:rsidRPr="007C5FD5">
        <w:rPr>
          <w:rFonts w:cstheme="minorHAnsi"/>
          <w:lang w:eastAsia="en-GB"/>
        </w:rPr>
        <w:t>, on the one hand,</w:t>
      </w:r>
      <w:r w:rsidR="00F37C24" w:rsidRPr="007C5FD5">
        <w:rPr>
          <w:rFonts w:cstheme="minorHAnsi"/>
          <w:lang w:eastAsia="en-GB"/>
        </w:rPr>
        <w:t xml:space="preserve"> the</w:t>
      </w:r>
      <w:r w:rsidR="00CC41D6" w:rsidRPr="007C5FD5">
        <w:rPr>
          <w:rFonts w:cstheme="minorHAnsi"/>
          <w:lang w:eastAsia="en-GB"/>
        </w:rPr>
        <w:t xml:space="preserve"> </w:t>
      </w:r>
      <w:r w:rsidR="00F37C24" w:rsidRPr="007C5FD5">
        <w:rPr>
          <w:rFonts w:cstheme="minorHAnsi"/>
          <w:lang w:eastAsia="en-GB"/>
        </w:rPr>
        <w:t xml:space="preserve">emotional vulnerability of parents to any harm suffered by their children </w:t>
      </w:r>
      <w:r w:rsidR="007E232A" w:rsidRPr="007C5FD5">
        <w:rPr>
          <w:rFonts w:cstheme="minorHAnsi"/>
          <w:lang w:eastAsia="en-GB"/>
        </w:rPr>
        <w:t>and, on the other hand,</w:t>
      </w:r>
      <w:r w:rsidR="00F37C24" w:rsidRPr="007C5FD5">
        <w:rPr>
          <w:rFonts w:cstheme="minorHAnsi"/>
          <w:lang w:eastAsia="en-GB"/>
        </w:rPr>
        <w:t xml:space="preserve"> the vulnerability of her social media contacts to have their private messages exposed and scrutinised.</w:t>
      </w:r>
      <w:r w:rsidR="00BC61E5">
        <w:rPr>
          <w:rStyle w:val="FootnoteReference"/>
          <w:rFonts w:cstheme="minorHAnsi"/>
          <w:lang w:eastAsia="en-GB"/>
        </w:rPr>
        <w:footnoteReference w:id="135"/>
      </w:r>
      <w:r w:rsidR="00EB12F9">
        <w:rPr>
          <w:rFonts w:cstheme="minorHAnsi"/>
          <w:lang w:eastAsia="en-GB"/>
        </w:rPr>
        <w:t xml:space="preserve"> </w:t>
      </w:r>
      <w:r w:rsidR="007E232A" w:rsidRPr="007C5FD5">
        <w:rPr>
          <w:rFonts w:cstheme="minorHAnsi"/>
          <w:lang w:eastAsia="en-GB"/>
        </w:rPr>
        <w:t xml:space="preserve">Accommodating </w:t>
      </w:r>
      <w:r w:rsidR="00F37C24" w:rsidRPr="007C5FD5">
        <w:rPr>
          <w:rFonts w:cstheme="minorHAnsi"/>
          <w:lang w:eastAsia="en-GB"/>
        </w:rPr>
        <w:t xml:space="preserve">these two sets of vulnerabilities </w:t>
      </w:r>
      <w:r w:rsidR="00CC41D6" w:rsidRPr="007C5FD5">
        <w:rPr>
          <w:rFonts w:cstheme="minorHAnsi"/>
          <w:lang w:eastAsia="en-GB"/>
        </w:rPr>
        <w:t xml:space="preserve">and dependencies </w:t>
      </w:r>
      <w:r w:rsidR="00F37C24" w:rsidRPr="007C5FD5">
        <w:rPr>
          <w:rFonts w:cstheme="minorHAnsi"/>
          <w:lang w:eastAsia="en-GB"/>
        </w:rPr>
        <w:t xml:space="preserve">had </w:t>
      </w:r>
      <w:r w:rsidR="003B6171">
        <w:rPr>
          <w:rFonts w:cstheme="minorHAnsi"/>
          <w:lang w:eastAsia="en-GB"/>
        </w:rPr>
        <w:t xml:space="preserve">also </w:t>
      </w:r>
      <w:r w:rsidR="00F37C24" w:rsidRPr="007C5FD5">
        <w:rPr>
          <w:rFonts w:cstheme="minorHAnsi"/>
          <w:lang w:eastAsia="en-GB"/>
        </w:rPr>
        <w:t>the incidental effect of sheltering the daughter’s confidences</w:t>
      </w:r>
      <w:r w:rsidR="003B6171">
        <w:rPr>
          <w:rFonts w:cstheme="minorHAnsi"/>
          <w:lang w:eastAsia="en-GB"/>
        </w:rPr>
        <w:t xml:space="preserve"> from wider disclosure.</w:t>
      </w:r>
      <w:r w:rsidR="00CC41D6" w:rsidRPr="007C5FD5">
        <w:rPr>
          <w:rFonts w:cstheme="minorHAnsi"/>
          <w:lang w:eastAsia="en-GB"/>
        </w:rPr>
        <w:t xml:space="preserve"> </w:t>
      </w:r>
      <w:r w:rsidR="00CB51B8" w:rsidRPr="007C5FD5">
        <w:rPr>
          <w:rStyle w:val="s68f5eaef"/>
          <w:rFonts w:cstheme="minorHAnsi"/>
        </w:rPr>
        <w:t xml:space="preserve">Whilst the </w:t>
      </w:r>
      <w:r w:rsidR="00CB51B8" w:rsidRPr="007C5FD5">
        <w:rPr>
          <w:rFonts w:cstheme="minorHAnsi"/>
          <w:i/>
          <w:iCs/>
        </w:rPr>
        <w:t>Revised Uniform Fiduciary Access to Digital Assets Act</w:t>
      </w:r>
      <w:r w:rsidR="00CB51B8" w:rsidRPr="007C5FD5">
        <w:rPr>
          <w:rFonts w:cstheme="minorHAnsi"/>
        </w:rPr>
        <w:t xml:space="preserve"> (2015) only validates the vulnerabilit</w:t>
      </w:r>
      <w:r w:rsidR="00AC1A54" w:rsidRPr="007C5FD5">
        <w:rPr>
          <w:rFonts w:cstheme="minorHAnsi"/>
        </w:rPr>
        <w:t>ies</w:t>
      </w:r>
      <w:r w:rsidR="00CB51B8" w:rsidRPr="007C5FD5">
        <w:rPr>
          <w:rFonts w:cstheme="minorHAnsi"/>
        </w:rPr>
        <w:t xml:space="preserve"> of the deceased’s communication</w:t>
      </w:r>
      <w:r w:rsidR="00BE6AB2" w:rsidRPr="007C5FD5">
        <w:rPr>
          <w:rFonts w:cstheme="minorHAnsi"/>
        </w:rPr>
        <w:t xml:space="preserve"> </w:t>
      </w:r>
      <w:r w:rsidR="00CB51B8" w:rsidRPr="007C5FD5">
        <w:rPr>
          <w:rFonts w:cstheme="minorHAnsi"/>
        </w:rPr>
        <w:t>partners</w:t>
      </w:r>
      <w:r w:rsidR="00AC1A54" w:rsidRPr="007C5FD5">
        <w:rPr>
          <w:rFonts w:cstheme="minorHAnsi"/>
        </w:rPr>
        <w:t xml:space="preserve"> </w:t>
      </w:r>
      <w:r w:rsidR="00BE6AB2" w:rsidRPr="007C5FD5">
        <w:rPr>
          <w:rFonts w:cstheme="minorHAnsi"/>
        </w:rPr>
        <w:t xml:space="preserve">and </w:t>
      </w:r>
      <w:r w:rsidR="008D174A" w:rsidRPr="007C5FD5">
        <w:rPr>
          <w:rFonts w:cstheme="minorHAnsi"/>
        </w:rPr>
        <w:t>arguably</w:t>
      </w:r>
      <w:r w:rsidR="00BE6AB2" w:rsidRPr="007C5FD5">
        <w:rPr>
          <w:rFonts w:cstheme="minorHAnsi"/>
        </w:rPr>
        <w:t xml:space="preserve"> </w:t>
      </w:r>
      <w:r w:rsidR="007E232A" w:rsidRPr="007C5FD5">
        <w:rPr>
          <w:rFonts w:cstheme="minorHAnsi"/>
        </w:rPr>
        <w:t xml:space="preserve">Facebook’s </w:t>
      </w:r>
      <w:r w:rsidR="00BE6AB2" w:rsidRPr="007C5FD5">
        <w:rPr>
          <w:rFonts w:cstheme="minorHAnsi"/>
        </w:rPr>
        <w:t xml:space="preserve">corporate </w:t>
      </w:r>
      <w:r w:rsidR="007E232A" w:rsidRPr="007C5FD5">
        <w:rPr>
          <w:rFonts w:cstheme="minorHAnsi"/>
        </w:rPr>
        <w:t>‘</w:t>
      </w:r>
      <w:r w:rsidR="00BE6AB2" w:rsidRPr="007C5FD5">
        <w:rPr>
          <w:rFonts w:cstheme="minorHAnsi"/>
        </w:rPr>
        <w:t>vulnerabilities</w:t>
      </w:r>
      <w:r w:rsidR="007E232A" w:rsidRPr="007C5FD5">
        <w:rPr>
          <w:rFonts w:cstheme="minorHAnsi"/>
        </w:rPr>
        <w:t>’</w:t>
      </w:r>
      <w:r w:rsidR="00BE6AB2" w:rsidRPr="007C5FD5">
        <w:rPr>
          <w:rFonts w:cstheme="minorHAnsi"/>
        </w:rPr>
        <w:t xml:space="preserve">, </w:t>
      </w:r>
      <w:r w:rsidR="00AC1A54" w:rsidRPr="007C5FD5">
        <w:rPr>
          <w:rFonts w:cstheme="minorHAnsi"/>
        </w:rPr>
        <w:t>to the exclusion of her</w:t>
      </w:r>
      <w:r w:rsidR="003572D2" w:rsidRPr="007C5FD5">
        <w:rPr>
          <w:rFonts w:cstheme="minorHAnsi"/>
        </w:rPr>
        <w:t xml:space="preserve"> </w:t>
      </w:r>
      <w:r w:rsidR="00805785" w:rsidRPr="007C5FD5">
        <w:rPr>
          <w:rFonts w:cstheme="minorHAnsi"/>
        </w:rPr>
        <w:t>closest</w:t>
      </w:r>
      <w:r w:rsidR="00AC1A54" w:rsidRPr="007C5FD5">
        <w:rPr>
          <w:rFonts w:cstheme="minorHAnsi"/>
        </w:rPr>
        <w:t xml:space="preserve"> family</w:t>
      </w:r>
      <w:r w:rsidR="00CB51B8" w:rsidRPr="007C5FD5">
        <w:rPr>
          <w:rFonts w:cstheme="minorHAnsi"/>
        </w:rPr>
        <w:t>,</w:t>
      </w:r>
      <w:r w:rsidR="00CB51B8" w:rsidRPr="007C5FD5">
        <w:rPr>
          <w:rStyle w:val="FootnoteReference"/>
          <w:rFonts w:cstheme="minorHAnsi"/>
        </w:rPr>
        <w:footnoteReference w:id="136"/>
      </w:r>
      <w:r w:rsidR="00CB51B8" w:rsidRPr="007C5FD5">
        <w:rPr>
          <w:rFonts w:cstheme="minorHAnsi"/>
        </w:rPr>
        <w:t xml:space="preserve"> </w:t>
      </w:r>
      <w:r w:rsidR="00BE6AB2" w:rsidRPr="007C5FD5">
        <w:rPr>
          <w:rFonts w:cstheme="minorHAnsi"/>
        </w:rPr>
        <w:t>there are numerous US state</w:t>
      </w:r>
      <w:r w:rsidR="0079733F">
        <w:rPr>
          <w:rFonts w:cstheme="minorHAnsi"/>
        </w:rPr>
        <w:t>s</w:t>
      </w:r>
      <w:r w:rsidR="00BE6AB2" w:rsidRPr="007C5FD5">
        <w:rPr>
          <w:rFonts w:cstheme="minorHAnsi"/>
        </w:rPr>
        <w:t xml:space="preserve"> </w:t>
      </w:r>
      <w:r w:rsidR="00D551B7" w:rsidRPr="007C5FD5">
        <w:rPr>
          <w:rFonts w:cstheme="minorHAnsi"/>
        </w:rPr>
        <w:t>that</w:t>
      </w:r>
      <w:r w:rsidR="00BE6AB2" w:rsidRPr="007C5FD5">
        <w:rPr>
          <w:rFonts w:cstheme="minorHAnsi"/>
        </w:rPr>
        <w:t xml:space="preserve"> have adopted</w:t>
      </w:r>
      <w:r w:rsidR="00D551B7" w:rsidRPr="007C5FD5">
        <w:rPr>
          <w:rFonts w:cstheme="minorHAnsi"/>
        </w:rPr>
        <w:t xml:space="preserve"> digital legacy statutes with</w:t>
      </w:r>
      <w:r w:rsidR="00BE6AB2" w:rsidRPr="007C5FD5">
        <w:rPr>
          <w:rFonts w:cstheme="minorHAnsi"/>
        </w:rPr>
        <w:t xml:space="preserve"> rights hierarchies </w:t>
      </w:r>
      <w:proofErr w:type="gramStart"/>
      <w:r w:rsidR="008D174A" w:rsidRPr="007C5FD5">
        <w:rPr>
          <w:rFonts w:cstheme="minorHAnsi"/>
        </w:rPr>
        <w:t xml:space="preserve">similar </w:t>
      </w:r>
      <w:r w:rsidR="00BE6AB2" w:rsidRPr="007C5FD5">
        <w:rPr>
          <w:rFonts w:cstheme="minorHAnsi"/>
        </w:rPr>
        <w:t>to</w:t>
      </w:r>
      <w:proofErr w:type="gramEnd"/>
      <w:r w:rsidR="00BE6AB2" w:rsidRPr="007C5FD5">
        <w:rPr>
          <w:rFonts w:cstheme="minorHAnsi"/>
        </w:rPr>
        <w:t xml:space="preserve"> the German position.</w:t>
      </w:r>
      <w:r w:rsidR="00BE6AB2" w:rsidRPr="007C5FD5">
        <w:rPr>
          <w:rStyle w:val="FootnoteReference"/>
          <w:rFonts w:cstheme="minorHAnsi"/>
        </w:rPr>
        <w:footnoteReference w:id="137"/>
      </w:r>
    </w:p>
    <w:p w14:paraId="5C3BD114" w14:textId="77777777" w:rsidR="00BE6AB2" w:rsidRPr="007C5FD5" w:rsidRDefault="00BE6AB2" w:rsidP="00FD77D8">
      <w:pPr>
        <w:autoSpaceDE w:val="0"/>
        <w:autoSpaceDN w:val="0"/>
        <w:adjustRightInd w:val="0"/>
        <w:spacing w:after="0" w:line="240" w:lineRule="auto"/>
        <w:jc w:val="both"/>
        <w:rPr>
          <w:rFonts w:cstheme="minorHAnsi"/>
        </w:rPr>
      </w:pPr>
    </w:p>
    <w:p w14:paraId="6364162A" w14:textId="284A7FCE" w:rsidR="00044A24" w:rsidRPr="007C5FD5" w:rsidRDefault="008D1CEC" w:rsidP="00FD77D8">
      <w:pPr>
        <w:autoSpaceDE w:val="0"/>
        <w:autoSpaceDN w:val="0"/>
        <w:adjustRightInd w:val="0"/>
        <w:spacing w:after="0" w:line="240" w:lineRule="auto"/>
        <w:jc w:val="both"/>
        <w:rPr>
          <w:rStyle w:val="s68f5eaef"/>
          <w:rFonts w:cstheme="minorHAnsi"/>
        </w:rPr>
      </w:pPr>
      <w:r w:rsidRPr="007C5FD5">
        <w:rPr>
          <w:rStyle w:val="s68f5eaef"/>
          <w:rFonts w:cstheme="minorHAnsi"/>
        </w:rPr>
        <w:t>Th</w:t>
      </w:r>
      <w:r w:rsidR="00BC556F" w:rsidRPr="007C5FD5">
        <w:rPr>
          <w:rStyle w:val="s68f5eaef"/>
          <w:rFonts w:cstheme="minorHAnsi"/>
        </w:rPr>
        <w:t>e</w:t>
      </w:r>
      <w:r w:rsidR="008D174A" w:rsidRPr="007C5FD5">
        <w:rPr>
          <w:rStyle w:val="s68f5eaef"/>
          <w:rFonts w:cstheme="minorHAnsi"/>
        </w:rPr>
        <w:t xml:space="preserve"> above</w:t>
      </w:r>
      <w:r w:rsidR="00BC556F" w:rsidRPr="007C5FD5">
        <w:rPr>
          <w:rStyle w:val="s68f5eaef"/>
          <w:rFonts w:cstheme="minorHAnsi"/>
        </w:rPr>
        <w:t xml:space="preserve"> cases</w:t>
      </w:r>
      <w:r w:rsidR="003815BC" w:rsidRPr="007C5FD5">
        <w:rPr>
          <w:rStyle w:val="s68f5eaef"/>
          <w:rFonts w:cstheme="minorHAnsi"/>
        </w:rPr>
        <w:t xml:space="preserve"> </w:t>
      </w:r>
      <w:r w:rsidR="00750434" w:rsidRPr="007C5FD5">
        <w:rPr>
          <w:rStyle w:val="s68f5eaef"/>
          <w:rFonts w:cstheme="minorHAnsi"/>
        </w:rPr>
        <w:t>demonstrate</w:t>
      </w:r>
      <w:r w:rsidR="003815BC" w:rsidRPr="007C5FD5">
        <w:rPr>
          <w:rStyle w:val="s68f5eaef"/>
          <w:rFonts w:cstheme="minorHAnsi"/>
        </w:rPr>
        <w:t xml:space="preserve"> </w:t>
      </w:r>
      <w:r w:rsidR="00EE0483" w:rsidRPr="007C5FD5">
        <w:rPr>
          <w:rStyle w:val="s68f5eaef"/>
          <w:rFonts w:cstheme="minorHAnsi"/>
        </w:rPr>
        <w:t xml:space="preserve">the artificiality of constructing privacy </w:t>
      </w:r>
      <w:r w:rsidR="000052AF" w:rsidRPr="007C5FD5">
        <w:rPr>
          <w:rStyle w:val="s68f5eaef"/>
          <w:rFonts w:cstheme="minorHAnsi"/>
        </w:rPr>
        <w:t xml:space="preserve">solely </w:t>
      </w:r>
      <w:r w:rsidR="00EE0483" w:rsidRPr="007C5FD5">
        <w:rPr>
          <w:rStyle w:val="s68f5eaef"/>
          <w:rFonts w:cstheme="minorHAnsi"/>
        </w:rPr>
        <w:t xml:space="preserve">as an individual </w:t>
      </w:r>
      <w:r w:rsidR="003D5FEB" w:rsidRPr="007C5FD5">
        <w:rPr>
          <w:rStyle w:val="s68f5eaef"/>
          <w:rFonts w:cstheme="minorHAnsi"/>
        </w:rPr>
        <w:t>right</w:t>
      </w:r>
      <w:r w:rsidR="00EE0483" w:rsidRPr="007C5FD5">
        <w:rPr>
          <w:rStyle w:val="s68f5eaef"/>
          <w:rFonts w:cstheme="minorHAnsi"/>
        </w:rPr>
        <w:t xml:space="preserve">, rather than a relational </w:t>
      </w:r>
      <w:r w:rsidR="00CD7683" w:rsidRPr="007C5FD5">
        <w:rPr>
          <w:rStyle w:val="s68f5eaef"/>
          <w:rFonts w:cstheme="minorHAnsi"/>
        </w:rPr>
        <w:t>one</w:t>
      </w:r>
      <w:r w:rsidR="00EE0483" w:rsidRPr="007C5FD5">
        <w:rPr>
          <w:rStyle w:val="s68f5eaef"/>
          <w:rFonts w:cstheme="minorHAnsi"/>
        </w:rPr>
        <w:t xml:space="preserve"> </w:t>
      </w:r>
      <w:r w:rsidR="00AE25CC" w:rsidRPr="007C5FD5">
        <w:rPr>
          <w:rStyle w:val="s68f5eaef"/>
          <w:rFonts w:cstheme="minorHAnsi"/>
        </w:rPr>
        <w:t>that</w:t>
      </w:r>
      <w:r w:rsidR="00523709" w:rsidRPr="007C5FD5">
        <w:rPr>
          <w:rStyle w:val="s68f5eaef"/>
          <w:rFonts w:cstheme="minorHAnsi"/>
        </w:rPr>
        <w:t xml:space="preserve"> </w:t>
      </w:r>
      <w:r w:rsidR="00EE0483" w:rsidRPr="007C5FD5">
        <w:rPr>
          <w:rStyle w:val="s68f5eaef"/>
          <w:rFonts w:cstheme="minorHAnsi"/>
        </w:rPr>
        <w:t>attach</w:t>
      </w:r>
      <w:r w:rsidR="003815BC" w:rsidRPr="007C5FD5">
        <w:rPr>
          <w:rStyle w:val="s68f5eaef"/>
          <w:rFonts w:cstheme="minorHAnsi"/>
        </w:rPr>
        <w:t>es</w:t>
      </w:r>
      <w:r w:rsidR="00EE0483" w:rsidRPr="007C5FD5">
        <w:rPr>
          <w:rStyle w:val="s68f5eaef"/>
          <w:rFonts w:cstheme="minorHAnsi"/>
        </w:rPr>
        <w:t xml:space="preserve"> to </w:t>
      </w:r>
      <w:r w:rsidR="00CC41D6" w:rsidRPr="007C5FD5">
        <w:rPr>
          <w:rStyle w:val="s68f5eaef"/>
          <w:rFonts w:cstheme="minorHAnsi"/>
        </w:rPr>
        <w:t xml:space="preserve">social </w:t>
      </w:r>
      <w:r w:rsidR="00EE0483" w:rsidRPr="007C5FD5">
        <w:rPr>
          <w:rStyle w:val="s68f5eaef"/>
          <w:rFonts w:cstheme="minorHAnsi"/>
        </w:rPr>
        <w:t xml:space="preserve">groups </w:t>
      </w:r>
      <w:r w:rsidR="008A09F8" w:rsidRPr="007C5FD5">
        <w:rPr>
          <w:rStyle w:val="s68f5eaef"/>
          <w:rFonts w:cstheme="minorHAnsi"/>
        </w:rPr>
        <w:t>with</w:t>
      </w:r>
      <w:r w:rsidR="00CC41D6" w:rsidRPr="007C5FD5">
        <w:rPr>
          <w:rStyle w:val="s68f5eaef"/>
          <w:rFonts w:cstheme="minorHAnsi"/>
        </w:rPr>
        <w:t xml:space="preserve"> interdependent vulnerabilities and mutual dependencies</w:t>
      </w:r>
      <w:r w:rsidR="003815BC" w:rsidRPr="007C5FD5">
        <w:rPr>
          <w:rStyle w:val="s68f5eaef"/>
          <w:rFonts w:cstheme="minorHAnsi"/>
        </w:rPr>
        <w:t>.</w:t>
      </w:r>
      <w:r w:rsidR="00B96219" w:rsidRPr="007C5FD5">
        <w:rPr>
          <w:rStyle w:val="FootnoteReference"/>
          <w:rFonts w:cstheme="minorHAnsi"/>
        </w:rPr>
        <w:footnoteReference w:id="138"/>
      </w:r>
      <w:r w:rsidR="00825B29" w:rsidRPr="007C5FD5">
        <w:rPr>
          <w:rStyle w:val="s68f5eaef"/>
          <w:rFonts w:cstheme="minorHAnsi"/>
        </w:rPr>
        <w:t xml:space="preserve"> </w:t>
      </w:r>
      <w:r w:rsidR="00547804" w:rsidRPr="007C5FD5">
        <w:rPr>
          <w:rStyle w:val="s68f5eaef"/>
          <w:rFonts w:cstheme="minorHAnsi"/>
        </w:rPr>
        <w:t>By implication, t</w:t>
      </w:r>
      <w:r w:rsidR="00044A24" w:rsidRPr="007C5FD5">
        <w:rPr>
          <w:rStyle w:val="s68f5eaef"/>
          <w:rFonts w:cstheme="minorHAnsi"/>
        </w:rPr>
        <w:t>he</w:t>
      </w:r>
      <w:r w:rsidR="00825B29" w:rsidRPr="007C5FD5">
        <w:rPr>
          <w:rStyle w:val="s68f5eaef"/>
          <w:rFonts w:cstheme="minorHAnsi"/>
        </w:rPr>
        <w:t xml:space="preserve"> extent</w:t>
      </w:r>
      <w:r w:rsidR="00044A24" w:rsidRPr="007C5FD5">
        <w:rPr>
          <w:rStyle w:val="s68f5eaef"/>
          <w:rFonts w:cstheme="minorHAnsi"/>
        </w:rPr>
        <w:t xml:space="preserve"> to which</w:t>
      </w:r>
      <w:r w:rsidR="00825B29" w:rsidRPr="007C5FD5">
        <w:rPr>
          <w:rStyle w:val="s68f5eaef"/>
          <w:rFonts w:cstheme="minorHAnsi"/>
        </w:rPr>
        <w:t xml:space="preserve"> </w:t>
      </w:r>
      <w:r w:rsidR="009175DF" w:rsidRPr="007C5FD5">
        <w:rPr>
          <w:rStyle w:val="s68f5eaef"/>
          <w:rFonts w:cstheme="minorHAnsi"/>
        </w:rPr>
        <w:t xml:space="preserve">this </w:t>
      </w:r>
      <w:r w:rsidR="008A09F8" w:rsidRPr="007C5FD5">
        <w:rPr>
          <w:rStyle w:val="s68f5eaef"/>
          <w:rFonts w:cstheme="minorHAnsi"/>
        </w:rPr>
        <w:t>relational</w:t>
      </w:r>
      <w:r w:rsidR="009175DF" w:rsidRPr="007C5FD5">
        <w:rPr>
          <w:rStyle w:val="s68f5eaef"/>
          <w:rFonts w:cstheme="minorHAnsi"/>
        </w:rPr>
        <w:t xml:space="preserve"> privacy </w:t>
      </w:r>
      <w:r w:rsidR="0086064B" w:rsidRPr="007C5FD5">
        <w:rPr>
          <w:rStyle w:val="s68f5eaef"/>
          <w:rFonts w:cstheme="minorHAnsi"/>
        </w:rPr>
        <w:t xml:space="preserve">may </w:t>
      </w:r>
      <w:r w:rsidR="00B251EF" w:rsidRPr="007C5FD5">
        <w:rPr>
          <w:rStyle w:val="s68f5eaef"/>
          <w:rFonts w:cstheme="minorHAnsi"/>
        </w:rPr>
        <w:t>be</w:t>
      </w:r>
      <w:r w:rsidR="00825B29" w:rsidRPr="007C5FD5">
        <w:rPr>
          <w:rStyle w:val="s68f5eaef"/>
          <w:rFonts w:cstheme="minorHAnsi"/>
        </w:rPr>
        <w:t xml:space="preserve"> a gateway for privacy protection of digital </w:t>
      </w:r>
      <w:r w:rsidR="00044A24" w:rsidRPr="007C5FD5">
        <w:rPr>
          <w:rStyle w:val="s68f5eaef"/>
          <w:rFonts w:cstheme="minorHAnsi"/>
        </w:rPr>
        <w:t>legacies is less a question of attitudes to post-mortem rights</w:t>
      </w:r>
      <w:r w:rsidR="00CC41D6" w:rsidRPr="007C5FD5">
        <w:rPr>
          <w:rStyle w:val="s68f5eaef"/>
          <w:rFonts w:cstheme="minorHAnsi"/>
        </w:rPr>
        <w:t xml:space="preserve"> and</w:t>
      </w:r>
      <w:r w:rsidR="00044A24" w:rsidRPr="007C5FD5">
        <w:rPr>
          <w:rStyle w:val="s68f5eaef"/>
          <w:rFonts w:cstheme="minorHAnsi"/>
        </w:rPr>
        <w:t xml:space="preserve"> more </w:t>
      </w:r>
      <w:r w:rsidR="008A09F8" w:rsidRPr="007C5FD5">
        <w:rPr>
          <w:rStyle w:val="s68f5eaef"/>
          <w:rFonts w:cstheme="minorHAnsi"/>
        </w:rPr>
        <w:t xml:space="preserve">of </w:t>
      </w:r>
      <w:r w:rsidR="00044A24" w:rsidRPr="007C5FD5">
        <w:rPr>
          <w:rStyle w:val="s68f5eaef"/>
          <w:rFonts w:cstheme="minorHAnsi"/>
        </w:rPr>
        <w:t>recogni</w:t>
      </w:r>
      <w:r w:rsidR="008A09F8" w:rsidRPr="007C5FD5">
        <w:rPr>
          <w:rStyle w:val="s68f5eaef"/>
          <w:rFonts w:cstheme="minorHAnsi"/>
        </w:rPr>
        <w:t>sing that p</w:t>
      </w:r>
      <w:r w:rsidR="00CC41D6" w:rsidRPr="007C5FD5">
        <w:rPr>
          <w:rStyle w:val="s68f5eaef"/>
          <w:rFonts w:cstheme="minorHAnsi"/>
        </w:rPr>
        <w:t xml:space="preserve">rivacy </w:t>
      </w:r>
      <w:r w:rsidR="008A09F8" w:rsidRPr="007C5FD5">
        <w:rPr>
          <w:rStyle w:val="s68f5eaef"/>
          <w:rFonts w:cstheme="minorHAnsi"/>
        </w:rPr>
        <w:t xml:space="preserve">is </w:t>
      </w:r>
      <w:r w:rsidR="003572D2" w:rsidRPr="007C5FD5">
        <w:rPr>
          <w:rStyle w:val="s68f5eaef"/>
          <w:rFonts w:cstheme="minorHAnsi"/>
        </w:rPr>
        <w:t xml:space="preserve">frequently </w:t>
      </w:r>
      <w:r w:rsidR="00D551B7" w:rsidRPr="007C5FD5">
        <w:rPr>
          <w:rStyle w:val="s68f5eaef"/>
          <w:rFonts w:cstheme="minorHAnsi"/>
        </w:rPr>
        <w:t>located across</w:t>
      </w:r>
      <w:r w:rsidR="00CC41D6" w:rsidRPr="007C5FD5">
        <w:rPr>
          <w:rStyle w:val="s68f5eaef"/>
          <w:rFonts w:cstheme="minorHAnsi"/>
        </w:rPr>
        <w:t xml:space="preserve"> relationshi</w:t>
      </w:r>
      <w:r w:rsidR="003572D2" w:rsidRPr="007C5FD5">
        <w:rPr>
          <w:rStyle w:val="s68f5eaef"/>
          <w:rFonts w:cstheme="minorHAnsi"/>
        </w:rPr>
        <w:t>ps of trust</w:t>
      </w:r>
      <w:r w:rsidR="00E70A6A" w:rsidRPr="007C5FD5">
        <w:rPr>
          <w:rStyle w:val="s68f5eaef"/>
          <w:rFonts w:cstheme="minorHAnsi"/>
        </w:rPr>
        <w:t>.</w:t>
      </w:r>
      <w:r w:rsidR="00BC556F" w:rsidRPr="007C5FD5">
        <w:rPr>
          <w:rStyle w:val="FootnoteReference"/>
          <w:rFonts w:cstheme="minorHAnsi"/>
        </w:rPr>
        <w:footnoteReference w:id="139"/>
      </w:r>
      <w:r w:rsidR="00FF3B58" w:rsidRPr="007C5FD5">
        <w:rPr>
          <w:rStyle w:val="s68f5eaef"/>
          <w:rFonts w:cstheme="minorHAnsi"/>
        </w:rPr>
        <w:t xml:space="preserve"> </w:t>
      </w:r>
    </w:p>
    <w:p w14:paraId="24AEB5B5" w14:textId="77777777" w:rsidR="00044A24" w:rsidRPr="007C5FD5" w:rsidRDefault="00044A24" w:rsidP="00FD77D8">
      <w:pPr>
        <w:autoSpaceDE w:val="0"/>
        <w:autoSpaceDN w:val="0"/>
        <w:adjustRightInd w:val="0"/>
        <w:spacing w:after="0" w:line="240" w:lineRule="auto"/>
        <w:jc w:val="both"/>
        <w:rPr>
          <w:rStyle w:val="s68f5eaef"/>
          <w:rFonts w:cstheme="minorHAnsi"/>
        </w:rPr>
      </w:pPr>
    </w:p>
    <w:p w14:paraId="35520B84" w14:textId="2ED75E4A" w:rsidR="00411B3E" w:rsidRPr="007C5FD5" w:rsidRDefault="00474C05" w:rsidP="00FD77D8">
      <w:pPr>
        <w:autoSpaceDE w:val="0"/>
        <w:autoSpaceDN w:val="0"/>
        <w:adjustRightInd w:val="0"/>
        <w:spacing w:after="0" w:line="240" w:lineRule="auto"/>
        <w:jc w:val="both"/>
        <w:rPr>
          <w:rFonts w:cstheme="minorHAnsi"/>
        </w:rPr>
      </w:pPr>
      <w:r w:rsidRPr="007C5FD5">
        <w:rPr>
          <w:rFonts w:cstheme="minorHAnsi"/>
          <w:u w:val="single"/>
        </w:rPr>
        <w:t>Public</w:t>
      </w:r>
      <w:r w:rsidR="0047298E" w:rsidRPr="007C5FD5">
        <w:rPr>
          <w:rFonts w:cstheme="minorHAnsi"/>
          <w:u w:val="single"/>
        </w:rPr>
        <w:t xml:space="preserve"> </w:t>
      </w:r>
      <w:r w:rsidR="007579FB" w:rsidRPr="007C5FD5">
        <w:rPr>
          <w:rFonts w:cstheme="minorHAnsi"/>
          <w:u w:val="single"/>
        </w:rPr>
        <w:t>g</w:t>
      </w:r>
      <w:r w:rsidR="00A54B7C" w:rsidRPr="007C5FD5">
        <w:rPr>
          <w:rFonts w:cstheme="minorHAnsi"/>
          <w:u w:val="single"/>
        </w:rPr>
        <w:t>ood</w:t>
      </w:r>
      <w:r w:rsidR="006B4431">
        <w:rPr>
          <w:rFonts w:cstheme="minorHAnsi"/>
          <w:u w:val="single"/>
        </w:rPr>
        <w:t xml:space="preserve"> of human dignity</w:t>
      </w:r>
      <w:r w:rsidR="00FD77D8" w:rsidRPr="007C5FD5">
        <w:rPr>
          <w:rFonts w:cstheme="minorHAnsi"/>
          <w:u w:val="single"/>
        </w:rPr>
        <w:t>.</w:t>
      </w:r>
      <w:r w:rsidR="00B047D7" w:rsidRPr="007C5FD5">
        <w:rPr>
          <w:rFonts w:cstheme="minorHAnsi"/>
        </w:rPr>
        <w:t xml:space="preserve"> </w:t>
      </w:r>
      <w:r w:rsidR="00EE0483" w:rsidRPr="007C5FD5">
        <w:rPr>
          <w:rFonts w:cstheme="minorHAnsi"/>
        </w:rPr>
        <w:t xml:space="preserve">The purest version of post-mortem confidentiality </w:t>
      </w:r>
      <w:r w:rsidR="00AE25CC" w:rsidRPr="007C5FD5">
        <w:rPr>
          <w:rFonts w:cstheme="minorHAnsi"/>
        </w:rPr>
        <w:t xml:space="preserve">occurs </w:t>
      </w:r>
      <w:r w:rsidR="00EE0483" w:rsidRPr="007C5FD5">
        <w:rPr>
          <w:rFonts w:cstheme="minorHAnsi"/>
        </w:rPr>
        <w:t xml:space="preserve">where the duty </w:t>
      </w:r>
      <w:r w:rsidR="00EE0483" w:rsidRPr="007C5FD5">
        <w:rPr>
          <w:rFonts w:cstheme="minorHAnsi"/>
          <w:i/>
          <w:iCs/>
        </w:rPr>
        <w:t xml:space="preserve">to </w:t>
      </w:r>
      <w:r w:rsidR="00EE0483" w:rsidRPr="007C5FD5">
        <w:rPr>
          <w:rFonts w:cstheme="minorHAnsi"/>
        </w:rPr>
        <w:t xml:space="preserve">the patient survives her death and forms the basis of a claim by others on her behalf. </w:t>
      </w:r>
      <w:r w:rsidR="0034061F" w:rsidRPr="007C5FD5">
        <w:rPr>
          <w:rFonts w:cstheme="minorHAnsi"/>
        </w:rPr>
        <w:t>I</w:t>
      </w:r>
      <w:r w:rsidR="004E1161" w:rsidRPr="007C5FD5">
        <w:rPr>
          <w:rFonts w:cstheme="minorHAnsi"/>
        </w:rPr>
        <w:t>n</w:t>
      </w:r>
      <w:r w:rsidR="00177230" w:rsidRPr="007C5FD5">
        <w:rPr>
          <w:rFonts w:cstheme="minorHAnsi"/>
        </w:rPr>
        <w:t xml:space="preserve"> </w:t>
      </w:r>
      <w:proofErr w:type="spellStart"/>
      <w:r w:rsidR="00177230" w:rsidRPr="007C5FD5">
        <w:rPr>
          <w:rFonts w:cstheme="minorHAnsi"/>
          <w:i/>
          <w:iCs/>
        </w:rPr>
        <w:t>Plon</w:t>
      </w:r>
      <w:proofErr w:type="spellEnd"/>
      <w:r w:rsidR="00177230" w:rsidRPr="007C5FD5">
        <w:rPr>
          <w:rFonts w:cstheme="minorHAnsi"/>
          <w:i/>
          <w:iCs/>
        </w:rPr>
        <w:t xml:space="preserve"> (</w:t>
      </w:r>
      <w:r w:rsidR="004D0E29" w:rsidRPr="007C5FD5">
        <w:rPr>
          <w:rFonts w:cstheme="minorHAnsi"/>
          <w:i/>
          <w:iCs/>
        </w:rPr>
        <w:t>Société</w:t>
      </w:r>
      <w:r w:rsidR="00177230" w:rsidRPr="007C5FD5">
        <w:rPr>
          <w:rFonts w:cstheme="minorHAnsi"/>
          <w:i/>
          <w:iCs/>
        </w:rPr>
        <w:t xml:space="preserve">) </w:t>
      </w:r>
      <w:r w:rsidR="0034061F" w:rsidRPr="007C5FD5">
        <w:rPr>
          <w:rFonts w:cstheme="minorHAnsi"/>
        </w:rPr>
        <w:t>the</w:t>
      </w:r>
      <w:r w:rsidR="004E1161" w:rsidRPr="007C5FD5">
        <w:rPr>
          <w:rFonts w:cstheme="minorHAnsi"/>
        </w:rPr>
        <w:t xml:space="preserve"> ECtHR accepted that</w:t>
      </w:r>
      <w:r w:rsidR="00177230" w:rsidRPr="007C5FD5">
        <w:rPr>
          <w:rFonts w:cstheme="minorHAnsi"/>
        </w:rPr>
        <w:t xml:space="preserve"> Mitterrand’s medical confidentialities </w:t>
      </w:r>
      <w:r w:rsidR="004E1161" w:rsidRPr="007C5FD5">
        <w:rPr>
          <w:rFonts w:cstheme="minorHAnsi"/>
        </w:rPr>
        <w:t>could be</w:t>
      </w:r>
      <w:r w:rsidR="00177230" w:rsidRPr="007C5FD5">
        <w:rPr>
          <w:rFonts w:cstheme="minorHAnsi"/>
        </w:rPr>
        <w:t xml:space="preserve"> ‘transferred’</w:t>
      </w:r>
      <w:r w:rsidR="00D94224" w:rsidRPr="007C5FD5">
        <w:rPr>
          <w:rFonts w:cstheme="minorHAnsi"/>
        </w:rPr>
        <w:t xml:space="preserve"> or ‘pass</w:t>
      </w:r>
      <w:r w:rsidR="000C4C40" w:rsidRPr="007C5FD5">
        <w:rPr>
          <w:rFonts w:cstheme="minorHAnsi"/>
        </w:rPr>
        <w:t>ed</w:t>
      </w:r>
      <w:r w:rsidR="00D94224" w:rsidRPr="007C5FD5">
        <w:rPr>
          <w:rFonts w:cstheme="minorHAnsi"/>
        </w:rPr>
        <w:t xml:space="preserve"> on’</w:t>
      </w:r>
      <w:r w:rsidR="00177230" w:rsidRPr="007C5FD5">
        <w:rPr>
          <w:rFonts w:cstheme="minorHAnsi"/>
        </w:rPr>
        <w:t xml:space="preserve"> to </w:t>
      </w:r>
      <w:r w:rsidR="00D94224" w:rsidRPr="007C5FD5">
        <w:rPr>
          <w:rFonts w:cstheme="minorHAnsi"/>
        </w:rPr>
        <w:t>his widow and children</w:t>
      </w:r>
      <w:r w:rsidR="004B2143" w:rsidRPr="007C5FD5">
        <w:rPr>
          <w:rFonts w:cstheme="minorHAnsi"/>
        </w:rPr>
        <w:t>, who</w:t>
      </w:r>
      <w:r w:rsidR="000C4C40" w:rsidRPr="007C5FD5">
        <w:rPr>
          <w:rFonts w:cstheme="minorHAnsi"/>
        </w:rPr>
        <w:t xml:space="preserve"> </w:t>
      </w:r>
      <w:r w:rsidR="00E23D97" w:rsidRPr="007C5FD5">
        <w:rPr>
          <w:rFonts w:cstheme="minorHAnsi"/>
        </w:rPr>
        <w:t xml:space="preserve">effectively </w:t>
      </w:r>
      <w:r w:rsidR="00767F8F" w:rsidRPr="007C5FD5">
        <w:rPr>
          <w:rFonts w:cstheme="minorHAnsi"/>
        </w:rPr>
        <w:t xml:space="preserve">stepped into </w:t>
      </w:r>
      <w:r w:rsidR="00E23D97" w:rsidRPr="007C5FD5">
        <w:rPr>
          <w:rFonts w:cstheme="minorHAnsi"/>
        </w:rPr>
        <w:t>Mitterrand’s</w:t>
      </w:r>
      <w:r w:rsidR="00767F8F" w:rsidRPr="007C5FD5">
        <w:rPr>
          <w:rFonts w:cstheme="minorHAnsi"/>
        </w:rPr>
        <w:t xml:space="preserve"> shoes</w:t>
      </w:r>
      <w:r w:rsidR="004E1161" w:rsidRPr="007C5FD5">
        <w:rPr>
          <w:rFonts w:cstheme="minorHAnsi"/>
        </w:rPr>
        <w:t xml:space="preserve"> to enforce his rights</w:t>
      </w:r>
      <w:r w:rsidR="00767F8F" w:rsidRPr="007C5FD5">
        <w:rPr>
          <w:rFonts w:cstheme="minorHAnsi"/>
        </w:rPr>
        <w:t>.</w:t>
      </w:r>
      <w:r w:rsidR="000C4C40" w:rsidRPr="007C5FD5">
        <w:rPr>
          <w:rStyle w:val="FootnoteReference"/>
          <w:rFonts w:cstheme="minorHAnsi"/>
        </w:rPr>
        <w:footnoteReference w:id="140"/>
      </w:r>
      <w:r w:rsidR="000C4C40" w:rsidRPr="007C5FD5">
        <w:rPr>
          <w:rFonts w:cstheme="minorHAnsi"/>
        </w:rPr>
        <w:t xml:space="preserve"> </w:t>
      </w:r>
      <w:r w:rsidR="00D92266" w:rsidRPr="007C5FD5">
        <w:rPr>
          <w:rFonts w:cstheme="minorHAnsi"/>
        </w:rPr>
        <w:t>Similarly</w:t>
      </w:r>
      <w:r w:rsidR="009E2369" w:rsidRPr="007C5FD5">
        <w:rPr>
          <w:rFonts w:cstheme="minorHAnsi"/>
        </w:rPr>
        <w:t xml:space="preserve"> </w:t>
      </w:r>
      <w:r w:rsidR="00D92266" w:rsidRPr="007C5FD5">
        <w:rPr>
          <w:rFonts w:cstheme="minorHAnsi"/>
        </w:rPr>
        <w:t xml:space="preserve">in </w:t>
      </w:r>
      <w:proofErr w:type="spellStart"/>
      <w:r w:rsidR="004E1161" w:rsidRPr="007C5FD5">
        <w:rPr>
          <w:rFonts w:cstheme="minorHAnsi"/>
          <w:i/>
          <w:iCs/>
        </w:rPr>
        <w:t>Bluck</w:t>
      </w:r>
      <w:proofErr w:type="spellEnd"/>
      <w:r w:rsidR="004E1161" w:rsidRPr="007C5FD5">
        <w:rPr>
          <w:rFonts w:cstheme="minorHAnsi"/>
          <w:i/>
          <w:iCs/>
        </w:rPr>
        <w:t xml:space="preserve"> </w:t>
      </w:r>
      <w:r w:rsidR="004E1161" w:rsidRPr="007C5FD5">
        <w:rPr>
          <w:rFonts w:cstheme="minorHAnsi"/>
        </w:rPr>
        <w:t xml:space="preserve">the </w:t>
      </w:r>
      <w:r w:rsidR="00D92266" w:rsidRPr="007C5FD5">
        <w:rPr>
          <w:rFonts w:cstheme="minorHAnsi"/>
        </w:rPr>
        <w:t>Information Tribunal</w:t>
      </w:r>
      <w:r w:rsidR="004E1161" w:rsidRPr="007C5FD5">
        <w:rPr>
          <w:rFonts w:cstheme="minorHAnsi"/>
        </w:rPr>
        <w:t xml:space="preserve"> held that the </w:t>
      </w:r>
      <w:r w:rsidR="0079733F">
        <w:rPr>
          <w:rFonts w:cstheme="minorHAnsi"/>
        </w:rPr>
        <w:t xml:space="preserve">Trust’s </w:t>
      </w:r>
      <w:r w:rsidR="00D92266" w:rsidRPr="007C5FD5">
        <w:rPr>
          <w:rFonts w:cstheme="minorHAnsi"/>
        </w:rPr>
        <w:t xml:space="preserve">duty </w:t>
      </w:r>
      <w:r w:rsidR="00F468A6" w:rsidRPr="007C5FD5">
        <w:rPr>
          <w:rFonts w:cstheme="minorHAnsi"/>
        </w:rPr>
        <w:t xml:space="preserve">to the daughter </w:t>
      </w:r>
      <w:r w:rsidR="00D92266" w:rsidRPr="007C5FD5">
        <w:rPr>
          <w:rFonts w:cstheme="minorHAnsi"/>
        </w:rPr>
        <w:t xml:space="preserve">survived </w:t>
      </w:r>
      <w:r w:rsidR="00F468A6" w:rsidRPr="007C5FD5">
        <w:rPr>
          <w:rFonts w:cstheme="minorHAnsi"/>
        </w:rPr>
        <w:t>her</w:t>
      </w:r>
      <w:r w:rsidR="00D92266" w:rsidRPr="007C5FD5">
        <w:rPr>
          <w:rFonts w:cstheme="minorHAnsi"/>
        </w:rPr>
        <w:t xml:space="preserve"> death and</w:t>
      </w:r>
      <w:r w:rsidR="00452EC4" w:rsidRPr="007C5FD5">
        <w:rPr>
          <w:rFonts w:cstheme="minorHAnsi"/>
        </w:rPr>
        <w:t xml:space="preserve"> that</w:t>
      </w:r>
      <w:r w:rsidR="00AE25CC" w:rsidRPr="007C5FD5">
        <w:rPr>
          <w:rFonts w:cstheme="minorHAnsi"/>
        </w:rPr>
        <w:t xml:space="preserve"> </w:t>
      </w:r>
      <w:r w:rsidR="00FF66E6">
        <w:rPr>
          <w:rFonts w:cstheme="minorHAnsi"/>
        </w:rPr>
        <w:t>her</w:t>
      </w:r>
      <w:r w:rsidR="00D92266" w:rsidRPr="007C5FD5">
        <w:rPr>
          <w:rFonts w:cstheme="minorHAnsi"/>
        </w:rPr>
        <w:t xml:space="preserve"> claim for a breach passed</w:t>
      </w:r>
      <w:r w:rsidR="009E2369" w:rsidRPr="007C5FD5">
        <w:rPr>
          <w:rFonts w:cstheme="minorHAnsi"/>
        </w:rPr>
        <w:t xml:space="preserve"> </w:t>
      </w:r>
      <w:r w:rsidR="00D92266" w:rsidRPr="007C5FD5">
        <w:rPr>
          <w:rFonts w:cstheme="minorHAnsi"/>
        </w:rPr>
        <w:t>onto her widower</w:t>
      </w:r>
      <w:r w:rsidR="00BC1DF9" w:rsidRPr="007C5FD5">
        <w:rPr>
          <w:rFonts w:cstheme="minorHAnsi"/>
        </w:rPr>
        <w:t xml:space="preserve"> </w:t>
      </w:r>
      <w:r w:rsidR="00D92266" w:rsidRPr="007C5FD5">
        <w:rPr>
          <w:rFonts w:cstheme="minorHAnsi"/>
        </w:rPr>
        <w:t>as her personal representative</w:t>
      </w:r>
      <w:r w:rsidR="00CD7683" w:rsidRPr="007C5FD5">
        <w:rPr>
          <w:rFonts w:cstheme="minorHAnsi"/>
        </w:rPr>
        <w:t>.</w:t>
      </w:r>
      <w:r w:rsidR="00D92266" w:rsidRPr="007C5FD5">
        <w:rPr>
          <w:rFonts w:cstheme="minorHAnsi"/>
        </w:rPr>
        <w:t xml:space="preserve"> </w:t>
      </w:r>
      <w:r w:rsidR="0034061F" w:rsidRPr="007C5FD5">
        <w:rPr>
          <w:rFonts w:cstheme="minorHAnsi"/>
        </w:rPr>
        <w:t>These case</w:t>
      </w:r>
      <w:r w:rsidR="00AE25CC" w:rsidRPr="007C5FD5">
        <w:rPr>
          <w:rFonts w:cstheme="minorHAnsi"/>
        </w:rPr>
        <w:t>s</w:t>
      </w:r>
      <w:r w:rsidR="0034061F" w:rsidRPr="007C5FD5">
        <w:rPr>
          <w:rFonts w:cstheme="minorHAnsi"/>
        </w:rPr>
        <w:t xml:space="preserve"> </w:t>
      </w:r>
      <w:r w:rsidR="009E2369" w:rsidRPr="007C5FD5">
        <w:rPr>
          <w:rFonts w:cstheme="minorHAnsi"/>
        </w:rPr>
        <w:t>crystalise the</w:t>
      </w:r>
      <w:r w:rsidR="00AE25CC" w:rsidRPr="007C5FD5">
        <w:rPr>
          <w:rFonts w:cstheme="minorHAnsi"/>
        </w:rPr>
        <w:t xml:space="preserve"> very centre</w:t>
      </w:r>
      <w:r w:rsidR="0034061F" w:rsidRPr="007C5FD5">
        <w:rPr>
          <w:rFonts w:cstheme="minorHAnsi"/>
        </w:rPr>
        <w:t xml:space="preserve"> of </w:t>
      </w:r>
      <w:r w:rsidR="00F468A6" w:rsidRPr="007C5FD5">
        <w:rPr>
          <w:rFonts w:cstheme="minorHAnsi"/>
        </w:rPr>
        <w:t xml:space="preserve">controversy </w:t>
      </w:r>
      <w:r w:rsidR="00663810" w:rsidRPr="007C5FD5">
        <w:rPr>
          <w:rFonts w:cstheme="minorHAnsi"/>
        </w:rPr>
        <w:t>of</w:t>
      </w:r>
      <w:r w:rsidR="009E2369" w:rsidRPr="007C5FD5">
        <w:rPr>
          <w:rFonts w:cstheme="minorHAnsi"/>
        </w:rPr>
        <w:t xml:space="preserve"> post-mortem privacy</w:t>
      </w:r>
      <w:r w:rsidR="00547F00" w:rsidRPr="007C5FD5">
        <w:rPr>
          <w:rFonts w:cstheme="minorHAnsi"/>
        </w:rPr>
        <w:t xml:space="preserve"> rights</w:t>
      </w:r>
      <w:r w:rsidR="009E2369" w:rsidRPr="007C5FD5">
        <w:rPr>
          <w:rFonts w:cstheme="minorHAnsi"/>
        </w:rPr>
        <w:t xml:space="preserve"> and</w:t>
      </w:r>
      <w:r w:rsidR="00663810" w:rsidRPr="007C5FD5">
        <w:rPr>
          <w:rFonts w:cstheme="minorHAnsi"/>
        </w:rPr>
        <w:t xml:space="preserve"> </w:t>
      </w:r>
      <w:r w:rsidR="009E2369" w:rsidRPr="007C5FD5">
        <w:rPr>
          <w:rFonts w:cstheme="minorHAnsi"/>
        </w:rPr>
        <w:t>the question</w:t>
      </w:r>
      <w:r w:rsidR="00952FC7" w:rsidRPr="007C5FD5">
        <w:rPr>
          <w:rFonts w:cstheme="minorHAnsi"/>
        </w:rPr>
        <w:t xml:space="preserve"> </w:t>
      </w:r>
      <w:r w:rsidR="009E2369" w:rsidRPr="007C5FD5">
        <w:rPr>
          <w:rFonts w:cstheme="minorHAnsi"/>
        </w:rPr>
        <w:t>wha</w:t>
      </w:r>
      <w:r w:rsidR="00452EC4" w:rsidRPr="007C5FD5">
        <w:rPr>
          <w:rFonts w:cstheme="minorHAnsi"/>
        </w:rPr>
        <w:t>t</w:t>
      </w:r>
      <w:r w:rsidR="009E2369" w:rsidRPr="007C5FD5">
        <w:rPr>
          <w:rFonts w:cstheme="minorHAnsi"/>
        </w:rPr>
        <w:t xml:space="preserve"> harm, if any, </w:t>
      </w:r>
      <w:r w:rsidR="001957B0" w:rsidRPr="007C5FD5">
        <w:rPr>
          <w:rFonts w:cstheme="minorHAnsi"/>
        </w:rPr>
        <w:t>such right</w:t>
      </w:r>
      <w:r w:rsidR="009E2369" w:rsidRPr="007C5FD5">
        <w:rPr>
          <w:rFonts w:cstheme="minorHAnsi"/>
        </w:rPr>
        <w:t xml:space="preserve"> </w:t>
      </w:r>
      <w:r w:rsidR="00BC1DF9" w:rsidRPr="007C5FD5">
        <w:rPr>
          <w:rFonts w:cstheme="minorHAnsi"/>
        </w:rPr>
        <w:t>redress</w:t>
      </w:r>
      <w:r w:rsidR="00FF66E6">
        <w:rPr>
          <w:rFonts w:cstheme="minorHAnsi"/>
        </w:rPr>
        <w:t>es -</w:t>
      </w:r>
      <w:r w:rsidR="00411B3E" w:rsidRPr="007C5FD5">
        <w:rPr>
          <w:rFonts w:cstheme="minorHAnsi"/>
        </w:rPr>
        <w:t xml:space="preserve"> </w:t>
      </w:r>
      <w:r w:rsidR="00C910B2" w:rsidRPr="007C5FD5">
        <w:rPr>
          <w:rFonts w:cstheme="minorHAnsi"/>
        </w:rPr>
        <w:t xml:space="preserve">beyond consequentialist arguments </w:t>
      </w:r>
      <w:r w:rsidR="00411B3E" w:rsidRPr="007C5FD5">
        <w:rPr>
          <w:rFonts w:cstheme="minorHAnsi"/>
        </w:rPr>
        <w:t xml:space="preserve">focused on </w:t>
      </w:r>
      <w:r w:rsidR="002F0FD6" w:rsidRPr="007C5FD5">
        <w:rPr>
          <w:rFonts w:cstheme="minorHAnsi"/>
        </w:rPr>
        <w:t>others</w:t>
      </w:r>
      <w:r w:rsidR="00BC1DF9" w:rsidRPr="007C5FD5">
        <w:rPr>
          <w:rFonts w:cstheme="minorHAnsi"/>
        </w:rPr>
        <w:t xml:space="preserve">. </w:t>
      </w:r>
      <w:r w:rsidR="00452EC4" w:rsidRPr="007C5FD5">
        <w:rPr>
          <w:rFonts w:cstheme="minorHAnsi"/>
        </w:rPr>
        <w:t>What harm</w:t>
      </w:r>
      <w:r w:rsidR="00C910B2" w:rsidRPr="007C5FD5">
        <w:rPr>
          <w:rFonts w:cstheme="minorHAnsi"/>
        </w:rPr>
        <w:t xml:space="preserve"> </w:t>
      </w:r>
      <w:r w:rsidR="00A75F1C" w:rsidRPr="007C5FD5">
        <w:rPr>
          <w:rFonts w:cstheme="minorHAnsi"/>
        </w:rPr>
        <w:t xml:space="preserve">can </w:t>
      </w:r>
      <w:r w:rsidR="00452EC4" w:rsidRPr="007C5FD5">
        <w:rPr>
          <w:rFonts w:cstheme="minorHAnsi"/>
          <w:i/>
          <w:iCs/>
        </w:rPr>
        <w:t>the deceased</w:t>
      </w:r>
      <w:r w:rsidR="00452EC4" w:rsidRPr="007C5FD5">
        <w:rPr>
          <w:rFonts w:cstheme="minorHAnsi"/>
        </w:rPr>
        <w:t xml:space="preserve"> suffer after death?</w:t>
      </w:r>
      <w:r w:rsidR="00815419" w:rsidRPr="007C5FD5">
        <w:rPr>
          <w:rFonts w:cstheme="minorHAnsi"/>
        </w:rPr>
        <w:t xml:space="preserve"> </w:t>
      </w:r>
      <w:r w:rsidR="00952FC7" w:rsidRPr="007C5FD5">
        <w:rPr>
          <w:rFonts w:cstheme="minorHAnsi"/>
        </w:rPr>
        <w:t xml:space="preserve"> </w:t>
      </w:r>
      <w:r w:rsidR="00B65835" w:rsidRPr="007C5FD5">
        <w:rPr>
          <w:rFonts w:cstheme="minorHAnsi"/>
        </w:rPr>
        <w:t xml:space="preserve"> </w:t>
      </w:r>
    </w:p>
    <w:p w14:paraId="721681AF" w14:textId="77777777" w:rsidR="00411B3E" w:rsidRPr="007C5FD5" w:rsidRDefault="00411B3E" w:rsidP="00FD77D8">
      <w:pPr>
        <w:autoSpaceDE w:val="0"/>
        <w:autoSpaceDN w:val="0"/>
        <w:adjustRightInd w:val="0"/>
        <w:spacing w:after="0" w:line="240" w:lineRule="auto"/>
        <w:jc w:val="both"/>
        <w:rPr>
          <w:rFonts w:cstheme="minorHAnsi"/>
        </w:rPr>
      </w:pPr>
    </w:p>
    <w:p w14:paraId="365FFF6E" w14:textId="14871C88" w:rsidR="00EA1006" w:rsidRPr="007C5FD5" w:rsidRDefault="002F0FD6" w:rsidP="00FD77D8">
      <w:pPr>
        <w:autoSpaceDE w:val="0"/>
        <w:autoSpaceDN w:val="0"/>
        <w:adjustRightInd w:val="0"/>
        <w:spacing w:after="0" w:line="240" w:lineRule="auto"/>
        <w:jc w:val="both"/>
        <w:rPr>
          <w:rFonts w:cstheme="minorHAnsi"/>
        </w:rPr>
      </w:pPr>
      <w:r w:rsidRPr="007C5FD5">
        <w:rPr>
          <w:rFonts w:cstheme="minorHAnsi"/>
        </w:rPr>
        <w:t xml:space="preserve">For </w:t>
      </w:r>
      <w:r w:rsidR="003D4DAE" w:rsidRPr="007C5FD5">
        <w:rPr>
          <w:rFonts w:cstheme="minorHAnsi"/>
        </w:rPr>
        <w:t>Warren and Brand</w:t>
      </w:r>
      <w:r w:rsidR="003B6171">
        <w:rPr>
          <w:rFonts w:cstheme="minorHAnsi"/>
        </w:rPr>
        <w:t>e</w:t>
      </w:r>
      <w:r w:rsidR="003D4DAE" w:rsidRPr="007C5FD5">
        <w:rPr>
          <w:rFonts w:cstheme="minorHAnsi"/>
        </w:rPr>
        <w:t>is</w:t>
      </w:r>
      <w:r w:rsidRPr="007C5FD5">
        <w:rPr>
          <w:rFonts w:cstheme="minorHAnsi"/>
        </w:rPr>
        <w:t>,</w:t>
      </w:r>
      <w:r w:rsidR="00BF7CAA" w:rsidRPr="007C5FD5">
        <w:rPr>
          <w:rFonts w:cstheme="minorHAnsi"/>
        </w:rPr>
        <w:t xml:space="preserve"> </w:t>
      </w:r>
      <w:r w:rsidR="007B6F58" w:rsidRPr="007C5FD5">
        <w:rPr>
          <w:rFonts w:cstheme="minorHAnsi"/>
        </w:rPr>
        <w:t>the</w:t>
      </w:r>
      <w:r w:rsidRPr="007C5FD5">
        <w:rPr>
          <w:rFonts w:cstheme="minorHAnsi"/>
        </w:rPr>
        <w:t xml:space="preserve"> invasion itself was the harm</w:t>
      </w:r>
      <w:r w:rsidR="0079733F">
        <w:rPr>
          <w:rFonts w:cstheme="minorHAnsi"/>
        </w:rPr>
        <w:t xml:space="preserve"> against which privacy protects</w:t>
      </w:r>
      <w:r w:rsidRPr="007C5FD5">
        <w:rPr>
          <w:rFonts w:cstheme="minorHAnsi"/>
        </w:rPr>
        <w:t>:</w:t>
      </w:r>
      <w:r w:rsidR="00A02CA0" w:rsidRPr="007C5FD5">
        <w:rPr>
          <w:rFonts w:cstheme="minorHAnsi"/>
        </w:rPr>
        <w:t xml:space="preserve"> </w:t>
      </w:r>
      <w:r w:rsidR="00314C56" w:rsidRPr="007C5FD5">
        <w:rPr>
          <w:rFonts w:cstheme="minorHAnsi"/>
        </w:rPr>
        <w:t>‘</w:t>
      </w:r>
      <w:r w:rsidR="00A02CA0" w:rsidRPr="007C5FD5">
        <w:rPr>
          <w:rFonts w:cstheme="minorHAnsi"/>
        </w:rPr>
        <w:t>[</w:t>
      </w:r>
      <w:proofErr w:type="spellStart"/>
      <w:r w:rsidR="00A02CA0" w:rsidRPr="007C5FD5">
        <w:rPr>
          <w:rFonts w:cstheme="minorHAnsi"/>
        </w:rPr>
        <w:t>i</w:t>
      </w:r>
      <w:proofErr w:type="spellEnd"/>
      <w:r w:rsidR="00A02CA0" w:rsidRPr="007C5FD5">
        <w:rPr>
          <w:rFonts w:cstheme="minorHAnsi"/>
        </w:rPr>
        <w:t>]</w:t>
      </w:r>
      <w:r w:rsidR="00314C56" w:rsidRPr="007C5FD5">
        <w:rPr>
          <w:rFonts w:cstheme="minorHAnsi"/>
        </w:rPr>
        <w:t>f the invasion of privacy constitutes a legal</w:t>
      </w:r>
      <w:r w:rsidR="00314C56" w:rsidRPr="007C5FD5">
        <w:rPr>
          <w:rFonts w:cstheme="minorHAnsi"/>
          <w:i/>
          <w:iCs/>
        </w:rPr>
        <w:t xml:space="preserve"> injuria</w:t>
      </w:r>
      <w:r w:rsidR="00314C56" w:rsidRPr="007C5FD5">
        <w:rPr>
          <w:rFonts w:cstheme="minorHAnsi"/>
        </w:rPr>
        <w:t xml:space="preserve">, the elements for demanding redress exist, since already the value of mental suffering, caused by an act </w:t>
      </w:r>
      <w:r w:rsidR="00314C56" w:rsidRPr="007C5FD5">
        <w:rPr>
          <w:rFonts w:cstheme="minorHAnsi"/>
          <w:i/>
          <w:iCs/>
        </w:rPr>
        <w:t>wrongful in itself</w:t>
      </w:r>
      <w:r w:rsidR="00314C56" w:rsidRPr="007C5FD5">
        <w:rPr>
          <w:rFonts w:cstheme="minorHAnsi"/>
        </w:rPr>
        <w:t>, is recognized as a basis for compensation.’</w:t>
      </w:r>
      <w:r w:rsidR="003D4DAE" w:rsidRPr="007C5FD5">
        <w:rPr>
          <w:rStyle w:val="FootnoteReference"/>
          <w:rFonts w:cstheme="minorHAnsi"/>
        </w:rPr>
        <w:footnoteReference w:id="141"/>
      </w:r>
      <w:r w:rsidR="00314C56" w:rsidRPr="007C5FD5">
        <w:rPr>
          <w:rFonts w:cstheme="minorHAnsi"/>
        </w:rPr>
        <w:t xml:space="preserve"> </w:t>
      </w:r>
      <w:r w:rsidR="00EA1006" w:rsidRPr="007C5FD5">
        <w:rPr>
          <w:rFonts w:cstheme="minorHAnsi"/>
        </w:rPr>
        <w:t>Consistently</w:t>
      </w:r>
      <w:r w:rsidR="00A02CA0" w:rsidRPr="007C5FD5">
        <w:rPr>
          <w:rFonts w:cstheme="minorHAnsi"/>
        </w:rPr>
        <w:t xml:space="preserve"> </w:t>
      </w:r>
      <w:r w:rsidR="00EA1006" w:rsidRPr="007C5FD5">
        <w:rPr>
          <w:rFonts w:cstheme="minorHAnsi"/>
        </w:rPr>
        <w:t xml:space="preserve">classic common law </w:t>
      </w:r>
      <w:r w:rsidR="00A02CA0" w:rsidRPr="007C5FD5">
        <w:rPr>
          <w:rFonts w:cstheme="minorHAnsi"/>
        </w:rPr>
        <w:t>actions</w:t>
      </w:r>
      <w:r w:rsidR="00A849B8" w:rsidRPr="007C5FD5">
        <w:rPr>
          <w:rFonts w:cstheme="minorHAnsi"/>
        </w:rPr>
        <w:t>,</w:t>
      </w:r>
      <w:r w:rsidR="00A02CA0" w:rsidRPr="007C5FD5">
        <w:rPr>
          <w:rFonts w:cstheme="minorHAnsi"/>
        </w:rPr>
        <w:t xml:space="preserve"> </w:t>
      </w:r>
      <w:r w:rsidR="00A849B8" w:rsidRPr="007C5FD5">
        <w:rPr>
          <w:rFonts w:cstheme="minorHAnsi"/>
        </w:rPr>
        <w:t xml:space="preserve">such as trespass to land </w:t>
      </w:r>
      <w:r w:rsidR="00B96219" w:rsidRPr="007C5FD5">
        <w:rPr>
          <w:rFonts w:cstheme="minorHAnsi"/>
        </w:rPr>
        <w:t>or</w:t>
      </w:r>
      <w:r w:rsidR="00A849B8" w:rsidRPr="007C5FD5">
        <w:rPr>
          <w:rFonts w:cstheme="minorHAnsi"/>
        </w:rPr>
        <w:t xml:space="preserve"> to </w:t>
      </w:r>
      <w:r w:rsidR="00AA3E38" w:rsidRPr="007C5FD5">
        <w:rPr>
          <w:rFonts w:cstheme="minorHAnsi"/>
        </w:rPr>
        <w:t xml:space="preserve">the </w:t>
      </w:r>
      <w:r w:rsidR="00A849B8" w:rsidRPr="007C5FD5">
        <w:rPr>
          <w:rFonts w:cstheme="minorHAnsi"/>
        </w:rPr>
        <w:t xml:space="preserve">person, </w:t>
      </w:r>
      <w:r w:rsidR="00A02CA0" w:rsidRPr="007C5FD5">
        <w:rPr>
          <w:rFonts w:cstheme="minorHAnsi"/>
        </w:rPr>
        <w:t>that</w:t>
      </w:r>
      <w:r w:rsidR="00EA1006" w:rsidRPr="007C5FD5">
        <w:rPr>
          <w:rFonts w:cstheme="minorHAnsi"/>
        </w:rPr>
        <w:t xml:space="preserve"> have</w:t>
      </w:r>
      <w:r w:rsidR="00A02CA0" w:rsidRPr="007C5FD5">
        <w:rPr>
          <w:rFonts w:cstheme="minorHAnsi"/>
        </w:rPr>
        <w:t xml:space="preserve"> </w:t>
      </w:r>
      <w:r w:rsidR="00A849B8" w:rsidRPr="007C5FD5">
        <w:rPr>
          <w:rFonts w:cstheme="minorHAnsi"/>
        </w:rPr>
        <w:t xml:space="preserve">long </w:t>
      </w:r>
      <w:r w:rsidR="00A02CA0" w:rsidRPr="007C5FD5">
        <w:rPr>
          <w:rFonts w:cstheme="minorHAnsi"/>
        </w:rPr>
        <w:t>protect</w:t>
      </w:r>
      <w:r w:rsidR="00EA1006" w:rsidRPr="007C5FD5">
        <w:rPr>
          <w:rFonts w:cstheme="minorHAnsi"/>
        </w:rPr>
        <w:t>ed</w:t>
      </w:r>
      <w:r w:rsidR="00A02CA0" w:rsidRPr="007C5FD5">
        <w:rPr>
          <w:rFonts w:cstheme="minorHAnsi"/>
        </w:rPr>
        <w:t xml:space="preserve"> privacy interests, </w:t>
      </w:r>
      <w:r w:rsidR="00EA1006" w:rsidRPr="007C5FD5">
        <w:rPr>
          <w:rFonts w:cstheme="minorHAnsi"/>
        </w:rPr>
        <w:t xml:space="preserve">are actionable </w:t>
      </w:r>
      <w:r w:rsidR="00EA1006" w:rsidRPr="007C5FD5">
        <w:rPr>
          <w:rFonts w:cstheme="minorHAnsi"/>
          <w:i/>
          <w:iCs/>
        </w:rPr>
        <w:t>per se</w:t>
      </w:r>
      <w:r w:rsidR="00EA1006" w:rsidRPr="007C5FD5">
        <w:rPr>
          <w:rFonts w:cstheme="minorHAnsi"/>
        </w:rPr>
        <w:t>.</w:t>
      </w:r>
      <w:r w:rsidR="00EA1006" w:rsidRPr="007C5FD5">
        <w:rPr>
          <w:rStyle w:val="FootnoteReference"/>
          <w:rFonts w:cstheme="minorHAnsi"/>
        </w:rPr>
        <w:footnoteReference w:id="142"/>
      </w:r>
      <w:r w:rsidR="00EF05EA" w:rsidRPr="007C5FD5">
        <w:rPr>
          <w:rFonts w:cstheme="minorHAnsi"/>
        </w:rPr>
        <w:t xml:space="preserve"> </w:t>
      </w:r>
      <w:r w:rsidR="0079733F">
        <w:rPr>
          <w:rFonts w:cstheme="minorHAnsi"/>
        </w:rPr>
        <w:t>Equally, t</w:t>
      </w:r>
      <w:r w:rsidR="00EA1006" w:rsidRPr="007C5FD5">
        <w:rPr>
          <w:rFonts w:cstheme="minorHAnsi"/>
        </w:rPr>
        <w:t>he equitable duty of confidence</w:t>
      </w:r>
      <w:r w:rsidR="004A57BC" w:rsidRPr="007C5FD5">
        <w:rPr>
          <w:rFonts w:cstheme="minorHAnsi"/>
        </w:rPr>
        <w:t xml:space="preserve"> does not</w:t>
      </w:r>
      <w:r w:rsidR="0009563B" w:rsidRPr="007C5FD5">
        <w:rPr>
          <w:rFonts w:cstheme="minorHAnsi"/>
        </w:rPr>
        <w:t xml:space="preserve"> </w:t>
      </w:r>
      <w:r w:rsidR="00EA1006" w:rsidRPr="007C5FD5">
        <w:rPr>
          <w:rFonts w:cstheme="minorHAnsi"/>
        </w:rPr>
        <w:t xml:space="preserve">require ‘detriment’ beyond the breach of the duty itself. </w:t>
      </w:r>
      <w:proofErr w:type="spellStart"/>
      <w:r w:rsidR="00EA1006" w:rsidRPr="007C5FD5">
        <w:rPr>
          <w:rFonts w:cstheme="minorHAnsi"/>
        </w:rPr>
        <w:t>Megarry</w:t>
      </w:r>
      <w:proofErr w:type="spellEnd"/>
      <w:r w:rsidR="00EA1006" w:rsidRPr="007C5FD5">
        <w:rPr>
          <w:rFonts w:cstheme="minorHAnsi"/>
        </w:rPr>
        <w:t xml:space="preserve"> J in </w:t>
      </w:r>
      <w:r w:rsidR="00EA1006" w:rsidRPr="007C5FD5">
        <w:rPr>
          <w:rFonts w:cstheme="minorHAnsi"/>
          <w:i/>
          <w:iCs/>
        </w:rPr>
        <w:t xml:space="preserve">Coco v A N Clark (Engineers) Limited </w:t>
      </w:r>
      <w:r w:rsidR="0009563B" w:rsidRPr="007C5FD5">
        <w:rPr>
          <w:rFonts w:cstheme="minorHAnsi"/>
        </w:rPr>
        <w:t xml:space="preserve">(1968) commented: </w:t>
      </w:r>
      <w:r w:rsidR="00EA1006" w:rsidRPr="007C5FD5">
        <w:rPr>
          <w:rFonts w:cstheme="minorHAnsi"/>
        </w:rPr>
        <w:t xml:space="preserve"> </w:t>
      </w:r>
    </w:p>
    <w:p w14:paraId="279B7487" w14:textId="77777777" w:rsidR="0009563B" w:rsidRPr="007C5FD5" w:rsidRDefault="0009563B" w:rsidP="00FD77D8">
      <w:pPr>
        <w:autoSpaceDE w:val="0"/>
        <w:autoSpaceDN w:val="0"/>
        <w:adjustRightInd w:val="0"/>
        <w:spacing w:after="0" w:line="240" w:lineRule="auto"/>
        <w:jc w:val="both"/>
        <w:rPr>
          <w:rFonts w:cstheme="minorHAnsi"/>
        </w:rPr>
      </w:pPr>
    </w:p>
    <w:p w14:paraId="4C1A94ED" w14:textId="22DB7A0C" w:rsidR="00EA1006" w:rsidRPr="007C5FD5" w:rsidRDefault="0009563B" w:rsidP="00FD77D8">
      <w:pPr>
        <w:spacing w:after="0" w:line="240" w:lineRule="auto"/>
        <w:ind w:left="720"/>
        <w:jc w:val="both"/>
        <w:rPr>
          <w:rFonts w:cstheme="minorHAnsi"/>
        </w:rPr>
      </w:pPr>
      <w:r w:rsidRPr="007C5FD5">
        <w:rPr>
          <w:rFonts w:cstheme="minorHAnsi"/>
        </w:rPr>
        <w:t>‘</w:t>
      </w:r>
      <w:r w:rsidR="00EA1006" w:rsidRPr="007C5FD5">
        <w:rPr>
          <w:rFonts w:cstheme="minorHAnsi"/>
        </w:rPr>
        <w:t xml:space="preserve">At first sight, it seems that detriment ought to be present if equity is to be </w:t>
      </w:r>
      <w:r w:rsidR="006729F4" w:rsidRPr="007C5FD5">
        <w:rPr>
          <w:rFonts w:cstheme="minorHAnsi"/>
        </w:rPr>
        <w:t>i</w:t>
      </w:r>
      <w:r w:rsidR="00EA1006" w:rsidRPr="007C5FD5">
        <w:rPr>
          <w:rFonts w:cstheme="minorHAnsi"/>
        </w:rPr>
        <w:t>nduced to intervene; but I can conceive of cases where a plaintiff might have substantial motives for seeking the aid of equity and yet suffer nothing which could fairly be called a detriment to him, as when the confidential information shows him in a favourable light but gravely injures some relation or friend of his whom he wishes to protect</w:t>
      </w:r>
      <w:r w:rsidR="00FF6093" w:rsidRPr="007C5FD5">
        <w:rPr>
          <w:rFonts w:cstheme="minorHAnsi"/>
        </w:rPr>
        <w:t>.</w:t>
      </w:r>
      <w:r w:rsidRPr="007C5FD5">
        <w:rPr>
          <w:rFonts w:cstheme="minorHAnsi"/>
        </w:rPr>
        <w:t>’</w:t>
      </w:r>
      <w:r w:rsidRPr="007C5FD5">
        <w:rPr>
          <w:rStyle w:val="FootnoteReference"/>
          <w:rFonts w:cstheme="minorHAnsi"/>
        </w:rPr>
        <w:footnoteReference w:id="143"/>
      </w:r>
    </w:p>
    <w:p w14:paraId="6FFEF3BC" w14:textId="77777777" w:rsidR="00EA1006" w:rsidRPr="007C5FD5" w:rsidRDefault="00EA1006" w:rsidP="00FD77D8">
      <w:pPr>
        <w:autoSpaceDE w:val="0"/>
        <w:autoSpaceDN w:val="0"/>
        <w:adjustRightInd w:val="0"/>
        <w:spacing w:after="0" w:line="240" w:lineRule="auto"/>
        <w:jc w:val="both"/>
        <w:rPr>
          <w:rStyle w:val="coitalic"/>
          <w:rFonts w:cstheme="minorHAnsi"/>
        </w:rPr>
      </w:pPr>
    </w:p>
    <w:p w14:paraId="0AE5C5F8" w14:textId="46CA8FF5" w:rsidR="00F412DC" w:rsidRPr="007C5FD5" w:rsidRDefault="00151D0E" w:rsidP="00FD77D8">
      <w:pPr>
        <w:autoSpaceDE w:val="0"/>
        <w:autoSpaceDN w:val="0"/>
        <w:adjustRightInd w:val="0"/>
        <w:spacing w:after="0" w:line="240" w:lineRule="auto"/>
        <w:jc w:val="both"/>
        <w:rPr>
          <w:rFonts w:cstheme="minorHAnsi"/>
        </w:rPr>
      </w:pPr>
      <w:r w:rsidRPr="007C5FD5">
        <w:rPr>
          <w:rFonts w:eastAsia="Times New Roman" w:cstheme="minorHAnsi"/>
          <w:lang w:eastAsia="en-GB"/>
        </w:rPr>
        <w:t>If harm</w:t>
      </w:r>
      <w:r w:rsidR="00856511" w:rsidRPr="007C5FD5">
        <w:rPr>
          <w:rFonts w:eastAsia="Times New Roman" w:cstheme="minorHAnsi"/>
          <w:lang w:eastAsia="en-GB"/>
        </w:rPr>
        <w:t xml:space="preserve"> lies in </w:t>
      </w:r>
      <w:r w:rsidR="00B65835" w:rsidRPr="007C5FD5">
        <w:rPr>
          <w:rFonts w:eastAsia="Times New Roman" w:cstheme="minorHAnsi"/>
          <w:lang w:eastAsia="en-GB"/>
        </w:rPr>
        <w:t xml:space="preserve">the invasion </w:t>
      </w:r>
      <w:r w:rsidRPr="007C5FD5">
        <w:rPr>
          <w:rFonts w:eastAsia="Times New Roman" w:cstheme="minorHAnsi"/>
          <w:lang w:eastAsia="en-GB"/>
        </w:rPr>
        <w:t xml:space="preserve">itself the question is whether such </w:t>
      </w:r>
      <w:r w:rsidR="00B65835" w:rsidRPr="007C5FD5">
        <w:rPr>
          <w:rFonts w:eastAsia="Times New Roman" w:cstheme="minorHAnsi"/>
          <w:lang w:eastAsia="en-GB"/>
        </w:rPr>
        <w:t>dignitary</w:t>
      </w:r>
      <w:r w:rsidR="0094475B" w:rsidRPr="007C5FD5">
        <w:rPr>
          <w:rFonts w:eastAsia="Times New Roman" w:cstheme="minorHAnsi"/>
          <w:lang w:eastAsia="en-GB"/>
        </w:rPr>
        <w:t xml:space="preserve"> </w:t>
      </w:r>
      <w:r w:rsidR="00B65835" w:rsidRPr="007C5FD5">
        <w:rPr>
          <w:rFonts w:eastAsia="Times New Roman" w:cstheme="minorHAnsi"/>
          <w:lang w:eastAsia="en-GB"/>
        </w:rPr>
        <w:t xml:space="preserve">harm </w:t>
      </w:r>
      <w:r w:rsidR="00634041" w:rsidRPr="007C5FD5">
        <w:rPr>
          <w:rFonts w:eastAsia="Times New Roman" w:cstheme="minorHAnsi"/>
          <w:lang w:eastAsia="en-GB"/>
        </w:rPr>
        <w:t>c</w:t>
      </w:r>
      <w:r w:rsidR="001E543C" w:rsidRPr="007C5FD5">
        <w:rPr>
          <w:rFonts w:eastAsia="Times New Roman" w:cstheme="minorHAnsi"/>
          <w:lang w:eastAsia="en-GB"/>
        </w:rPr>
        <w:t>an</w:t>
      </w:r>
      <w:r w:rsidR="00634041" w:rsidRPr="007C5FD5">
        <w:rPr>
          <w:rFonts w:eastAsia="Times New Roman" w:cstheme="minorHAnsi"/>
          <w:lang w:eastAsia="en-GB"/>
        </w:rPr>
        <w:t xml:space="preserve"> be</w:t>
      </w:r>
      <w:r w:rsidR="00B65835" w:rsidRPr="007C5FD5">
        <w:rPr>
          <w:rFonts w:eastAsia="Times New Roman" w:cstheme="minorHAnsi"/>
          <w:lang w:eastAsia="en-GB"/>
        </w:rPr>
        <w:t xml:space="preserve"> suffered by the dead</w:t>
      </w:r>
      <w:r w:rsidRPr="007C5FD5">
        <w:rPr>
          <w:rFonts w:eastAsia="Times New Roman" w:cstheme="minorHAnsi"/>
          <w:lang w:eastAsia="en-GB"/>
        </w:rPr>
        <w:t>?</w:t>
      </w:r>
      <w:r w:rsidR="00B65835" w:rsidRPr="007C5FD5">
        <w:rPr>
          <w:rFonts w:eastAsia="Times New Roman" w:cstheme="minorHAnsi"/>
          <w:lang w:eastAsia="en-GB"/>
        </w:rPr>
        <w:t xml:space="preserve"> </w:t>
      </w:r>
      <w:r w:rsidR="00387ED8" w:rsidRPr="007C5FD5">
        <w:rPr>
          <w:rFonts w:eastAsia="Times New Roman" w:cstheme="minorHAnsi"/>
          <w:lang w:eastAsia="en-GB"/>
        </w:rPr>
        <w:t>Clea</w:t>
      </w:r>
      <w:r w:rsidR="00E24BB8" w:rsidRPr="007C5FD5">
        <w:rPr>
          <w:rFonts w:eastAsia="Times New Roman" w:cstheme="minorHAnsi"/>
          <w:lang w:eastAsia="en-GB"/>
        </w:rPr>
        <w:t>rly not</w:t>
      </w:r>
      <w:r w:rsidR="004A57BC" w:rsidRPr="007C5FD5">
        <w:rPr>
          <w:rFonts w:eastAsia="Times New Roman" w:cstheme="minorHAnsi"/>
          <w:lang w:eastAsia="en-GB"/>
        </w:rPr>
        <w:t>,</w:t>
      </w:r>
      <w:r w:rsidR="00B6697B" w:rsidRPr="007C5FD5">
        <w:rPr>
          <w:rFonts w:eastAsia="Times New Roman" w:cstheme="minorHAnsi"/>
          <w:lang w:eastAsia="en-GB"/>
        </w:rPr>
        <w:t xml:space="preserve"> t</w:t>
      </w:r>
      <w:r w:rsidR="00E24BB8" w:rsidRPr="007C5FD5">
        <w:rPr>
          <w:rFonts w:eastAsia="Times New Roman" w:cstheme="minorHAnsi"/>
          <w:lang w:eastAsia="en-GB"/>
        </w:rPr>
        <w:t xml:space="preserve">he dead are dead. </w:t>
      </w:r>
      <w:r w:rsidR="00B65835" w:rsidRPr="007C5FD5">
        <w:rPr>
          <w:rFonts w:eastAsia="Times New Roman" w:cstheme="minorHAnsi"/>
          <w:lang w:eastAsia="en-GB"/>
        </w:rPr>
        <w:t xml:space="preserve">In </w:t>
      </w:r>
      <w:r w:rsidR="00B65835" w:rsidRPr="007C5FD5">
        <w:rPr>
          <w:rFonts w:eastAsia="Times New Roman" w:cstheme="minorHAnsi"/>
          <w:i/>
          <w:iCs/>
          <w:lang w:eastAsia="en-GB"/>
        </w:rPr>
        <w:t>Lewis</w:t>
      </w:r>
      <w:r w:rsidR="00B65835" w:rsidRPr="007C5FD5">
        <w:rPr>
          <w:rFonts w:cstheme="minorHAnsi"/>
        </w:rPr>
        <w:t xml:space="preserve"> Justice </w:t>
      </w:r>
      <w:proofErr w:type="spellStart"/>
      <w:r w:rsidR="00B65835" w:rsidRPr="007C5FD5">
        <w:rPr>
          <w:rFonts w:cstheme="minorHAnsi"/>
        </w:rPr>
        <w:t>Foskett</w:t>
      </w:r>
      <w:proofErr w:type="spellEnd"/>
      <w:r w:rsidR="00856511" w:rsidRPr="007C5FD5">
        <w:rPr>
          <w:rFonts w:cstheme="minorHAnsi"/>
        </w:rPr>
        <w:t xml:space="preserve"> cited with approval </w:t>
      </w:r>
      <w:r w:rsidR="00856511" w:rsidRPr="007C5FD5">
        <w:rPr>
          <w:rFonts w:eastAsia="Times New Roman" w:cstheme="minorHAnsi"/>
          <w:lang w:eastAsia="en-GB"/>
        </w:rPr>
        <w:t>Toulson and Phipps</w:t>
      </w:r>
      <w:r w:rsidR="00387ED8" w:rsidRPr="007C5FD5">
        <w:rPr>
          <w:rFonts w:eastAsia="Times New Roman" w:cstheme="minorHAnsi"/>
          <w:lang w:eastAsia="en-GB"/>
        </w:rPr>
        <w:t>’</w:t>
      </w:r>
      <w:r w:rsidR="00E24BB8" w:rsidRPr="007C5FD5">
        <w:rPr>
          <w:rFonts w:eastAsia="Times New Roman" w:cstheme="minorHAnsi"/>
          <w:lang w:eastAsia="en-GB"/>
        </w:rPr>
        <w:t xml:space="preserve"> </w:t>
      </w:r>
      <w:r w:rsidR="00856511" w:rsidRPr="007C5FD5">
        <w:rPr>
          <w:rFonts w:eastAsia="Times New Roman" w:cstheme="minorHAnsi"/>
          <w:i/>
          <w:iCs/>
          <w:lang w:eastAsia="en-GB"/>
        </w:rPr>
        <w:t>Confidentiality</w:t>
      </w:r>
      <w:r w:rsidR="004407CB" w:rsidRPr="009650FA">
        <w:rPr>
          <w:rStyle w:val="FootnoteReference"/>
          <w:rFonts w:eastAsia="Times New Roman" w:cstheme="minorHAnsi"/>
          <w:lang w:eastAsia="en-GB"/>
        </w:rPr>
        <w:footnoteReference w:id="144"/>
      </w:r>
      <w:r w:rsidR="00387ED8" w:rsidRPr="007C5FD5">
        <w:rPr>
          <w:rFonts w:eastAsia="Times New Roman" w:cstheme="minorHAnsi"/>
          <w:lang w:eastAsia="en-GB"/>
        </w:rPr>
        <w:t xml:space="preserve"> </w:t>
      </w:r>
      <w:r w:rsidR="00856511" w:rsidRPr="007C5FD5">
        <w:rPr>
          <w:rFonts w:cstheme="minorHAnsi"/>
        </w:rPr>
        <w:t xml:space="preserve">that in relation to a post-mortem disclosure of medical confidentialities ‘it </w:t>
      </w:r>
      <w:r w:rsidR="00856511" w:rsidRPr="007C5FD5">
        <w:rPr>
          <w:rFonts w:eastAsia="Times New Roman" w:cstheme="minorHAnsi"/>
          <w:lang w:eastAsia="en-GB"/>
        </w:rPr>
        <w:t xml:space="preserve">could not </w:t>
      </w:r>
      <w:r w:rsidR="00856511" w:rsidRPr="007C5FD5">
        <w:rPr>
          <w:rFonts w:eastAsia="Times New Roman" w:cstheme="minorHAnsi"/>
          <w:lang w:eastAsia="en-GB"/>
        </w:rPr>
        <w:lastRenderedPageBreak/>
        <w:t>be said that the deceased would suffer detriment from the publication</w:t>
      </w:r>
      <w:r w:rsidR="00856511" w:rsidRPr="007C5FD5">
        <w:rPr>
          <w:rFonts w:eastAsia="Times New Roman" w:cstheme="minorHAnsi"/>
          <w:b/>
          <w:bCs/>
          <w:lang w:eastAsia="en-GB"/>
        </w:rPr>
        <w:t>,</w:t>
      </w:r>
      <w:r w:rsidR="00856511" w:rsidRPr="007C5FD5">
        <w:rPr>
          <w:rFonts w:eastAsia="Times New Roman" w:cstheme="minorHAnsi"/>
          <w:lang w:eastAsia="en-GB"/>
        </w:rPr>
        <w:t xml:space="preserve"> but it would seem contrary to justice that the doctor should make a windfall from his breach of his obligation</w:t>
      </w:r>
      <w:r w:rsidR="0034061F" w:rsidRPr="007C5FD5">
        <w:rPr>
          <w:rFonts w:eastAsia="Times New Roman" w:cstheme="minorHAnsi"/>
          <w:lang w:eastAsia="en-GB"/>
        </w:rPr>
        <w:t>…</w:t>
      </w:r>
      <w:r w:rsidR="0094475B" w:rsidRPr="007C5FD5">
        <w:rPr>
          <w:rFonts w:eastAsia="Times New Roman" w:cstheme="minorHAnsi"/>
          <w:lang w:eastAsia="en-GB"/>
        </w:rPr>
        <w:t>’</w:t>
      </w:r>
      <w:r w:rsidR="0094475B" w:rsidRPr="007C5FD5">
        <w:rPr>
          <w:rStyle w:val="FootnoteReference"/>
          <w:rFonts w:eastAsia="Times New Roman" w:cstheme="minorHAnsi"/>
          <w:lang w:eastAsia="en-GB"/>
        </w:rPr>
        <w:footnoteReference w:id="145"/>
      </w:r>
      <w:r w:rsidR="00634041" w:rsidRPr="007C5FD5">
        <w:rPr>
          <w:rFonts w:eastAsia="Times New Roman" w:cstheme="minorHAnsi"/>
          <w:lang w:eastAsia="en-GB"/>
        </w:rPr>
        <w:t xml:space="preserve"> </w:t>
      </w:r>
      <w:r w:rsidR="007900A0" w:rsidRPr="007C5FD5">
        <w:rPr>
          <w:rFonts w:eastAsia="Times New Roman" w:cstheme="minorHAnsi"/>
          <w:lang w:eastAsia="en-GB"/>
        </w:rPr>
        <w:t>Th</w:t>
      </w:r>
      <w:r w:rsidR="00C910B2" w:rsidRPr="007C5FD5">
        <w:rPr>
          <w:rFonts w:eastAsia="Times New Roman" w:cstheme="minorHAnsi"/>
          <w:lang w:eastAsia="en-GB"/>
        </w:rPr>
        <w:t>e gist of the privacy action lies in</w:t>
      </w:r>
      <w:r w:rsidR="00D27601" w:rsidRPr="007C5FD5">
        <w:rPr>
          <w:rFonts w:eastAsia="Times New Roman" w:cstheme="minorHAnsi"/>
          <w:lang w:eastAsia="en-GB"/>
        </w:rPr>
        <w:t xml:space="preserve"> the</w:t>
      </w:r>
      <w:r w:rsidR="00C910B2" w:rsidRPr="007C5FD5">
        <w:rPr>
          <w:rFonts w:eastAsia="Times New Roman" w:cstheme="minorHAnsi"/>
          <w:lang w:eastAsia="en-GB"/>
        </w:rPr>
        <w:t xml:space="preserve"> in</w:t>
      </w:r>
      <w:r w:rsidR="00D27601" w:rsidRPr="007C5FD5">
        <w:rPr>
          <w:rFonts w:eastAsia="Times New Roman" w:cstheme="minorHAnsi"/>
          <w:lang w:eastAsia="en-GB"/>
        </w:rPr>
        <w:t>vasion</w:t>
      </w:r>
      <w:r w:rsidR="00C910B2" w:rsidRPr="007C5FD5">
        <w:rPr>
          <w:rFonts w:eastAsia="Times New Roman" w:cstheme="minorHAnsi"/>
          <w:lang w:eastAsia="en-GB"/>
        </w:rPr>
        <w:t xml:space="preserve"> </w:t>
      </w:r>
      <w:r w:rsidR="00B047D7" w:rsidRPr="007C5FD5">
        <w:rPr>
          <w:rFonts w:eastAsia="Times New Roman" w:cstheme="minorHAnsi"/>
          <w:lang w:eastAsia="en-GB"/>
        </w:rPr>
        <w:t>of</w:t>
      </w:r>
      <w:r w:rsidR="00C910B2" w:rsidRPr="007C5FD5">
        <w:rPr>
          <w:rFonts w:eastAsia="Times New Roman" w:cstheme="minorHAnsi"/>
          <w:lang w:eastAsia="en-GB"/>
        </w:rPr>
        <w:t xml:space="preserve"> one’s personal domain</w:t>
      </w:r>
      <w:r w:rsidR="00C910B2" w:rsidRPr="007C5FD5">
        <w:rPr>
          <w:rStyle w:val="FootnoteReference"/>
          <w:rFonts w:eastAsia="Times New Roman" w:cstheme="minorHAnsi"/>
          <w:lang w:eastAsia="en-GB"/>
        </w:rPr>
        <w:footnoteReference w:id="146"/>
      </w:r>
      <w:r w:rsidR="00D27601" w:rsidRPr="007C5FD5">
        <w:rPr>
          <w:rFonts w:eastAsia="Times New Roman" w:cstheme="minorHAnsi"/>
          <w:lang w:eastAsia="en-GB"/>
        </w:rPr>
        <w:t xml:space="preserve"> </w:t>
      </w:r>
      <w:r w:rsidR="00B047D7" w:rsidRPr="007C5FD5">
        <w:rPr>
          <w:rFonts w:eastAsia="Times New Roman" w:cstheme="minorHAnsi"/>
          <w:lang w:eastAsia="en-GB"/>
        </w:rPr>
        <w:t>that is</w:t>
      </w:r>
      <w:r w:rsidR="00104BD2" w:rsidRPr="007C5FD5">
        <w:rPr>
          <w:rFonts w:eastAsia="Times New Roman" w:cstheme="minorHAnsi"/>
          <w:lang w:eastAsia="en-GB"/>
        </w:rPr>
        <w:t xml:space="preserve"> a domain</w:t>
      </w:r>
      <w:r w:rsidR="00D27601" w:rsidRPr="007C5FD5">
        <w:rPr>
          <w:rFonts w:eastAsia="Times New Roman" w:cstheme="minorHAnsi"/>
          <w:lang w:eastAsia="en-GB"/>
        </w:rPr>
        <w:t xml:space="preserve"> constituted through </w:t>
      </w:r>
      <w:r w:rsidR="00C910B2" w:rsidRPr="007C5FD5">
        <w:rPr>
          <w:rFonts w:eastAsia="Times New Roman" w:cstheme="minorHAnsi"/>
          <w:lang w:eastAsia="en-GB"/>
        </w:rPr>
        <w:t>consciousness</w:t>
      </w:r>
      <w:r w:rsidR="00D27601" w:rsidRPr="007C5FD5">
        <w:rPr>
          <w:rFonts w:eastAsia="Times New Roman" w:cstheme="minorHAnsi"/>
          <w:lang w:eastAsia="en-GB"/>
        </w:rPr>
        <w:t xml:space="preserve">. Consciousness is not just a </w:t>
      </w:r>
      <w:r w:rsidR="00D27601" w:rsidRPr="007C5FD5">
        <w:rPr>
          <w:rFonts w:eastAsia="Times New Roman" w:cstheme="minorHAnsi"/>
          <w:i/>
          <w:iCs/>
          <w:lang w:eastAsia="en-GB"/>
        </w:rPr>
        <w:t>sin</w:t>
      </w:r>
      <w:r w:rsidR="00FC1438" w:rsidRPr="007C5FD5">
        <w:rPr>
          <w:rFonts w:eastAsia="Times New Roman" w:cstheme="minorHAnsi"/>
          <w:i/>
          <w:iCs/>
          <w:lang w:eastAsia="en-GB"/>
        </w:rPr>
        <w:t xml:space="preserve">e </w:t>
      </w:r>
      <w:r w:rsidR="00D27601" w:rsidRPr="007C5FD5">
        <w:rPr>
          <w:rFonts w:eastAsia="Times New Roman" w:cstheme="minorHAnsi"/>
          <w:i/>
          <w:iCs/>
          <w:lang w:eastAsia="en-GB"/>
        </w:rPr>
        <w:t>qu</w:t>
      </w:r>
      <w:r w:rsidR="00BA0F0F" w:rsidRPr="007C5FD5">
        <w:rPr>
          <w:rFonts w:eastAsia="Times New Roman" w:cstheme="minorHAnsi"/>
          <w:i/>
          <w:iCs/>
          <w:lang w:eastAsia="en-GB"/>
        </w:rPr>
        <w:t xml:space="preserve">a </w:t>
      </w:r>
      <w:r w:rsidR="00D27601" w:rsidRPr="007C5FD5">
        <w:rPr>
          <w:rFonts w:eastAsia="Times New Roman" w:cstheme="minorHAnsi"/>
          <w:i/>
          <w:iCs/>
          <w:lang w:eastAsia="en-GB"/>
        </w:rPr>
        <w:t>non</w:t>
      </w:r>
      <w:r w:rsidR="00D27601" w:rsidRPr="007C5FD5">
        <w:rPr>
          <w:rFonts w:eastAsia="Times New Roman" w:cstheme="minorHAnsi"/>
          <w:lang w:eastAsia="en-GB"/>
        </w:rPr>
        <w:t xml:space="preserve"> for an invasion</w:t>
      </w:r>
      <w:r w:rsidR="00104BD2" w:rsidRPr="007C5FD5">
        <w:rPr>
          <w:rFonts w:eastAsia="Times New Roman" w:cstheme="minorHAnsi"/>
          <w:lang w:eastAsia="en-GB"/>
        </w:rPr>
        <w:t>, but also the key arbiter whether an invasion</w:t>
      </w:r>
      <w:r w:rsidR="00FF6093" w:rsidRPr="007C5FD5">
        <w:rPr>
          <w:rFonts w:eastAsia="Times New Roman" w:cstheme="minorHAnsi"/>
          <w:lang w:eastAsia="en-GB"/>
        </w:rPr>
        <w:t xml:space="preserve"> in fact</w:t>
      </w:r>
      <w:r w:rsidR="00104BD2" w:rsidRPr="007C5FD5">
        <w:rPr>
          <w:rFonts w:eastAsia="Times New Roman" w:cstheme="minorHAnsi"/>
          <w:lang w:eastAsia="en-GB"/>
        </w:rPr>
        <w:t xml:space="preserve"> occurred or no</w:t>
      </w:r>
      <w:r w:rsidR="00FF6093" w:rsidRPr="007C5FD5">
        <w:rPr>
          <w:rFonts w:eastAsia="Times New Roman" w:cstheme="minorHAnsi"/>
          <w:lang w:eastAsia="en-GB"/>
        </w:rPr>
        <w:t>t</w:t>
      </w:r>
      <w:r w:rsidR="00104BD2" w:rsidRPr="007C5FD5">
        <w:rPr>
          <w:rFonts w:eastAsia="Times New Roman" w:cstheme="minorHAnsi"/>
          <w:lang w:eastAsia="en-GB"/>
        </w:rPr>
        <w:t>: ‘</w:t>
      </w:r>
      <w:r w:rsidR="00104BD2" w:rsidRPr="007C5FD5">
        <w:rPr>
          <w:rStyle w:val="markedcontent"/>
          <w:rFonts w:cstheme="minorHAnsi"/>
        </w:rPr>
        <w:t>In one circumstance, a surprise</w:t>
      </w:r>
      <w:r w:rsidR="00104BD2" w:rsidRPr="007C5FD5">
        <w:rPr>
          <w:rFonts w:cstheme="minorHAnsi"/>
        </w:rPr>
        <w:t xml:space="preserve"> </w:t>
      </w:r>
      <w:r w:rsidR="00104BD2" w:rsidRPr="007C5FD5">
        <w:rPr>
          <w:rStyle w:val="markedcontent"/>
          <w:rFonts w:cstheme="minorHAnsi"/>
        </w:rPr>
        <w:t xml:space="preserve">kiss on the back of the neck is a claim-violating </w:t>
      </w:r>
      <w:proofErr w:type="gramStart"/>
      <w:r w:rsidR="00104BD2" w:rsidRPr="007C5FD5">
        <w:rPr>
          <w:rStyle w:val="markedcontent"/>
          <w:rFonts w:cstheme="minorHAnsi"/>
        </w:rPr>
        <w:t>trespass;</w:t>
      </w:r>
      <w:proofErr w:type="gramEnd"/>
      <w:r w:rsidR="00104BD2" w:rsidRPr="007C5FD5">
        <w:rPr>
          <w:rStyle w:val="markedcontent"/>
          <w:rFonts w:cstheme="minorHAnsi"/>
        </w:rPr>
        <w:t xml:space="preserve"> while in another context an</w:t>
      </w:r>
      <w:r w:rsidR="00104BD2" w:rsidRPr="007C5FD5">
        <w:rPr>
          <w:rFonts w:cstheme="minorHAnsi"/>
        </w:rPr>
        <w:t xml:space="preserve"> </w:t>
      </w:r>
      <w:r w:rsidR="00104BD2" w:rsidRPr="007C5FD5">
        <w:rPr>
          <w:rStyle w:val="markedcontent"/>
          <w:rFonts w:cstheme="minorHAnsi"/>
        </w:rPr>
        <w:t xml:space="preserve">unanticipated </w:t>
      </w:r>
      <w:r w:rsidR="00104BD2" w:rsidRPr="007C5FD5">
        <w:rPr>
          <w:rStyle w:val="highlight"/>
          <w:rFonts w:cstheme="minorHAnsi"/>
        </w:rPr>
        <w:t>kiss</w:t>
      </w:r>
      <w:r w:rsidR="00104BD2" w:rsidRPr="007C5FD5">
        <w:rPr>
          <w:rStyle w:val="markedcontent"/>
          <w:rFonts w:cstheme="minorHAnsi"/>
        </w:rPr>
        <w:t xml:space="preserve"> appropriately expresses affection. Often the difference is what the</w:t>
      </w:r>
      <w:r w:rsidR="00104BD2" w:rsidRPr="007C5FD5">
        <w:rPr>
          <w:rFonts w:cstheme="minorHAnsi"/>
        </w:rPr>
        <w:t xml:space="preserve"> </w:t>
      </w:r>
      <w:r w:rsidR="00104BD2" w:rsidRPr="007C5FD5">
        <w:rPr>
          <w:rStyle w:val="markedcontent"/>
          <w:rFonts w:cstheme="minorHAnsi"/>
        </w:rPr>
        <w:t xml:space="preserve">kiss means to the </w:t>
      </w:r>
      <w:proofErr w:type="spellStart"/>
      <w:r w:rsidR="00104BD2" w:rsidRPr="007C5FD5">
        <w:rPr>
          <w:rStyle w:val="markedcontent"/>
          <w:rFonts w:cstheme="minorHAnsi"/>
        </w:rPr>
        <w:t>kissee</w:t>
      </w:r>
      <w:proofErr w:type="spellEnd"/>
      <w:r w:rsidR="00104BD2" w:rsidRPr="007C5FD5">
        <w:rPr>
          <w:rStyle w:val="markedcontent"/>
          <w:rFonts w:cstheme="minorHAnsi"/>
        </w:rPr>
        <w:t xml:space="preserve"> (not the kisser).’</w:t>
      </w:r>
      <w:r w:rsidR="00104BD2" w:rsidRPr="007C5FD5">
        <w:rPr>
          <w:rStyle w:val="FootnoteReference"/>
          <w:rFonts w:cstheme="minorHAnsi"/>
        </w:rPr>
        <w:footnoteReference w:id="147"/>
      </w:r>
      <w:r w:rsidR="00104BD2" w:rsidRPr="007C5FD5">
        <w:rPr>
          <w:rStyle w:val="markedcontent"/>
          <w:rFonts w:cstheme="minorHAnsi"/>
        </w:rPr>
        <w:t xml:space="preserve"> </w:t>
      </w:r>
      <w:r w:rsidR="00547F00" w:rsidRPr="007C5FD5">
        <w:rPr>
          <w:rStyle w:val="markedcontent"/>
          <w:rFonts w:cstheme="minorHAnsi"/>
        </w:rPr>
        <w:t xml:space="preserve"> Privacy</w:t>
      </w:r>
      <w:r w:rsidR="007E5373" w:rsidRPr="007C5FD5">
        <w:rPr>
          <w:rStyle w:val="markedcontent"/>
          <w:rFonts w:cstheme="minorHAnsi"/>
        </w:rPr>
        <w:t xml:space="preserve"> - </w:t>
      </w:r>
      <w:r w:rsidR="00547F00" w:rsidRPr="007C5FD5">
        <w:rPr>
          <w:rStyle w:val="markedcontent"/>
          <w:rFonts w:cstheme="minorHAnsi"/>
        </w:rPr>
        <w:t>as a subjective righ</w:t>
      </w:r>
      <w:r w:rsidR="0086064B" w:rsidRPr="007C5FD5">
        <w:rPr>
          <w:rStyle w:val="markedcontent"/>
          <w:rFonts w:cstheme="minorHAnsi"/>
        </w:rPr>
        <w:t>t and</w:t>
      </w:r>
      <w:r w:rsidR="00547F00" w:rsidRPr="007C5FD5">
        <w:rPr>
          <w:rStyle w:val="markedcontent"/>
          <w:rFonts w:cstheme="minorHAnsi"/>
        </w:rPr>
        <w:t xml:space="preserve"> concerned with the individual holding ‘</w:t>
      </w:r>
      <w:r w:rsidR="0060772D" w:rsidRPr="007C5FD5">
        <w:rPr>
          <w:rFonts w:cstheme="minorHAnsi"/>
        </w:rPr>
        <w:t>the active right to decide who can interfere with his inviolate personalit</w:t>
      </w:r>
      <w:r w:rsidR="007900A0" w:rsidRPr="007C5FD5">
        <w:rPr>
          <w:rFonts w:cstheme="minorHAnsi"/>
        </w:rPr>
        <w:t>y</w:t>
      </w:r>
      <w:r w:rsidR="00547F00" w:rsidRPr="007C5FD5">
        <w:rPr>
          <w:rFonts w:cstheme="minorHAnsi"/>
        </w:rPr>
        <w:t>’</w:t>
      </w:r>
      <w:r w:rsidR="00547F00" w:rsidRPr="007C5FD5">
        <w:rPr>
          <w:rStyle w:val="FootnoteReference"/>
          <w:rFonts w:cstheme="minorHAnsi"/>
        </w:rPr>
        <w:footnoteReference w:id="148"/>
      </w:r>
      <w:r w:rsidR="007E5373" w:rsidRPr="007C5FD5">
        <w:rPr>
          <w:rFonts w:cstheme="minorHAnsi"/>
        </w:rPr>
        <w:t xml:space="preserve"> -</w:t>
      </w:r>
      <w:r w:rsidR="00547F00" w:rsidRPr="007C5FD5">
        <w:rPr>
          <w:rFonts w:cstheme="minorHAnsi"/>
        </w:rPr>
        <w:t xml:space="preserve"> is </w:t>
      </w:r>
      <w:r w:rsidR="00B251EF" w:rsidRPr="007C5FD5">
        <w:rPr>
          <w:rFonts w:cstheme="minorHAnsi"/>
        </w:rPr>
        <w:t xml:space="preserve">irretrievably </w:t>
      </w:r>
      <w:r w:rsidR="00547F00" w:rsidRPr="007C5FD5">
        <w:rPr>
          <w:rFonts w:cstheme="minorHAnsi"/>
        </w:rPr>
        <w:t xml:space="preserve">extinguished upon death. Yet, even as </w:t>
      </w:r>
      <w:r w:rsidR="00BE6559" w:rsidRPr="007C5FD5">
        <w:rPr>
          <w:rFonts w:cstheme="minorHAnsi"/>
        </w:rPr>
        <w:t>an objective right</w:t>
      </w:r>
      <w:r w:rsidR="00DE2C9A" w:rsidRPr="007C5FD5">
        <w:rPr>
          <w:rFonts w:cstheme="minorHAnsi"/>
        </w:rPr>
        <w:t>,</w:t>
      </w:r>
      <w:r w:rsidR="00B251EF" w:rsidRPr="007C5FD5">
        <w:rPr>
          <w:rFonts w:cstheme="minorHAnsi"/>
        </w:rPr>
        <w:t xml:space="preserve"> </w:t>
      </w:r>
      <w:r w:rsidR="00DE2C9A" w:rsidRPr="007C5FD5">
        <w:rPr>
          <w:rFonts w:cstheme="minorHAnsi"/>
        </w:rPr>
        <w:t>denoting</w:t>
      </w:r>
      <w:r w:rsidR="00BE6559" w:rsidRPr="007C5FD5">
        <w:rPr>
          <w:rFonts w:cstheme="minorHAnsi"/>
        </w:rPr>
        <w:t xml:space="preserve"> </w:t>
      </w:r>
      <w:r w:rsidR="00547F00" w:rsidRPr="007C5FD5">
        <w:rPr>
          <w:rFonts w:cstheme="minorHAnsi"/>
        </w:rPr>
        <w:t>‘</w:t>
      </w:r>
      <w:r w:rsidR="00BE6559" w:rsidRPr="007C5FD5">
        <w:rPr>
          <w:rFonts w:cstheme="minorHAnsi"/>
        </w:rPr>
        <w:t>an individual’s inalienable interest in worthwhile elements of his personality</w:t>
      </w:r>
      <w:r w:rsidR="007E5373" w:rsidRPr="007C5FD5">
        <w:rPr>
          <w:rFonts w:cstheme="minorHAnsi"/>
        </w:rPr>
        <w:t>,</w:t>
      </w:r>
      <w:r w:rsidR="00547F00" w:rsidRPr="007C5FD5">
        <w:rPr>
          <w:rFonts w:cstheme="minorHAnsi"/>
        </w:rPr>
        <w:t>’</w:t>
      </w:r>
      <w:r w:rsidR="00BE6559" w:rsidRPr="007C5FD5">
        <w:rPr>
          <w:rStyle w:val="FootnoteReference"/>
          <w:rFonts w:cstheme="minorHAnsi"/>
        </w:rPr>
        <w:footnoteReference w:id="149"/>
      </w:r>
      <w:r w:rsidR="00BE6559" w:rsidRPr="007C5FD5">
        <w:rPr>
          <w:rFonts w:cstheme="minorHAnsi"/>
        </w:rPr>
        <w:t xml:space="preserve"> </w:t>
      </w:r>
      <w:r w:rsidR="00B251EF" w:rsidRPr="007C5FD5">
        <w:rPr>
          <w:rFonts w:cstheme="minorHAnsi"/>
        </w:rPr>
        <w:t xml:space="preserve">privacy </w:t>
      </w:r>
      <w:r w:rsidR="00547F00" w:rsidRPr="007C5FD5">
        <w:rPr>
          <w:rFonts w:cstheme="minorHAnsi"/>
        </w:rPr>
        <w:t>runs into difficulty after death</w:t>
      </w:r>
      <w:r w:rsidR="00DE2C9A" w:rsidRPr="007C5FD5">
        <w:rPr>
          <w:rFonts w:cstheme="minorHAnsi"/>
        </w:rPr>
        <w:t xml:space="preserve"> because rights are based on moral claims</w:t>
      </w:r>
      <w:r w:rsidR="001A3841" w:rsidRPr="007C5FD5">
        <w:rPr>
          <w:rFonts w:cstheme="minorHAnsi"/>
        </w:rPr>
        <w:t xml:space="preserve"> (</w:t>
      </w:r>
      <w:r w:rsidR="00DE2C9A" w:rsidRPr="007C5FD5">
        <w:rPr>
          <w:rFonts w:cstheme="minorHAnsi"/>
        </w:rPr>
        <w:t>giving rise to obligations</w:t>
      </w:r>
      <w:r w:rsidR="001A3841" w:rsidRPr="007C5FD5">
        <w:rPr>
          <w:rFonts w:cstheme="minorHAnsi"/>
        </w:rPr>
        <w:t xml:space="preserve"> by others</w:t>
      </w:r>
      <w:r w:rsidR="00DE2C9A" w:rsidRPr="007C5FD5">
        <w:rPr>
          <w:rFonts w:cstheme="minorHAnsi"/>
        </w:rPr>
        <w:t xml:space="preserve"> to the rightsholder) which in turn </w:t>
      </w:r>
      <w:r w:rsidR="001A3841" w:rsidRPr="007C5FD5">
        <w:rPr>
          <w:rFonts w:cstheme="minorHAnsi"/>
        </w:rPr>
        <w:t xml:space="preserve">presumes </w:t>
      </w:r>
      <w:r w:rsidR="002B5EBE" w:rsidRPr="007C5FD5">
        <w:rPr>
          <w:rFonts w:cstheme="minorHAnsi"/>
        </w:rPr>
        <w:t>‘</w:t>
      </w:r>
      <w:r w:rsidR="00037054" w:rsidRPr="007C5FD5">
        <w:rPr>
          <w:rFonts w:cstheme="minorHAnsi"/>
        </w:rPr>
        <w:t xml:space="preserve">an entity </w:t>
      </w:r>
      <w:r w:rsidR="001A3841" w:rsidRPr="007C5FD5">
        <w:rPr>
          <w:rFonts w:cstheme="minorHAnsi"/>
        </w:rPr>
        <w:t>with</w:t>
      </w:r>
      <w:r w:rsidR="00037054" w:rsidRPr="007C5FD5">
        <w:rPr>
          <w:rFonts w:cstheme="minorHAnsi"/>
        </w:rPr>
        <w:t xml:space="preserve"> the capacity </w:t>
      </w:r>
      <w:r w:rsidR="00DE2C9A" w:rsidRPr="007C5FD5">
        <w:rPr>
          <w:rFonts w:cstheme="minorHAnsi"/>
        </w:rPr>
        <w:t xml:space="preserve">to </w:t>
      </w:r>
      <w:r w:rsidR="00037054" w:rsidRPr="007C5FD5">
        <w:rPr>
          <w:rFonts w:cstheme="minorHAnsi"/>
        </w:rPr>
        <w:t>experience things as significant.’</w:t>
      </w:r>
      <w:r w:rsidR="00037054" w:rsidRPr="007C5FD5">
        <w:rPr>
          <w:rStyle w:val="FootnoteReference"/>
          <w:rFonts w:cstheme="minorHAnsi"/>
        </w:rPr>
        <w:footnoteReference w:id="150"/>
      </w:r>
      <w:r w:rsidR="00EA595A" w:rsidRPr="007C5FD5">
        <w:rPr>
          <w:rFonts w:cstheme="minorHAnsi"/>
        </w:rPr>
        <w:t xml:space="preserve"> </w:t>
      </w:r>
      <w:r w:rsidR="00B251EF" w:rsidRPr="007C5FD5">
        <w:rPr>
          <w:rFonts w:cstheme="minorHAnsi"/>
        </w:rPr>
        <w:t>I</w:t>
      </w:r>
      <w:r w:rsidR="0011224C" w:rsidRPr="007C5FD5">
        <w:rPr>
          <w:rFonts w:cstheme="minorHAnsi"/>
        </w:rPr>
        <w:t xml:space="preserve">t </w:t>
      </w:r>
      <w:r w:rsidR="00B251EF" w:rsidRPr="007C5FD5">
        <w:rPr>
          <w:rFonts w:cstheme="minorHAnsi"/>
        </w:rPr>
        <w:t>requires a rightsholder who cares:</w:t>
      </w:r>
      <w:r w:rsidR="00B6697B" w:rsidRPr="007C5FD5">
        <w:rPr>
          <w:rFonts w:cstheme="minorHAnsi"/>
        </w:rPr>
        <w:t xml:space="preserve"> </w:t>
      </w:r>
      <w:r w:rsidR="00DE2C9A" w:rsidRPr="007C5FD5">
        <w:rPr>
          <w:rFonts w:cstheme="minorHAnsi"/>
        </w:rPr>
        <w:t xml:space="preserve">‘Human agency is special </w:t>
      </w:r>
      <w:r w:rsidR="00EA595A" w:rsidRPr="007C5FD5">
        <w:rPr>
          <w:rFonts w:cstheme="minorHAnsi"/>
        </w:rPr>
        <w:t>because things matter to humans. A hypothetical agent (a very advanced computer) might manifest all other aspects of consciousness; but if it lacked the capacity to care, it might 'do' things, but be without an interest.’</w:t>
      </w:r>
      <w:r w:rsidR="00862625" w:rsidRPr="007C5FD5">
        <w:rPr>
          <w:rStyle w:val="FootnoteReference"/>
          <w:rFonts w:cstheme="minorHAnsi"/>
        </w:rPr>
        <w:footnoteReference w:id="151"/>
      </w:r>
      <w:r w:rsidR="002F0FD6" w:rsidRPr="007C5FD5">
        <w:rPr>
          <w:rFonts w:cstheme="minorHAnsi"/>
        </w:rPr>
        <w:t xml:space="preserve"> </w:t>
      </w:r>
      <w:r w:rsidR="00A94C82" w:rsidRPr="007C5FD5">
        <w:rPr>
          <w:rFonts w:cstheme="minorHAnsi"/>
        </w:rPr>
        <w:t>T</w:t>
      </w:r>
      <w:r w:rsidR="00B27AFF" w:rsidRPr="007C5FD5">
        <w:rPr>
          <w:rFonts w:cstheme="minorHAnsi"/>
        </w:rPr>
        <w:t>he</w:t>
      </w:r>
      <w:r w:rsidR="00B251EF" w:rsidRPr="007C5FD5">
        <w:rPr>
          <w:rFonts w:cstheme="minorHAnsi"/>
        </w:rPr>
        <w:t xml:space="preserve"> argument </w:t>
      </w:r>
      <w:r w:rsidR="005A562C" w:rsidRPr="007C5FD5">
        <w:rPr>
          <w:rFonts w:cstheme="minorHAnsi"/>
        </w:rPr>
        <w:t xml:space="preserve">that post-mortem rights protect </w:t>
      </w:r>
      <w:r w:rsidR="008B5F14" w:rsidRPr="007C5FD5">
        <w:rPr>
          <w:rFonts w:cstheme="minorHAnsi"/>
        </w:rPr>
        <w:t xml:space="preserve">the </w:t>
      </w:r>
      <w:r w:rsidR="005A562C" w:rsidRPr="007C5FD5">
        <w:rPr>
          <w:rFonts w:cstheme="minorHAnsi"/>
        </w:rPr>
        <w:t>ante-mortem interests of the rightsholder</w:t>
      </w:r>
      <w:r w:rsidR="00B27AFF" w:rsidRPr="007C5FD5">
        <w:rPr>
          <w:rFonts w:cstheme="minorHAnsi"/>
        </w:rPr>
        <w:t xml:space="preserve">, as </w:t>
      </w:r>
      <w:r w:rsidR="0011224C" w:rsidRPr="007C5FD5">
        <w:rPr>
          <w:rFonts w:cstheme="minorHAnsi"/>
        </w:rPr>
        <w:t>a form of retrospective</w:t>
      </w:r>
      <w:r w:rsidR="0077227D" w:rsidRPr="007C5FD5">
        <w:rPr>
          <w:rFonts w:cstheme="minorHAnsi"/>
        </w:rPr>
        <w:t xml:space="preserve"> </w:t>
      </w:r>
      <w:r w:rsidR="0011224C" w:rsidRPr="007C5FD5">
        <w:rPr>
          <w:rFonts w:cstheme="minorHAnsi"/>
        </w:rPr>
        <w:t>privacy</w:t>
      </w:r>
      <w:r w:rsidR="00B27AFF" w:rsidRPr="007C5FD5">
        <w:rPr>
          <w:rFonts w:cstheme="minorHAnsi"/>
        </w:rPr>
        <w:t>,</w:t>
      </w:r>
      <w:r w:rsidR="0077227D" w:rsidRPr="007C5FD5">
        <w:rPr>
          <w:rFonts w:cstheme="minorHAnsi"/>
        </w:rPr>
        <w:t xml:space="preserve"> </w:t>
      </w:r>
      <w:r w:rsidR="005A562C" w:rsidRPr="007C5FD5">
        <w:rPr>
          <w:rFonts w:cstheme="minorHAnsi"/>
        </w:rPr>
        <w:t>are still up against the fact that</w:t>
      </w:r>
      <w:r w:rsidR="00B27AFF" w:rsidRPr="007C5FD5">
        <w:rPr>
          <w:rFonts w:cstheme="minorHAnsi"/>
        </w:rPr>
        <w:t xml:space="preserve"> </w:t>
      </w:r>
      <w:r w:rsidR="001A3841" w:rsidRPr="007C5FD5">
        <w:rPr>
          <w:rFonts w:cstheme="minorHAnsi"/>
        </w:rPr>
        <w:t xml:space="preserve">at the point when </w:t>
      </w:r>
      <w:r w:rsidR="008B5F14" w:rsidRPr="007C5FD5">
        <w:rPr>
          <w:rFonts w:cstheme="minorHAnsi"/>
        </w:rPr>
        <w:t xml:space="preserve">the </w:t>
      </w:r>
      <w:r w:rsidR="00AF3AF8" w:rsidRPr="007C5FD5">
        <w:rPr>
          <w:rFonts w:cstheme="minorHAnsi"/>
        </w:rPr>
        <w:t xml:space="preserve">purported </w:t>
      </w:r>
      <w:r w:rsidR="00B27AFF" w:rsidRPr="007C5FD5">
        <w:rPr>
          <w:rFonts w:cstheme="minorHAnsi"/>
        </w:rPr>
        <w:t xml:space="preserve">wrong </w:t>
      </w:r>
      <w:r w:rsidR="001A3841" w:rsidRPr="007C5FD5">
        <w:rPr>
          <w:rFonts w:cstheme="minorHAnsi"/>
        </w:rPr>
        <w:t>occurs</w:t>
      </w:r>
      <w:r w:rsidR="00F209D0" w:rsidRPr="007C5FD5">
        <w:rPr>
          <w:rFonts w:cstheme="minorHAnsi"/>
        </w:rPr>
        <w:t>,</w:t>
      </w:r>
      <w:r w:rsidR="001A3841" w:rsidRPr="007C5FD5">
        <w:rPr>
          <w:rFonts w:cstheme="minorHAnsi"/>
        </w:rPr>
        <w:t xml:space="preserve"> </w:t>
      </w:r>
      <w:r w:rsidR="00B27AFF" w:rsidRPr="007C5FD5">
        <w:rPr>
          <w:rFonts w:cstheme="minorHAnsi"/>
        </w:rPr>
        <w:t>the rightsholder’s</w:t>
      </w:r>
      <w:r w:rsidR="0011224C" w:rsidRPr="007C5FD5">
        <w:rPr>
          <w:rFonts w:cstheme="minorHAnsi"/>
        </w:rPr>
        <w:t xml:space="preserve"> capacity to care </w:t>
      </w:r>
      <w:r w:rsidR="008B5F14" w:rsidRPr="007C5FD5">
        <w:rPr>
          <w:rFonts w:cstheme="minorHAnsi"/>
        </w:rPr>
        <w:t xml:space="preserve">has </w:t>
      </w:r>
      <w:r w:rsidR="002E58A9" w:rsidRPr="007C5FD5">
        <w:rPr>
          <w:rFonts w:cstheme="minorHAnsi"/>
        </w:rPr>
        <w:t>vanished</w:t>
      </w:r>
      <w:r w:rsidR="00A94C82" w:rsidRPr="007C5FD5">
        <w:rPr>
          <w:rFonts w:cstheme="minorHAnsi"/>
        </w:rPr>
        <w:t xml:space="preserve"> and so</w:t>
      </w:r>
      <w:r w:rsidR="00F209D0" w:rsidRPr="007C5FD5">
        <w:rPr>
          <w:rFonts w:cstheme="minorHAnsi"/>
        </w:rPr>
        <w:t xml:space="preserve"> his</w:t>
      </w:r>
      <w:r w:rsidR="00A94C82" w:rsidRPr="007C5FD5">
        <w:rPr>
          <w:rFonts w:cstheme="minorHAnsi"/>
        </w:rPr>
        <w:t xml:space="preserve"> claim of being wronged</w:t>
      </w:r>
      <w:r w:rsidR="005A562C" w:rsidRPr="007C5FD5">
        <w:rPr>
          <w:rFonts w:cstheme="minorHAnsi"/>
        </w:rPr>
        <w:t>.</w:t>
      </w:r>
      <w:r w:rsidR="00F209D0" w:rsidRPr="007C5FD5">
        <w:rPr>
          <w:rStyle w:val="FootnoteReference"/>
          <w:rFonts w:cstheme="minorHAnsi"/>
        </w:rPr>
        <w:footnoteReference w:id="152"/>
      </w:r>
      <w:r w:rsidR="00F209D0" w:rsidRPr="007C5FD5">
        <w:rPr>
          <w:rFonts w:cstheme="minorHAnsi"/>
        </w:rPr>
        <w:t xml:space="preserve"> </w:t>
      </w:r>
      <w:r w:rsidR="005A562C" w:rsidRPr="007C5FD5">
        <w:rPr>
          <w:rFonts w:cstheme="minorHAnsi"/>
        </w:rPr>
        <w:t xml:space="preserve">Equally, the argument that </w:t>
      </w:r>
      <w:r w:rsidR="00B251EF" w:rsidRPr="007C5FD5">
        <w:rPr>
          <w:rFonts w:cstheme="minorHAnsi"/>
        </w:rPr>
        <w:t>a right</w:t>
      </w:r>
      <w:r w:rsidR="005A562C" w:rsidRPr="007C5FD5">
        <w:rPr>
          <w:rFonts w:cstheme="minorHAnsi"/>
        </w:rPr>
        <w:t xml:space="preserve"> to privacy</w:t>
      </w:r>
      <w:r w:rsidR="00B251EF" w:rsidRPr="007C5FD5">
        <w:rPr>
          <w:rFonts w:cstheme="minorHAnsi"/>
        </w:rPr>
        <w:t xml:space="preserve"> </w:t>
      </w:r>
      <w:r w:rsidR="005A562C" w:rsidRPr="007C5FD5">
        <w:rPr>
          <w:rFonts w:cstheme="minorHAnsi"/>
        </w:rPr>
        <w:t>c</w:t>
      </w:r>
      <w:r w:rsidR="00B251EF" w:rsidRPr="007C5FD5">
        <w:rPr>
          <w:rFonts w:cstheme="minorHAnsi"/>
        </w:rPr>
        <w:t>ould attach to the ‘social persona’ or ‘public persona’ that survives the biological death of a person</w:t>
      </w:r>
      <w:r w:rsidR="00AB6A66" w:rsidRPr="007C5FD5">
        <w:rPr>
          <w:rStyle w:val="FootnoteReference"/>
          <w:rFonts w:cstheme="minorHAnsi"/>
        </w:rPr>
        <w:footnoteReference w:id="153"/>
      </w:r>
      <w:r w:rsidR="005E1BD4" w:rsidRPr="007C5FD5">
        <w:rPr>
          <w:rFonts w:cstheme="minorHAnsi"/>
        </w:rPr>
        <w:t xml:space="preserve">- </w:t>
      </w:r>
      <w:r w:rsidR="001A3841" w:rsidRPr="007C5FD5">
        <w:rPr>
          <w:rFonts w:cstheme="minorHAnsi"/>
        </w:rPr>
        <w:t>‘</w:t>
      </w:r>
      <w:r w:rsidR="005A562C" w:rsidRPr="007C5FD5">
        <w:rPr>
          <w:rFonts w:cstheme="minorHAnsi"/>
        </w:rPr>
        <w:t>subsisting in the speech and memory of living persons as well as in information held in impersonal media’</w:t>
      </w:r>
      <w:r w:rsidR="005A562C" w:rsidRPr="007C5FD5">
        <w:rPr>
          <w:rStyle w:val="FootnoteReference"/>
          <w:rFonts w:cstheme="minorHAnsi"/>
        </w:rPr>
        <w:footnoteReference w:id="154"/>
      </w:r>
      <w:r w:rsidR="005A562C" w:rsidRPr="007C5FD5">
        <w:rPr>
          <w:rFonts w:cstheme="minorHAnsi"/>
        </w:rPr>
        <w:t xml:space="preserve"> </w:t>
      </w:r>
      <w:r w:rsidR="0011224C" w:rsidRPr="007C5FD5">
        <w:rPr>
          <w:rFonts w:cstheme="minorHAnsi"/>
        </w:rPr>
        <w:t xml:space="preserve">- </w:t>
      </w:r>
      <w:r w:rsidR="001A3841" w:rsidRPr="007C5FD5">
        <w:rPr>
          <w:rFonts w:cstheme="minorHAnsi"/>
        </w:rPr>
        <w:t>cannot get round the fact that this disembodied</w:t>
      </w:r>
      <w:r w:rsidR="00BA0F0F" w:rsidRPr="007C5FD5">
        <w:rPr>
          <w:rFonts w:cstheme="minorHAnsi"/>
        </w:rPr>
        <w:t xml:space="preserve"> and disenselfed</w:t>
      </w:r>
      <w:r w:rsidR="001A3841" w:rsidRPr="007C5FD5">
        <w:rPr>
          <w:rFonts w:cstheme="minorHAnsi"/>
        </w:rPr>
        <w:t xml:space="preserve"> ‘public persona’ has no capacity to experience things as significant and</w:t>
      </w:r>
      <w:r w:rsidR="008B5F14" w:rsidRPr="007C5FD5">
        <w:rPr>
          <w:rFonts w:cstheme="minorHAnsi"/>
        </w:rPr>
        <w:t xml:space="preserve"> </w:t>
      </w:r>
      <w:r w:rsidR="00A94C82" w:rsidRPr="007C5FD5">
        <w:rPr>
          <w:rFonts w:cstheme="minorHAnsi"/>
        </w:rPr>
        <w:t xml:space="preserve">is therefore </w:t>
      </w:r>
      <w:r w:rsidR="008B5F14" w:rsidRPr="007C5FD5">
        <w:rPr>
          <w:rFonts w:cstheme="minorHAnsi"/>
        </w:rPr>
        <w:t xml:space="preserve">not ‘someone’ </w:t>
      </w:r>
      <w:r w:rsidR="00AA3E38" w:rsidRPr="007C5FD5">
        <w:rPr>
          <w:rFonts w:cstheme="minorHAnsi"/>
        </w:rPr>
        <w:t>capable of having</w:t>
      </w:r>
      <w:r w:rsidR="001A3841" w:rsidRPr="007C5FD5">
        <w:rPr>
          <w:rFonts w:cstheme="minorHAnsi"/>
        </w:rPr>
        <w:t xml:space="preserve"> </w:t>
      </w:r>
      <w:r w:rsidR="000742FC" w:rsidRPr="007C5FD5">
        <w:rPr>
          <w:rFonts w:cstheme="minorHAnsi"/>
        </w:rPr>
        <w:t xml:space="preserve">a </w:t>
      </w:r>
      <w:r w:rsidR="001A3841" w:rsidRPr="007C5FD5">
        <w:rPr>
          <w:rFonts w:cstheme="minorHAnsi"/>
        </w:rPr>
        <w:t>moral claim.</w:t>
      </w:r>
      <w:r w:rsidR="00F412DC" w:rsidRPr="007C5FD5">
        <w:rPr>
          <w:rFonts w:cstheme="minorHAnsi"/>
        </w:rPr>
        <w:t xml:space="preserve"> </w:t>
      </w:r>
    </w:p>
    <w:p w14:paraId="0D70F987" w14:textId="77777777" w:rsidR="00F412DC" w:rsidRPr="007C5FD5" w:rsidRDefault="00F412DC" w:rsidP="00FD77D8">
      <w:pPr>
        <w:autoSpaceDE w:val="0"/>
        <w:autoSpaceDN w:val="0"/>
        <w:adjustRightInd w:val="0"/>
        <w:spacing w:after="0" w:line="240" w:lineRule="auto"/>
        <w:jc w:val="both"/>
        <w:rPr>
          <w:rFonts w:cstheme="minorHAnsi"/>
        </w:rPr>
      </w:pPr>
    </w:p>
    <w:p w14:paraId="49C3B88F" w14:textId="083CA455" w:rsidR="00E31551" w:rsidRPr="007C5FD5" w:rsidRDefault="000742FC" w:rsidP="00FD77D8">
      <w:pPr>
        <w:autoSpaceDE w:val="0"/>
        <w:autoSpaceDN w:val="0"/>
        <w:adjustRightInd w:val="0"/>
        <w:spacing w:after="0" w:line="240" w:lineRule="auto"/>
        <w:jc w:val="both"/>
        <w:rPr>
          <w:rFonts w:cstheme="minorHAnsi"/>
        </w:rPr>
      </w:pPr>
      <w:r w:rsidRPr="007C5FD5">
        <w:rPr>
          <w:rFonts w:cstheme="minorHAnsi"/>
        </w:rPr>
        <w:t>However, j</w:t>
      </w:r>
      <w:r w:rsidR="00AB2974" w:rsidRPr="007C5FD5">
        <w:rPr>
          <w:rFonts w:cstheme="minorHAnsi"/>
        </w:rPr>
        <w:t>u</w:t>
      </w:r>
      <w:r w:rsidR="00F412DC" w:rsidRPr="007C5FD5">
        <w:rPr>
          <w:rFonts w:cstheme="minorHAnsi"/>
        </w:rPr>
        <w:t xml:space="preserve">st because the dead cannot be harmed by privacy intrusions or otherwise, does not mean that those </w:t>
      </w:r>
      <w:r w:rsidR="00474C05" w:rsidRPr="007C5FD5">
        <w:rPr>
          <w:rFonts w:cstheme="minorHAnsi"/>
        </w:rPr>
        <w:t>‘invasions’</w:t>
      </w:r>
      <w:r w:rsidR="00570AD5" w:rsidRPr="007C5FD5">
        <w:rPr>
          <w:rFonts w:cstheme="minorHAnsi"/>
        </w:rPr>
        <w:t xml:space="preserve"> </w:t>
      </w:r>
      <w:r w:rsidR="00474C05" w:rsidRPr="007C5FD5">
        <w:rPr>
          <w:rFonts w:cstheme="minorHAnsi"/>
        </w:rPr>
        <w:t>are not</w:t>
      </w:r>
      <w:r w:rsidR="00F412DC" w:rsidRPr="007C5FD5">
        <w:rPr>
          <w:rFonts w:cstheme="minorHAnsi"/>
        </w:rPr>
        <w:t xml:space="preserve"> harm</w:t>
      </w:r>
      <w:r w:rsidR="00474C05" w:rsidRPr="007C5FD5">
        <w:rPr>
          <w:rFonts w:cstheme="minorHAnsi"/>
        </w:rPr>
        <w:t>ful</w:t>
      </w:r>
      <w:r w:rsidR="00AA3E38" w:rsidRPr="007C5FD5">
        <w:rPr>
          <w:rFonts w:cstheme="minorHAnsi"/>
        </w:rPr>
        <w:t>, albeit</w:t>
      </w:r>
      <w:r w:rsidR="00474C05" w:rsidRPr="007C5FD5">
        <w:rPr>
          <w:rFonts w:cstheme="minorHAnsi"/>
        </w:rPr>
        <w:t xml:space="preserve"> </w:t>
      </w:r>
      <w:r w:rsidR="00BA0F0F" w:rsidRPr="007C5FD5">
        <w:rPr>
          <w:rFonts w:cstheme="minorHAnsi"/>
          <w:i/>
          <w:iCs/>
        </w:rPr>
        <w:t xml:space="preserve">not </w:t>
      </w:r>
      <w:r w:rsidR="00BA0F0F" w:rsidRPr="007C5FD5">
        <w:rPr>
          <w:rFonts w:cstheme="minorHAnsi"/>
        </w:rPr>
        <w:t>because of any harm</w:t>
      </w:r>
      <w:r w:rsidR="00BA0F0F" w:rsidRPr="007C5FD5">
        <w:rPr>
          <w:rFonts w:cstheme="minorHAnsi"/>
          <w:i/>
          <w:iCs/>
        </w:rPr>
        <w:t xml:space="preserve"> to </w:t>
      </w:r>
      <w:r w:rsidR="00BA0F0F" w:rsidRPr="007C5FD5">
        <w:rPr>
          <w:rFonts w:cstheme="minorHAnsi"/>
        </w:rPr>
        <w:t>the dead</w:t>
      </w:r>
      <w:r w:rsidR="00474C05" w:rsidRPr="007C5FD5">
        <w:rPr>
          <w:rFonts w:cstheme="minorHAnsi"/>
        </w:rPr>
        <w:t>.</w:t>
      </w:r>
      <w:r w:rsidR="00FF66E6">
        <w:rPr>
          <w:rStyle w:val="FootnoteReference"/>
          <w:rFonts w:cstheme="minorHAnsi"/>
        </w:rPr>
        <w:footnoteReference w:id="155"/>
      </w:r>
      <w:r w:rsidR="00374DB8" w:rsidRPr="007C5FD5">
        <w:rPr>
          <w:rFonts w:cstheme="minorHAnsi"/>
        </w:rPr>
        <w:t xml:space="preserve"> </w:t>
      </w:r>
      <w:r w:rsidR="0086064B" w:rsidRPr="007C5FD5">
        <w:rPr>
          <w:rFonts w:cstheme="minorHAnsi"/>
        </w:rPr>
        <w:t>I</w:t>
      </w:r>
      <w:r w:rsidR="00F412DC" w:rsidRPr="007C5FD5">
        <w:rPr>
          <w:rFonts w:cstheme="minorHAnsi"/>
        </w:rPr>
        <w:t xml:space="preserve">n </w:t>
      </w:r>
      <w:proofErr w:type="spellStart"/>
      <w:r w:rsidR="00F412DC" w:rsidRPr="007C5FD5">
        <w:rPr>
          <w:rFonts w:cstheme="minorHAnsi"/>
          <w:i/>
          <w:iCs/>
        </w:rPr>
        <w:t>Plon</w:t>
      </w:r>
      <w:proofErr w:type="spellEnd"/>
      <w:r w:rsidR="00F412DC" w:rsidRPr="007C5FD5">
        <w:rPr>
          <w:rFonts w:cstheme="minorHAnsi"/>
          <w:i/>
          <w:iCs/>
        </w:rPr>
        <w:t xml:space="preserve"> (Société) </w:t>
      </w:r>
      <w:r w:rsidR="00570AD5" w:rsidRPr="007C5FD5">
        <w:rPr>
          <w:rFonts w:cstheme="minorHAnsi"/>
        </w:rPr>
        <w:t xml:space="preserve">the ECtHR </w:t>
      </w:r>
      <w:r w:rsidR="00AF3AF8" w:rsidRPr="007C5FD5">
        <w:rPr>
          <w:rFonts w:cstheme="minorHAnsi"/>
        </w:rPr>
        <w:t xml:space="preserve">found that </w:t>
      </w:r>
      <w:r w:rsidR="00A77B4C" w:rsidRPr="007C5FD5">
        <w:rPr>
          <w:rFonts w:cstheme="minorHAnsi"/>
        </w:rPr>
        <w:t>the duty of</w:t>
      </w:r>
      <w:r w:rsidR="00AF3AF8" w:rsidRPr="007C5FD5">
        <w:rPr>
          <w:rFonts w:cstheme="minorHAnsi"/>
        </w:rPr>
        <w:t xml:space="preserve"> medical confidentialities</w:t>
      </w:r>
      <w:r w:rsidR="00474C05" w:rsidRPr="007C5FD5">
        <w:rPr>
          <w:rFonts w:cstheme="minorHAnsi"/>
        </w:rPr>
        <w:t xml:space="preserve"> </w:t>
      </w:r>
      <w:r w:rsidR="00570AD5" w:rsidRPr="007C5FD5">
        <w:rPr>
          <w:rFonts w:cstheme="minorHAnsi"/>
        </w:rPr>
        <w:t>survive</w:t>
      </w:r>
      <w:r w:rsidR="00A77B4C" w:rsidRPr="007C5FD5">
        <w:rPr>
          <w:rFonts w:cstheme="minorHAnsi"/>
        </w:rPr>
        <w:t>d</w:t>
      </w:r>
      <w:r w:rsidR="00570AD5" w:rsidRPr="007C5FD5">
        <w:rPr>
          <w:rFonts w:cstheme="minorHAnsi"/>
        </w:rPr>
        <w:t xml:space="preserve"> </w:t>
      </w:r>
      <w:r w:rsidR="00D551B7" w:rsidRPr="007C5FD5">
        <w:rPr>
          <w:rFonts w:cstheme="minorHAnsi"/>
        </w:rPr>
        <w:t>Mitterrand’</w:t>
      </w:r>
      <w:r w:rsidR="00570AD5" w:rsidRPr="007C5FD5">
        <w:rPr>
          <w:rFonts w:cstheme="minorHAnsi"/>
        </w:rPr>
        <w:t xml:space="preserve"> death</w:t>
      </w:r>
      <w:r w:rsidR="00474C05" w:rsidRPr="007C5FD5">
        <w:rPr>
          <w:rFonts w:cstheme="minorHAnsi"/>
        </w:rPr>
        <w:t>,</w:t>
      </w:r>
      <w:r w:rsidR="00570AD5" w:rsidRPr="007C5FD5">
        <w:rPr>
          <w:rFonts w:cstheme="minorHAnsi"/>
        </w:rPr>
        <w:t xml:space="preserve"> </w:t>
      </w:r>
      <w:r w:rsidR="000C72D2" w:rsidRPr="007C5FD5">
        <w:rPr>
          <w:rFonts w:cstheme="minorHAnsi"/>
        </w:rPr>
        <w:t>and th</w:t>
      </w:r>
      <w:r w:rsidR="00837DB4" w:rsidRPr="007C5FD5">
        <w:rPr>
          <w:rFonts w:cstheme="minorHAnsi"/>
        </w:rPr>
        <w:t>e breach</w:t>
      </w:r>
      <w:r w:rsidR="000C72D2" w:rsidRPr="007C5FD5">
        <w:rPr>
          <w:rFonts w:cstheme="minorHAnsi"/>
        </w:rPr>
        <w:t xml:space="preserve"> occurred </w:t>
      </w:r>
      <w:r w:rsidR="00AF3AF8" w:rsidRPr="007C5FD5">
        <w:rPr>
          <w:rFonts w:cstheme="minorHAnsi"/>
        </w:rPr>
        <w:t>despite Mitterrand’s</w:t>
      </w:r>
      <w:r w:rsidR="00AA3E38" w:rsidRPr="007C5FD5">
        <w:rPr>
          <w:rFonts w:cstheme="minorHAnsi"/>
        </w:rPr>
        <w:t xml:space="preserve"> pre-mortem</w:t>
      </w:r>
      <w:r w:rsidR="00AF3AF8" w:rsidRPr="007C5FD5">
        <w:rPr>
          <w:rFonts w:cstheme="minorHAnsi"/>
        </w:rPr>
        <w:t xml:space="preserve"> attempts to </w:t>
      </w:r>
      <w:r w:rsidR="00474C05" w:rsidRPr="007C5FD5">
        <w:rPr>
          <w:rFonts w:cstheme="minorHAnsi"/>
        </w:rPr>
        <w:t>release the doctor</w:t>
      </w:r>
      <w:r w:rsidR="00837DB4" w:rsidRPr="007C5FD5">
        <w:rPr>
          <w:rFonts w:cstheme="minorHAnsi"/>
        </w:rPr>
        <w:t xml:space="preserve"> from the duty</w:t>
      </w:r>
      <w:r w:rsidR="00AF3AF8" w:rsidRPr="007C5FD5">
        <w:rPr>
          <w:rFonts w:cstheme="minorHAnsi"/>
        </w:rPr>
        <w:t>:</w:t>
      </w:r>
      <w:r w:rsidR="00F412DC" w:rsidRPr="007C5FD5">
        <w:rPr>
          <w:rFonts w:cstheme="minorHAnsi"/>
        </w:rPr>
        <w:t xml:space="preserve"> </w:t>
      </w:r>
    </w:p>
    <w:p w14:paraId="3CEF2AC7" w14:textId="77777777" w:rsidR="00E31551" w:rsidRPr="007C5FD5" w:rsidRDefault="00E31551" w:rsidP="00FD77D8">
      <w:pPr>
        <w:autoSpaceDE w:val="0"/>
        <w:autoSpaceDN w:val="0"/>
        <w:adjustRightInd w:val="0"/>
        <w:spacing w:after="0" w:line="240" w:lineRule="auto"/>
        <w:jc w:val="both"/>
        <w:rPr>
          <w:rFonts w:cstheme="minorHAnsi"/>
        </w:rPr>
      </w:pPr>
    </w:p>
    <w:p w14:paraId="4086A4B7" w14:textId="77777777" w:rsidR="00E31551" w:rsidRPr="007C5FD5" w:rsidRDefault="00F412DC" w:rsidP="00FD77D8">
      <w:pPr>
        <w:autoSpaceDE w:val="0"/>
        <w:autoSpaceDN w:val="0"/>
        <w:adjustRightInd w:val="0"/>
        <w:spacing w:after="0" w:line="240" w:lineRule="auto"/>
        <w:ind w:left="720"/>
        <w:jc w:val="both"/>
        <w:rPr>
          <w:rFonts w:cstheme="minorHAnsi"/>
        </w:rPr>
      </w:pPr>
      <w:r w:rsidRPr="007C5FD5">
        <w:rPr>
          <w:rFonts w:cstheme="minorHAnsi"/>
        </w:rPr>
        <w:t xml:space="preserve">‘President Mitterrand had officially released Dr </w:t>
      </w:r>
      <w:proofErr w:type="spellStart"/>
      <w:r w:rsidRPr="007C5FD5">
        <w:rPr>
          <w:rFonts w:cstheme="minorHAnsi"/>
        </w:rPr>
        <w:t>Gubler</w:t>
      </w:r>
      <w:proofErr w:type="spellEnd"/>
      <w:r w:rsidRPr="007C5FD5">
        <w:rPr>
          <w:rFonts w:cstheme="minorHAnsi"/>
        </w:rPr>
        <w:t xml:space="preserve"> from his obligation by asking him to publish health bulletins on him for years, had expressed the wish, more generally, to make </w:t>
      </w:r>
      <w:r w:rsidRPr="007C5FD5">
        <w:rPr>
          <w:rFonts w:cstheme="minorHAnsi"/>
        </w:rPr>
        <w:lastRenderedPageBreak/>
        <w:t>public all matters pertaining to his health and, when asked by another doctor how his illness should be reported, had replied: “Do as you see fit; announce what you want”.’</w:t>
      </w:r>
      <w:r w:rsidRPr="007C5FD5">
        <w:rPr>
          <w:rStyle w:val="FootnoteReference"/>
          <w:rFonts w:cstheme="minorHAnsi"/>
        </w:rPr>
        <w:footnoteReference w:id="156"/>
      </w:r>
      <w:r w:rsidR="00AF3AF8" w:rsidRPr="007C5FD5">
        <w:rPr>
          <w:rFonts w:cstheme="minorHAnsi"/>
        </w:rPr>
        <w:t xml:space="preserve"> </w:t>
      </w:r>
    </w:p>
    <w:p w14:paraId="61703BDF" w14:textId="77777777" w:rsidR="00E31551" w:rsidRPr="007C5FD5" w:rsidRDefault="00E31551" w:rsidP="00FD77D8">
      <w:pPr>
        <w:autoSpaceDE w:val="0"/>
        <w:autoSpaceDN w:val="0"/>
        <w:adjustRightInd w:val="0"/>
        <w:spacing w:after="0" w:line="240" w:lineRule="auto"/>
        <w:jc w:val="both"/>
        <w:rPr>
          <w:rFonts w:cstheme="minorHAnsi"/>
        </w:rPr>
      </w:pPr>
    </w:p>
    <w:p w14:paraId="14B5D898" w14:textId="185FF999" w:rsidR="00394D5D" w:rsidRPr="007C5FD5" w:rsidRDefault="00570AD5" w:rsidP="00FD77D8">
      <w:pPr>
        <w:autoSpaceDE w:val="0"/>
        <w:autoSpaceDN w:val="0"/>
        <w:adjustRightInd w:val="0"/>
        <w:spacing w:after="0" w:line="240" w:lineRule="auto"/>
        <w:jc w:val="both"/>
        <w:rPr>
          <w:rFonts w:cstheme="minorHAnsi"/>
        </w:rPr>
      </w:pPr>
      <w:r w:rsidRPr="007C5FD5">
        <w:rPr>
          <w:rFonts w:cstheme="minorHAnsi"/>
        </w:rPr>
        <w:t xml:space="preserve">Mitterrand’s medical </w:t>
      </w:r>
      <w:r w:rsidR="0033174D" w:rsidRPr="007C5FD5">
        <w:rPr>
          <w:rFonts w:cstheme="minorHAnsi"/>
        </w:rPr>
        <w:t>confidentia</w:t>
      </w:r>
      <w:r w:rsidR="00A77B4C" w:rsidRPr="007C5FD5">
        <w:rPr>
          <w:rFonts w:cstheme="minorHAnsi"/>
        </w:rPr>
        <w:t>lities</w:t>
      </w:r>
      <w:r w:rsidR="0033174D" w:rsidRPr="007C5FD5">
        <w:rPr>
          <w:rFonts w:cstheme="minorHAnsi"/>
        </w:rPr>
        <w:t xml:space="preserve"> </w:t>
      </w:r>
      <w:r w:rsidR="00A77B4C" w:rsidRPr="007C5FD5">
        <w:rPr>
          <w:rFonts w:cstheme="minorHAnsi"/>
        </w:rPr>
        <w:t>were guarded</w:t>
      </w:r>
      <w:r w:rsidRPr="007C5FD5">
        <w:rPr>
          <w:rFonts w:cstheme="minorHAnsi"/>
        </w:rPr>
        <w:t xml:space="preserve"> not because he enjoyed a</w:t>
      </w:r>
      <w:r w:rsidR="00547804" w:rsidRPr="007C5FD5">
        <w:rPr>
          <w:rFonts w:cstheme="minorHAnsi"/>
        </w:rPr>
        <w:t>ny</w:t>
      </w:r>
      <w:r w:rsidRPr="007C5FD5">
        <w:rPr>
          <w:rFonts w:cstheme="minorHAnsi"/>
        </w:rPr>
        <w:t xml:space="preserve"> post-mortem right</w:t>
      </w:r>
      <w:r w:rsidR="00927D2F" w:rsidRPr="007C5FD5">
        <w:rPr>
          <w:rFonts w:cstheme="minorHAnsi"/>
        </w:rPr>
        <w:t xml:space="preserve"> </w:t>
      </w:r>
      <w:r w:rsidRPr="007C5FD5">
        <w:rPr>
          <w:rFonts w:cstheme="minorHAnsi"/>
        </w:rPr>
        <w:t>(which would</w:t>
      </w:r>
      <w:r w:rsidR="00AA3E38" w:rsidRPr="007C5FD5">
        <w:rPr>
          <w:rFonts w:cstheme="minorHAnsi"/>
        </w:rPr>
        <w:t xml:space="preserve"> also</w:t>
      </w:r>
      <w:r w:rsidRPr="007C5FD5">
        <w:rPr>
          <w:rFonts w:cstheme="minorHAnsi"/>
        </w:rPr>
        <w:t xml:space="preserve"> have </w:t>
      </w:r>
      <w:r w:rsidR="00374DB8" w:rsidRPr="007C5FD5">
        <w:rPr>
          <w:rFonts w:cstheme="minorHAnsi"/>
        </w:rPr>
        <w:t xml:space="preserve">entailed </w:t>
      </w:r>
      <w:r w:rsidR="004A1455" w:rsidRPr="007C5FD5">
        <w:rPr>
          <w:rFonts w:cstheme="minorHAnsi"/>
        </w:rPr>
        <w:t>treating</w:t>
      </w:r>
      <w:r w:rsidR="00BA0F0F" w:rsidRPr="007C5FD5">
        <w:rPr>
          <w:rFonts w:cstheme="minorHAnsi"/>
        </w:rPr>
        <w:t xml:space="preserve"> his</w:t>
      </w:r>
      <w:r w:rsidR="00927D2F" w:rsidRPr="007C5FD5">
        <w:rPr>
          <w:rFonts w:cstheme="minorHAnsi"/>
        </w:rPr>
        <w:t xml:space="preserve"> waiver of confidentiality </w:t>
      </w:r>
      <w:r w:rsidR="004A1455" w:rsidRPr="007C5FD5">
        <w:rPr>
          <w:rFonts w:cstheme="minorHAnsi"/>
        </w:rPr>
        <w:t xml:space="preserve">with </w:t>
      </w:r>
      <w:r w:rsidR="000C72D2" w:rsidRPr="007C5FD5">
        <w:rPr>
          <w:rFonts w:cstheme="minorHAnsi"/>
        </w:rPr>
        <w:t>deference</w:t>
      </w:r>
      <w:r w:rsidRPr="007C5FD5">
        <w:rPr>
          <w:rFonts w:cstheme="minorHAnsi"/>
        </w:rPr>
        <w:t>) but because</w:t>
      </w:r>
      <w:r w:rsidR="00BA0F0F" w:rsidRPr="007C5FD5">
        <w:rPr>
          <w:rFonts w:cstheme="minorHAnsi"/>
        </w:rPr>
        <w:t xml:space="preserve"> of</w:t>
      </w:r>
      <w:r w:rsidRPr="007C5FD5">
        <w:rPr>
          <w:rFonts w:cstheme="minorHAnsi"/>
        </w:rPr>
        <w:t xml:space="preserve"> </w:t>
      </w:r>
      <w:r w:rsidR="00221862" w:rsidRPr="007C5FD5">
        <w:rPr>
          <w:rFonts w:cstheme="minorHAnsi"/>
        </w:rPr>
        <w:t xml:space="preserve">the status of medical confidentiality as </w:t>
      </w:r>
      <w:r w:rsidR="0086064B" w:rsidRPr="007C5FD5">
        <w:rPr>
          <w:rFonts w:cstheme="minorHAnsi"/>
        </w:rPr>
        <w:t>a</w:t>
      </w:r>
      <w:r w:rsidR="0078229A" w:rsidRPr="007C5FD5">
        <w:rPr>
          <w:rFonts w:cstheme="minorHAnsi"/>
        </w:rPr>
        <w:t>n important</w:t>
      </w:r>
      <w:r w:rsidR="00221862" w:rsidRPr="007C5FD5">
        <w:rPr>
          <w:rFonts w:cstheme="minorHAnsi"/>
        </w:rPr>
        <w:t xml:space="preserve"> public </w:t>
      </w:r>
      <w:r w:rsidR="00E31551" w:rsidRPr="007C5FD5">
        <w:rPr>
          <w:rFonts w:cstheme="minorHAnsi"/>
        </w:rPr>
        <w:t xml:space="preserve">good. </w:t>
      </w:r>
      <w:r w:rsidR="00BA0F0F" w:rsidRPr="007C5FD5">
        <w:rPr>
          <w:rFonts w:cstheme="minorHAnsi"/>
        </w:rPr>
        <w:t>Th</w:t>
      </w:r>
      <w:r w:rsidR="002E58A9" w:rsidRPr="007C5FD5">
        <w:rPr>
          <w:rFonts w:cstheme="minorHAnsi"/>
        </w:rPr>
        <w:t>at</w:t>
      </w:r>
      <w:r w:rsidR="00BA0F0F" w:rsidRPr="007C5FD5">
        <w:rPr>
          <w:rFonts w:cstheme="minorHAnsi"/>
        </w:rPr>
        <w:t xml:space="preserve"> status is so high </w:t>
      </w:r>
      <w:r w:rsidR="00AA3E38" w:rsidRPr="007C5FD5">
        <w:rPr>
          <w:rFonts w:cstheme="minorHAnsi"/>
        </w:rPr>
        <w:t xml:space="preserve">in France </w:t>
      </w:r>
      <w:r w:rsidR="00BA0F0F" w:rsidRPr="007C5FD5">
        <w:rPr>
          <w:rFonts w:cstheme="minorHAnsi"/>
        </w:rPr>
        <w:t>that</w:t>
      </w:r>
      <w:r w:rsidR="00221862" w:rsidRPr="007C5FD5">
        <w:rPr>
          <w:rFonts w:cstheme="minorHAnsi"/>
        </w:rPr>
        <w:t xml:space="preserve"> a breach </w:t>
      </w:r>
      <w:r w:rsidR="00BA0F0F" w:rsidRPr="007C5FD5">
        <w:rPr>
          <w:rFonts w:cstheme="minorHAnsi"/>
        </w:rPr>
        <w:t xml:space="preserve">is </w:t>
      </w:r>
      <w:r w:rsidR="00221862" w:rsidRPr="007C5FD5">
        <w:rPr>
          <w:rFonts w:cstheme="minorHAnsi"/>
        </w:rPr>
        <w:t>criminalised</w:t>
      </w:r>
      <w:r w:rsidR="00BA0F0F" w:rsidRPr="007C5FD5">
        <w:rPr>
          <w:rFonts w:cstheme="minorHAnsi"/>
        </w:rPr>
        <w:t xml:space="preserve"> with </w:t>
      </w:r>
      <w:r w:rsidR="00221862" w:rsidRPr="007C5FD5">
        <w:rPr>
          <w:rFonts w:cstheme="minorHAnsi"/>
        </w:rPr>
        <w:t xml:space="preserve">very few defences; </w:t>
      </w:r>
      <w:r w:rsidR="008569BD" w:rsidRPr="007C5FD5">
        <w:rPr>
          <w:rFonts w:cstheme="minorHAnsi"/>
        </w:rPr>
        <w:t>n</w:t>
      </w:r>
      <w:r w:rsidR="0078229A" w:rsidRPr="007C5FD5">
        <w:rPr>
          <w:rFonts w:cstheme="minorHAnsi"/>
        </w:rPr>
        <w:t xml:space="preserve">either </w:t>
      </w:r>
      <w:r w:rsidR="00AA3E38" w:rsidRPr="007C5FD5">
        <w:rPr>
          <w:rFonts w:cstheme="minorHAnsi"/>
        </w:rPr>
        <w:t xml:space="preserve">death nor </w:t>
      </w:r>
      <w:r w:rsidR="0078229A" w:rsidRPr="007C5FD5">
        <w:rPr>
          <w:rFonts w:cstheme="minorHAnsi"/>
        </w:rPr>
        <w:t>consent will</w:t>
      </w:r>
      <w:r w:rsidRPr="007C5FD5">
        <w:rPr>
          <w:rFonts w:cstheme="minorHAnsi"/>
        </w:rPr>
        <w:t xml:space="preserve"> release the </w:t>
      </w:r>
      <w:r w:rsidR="00BA0F0F" w:rsidRPr="007C5FD5">
        <w:rPr>
          <w:rFonts w:cstheme="minorHAnsi"/>
        </w:rPr>
        <w:t xml:space="preserve">doctor from </w:t>
      </w:r>
      <w:r w:rsidR="00AF3AF8" w:rsidRPr="007C5FD5">
        <w:rPr>
          <w:rFonts w:cstheme="minorHAnsi"/>
        </w:rPr>
        <w:t>the duty</w:t>
      </w:r>
      <w:r w:rsidR="00BA0F0F" w:rsidRPr="007C5FD5">
        <w:rPr>
          <w:rFonts w:cstheme="minorHAnsi"/>
        </w:rPr>
        <w:t>.</w:t>
      </w:r>
      <w:r w:rsidR="00AF3AF8" w:rsidRPr="007C5FD5">
        <w:rPr>
          <w:rStyle w:val="FootnoteReference"/>
          <w:rFonts w:cstheme="minorHAnsi"/>
        </w:rPr>
        <w:footnoteReference w:id="157"/>
      </w:r>
      <w:r w:rsidRPr="007C5FD5">
        <w:rPr>
          <w:rFonts w:cstheme="minorHAnsi"/>
        </w:rPr>
        <w:t xml:space="preserve"> </w:t>
      </w:r>
      <w:r w:rsidR="00D2710B" w:rsidRPr="007C5FD5">
        <w:rPr>
          <w:rFonts w:cstheme="minorHAnsi"/>
        </w:rPr>
        <w:t xml:space="preserve">Thus </w:t>
      </w:r>
      <w:r w:rsidR="00BA0F0F" w:rsidRPr="007C5FD5">
        <w:rPr>
          <w:rFonts w:cstheme="minorHAnsi"/>
        </w:rPr>
        <w:t xml:space="preserve">in </w:t>
      </w:r>
      <w:proofErr w:type="spellStart"/>
      <w:r w:rsidR="00BA0F0F" w:rsidRPr="007C5FD5">
        <w:rPr>
          <w:rFonts w:cstheme="minorHAnsi"/>
          <w:i/>
          <w:iCs/>
        </w:rPr>
        <w:t>Plon</w:t>
      </w:r>
      <w:proofErr w:type="spellEnd"/>
      <w:r w:rsidR="00BA0F0F" w:rsidRPr="007C5FD5">
        <w:rPr>
          <w:rFonts w:cstheme="minorHAnsi"/>
          <w:i/>
          <w:iCs/>
        </w:rPr>
        <w:t xml:space="preserve"> (Société)</w:t>
      </w:r>
      <w:r w:rsidRPr="007C5FD5">
        <w:rPr>
          <w:rFonts w:cstheme="minorHAnsi"/>
        </w:rPr>
        <w:t xml:space="preserve"> </w:t>
      </w:r>
      <w:r w:rsidR="000C72D2" w:rsidRPr="007C5FD5">
        <w:rPr>
          <w:rFonts w:cstheme="minorHAnsi"/>
        </w:rPr>
        <w:t xml:space="preserve">the </w:t>
      </w:r>
      <w:r w:rsidR="00BA0F0F" w:rsidRPr="007C5FD5">
        <w:rPr>
          <w:rFonts w:cstheme="minorHAnsi"/>
        </w:rPr>
        <w:t>overriding</w:t>
      </w:r>
      <w:r w:rsidR="004805B2" w:rsidRPr="007C5FD5">
        <w:rPr>
          <w:rFonts w:cstheme="minorHAnsi"/>
        </w:rPr>
        <w:t xml:space="preserve"> interest in</w:t>
      </w:r>
      <w:r w:rsidR="00BA0F0F" w:rsidRPr="007C5FD5">
        <w:rPr>
          <w:rFonts w:cstheme="minorHAnsi"/>
        </w:rPr>
        <w:t xml:space="preserve"> medical confidentiality</w:t>
      </w:r>
      <w:r w:rsidR="000C72D2" w:rsidRPr="007C5FD5">
        <w:rPr>
          <w:rFonts w:cstheme="minorHAnsi"/>
        </w:rPr>
        <w:t xml:space="preserve"> had the effect of guarding post-mortem privacy interests</w:t>
      </w:r>
      <w:r w:rsidR="00F3553B" w:rsidRPr="007C5FD5">
        <w:rPr>
          <w:rFonts w:cstheme="minorHAnsi"/>
        </w:rPr>
        <w:t xml:space="preserve"> </w:t>
      </w:r>
      <w:r w:rsidR="000C72D2" w:rsidRPr="007C5FD5">
        <w:rPr>
          <w:rFonts w:cstheme="minorHAnsi"/>
        </w:rPr>
        <w:t>without giving rise to a personal right as such</w:t>
      </w:r>
      <w:r w:rsidR="00996676" w:rsidRPr="007C5FD5">
        <w:rPr>
          <w:rFonts w:cstheme="minorHAnsi"/>
        </w:rPr>
        <w:t>.</w:t>
      </w:r>
    </w:p>
    <w:p w14:paraId="6A02FEB1" w14:textId="77777777" w:rsidR="00394D5D" w:rsidRPr="007C5FD5" w:rsidRDefault="00394D5D" w:rsidP="00FD77D8">
      <w:pPr>
        <w:autoSpaceDE w:val="0"/>
        <w:autoSpaceDN w:val="0"/>
        <w:adjustRightInd w:val="0"/>
        <w:spacing w:after="0" w:line="240" w:lineRule="auto"/>
        <w:jc w:val="both"/>
        <w:rPr>
          <w:rFonts w:cstheme="minorHAnsi"/>
        </w:rPr>
      </w:pPr>
    </w:p>
    <w:p w14:paraId="274A1B97" w14:textId="59F7F6A4" w:rsidR="008C4E2F" w:rsidRPr="007C5FD5" w:rsidRDefault="00AA3E38" w:rsidP="00EE6A2C">
      <w:pPr>
        <w:spacing w:after="0" w:line="240" w:lineRule="auto"/>
        <w:jc w:val="both"/>
        <w:rPr>
          <w:rFonts w:cstheme="minorHAnsi"/>
          <w:color w:val="000000"/>
        </w:rPr>
      </w:pPr>
      <w:r w:rsidRPr="007C5FD5">
        <w:rPr>
          <w:rFonts w:cstheme="minorHAnsi"/>
        </w:rPr>
        <w:t xml:space="preserve">Such overriding public </w:t>
      </w:r>
      <w:r w:rsidR="000052AF" w:rsidRPr="007C5FD5">
        <w:rPr>
          <w:rFonts w:cstheme="minorHAnsi"/>
        </w:rPr>
        <w:t>good</w:t>
      </w:r>
      <w:r w:rsidRPr="007C5FD5">
        <w:rPr>
          <w:rFonts w:cstheme="minorHAnsi"/>
        </w:rPr>
        <w:t xml:space="preserve"> exists o</w:t>
      </w:r>
      <w:r w:rsidR="00394D5D" w:rsidRPr="007C5FD5">
        <w:rPr>
          <w:rFonts w:cstheme="minorHAnsi"/>
        </w:rPr>
        <w:t xml:space="preserve">utside </w:t>
      </w:r>
      <w:r w:rsidRPr="007C5FD5">
        <w:rPr>
          <w:rFonts w:cstheme="minorHAnsi"/>
        </w:rPr>
        <w:t xml:space="preserve">the domain </w:t>
      </w:r>
      <w:r w:rsidR="006E56D5" w:rsidRPr="007C5FD5">
        <w:rPr>
          <w:rFonts w:cstheme="minorHAnsi"/>
        </w:rPr>
        <w:t>of</w:t>
      </w:r>
      <w:r w:rsidR="00394D5D" w:rsidRPr="007C5FD5">
        <w:rPr>
          <w:rFonts w:cstheme="minorHAnsi"/>
        </w:rPr>
        <w:t xml:space="preserve"> medical confidentiality </w:t>
      </w:r>
      <w:r w:rsidRPr="007C5FD5">
        <w:rPr>
          <w:rFonts w:cstheme="minorHAnsi"/>
        </w:rPr>
        <w:t>in the</w:t>
      </w:r>
      <w:r w:rsidR="00812897" w:rsidRPr="007C5FD5">
        <w:rPr>
          <w:rFonts w:cstheme="minorHAnsi"/>
        </w:rPr>
        <w:t xml:space="preserve"> </w:t>
      </w:r>
      <w:r w:rsidR="000052AF" w:rsidRPr="007C5FD5">
        <w:rPr>
          <w:rFonts w:cstheme="minorHAnsi"/>
        </w:rPr>
        <w:t xml:space="preserve">public </w:t>
      </w:r>
      <w:r w:rsidR="004805B2" w:rsidRPr="007C5FD5">
        <w:rPr>
          <w:rFonts w:cstheme="minorHAnsi"/>
        </w:rPr>
        <w:t>good</w:t>
      </w:r>
      <w:r w:rsidRPr="007C5FD5">
        <w:rPr>
          <w:rFonts w:cstheme="minorHAnsi"/>
        </w:rPr>
        <w:t xml:space="preserve"> of </w:t>
      </w:r>
      <w:r w:rsidR="00996676" w:rsidRPr="007C5FD5">
        <w:rPr>
          <w:rFonts w:cstheme="minorHAnsi"/>
        </w:rPr>
        <w:t>‘</w:t>
      </w:r>
      <w:r w:rsidR="004A28CD" w:rsidRPr="007C5FD5">
        <w:rPr>
          <w:rFonts w:cstheme="minorHAnsi"/>
        </w:rPr>
        <w:t xml:space="preserve">respect </w:t>
      </w:r>
      <w:r w:rsidR="00394D5D" w:rsidRPr="007C5FD5">
        <w:rPr>
          <w:rFonts w:cstheme="minorHAnsi"/>
        </w:rPr>
        <w:t>for</w:t>
      </w:r>
      <w:r w:rsidR="004A28CD" w:rsidRPr="007C5FD5">
        <w:rPr>
          <w:rFonts w:cstheme="minorHAnsi"/>
        </w:rPr>
        <w:t xml:space="preserve"> the dead</w:t>
      </w:r>
      <w:r w:rsidR="00996676" w:rsidRPr="007C5FD5">
        <w:rPr>
          <w:rFonts w:cstheme="minorHAnsi"/>
        </w:rPr>
        <w:t>’</w:t>
      </w:r>
      <w:r w:rsidRPr="007C5FD5">
        <w:rPr>
          <w:rFonts w:cstheme="minorHAnsi"/>
        </w:rPr>
        <w:t xml:space="preserve"> </w:t>
      </w:r>
      <w:r w:rsidR="00E7536D" w:rsidRPr="007C5FD5">
        <w:rPr>
          <w:rFonts w:cstheme="minorHAnsi"/>
        </w:rPr>
        <w:t>and</w:t>
      </w:r>
      <w:r w:rsidR="00E85380" w:rsidRPr="007C5FD5">
        <w:rPr>
          <w:rFonts w:cstheme="minorHAnsi"/>
        </w:rPr>
        <w:t xml:space="preserve"> </w:t>
      </w:r>
      <w:r w:rsidR="008A09F8" w:rsidRPr="007C5FD5">
        <w:rPr>
          <w:rFonts w:cstheme="minorHAnsi"/>
        </w:rPr>
        <w:t xml:space="preserve">framed </w:t>
      </w:r>
      <w:r w:rsidR="004A28CD" w:rsidRPr="007C5FD5">
        <w:rPr>
          <w:rFonts w:cstheme="minorHAnsi"/>
        </w:rPr>
        <w:t xml:space="preserve">in </w:t>
      </w:r>
      <w:r w:rsidR="00394D5D" w:rsidRPr="007C5FD5">
        <w:rPr>
          <w:rFonts w:cstheme="minorHAnsi"/>
        </w:rPr>
        <w:t xml:space="preserve">human rights </w:t>
      </w:r>
      <w:r w:rsidR="004A28CD" w:rsidRPr="007C5FD5">
        <w:rPr>
          <w:rFonts w:cstheme="minorHAnsi"/>
        </w:rPr>
        <w:t>discourse</w:t>
      </w:r>
      <w:r w:rsidR="00394D5D" w:rsidRPr="007C5FD5">
        <w:rPr>
          <w:rFonts w:cstheme="minorHAnsi"/>
        </w:rPr>
        <w:t xml:space="preserve"> </w:t>
      </w:r>
      <w:r w:rsidR="00AA541F">
        <w:rPr>
          <w:rFonts w:cstheme="minorHAnsi"/>
        </w:rPr>
        <w:t>through</w:t>
      </w:r>
      <w:r w:rsidR="00E84249" w:rsidRPr="007C5FD5">
        <w:rPr>
          <w:rFonts w:cstheme="minorHAnsi"/>
        </w:rPr>
        <w:t xml:space="preserve"> </w:t>
      </w:r>
      <w:r w:rsidR="00394D5D" w:rsidRPr="007C5FD5">
        <w:rPr>
          <w:rFonts w:cstheme="minorHAnsi"/>
        </w:rPr>
        <w:t xml:space="preserve">the concept of </w:t>
      </w:r>
      <w:r w:rsidR="008569BD" w:rsidRPr="007C5FD5">
        <w:rPr>
          <w:rFonts w:cstheme="minorHAnsi"/>
          <w:color w:val="000000"/>
        </w:rPr>
        <w:t>human dignity</w:t>
      </w:r>
      <w:r w:rsidR="006830D2" w:rsidRPr="007C5FD5">
        <w:rPr>
          <w:rFonts w:cstheme="minorHAnsi"/>
          <w:color w:val="000000"/>
        </w:rPr>
        <w:t>.</w:t>
      </w:r>
      <w:r w:rsidRPr="007C5FD5">
        <w:rPr>
          <w:rFonts w:cstheme="minorHAnsi"/>
          <w:color w:val="000000"/>
        </w:rPr>
        <w:t xml:space="preserve"> Human dignity</w:t>
      </w:r>
      <w:r w:rsidR="00E84249" w:rsidRPr="007C5FD5">
        <w:rPr>
          <w:rFonts w:cstheme="minorHAnsi"/>
          <w:color w:val="000000"/>
        </w:rPr>
        <w:t xml:space="preserve"> expresses a commitment </w:t>
      </w:r>
      <w:r w:rsidR="00321900" w:rsidRPr="007C5FD5">
        <w:rPr>
          <w:rFonts w:cstheme="minorHAnsi"/>
          <w:color w:val="000000"/>
        </w:rPr>
        <w:t xml:space="preserve">to showing all </w:t>
      </w:r>
      <w:r w:rsidR="00D2710B" w:rsidRPr="007C5FD5">
        <w:rPr>
          <w:rFonts w:cstheme="minorHAnsi"/>
          <w:color w:val="000000"/>
        </w:rPr>
        <w:t>human beings</w:t>
      </w:r>
      <w:r w:rsidR="00321900" w:rsidRPr="007C5FD5">
        <w:rPr>
          <w:rFonts w:cstheme="minorHAnsi"/>
          <w:color w:val="000000"/>
        </w:rPr>
        <w:t xml:space="preserve"> </w:t>
      </w:r>
      <w:r w:rsidR="00E84249" w:rsidRPr="007C5FD5">
        <w:rPr>
          <w:rFonts w:cstheme="minorHAnsi"/>
          <w:color w:val="000000"/>
        </w:rPr>
        <w:t>a minimum level of respect</w:t>
      </w:r>
      <w:r w:rsidR="00996676" w:rsidRPr="007C5FD5">
        <w:rPr>
          <w:rFonts w:cstheme="minorHAnsi"/>
          <w:color w:val="000000"/>
        </w:rPr>
        <w:t xml:space="preserve"> b</w:t>
      </w:r>
      <w:r w:rsidR="00321900" w:rsidRPr="007C5FD5">
        <w:rPr>
          <w:rFonts w:cstheme="minorHAnsi"/>
          <w:color w:val="000000"/>
        </w:rPr>
        <w:t>ased</w:t>
      </w:r>
      <w:r w:rsidR="0086064B" w:rsidRPr="007C5FD5">
        <w:rPr>
          <w:rFonts w:cstheme="minorHAnsi"/>
          <w:color w:val="000000"/>
        </w:rPr>
        <w:t xml:space="preserve"> simply</w:t>
      </w:r>
      <w:r w:rsidR="00321900" w:rsidRPr="007C5FD5">
        <w:rPr>
          <w:rFonts w:cstheme="minorHAnsi"/>
          <w:color w:val="000000"/>
        </w:rPr>
        <w:t xml:space="preserve"> on</w:t>
      </w:r>
      <w:r w:rsidRPr="007C5FD5">
        <w:rPr>
          <w:rFonts w:cstheme="minorHAnsi"/>
          <w:color w:val="000000"/>
        </w:rPr>
        <w:t xml:space="preserve"> </w:t>
      </w:r>
      <w:r w:rsidR="00996676" w:rsidRPr="007C5FD5">
        <w:rPr>
          <w:rFonts w:cstheme="minorHAnsi"/>
          <w:color w:val="000000"/>
        </w:rPr>
        <w:t>o</w:t>
      </w:r>
      <w:r w:rsidR="004A57BC" w:rsidRPr="007C5FD5">
        <w:rPr>
          <w:rFonts w:cstheme="minorHAnsi"/>
          <w:color w:val="000000"/>
        </w:rPr>
        <w:t>ur</w:t>
      </w:r>
      <w:r w:rsidR="00996676" w:rsidRPr="007C5FD5">
        <w:rPr>
          <w:rFonts w:cstheme="minorHAnsi"/>
          <w:color w:val="000000"/>
        </w:rPr>
        <w:t xml:space="preserve"> </w:t>
      </w:r>
      <w:r w:rsidR="00E84249" w:rsidRPr="007C5FD5">
        <w:rPr>
          <w:rFonts w:cstheme="minorHAnsi"/>
          <w:color w:val="000000"/>
        </w:rPr>
        <w:t>common humanity</w:t>
      </w:r>
      <w:r w:rsidR="00A06F32" w:rsidRPr="007C5FD5">
        <w:rPr>
          <w:rFonts w:cstheme="minorHAnsi"/>
          <w:color w:val="000000"/>
        </w:rPr>
        <w:t>,</w:t>
      </w:r>
      <w:r w:rsidR="00321900" w:rsidRPr="007C5FD5">
        <w:rPr>
          <w:rFonts w:cstheme="minorHAnsi"/>
          <w:color w:val="000000"/>
        </w:rPr>
        <w:t xml:space="preserve"> </w:t>
      </w:r>
      <w:r w:rsidR="00A06F32" w:rsidRPr="007C5FD5">
        <w:rPr>
          <w:rFonts w:cstheme="minorHAnsi"/>
          <w:color w:val="000000"/>
        </w:rPr>
        <w:t>a</w:t>
      </w:r>
      <w:r w:rsidR="00E84249" w:rsidRPr="007C5FD5">
        <w:rPr>
          <w:rFonts w:cstheme="minorHAnsi"/>
          <w:color w:val="000000"/>
        </w:rPr>
        <w:t xml:space="preserve"> commitment </w:t>
      </w:r>
      <w:r w:rsidR="00A06F32" w:rsidRPr="007C5FD5">
        <w:rPr>
          <w:rFonts w:cstheme="minorHAnsi"/>
          <w:color w:val="000000"/>
        </w:rPr>
        <w:t xml:space="preserve">that </w:t>
      </w:r>
      <w:r w:rsidR="00E84249" w:rsidRPr="007C5FD5">
        <w:rPr>
          <w:rFonts w:cstheme="minorHAnsi"/>
          <w:color w:val="000000"/>
        </w:rPr>
        <w:t>cannot but transcend death</w:t>
      </w:r>
      <w:r w:rsidR="00D14DA7" w:rsidRPr="007C5FD5">
        <w:rPr>
          <w:rFonts w:cstheme="minorHAnsi"/>
          <w:color w:val="000000"/>
        </w:rPr>
        <w:t>.</w:t>
      </w:r>
      <w:r w:rsidR="008569BD" w:rsidRPr="007C5FD5">
        <w:rPr>
          <w:rStyle w:val="FootnoteReference"/>
          <w:rFonts w:cstheme="minorHAnsi"/>
        </w:rPr>
        <w:footnoteReference w:id="158"/>
      </w:r>
      <w:r w:rsidR="0086064B" w:rsidRPr="007C5FD5">
        <w:rPr>
          <w:rFonts w:cstheme="minorHAnsi"/>
          <w:color w:val="000000"/>
        </w:rPr>
        <w:t xml:space="preserve"> </w:t>
      </w:r>
      <w:r w:rsidR="00EF518E" w:rsidRPr="007C5FD5">
        <w:rPr>
          <w:rFonts w:cstheme="minorHAnsi"/>
          <w:color w:val="000000"/>
        </w:rPr>
        <w:t>Whilst such basic respect appears to be readily accepted for the human body,</w:t>
      </w:r>
      <w:r w:rsidR="00EF518E" w:rsidRPr="007C5FD5">
        <w:rPr>
          <w:rStyle w:val="FootnoteReference"/>
          <w:rFonts w:cstheme="minorHAnsi"/>
          <w:color w:val="000000"/>
        </w:rPr>
        <w:footnoteReference w:id="159"/>
      </w:r>
      <w:r w:rsidR="00EF518E" w:rsidRPr="007C5FD5">
        <w:rPr>
          <w:rFonts w:cstheme="minorHAnsi"/>
          <w:color w:val="000000"/>
        </w:rPr>
        <w:t xml:space="preserve"> in as much as personal dignity extends to body and mind, there is no reason why the same dignified treatment should not be applied to the memory of the deceased. </w:t>
      </w:r>
      <w:r w:rsidR="00D14DA7" w:rsidRPr="007C5FD5">
        <w:rPr>
          <w:rFonts w:cstheme="minorHAnsi"/>
          <w:color w:val="000000"/>
        </w:rPr>
        <w:t>A</w:t>
      </w:r>
      <w:r w:rsidR="00321900" w:rsidRPr="007C5FD5">
        <w:rPr>
          <w:rFonts w:cstheme="minorHAnsi"/>
          <w:color w:val="000000"/>
        </w:rPr>
        <w:t xml:space="preserve"> claim to respect the intrinsic value of humanity would</w:t>
      </w:r>
      <w:r w:rsidR="005267DB" w:rsidRPr="007C5FD5">
        <w:rPr>
          <w:rFonts w:cstheme="minorHAnsi"/>
          <w:color w:val="000000"/>
        </w:rPr>
        <w:t xml:space="preserve"> seem</w:t>
      </w:r>
      <w:r w:rsidR="00321900" w:rsidRPr="007C5FD5">
        <w:rPr>
          <w:rFonts w:cstheme="minorHAnsi"/>
          <w:color w:val="000000"/>
        </w:rPr>
        <w:t xml:space="preserve"> hollow, if upon death a person’s body </w:t>
      </w:r>
      <w:r w:rsidR="004A1455" w:rsidRPr="007C5FD5">
        <w:rPr>
          <w:rFonts w:cstheme="minorHAnsi"/>
          <w:color w:val="000000"/>
        </w:rPr>
        <w:t>or</w:t>
      </w:r>
      <w:r w:rsidR="00321900" w:rsidRPr="007C5FD5">
        <w:rPr>
          <w:rFonts w:cstheme="minorHAnsi"/>
          <w:color w:val="000000"/>
        </w:rPr>
        <w:t xml:space="preserve"> memory could be </w:t>
      </w:r>
      <w:r w:rsidR="004A1455" w:rsidRPr="007C5FD5">
        <w:rPr>
          <w:rFonts w:cstheme="minorHAnsi"/>
          <w:color w:val="000000"/>
        </w:rPr>
        <w:t xml:space="preserve">wantonly </w:t>
      </w:r>
      <w:r w:rsidR="00321900" w:rsidRPr="007C5FD5">
        <w:rPr>
          <w:rFonts w:cstheme="minorHAnsi"/>
          <w:color w:val="000000"/>
        </w:rPr>
        <w:t>defiled</w:t>
      </w:r>
      <w:r w:rsidR="00C015B0" w:rsidRPr="007C5FD5">
        <w:rPr>
          <w:rFonts w:cstheme="minorHAnsi"/>
          <w:color w:val="000000"/>
        </w:rPr>
        <w:t xml:space="preserve"> or denigrated</w:t>
      </w:r>
      <w:r w:rsidR="00321900" w:rsidRPr="007C5FD5">
        <w:rPr>
          <w:rFonts w:cstheme="minorHAnsi"/>
          <w:color w:val="000000"/>
        </w:rPr>
        <w:t xml:space="preserve"> without any </w:t>
      </w:r>
      <w:r w:rsidR="0086064B" w:rsidRPr="007C5FD5">
        <w:rPr>
          <w:rFonts w:cstheme="minorHAnsi"/>
          <w:color w:val="000000"/>
        </w:rPr>
        <w:t>disapprobation</w:t>
      </w:r>
      <w:r w:rsidR="00632CAB" w:rsidRPr="007C5FD5">
        <w:rPr>
          <w:rFonts w:cstheme="minorHAnsi"/>
          <w:color w:val="000000"/>
        </w:rPr>
        <w:t xml:space="preserve">. In </w:t>
      </w:r>
      <w:r w:rsidR="00686448" w:rsidRPr="007C5FD5">
        <w:rPr>
          <w:rFonts w:cstheme="minorHAnsi"/>
          <w:color w:val="000000"/>
        </w:rPr>
        <w:t xml:space="preserve">the US case of  </w:t>
      </w:r>
      <w:r w:rsidR="00686448" w:rsidRPr="007C5FD5">
        <w:rPr>
          <w:rFonts w:cstheme="minorHAnsi"/>
          <w:i/>
          <w:iCs/>
        </w:rPr>
        <w:t xml:space="preserve">New York Times Co c City of New York Fire Department </w:t>
      </w:r>
      <w:r w:rsidR="00686448" w:rsidRPr="007C5FD5">
        <w:rPr>
          <w:rFonts w:cstheme="minorHAnsi"/>
        </w:rPr>
        <w:t>(2005)</w:t>
      </w:r>
      <w:r w:rsidR="00632CAB" w:rsidRPr="007C5FD5">
        <w:rPr>
          <w:rFonts w:cstheme="minorHAnsi"/>
        </w:rPr>
        <w:t xml:space="preserve"> the court poignantly observed</w:t>
      </w:r>
      <w:r w:rsidR="00686448" w:rsidRPr="007C5FD5">
        <w:rPr>
          <w:rFonts w:cstheme="minorHAnsi"/>
        </w:rPr>
        <w:t>: ‘The desire to preserve the dignity of human existence even when life has passed is the sort of interest to which legal protection is given under the name of privacy.’</w:t>
      </w:r>
      <w:r w:rsidR="00686448" w:rsidRPr="007C5FD5">
        <w:rPr>
          <w:rStyle w:val="FootnoteReference"/>
          <w:rFonts w:cstheme="minorHAnsi"/>
        </w:rPr>
        <w:footnoteReference w:id="160"/>
      </w:r>
      <w:r w:rsidR="00686448" w:rsidRPr="007C5FD5">
        <w:rPr>
          <w:rFonts w:cstheme="minorHAnsi"/>
          <w:color w:val="000000"/>
        </w:rPr>
        <w:t xml:space="preserve"> </w:t>
      </w:r>
      <w:r w:rsidR="000E30D4" w:rsidRPr="007C5FD5">
        <w:rPr>
          <w:rFonts w:cstheme="minorHAnsi"/>
          <w:color w:val="000000"/>
        </w:rPr>
        <w:t xml:space="preserve"> </w:t>
      </w:r>
      <w:r w:rsidR="00686448" w:rsidRPr="007C5FD5">
        <w:rPr>
          <w:rFonts w:cstheme="minorHAnsi"/>
          <w:color w:val="000000"/>
        </w:rPr>
        <w:t xml:space="preserve">This </w:t>
      </w:r>
      <w:r w:rsidR="00EF518E" w:rsidRPr="007C5FD5">
        <w:rPr>
          <w:rFonts w:cstheme="minorHAnsi"/>
          <w:color w:val="000000"/>
        </w:rPr>
        <w:t>resonates with</w:t>
      </w:r>
      <w:r w:rsidR="00686448" w:rsidRPr="007C5FD5">
        <w:rPr>
          <w:rFonts w:cstheme="minorHAnsi"/>
          <w:color w:val="000000"/>
        </w:rPr>
        <w:t xml:space="preserve"> the words of the German Constitutional Court in </w:t>
      </w:r>
      <w:proofErr w:type="spellStart"/>
      <w:r w:rsidR="00686448" w:rsidRPr="007C5FD5">
        <w:rPr>
          <w:rFonts w:cstheme="minorHAnsi"/>
          <w:i/>
        </w:rPr>
        <w:t>Mephisto</w:t>
      </w:r>
      <w:proofErr w:type="spellEnd"/>
      <w:r w:rsidR="00686448" w:rsidRPr="007C5FD5">
        <w:rPr>
          <w:rFonts w:cstheme="minorHAnsi"/>
        </w:rPr>
        <w:t xml:space="preserve"> (1971): ‘it would be inconsistent with the constitutional mandate of the inviolability of human dignity, which underlies all basic rights, if a person could be belittled and denigrated after his death. Accordingly, an individual’s death does not put an end to the state’s duty… to protect him from assaults on his human dignity.’</w:t>
      </w:r>
      <w:r w:rsidR="00632CAB" w:rsidRPr="007C5FD5">
        <w:rPr>
          <w:rStyle w:val="FootnoteReference"/>
          <w:rFonts w:cstheme="minorHAnsi"/>
        </w:rPr>
        <w:t xml:space="preserve"> </w:t>
      </w:r>
      <w:r w:rsidR="00632CAB" w:rsidRPr="007C5FD5">
        <w:rPr>
          <w:rStyle w:val="FootnoteReference"/>
          <w:rFonts w:cstheme="minorHAnsi"/>
        </w:rPr>
        <w:footnoteReference w:id="161"/>
      </w:r>
      <w:r w:rsidR="00632CAB" w:rsidRPr="007C5FD5">
        <w:rPr>
          <w:rFonts w:cstheme="minorHAnsi"/>
        </w:rPr>
        <w:t xml:space="preserve"> </w:t>
      </w:r>
      <w:r w:rsidR="00200165" w:rsidRPr="007C5FD5">
        <w:rPr>
          <w:rFonts w:cstheme="minorHAnsi"/>
        </w:rPr>
        <w:t xml:space="preserve">If a society makes dignified or respectful treatment of human beings an imperative, the death of a person is not a major turning point to that societal </w:t>
      </w:r>
      <w:r w:rsidR="004A1455" w:rsidRPr="007C5FD5">
        <w:rPr>
          <w:rFonts w:cstheme="minorHAnsi"/>
        </w:rPr>
        <w:t>commitment</w:t>
      </w:r>
      <w:bookmarkStart w:id="21" w:name="_Toc95071553"/>
      <w:r w:rsidR="000F6197" w:rsidRPr="007C5FD5">
        <w:rPr>
          <w:rFonts w:cstheme="minorHAnsi"/>
        </w:rPr>
        <w:t>.</w:t>
      </w:r>
      <w:r w:rsidR="00EF518E" w:rsidRPr="007C5FD5">
        <w:rPr>
          <w:rFonts w:cstheme="minorHAnsi"/>
          <w:color w:val="000000"/>
        </w:rPr>
        <w:t xml:space="preserve"> </w:t>
      </w:r>
    </w:p>
    <w:p w14:paraId="6F1145A9" w14:textId="77777777" w:rsidR="008C4E2F" w:rsidRPr="007C5FD5" w:rsidRDefault="008C4E2F" w:rsidP="00EE6A2C">
      <w:pPr>
        <w:spacing w:after="0" w:line="240" w:lineRule="auto"/>
        <w:jc w:val="both"/>
        <w:rPr>
          <w:rFonts w:cstheme="minorHAnsi"/>
          <w:color w:val="000000"/>
        </w:rPr>
      </w:pPr>
    </w:p>
    <w:p w14:paraId="3110D171" w14:textId="4A4EDEA9" w:rsidR="00EE6A2C" w:rsidRPr="00C64104" w:rsidRDefault="00CB51B8" w:rsidP="00EE6A2C">
      <w:pPr>
        <w:spacing w:after="0" w:line="240" w:lineRule="auto"/>
        <w:jc w:val="both"/>
        <w:rPr>
          <w:rFonts w:ascii="TimesTen-Roman" w:hAnsi="TimesTen-Roman" w:cs="TimesTen-Roman"/>
        </w:rPr>
      </w:pPr>
      <w:r w:rsidRPr="007C5FD5">
        <w:rPr>
          <w:rFonts w:cstheme="minorHAnsi"/>
          <w:color w:val="000000"/>
        </w:rPr>
        <w:t>And yet,</w:t>
      </w:r>
      <w:r w:rsidR="00EE6A2C" w:rsidRPr="007C5FD5">
        <w:rPr>
          <w:rFonts w:cstheme="minorHAnsi"/>
          <w:color w:val="000000"/>
        </w:rPr>
        <w:t xml:space="preserve"> </w:t>
      </w:r>
      <w:r w:rsidR="007B6F58" w:rsidRPr="007C5FD5">
        <w:rPr>
          <w:rFonts w:cstheme="minorHAnsi"/>
          <w:color w:val="000000"/>
        </w:rPr>
        <w:t>even th</w:t>
      </w:r>
      <w:r w:rsidR="008D174A" w:rsidRPr="007C5FD5">
        <w:rPr>
          <w:rFonts w:cstheme="minorHAnsi"/>
          <w:color w:val="000000"/>
        </w:rPr>
        <w:t>ese</w:t>
      </w:r>
      <w:r w:rsidR="007B6F58" w:rsidRPr="007C5FD5">
        <w:rPr>
          <w:rFonts w:cstheme="minorHAnsi"/>
          <w:color w:val="000000"/>
        </w:rPr>
        <w:t xml:space="preserve"> </w:t>
      </w:r>
      <w:r w:rsidR="008C4E2F" w:rsidRPr="007C5FD5">
        <w:rPr>
          <w:rFonts w:cstheme="minorHAnsi"/>
          <w:color w:val="000000"/>
        </w:rPr>
        <w:t>public good</w:t>
      </w:r>
      <w:r w:rsidR="008D174A" w:rsidRPr="007C5FD5">
        <w:rPr>
          <w:rFonts w:cstheme="minorHAnsi"/>
          <w:color w:val="000000"/>
        </w:rPr>
        <w:t xml:space="preserve">s </w:t>
      </w:r>
      <w:r w:rsidR="00A266B0" w:rsidRPr="007C5FD5">
        <w:rPr>
          <w:rFonts w:cstheme="minorHAnsi"/>
          <w:color w:val="000000"/>
        </w:rPr>
        <w:t>–</w:t>
      </w:r>
      <w:r w:rsidR="008D174A" w:rsidRPr="007C5FD5">
        <w:rPr>
          <w:rFonts w:cstheme="minorHAnsi"/>
          <w:color w:val="000000"/>
        </w:rPr>
        <w:t xml:space="preserve"> </w:t>
      </w:r>
      <w:r w:rsidR="00A266B0" w:rsidRPr="007C5FD5">
        <w:rPr>
          <w:rFonts w:cstheme="minorHAnsi"/>
          <w:color w:val="000000"/>
        </w:rPr>
        <w:t xml:space="preserve">the public good of </w:t>
      </w:r>
      <w:r w:rsidR="008D174A" w:rsidRPr="007C5FD5">
        <w:rPr>
          <w:rFonts w:cstheme="minorHAnsi"/>
          <w:color w:val="000000"/>
        </w:rPr>
        <w:t xml:space="preserve">medical confidentiality </w:t>
      </w:r>
      <w:r w:rsidR="007F39E4" w:rsidRPr="007C5FD5">
        <w:rPr>
          <w:rFonts w:cstheme="minorHAnsi"/>
          <w:color w:val="000000"/>
        </w:rPr>
        <w:t>o</w:t>
      </w:r>
      <w:r w:rsidR="008D174A" w:rsidRPr="007C5FD5">
        <w:rPr>
          <w:rFonts w:cstheme="minorHAnsi"/>
          <w:color w:val="000000"/>
        </w:rPr>
        <w:t>r</w:t>
      </w:r>
      <w:r w:rsidR="00A266B0" w:rsidRPr="007C5FD5">
        <w:rPr>
          <w:rFonts w:cstheme="minorHAnsi"/>
          <w:color w:val="000000"/>
        </w:rPr>
        <w:t xml:space="preserve"> </w:t>
      </w:r>
      <w:r w:rsidR="008C4E2F" w:rsidRPr="007C5FD5">
        <w:rPr>
          <w:rFonts w:cstheme="minorHAnsi"/>
          <w:color w:val="000000"/>
        </w:rPr>
        <w:t xml:space="preserve">human dignity </w:t>
      </w:r>
      <w:r w:rsidR="008D174A" w:rsidRPr="007C5FD5">
        <w:rPr>
          <w:rFonts w:cstheme="minorHAnsi"/>
          <w:color w:val="000000"/>
        </w:rPr>
        <w:t xml:space="preserve">– </w:t>
      </w:r>
      <w:r w:rsidR="00AA541F">
        <w:rPr>
          <w:rFonts w:cstheme="minorHAnsi"/>
          <w:color w:val="000000"/>
        </w:rPr>
        <w:t>are</w:t>
      </w:r>
      <w:r w:rsidR="008D174A" w:rsidRPr="007C5FD5">
        <w:rPr>
          <w:rFonts w:cstheme="minorHAnsi"/>
          <w:color w:val="000000"/>
        </w:rPr>
        <w:t xml:space="preserve"> s</w:t>
      </w:r>
      <w:r w:rsidR="008C4E2F" w:rsidRPr="007C5FD5">
        <w:rPr>
          <w:rFonts w:cstheme="minorHAnsi"/>
          <w:color w:val="000000"/>
        </w:rPr>
        <w:t>olidly anchored in the deceased’s closest relationships</w:t>
      </w:r>
      <w:r w:rsidR="00D551B7" w:rsidRPr="007C5FD5">
        <w:rPr>
          <w:rFonts w:cstheme="minorHAnsi"/>
          <w:color w:val="000000"/>
        </w:rPr>
        <w:t>, and th</w:t>
      </w:r>
      <w:r w:rsidR="00624D7B" w:rsidRPr="007C5FD5">
        <w:rPr>
          <w:rFonts w:cstheme="minorHAnsi"/>
          <w:color w:val="000000"/>
        </w:rPr>
        <w:t>ereby</w:t>
      </w:r>
      <w:r w:rsidR="00D551B7" w:rsidRPr="007C5FD5">
        <w:rPr>
          <w:rFonts w:cstheme="minorHAnsi"/>
          <w:color w:val="000000"/>
        </w:rPr>
        <w:t xml:space="preserve"> given concrete meaning</w:t>
      </w:r>
      <w:r w:rsidR="00624D7B" w:rsidRPr="007C5FD5">
        <w:rPr>
          <w:rFonts w:cstheme="minorHAnsi"/>
          <w:color w:val="000000"/>
        </w:rPr>
        <w:t xml:space="preserve"> through </w:t>
      </w:r>
      <w:r w:rsidR="00624D7B" w:rsidRPr="007C5FD5">
        <w:rPr>
          <w:rFonts w:cstheme="minorHAnsi"/>
          <w:color w:val="000000"/>
        </w:rPr>
        <w:lastRenderedPageBreak/>
        <w:t>their significance to the living</w:t>
      </w:r>
      <w:r w:rsidR="008D174A" w:rsidRPr="007C5FD5">
        <w:rPr>
          <w:rFonts w:cstheme="minorHAnsi"/>
          <w:color w:val="000000"/>
        </w:rPr>
        <w:t>.</w:t>
      </w:r>
      <w:r w:rsidR="0037481F">
        <w:rPr>
          <w:rStyle w:val="FootnoteReference"/>
          <w:rFonts w:cstheme="minorHAnsi"/>
          <w:color w:val="000000"/>
        </w:rPr>
        <w:footnoteReference w:id="162"/>
      </w:r>
      <w:r w:rsidR="0012360C">
        <w:rPr>
          <w:rFonts w:cstheme="minorHAnsi"/>
          <w:color w:val="000000"/>
        </w:rPr>
        <w:t xml:space="preserve"> </w:t>
      </w:r>
      <w:r w:rsidR="008D174A" w:rsidRPr="007C5FD5">
        <w:rPr>
          <w:rFonts w:cstheme="minorHAnsi"/>
          <w:color w:val="000000"/>
        </w:rPr>
        <w:t xml:space="preserve">In </w:t>
      </w:r>
      <w:proofErr w:type="spellStart"/>
      <w:r w:rsidR="008D174A" w:rsidRPr="007C5FD5">
        <w:rPr>
          <w:rFonts w:cstheme="minorHAnsi"/>
          <w:i/>
          <w:iCs/>
        </w:rPr>
        <w:t>Plon</w:t>
      </w:r>
      <w:proofErr w:type="spellEnd"/>
      <w:r w:rsidR="008D174A" w:rsidRPr="007C5FD5">
        <w:rPr>
          <w:rFonts w:cstheme="minorHAnsi"/>
          <w:i/>
          <w:iCs/>
        </w:rPr>
        <w:t xml:space="preserve"> (Société)</w:t>
      </w:r>
      <w:r w:rsidR="008D174A" w:rsidRPr="007C5FD5">
        <w:rPr>
          <w:rFonts w:cstheme="minorHAnsi"/>
          <w:color w:val="000000"/>
        </w:rPr>
        <w:t xml:space="preserve"> </w:t>
      </w:r>
      <w:r w:rsidR="008C4E2F" w:rsidRPr="007C5FD5">
        <w:rPr>
          <w:rFonts w:cstheme="minorHAnsi"/>
          <w:color w:val="000000"/>
        </w:rPr>
        <w:t>the public good of medical confidentiality</w:t>
      </w:r>
      <w:r w:rsidR="008D174A" w:rsidRPr="007C5FD5">
        <w:rPr>
          <w:rFonts w:cstheme="minorHAnsi"/>
          <w:color w:val="000000"/>
        </w:rPr>
        <w:t xml:space="preserve"> was, </w:t>
      </w:r>
      <w:r w:rsidR="007F39E4" w:rsidRPr="007C5FD5">
        <w:rPr>
          <w:rFonts w:cstheme="minorHAnsi"/>
          <w:color w:val="000000"/>
        </w:rPr>
        <w:t xml:space="preserve">upon </w:t>
      </w:r>
      <w:r w:rsidR="0079733F" w:rsidRPr="007C5FD5">
        <w:rPr>
          <w:rFonts w:cstheme="minorHAnsi"/>
          <w:color w:val="000000"/>
        </w:rPr>
        <w:t>Mitterrand’s</w:t>
      </w:r>
      <w:r w:rsidR="007F39E4" w:rsidRPr="007C5FD5">
        <w:rPr>
          <w:rFonts w:cstheme="minorHAnsi"/>
          <w:color w:val="000000"/>
        </w:rPr>
        <w:t xml:space="preserve"> death</w:t>
      </w:r>
      <w:r w:rsidR="008D174A" w:rsidRPr="007C5FD5">
        <w:rPr>
          <w:rFonts w:cstheme="minorHAnsi"/>
          <w:color w:val="000000"/>
        </w:rPr>
        <w:t>,</w:t>
      </w:r>
      <w:r w:rsidR="008C4E2F" w:rsidRPr="007C5FD5">
        <w:rPr>
          <w:rFonts w:cstheme="minorHAnsi"/>
          <w:color w:val="000000"/>
        </w:rPr>
        <w:t xml:space="preserve"> transferred to, and enforceable by</w:t>
      </w:r>
      <w:r w:rsidR="008D174A" w:rsidRPr="007C5FD5">
        <w:rPr>
          <w:rFonts w:cstheme="minorHAnsi"/>
          <w:color w:val="000000"/>
        </w:rPr>
        <w:t>,</w:t>
      </w:r>
      <w:r w:rsidR="008C4E2F" w:rsidRPr="007C5FD5">
        <w:rPr>
          <w:rFonts w:cstheme="minorHAnsi"/>
          <w:color w:val="000000"/>
        </w:rPr>
        <w:t xml:space="preserve"> </w:t>
      </w:r>
      <w:r w:rsidR="007F39E4" w:rsidRPr="007C5FD5">
        <w:rPr>
          <w:rFonts w:cstheme="minorHAnsi"/>
          <w:color w:val="000000"/>
        </w:rPr>
        <w:t>his</w:t>
      </w:r>
      <w:r w:rsidR="008C4E2F" w:rsidRPr="007C5FD5">
        <w:rPr>
          <w:rFonts w:cstheme="minorHAnsi"/>
          <w:color w:val="000000"/>
        </w:rPr>
        <w:t xml:space="preserve"> family</w:t>
      </w:r>
      <w:r w:rsidR="00AC1A54" w:rsidRPr="007C5FD5">
        <w:rPr>
          <w:rFonts w:cstheme="minorHAnsi"/>
          <w:color w:val="000000"/>
        </w:rPr>
        <w:t>.</w:t>
      </w:r>
      <w:r w:rsidR="008C4E2F" w:rsidRPr="007C5FD5">
        <w:rPr>
          <w:rFonts w:cstheme="minorHAnsi"/>
          <w:color w:val="000000"/>
        </w:rPr>
        <w:t xml:space="preserve"> </w:t>
      </w:r>
      <w:r w:rsidR="008D174A" w:rsidRPr="007C5FD5">
        <w:rPr>
          <w:rFonts w:cstheme="minorHAnsi"/>
          <w:color w:val="000000"/>
        </w:rPr>
        <w:t>In</w:t>
      </w:r>
      <w:r w:rsidR="008D174A" w:rsidRPr="007C5FD5">
        <w:rPr>
          <w:rStyle w:val="s68f5eaef"/>
          <w:rFonts w:cstheme="minorHAnsi"/>
        </w:rPr>
        <w:t xml:space="preserve"> </w:t>
      </w:r>
      <w:r w:rsidR="008D174A" w:rsidRPr="007C5FD5">
        <w:rPr>
          <w:rFonts w:cstheme="minorHAnsi"/>
          <w:i/>
          <w:iCs/>
          <w:lang w:eastAsia="en-GB"/>
        </w:rPr>
        <w:t>Digital Inheritance</w:t>
      </w:r>
      <w:r w:rsidR="00624D7B" w:rsidRPr="007C5FD5">
        <w:rPr>
          <w:rFonts w:cstheme="minorHAnsi"/>
          <w:lang w:eastAsia="en-GB"/>
        </w:rPr>
        <w:t xml:space="preserve"> </w:t>
      </w:r>
      <w:r w:rsidR="008D174A" w:rsidRPr="007C5FD5">
        <w:rPr>
          <w:rFonts w:cstheme="minorHAnsi"/>
          <w:lang w:eastAsia="en-GB"/>
        </w:rPr>
        <w:t>th</w:t>
      </w:r>
      <w:r w:rsidR="00BD7642" w:rsidRPr="007C5FD5">
        <w:rPr>
          <w:rFonts w:cstheme="minorHAnsi"/>
          <w:lang w:eastAsia="en-GB"/>
        </w:rPr>
        <w:t xml:space="preserve">e daughter’s post-mortem dignitary interests added no extra dimension to the settlement of her estate, as the parents were on both accounts the relevant parties. </w:t>
      </w:r>
      <w:r w:rsidR="00160343" w:rsidRPr="007C5FD5">
        <w:rPr>
          <w:rFonts w:cstheme="minorHAnsi"/>
          <w:lang w:eastAsia="en-GB"/>
        </w:rPr>
        <w:t xml:space="preserve">In </w:t>
      </w:r>
      <w:r w:rsidR="00BD7642" w:rsidRPr="007C5FD5">
        <w:rPr>
          <w:rFonts w:cstheme="minorHAnsi"/>
          <w:lang w:eastAsia="en-GB"/>
        </w:rPr>
        <w:t xml:space="preserve">England, </w:t>
      </w:r>
      <w:r w:rsidR="008C4E2F" w:rsidRPr="007C5FD5">
        <w:rPr>
          <w:rFonts w:cstheme="minorHAnsi"/>
        </w:rPr>
        <w:t>the court</w:t>
      </w:r>
      <w:r w:rsidR="00BD7642" w:rsidRPr="007C5FD5">
        <w:rPr>
          <w:rFonts w:cstheme="minorHAnsi"/>
        </w:rPr>
        <w:t xml:space="preserve"> in </w:t>
      </w:r>
      <w:r w:rsidR="008C4E2F" w:rsidRPr="007C5FD5">
        <w:rPr>
          <w:rFonts w:cstheme="minorHAnsi"/>
          <w:i/>
          <w:iCs/>
        </w:rPr>
        <w:t xml:space="preserve">Lewis </w:t>
      </w:r>
      <w:r w:rsidR="00624D7B" w:rsidRPr="007C5FD5">
        <w:rPr>
          <w:rFonts w:cstheme="minorHAnsi"/>
        </w:rPr>
        <w:t>commented on the endurance of the post-mortem duty of medical confidentiality</w:t>
      </w:r>
      <w:r w:rsidR="00BD7642" w:rsidRPr="007C5FD5">
        <w:rPr>
          <w:rFonts w:cstheme="minorHAnsi"/>
        </w:rPr>
        <w:t xml:space="preserve">: </w:t>
      </w:r>
      <w:r w:rsidR="008C4E2F" w:rsidRPr="007C5FD5">
        <w:rPr>
          <w:rFonts w:cstheme="minorHAnsi"/>
        </w:rPr>
        <w:t>‘</w:t>
      </w:r>
      <w:r w:rsidR="00BD7642" w:rsidRPr="007C5FD5">
        <w:rPr>
          <w:rFonts w:cstheme="minorHAnsi"/>
        </w:rPr>
        <w:t xml:space="preserve">[t]he </w:t>
      </w:r>
      <w:r w:rsidR="008C4E2F" w:rsidRPr="007C5FD5">
        <w:rPr>
          <w:rFonts w:cstheme="minorHAnsi"/>
        </w:rPr>
        <w:t xml:space="preserve">period for which any duty of confidentiality could reasonably be expected to continue would depend on many circumstances, </w:t>
      </w:r>
      <w:r w:rsidR="008C4E2F" w:rsidRPr="00C64104">
        <w:rPr>
          <w:rFonts w:cstheme="minorHAnsi"/>
        </w:rPr>
        <w:t xml:space="preserve">including the nature of the relationship, the nature of the information and </w:t>
      </w:r>
      <w:r w:rsidR="008C4E2F" w:rsidRPr="00C64104">
        <w:rPr>
          <w:rFonts w:cstheme="minorHAnsi"/>
          <w:i/>
          <w:iCs/>
        </w:rPr>
        <w:t xml:space="preserve">any harm which might be caused to the deceased's estate </w:t>
      </w:r>
      <w:r w:rsidR="008C4E2F" w:rsidRPr="00C64104">
        <w:rPr>
          <w:rFonts w:cstheme="minorHAnsi"/>
        </w:rPr>
        <w:t xml:space="preserve">or, possibly, </w:t>
      </w:r>
      <w:r w:rsidR="008C4E2F" w:rsidRPr="00C64104">
        <w:rPr>
          <w:rFonts w:cstheme="minorHAnsi"/>
          <w:i/>
          <w:iCs/>
        </w:rPr>
        <w:t>those whom the deceased would reasonably have wished to protect</w:t>
      </w:r>
      <w:r w:rsidR="008C4E2F" w:rsidRPr="00C64104">
        <w:rPr>
          <w:rFonts w:cstheme="minorHAnsi"/>
        </w:rPr>
        <w:t>, as well as any grounds for justifying disclosure.’</w:t>
      </w:r>
      <w:r w:rsidR="008C4E2F" w:rsidRPr="00C64104">
        <w:rPr>
          <w:rStyle w:val="FootnoteReference"/>
          <w:rFonts w:cstheme="minorHAnsi"/>
        </w:rPr>
        <w:footnoteReference w:id="163"/>
      </w:r>
      <w:r w:rsidR="00C64104" w:rsidRPr="00C64104">
        <w:rPr>
          <w:rFonts w:cstheme="minorHAnsi"/>
        </w:rPr>
        <w:t xml:space="preserve"> The familial focus</w:t>
      </w:r>
      <w:r w:rsidR="003E4EAD">
        <w:rPr>
          <w:rFonts w:cstheme="minorHAnsi"/>
        </w:rPr>
        <w:t xml:space="preserve"> also</w:t>
      </w:r>
      <w:r w:rsidR="00C64104" w:rsidRPr="00C64104">
        <w:rPr>
          <w:rFonts w:cstheme="minorHAnsi"/>
        </w:rPr>
        <w:t xml:space="preserve"> comes through explicit</w:t>
      </w:r>
      <w:r w:rsidR="003E4EAD">
        <w:rPr>
          <w:rFonts w:cstheme="minorHAnsi"/>
        </w:rPr>
        <w:t>ly</w:t>
      </w:r>
      <w:r w:rsidR="00C64104" w:rsidRPr="00C64104">
        <w:rPr>
          <w:rFonts w:cstheme="minorHAnsi"/>
        </w:rPr>
        <w:t xml:space="preserve"> in the old US case of </w:t>
      </w:r>
      <w:r w:rsidR="00C64104" w:rsidRPr="00C64104">
        <w:rPr>
          <w:rFonts w:cstheme="minorHAnsi"/>
          <w:i/>
          <w:iCs/>
        </w:rPr>
        <w:t>Schuyler v Curtis</w:t>
      </w:r>
      <w:r w:rsidR="00C64104" w:rsidRPr="00C64104">
        <w:rPr>
          <w:rFonts w:cstheme="minorHAnsi"/>
        </w:rPr>
        <w:t xml:space="preserve"> (1895)</w:t>
      </w:r>
      <w:r w:rsidR="00374A30">
        <w:rPr>
          <w:rFonts w:cstheme="minorHAnsi"/>
        </w:rPr>
        <w:t>,</w:t>
      </w:r>
      <w:r w:rsidR="00C64104" w:rsidRPr="00C64104">
        <w:rPr>
          <w:rStyle w:val="FootnoteReference"/>
          <w:rFonts w:cstheme="minorHAnsi"/>
        </w:rPr>
        <w:footnoteReference w:id="164"/>
      </w:r>
      <w:r w:rsidR="00C64104" w:rsidRPr="00C64104">
        <w:rPr>
          <w:rFonts w:cstheme="minorHAnsi"/>
        </w:rPr>
        <w:t xml:space="preserve"> where court observed that a ‘ privilege may be given the surviving relatives of a deceased person to protect his memory, but the privilege exists for the benefit of the living, to protect their feelings, and to prevent a violation of their own rights in the character and memory of the deceased.’</w:t>
      </w:r>
      <w:r w:rsidR="00C64104" w:rsidRPr="00C64104">
        <w:rPr>
          <w:rStyle w:val="FootnoteReference"/>
          <w:rFonts w:cstheme="minorHAnsi"/>
        </w:rPr>
        <w:footnoteReference w:id="165"/>
      </w:r>
      <w:r w:rsidR="008C4E2F" w:rsidRPr="00C64104">
        <w:rPr>
          <w:rFonts w:cstheme="minorHAnsi"/>
          <w:color w:val="000000"/>
        </w:rPr>
        <w:t xml:space="preserve"> In other words, post-mortem dignitary interests, </w:t>
      </w:r>
      <w:r w:rsidR="00BD7642" w:rsidRPr="00C64104">
        <w:rPr>
          <w:rFonts w:cstheme="minorHAnsi"/>
          <w:color w:val="000000"/>
        </w:rPr>
        <w:t xml:space="preserve">constructed </w:t>
      </w:r>
      <w:r w:rsidR="008C4E2F" w:rsidRPr="00C64104">
        <w:rPr>
          <w:rFonts w:cstheme="minorHAnsi"/>
          <w:color w:val="000000"/>
        </w:rPr>
        <w:t>as public good</w:t>
      </w:r>
      <w:r w:rsidR="00BD7642" w:rsidRPr="00C64104">
        <w:rPr>
          <w:rFonts w:cstheme="minorHAnsi"/>
          <w:color w:val="000000"/>
        </w:rPr>
        <w:t>s</w:t>
      </w:r>
      <w:r w:rsidR="008C4E2F" w:rsidRPr="00C64104">
        <w:rPr>
          <w:rFonts w:cstheme="minorHAnsi"/>
          <w:color w:val="000000"/>
        </w:rPr>
        <w:t xml:space="preserve">, are neither self-supporting nor ever-lasting, but once </w:t>
      </w:r>
      <w:r w:rsidR="00160343" w:rsidRPr="00C64104">
        <w:rPr>
          <w:rFonts w:cstheme="minorHAnsi"/>
          <w:color w:val="000000"/>
        </w:rPr>
        <w:t>more</w:t>
      </w:r>
      <w:r w:rsidR="008C4E2F" w:rsidRPr="00C64104">
        <w:rPr>
          <w:rFonts w:cstheme="minorHAnsi"/>
          <w:color w:val="000000"/>
        </w:rPr>
        <w:t xml:space="preserve"> tied to the interests of living relations, as manifested </w:t>
      </w:r>
      <w:r w:rsidR="00D551B7" w:rsidRPr="00C64104">
        <w:rPr>
          <w:rFonts w:cstheme="minorHAnsi"/>
          <w:color w:val="000000"/>
        </w:rPr>
        <w:t xml:space="preserve">by their </w:t>
      </w:r>
      <w:r w:rsidR="008C4E2F" w:rsidRPr="00C64104">
        <w:rPr>
          <w:rFonts w:cstheme="minorHAnsi"/>
          <w:color w:val="000000"/>
        </w:rPr>
        <w:t>enforcement actions</w:t>
      </w:r>
      <w:r w:rsidR="00D551B7" w:rsidRPr="007C5FD5">
        <w:rPr>
          <w:rFonts w:cstheme="minorHAnsi"/>
          <w:color w:val="000000"/>
        </w:rPr>
        <w:t xml:space="preserve"> or lack thereof. </w:t>
      </w:r>
    </w:p>
    <w:bookmarkEnd w:id="21"/>
    <w:p w14:paraId="13929163" w14:textId="003BEFFE" w:rsidR="00BE6AB2" w:rsidRPr="007C5FD5" w:rsidRDefault="00BE6AB2" w:rsidP="00BE6AB2">
      <w:pPr>
        <w:autoSpaceDE w:val="0"/>
        <w:autoSpaceDN w:val="0"/>
        <w:adjustRightInd w:val="0"/>
        <w:spacing w:after="0" w:line="240" w:lineRule="auto"/>
        <w:jc w:val="both"/>
        <w:rPr>
          <w:rFonts w:cstheme="minorHAnsi"/>
        </w:rPr>
      </w:pPr>
    </w:p>
    <w:p w14:paraId="7FC06A59" w14:textId="4B487F19" w:rsidR="00BE6AB2" w:rsidRPr="007C5FD5" w:rsidRDefault="007F39E4" w:rsidP="007F39E4">
      <w:pPr>
        <w:pStyle w:val="Heading2"/>
        <w:ind w:left="720"/>
        <w:rPr>
          <w:rFonts w:asciiTheme="minorHAnsi" w:hAnsiTheme="minorHAnsi" w:cstheme="minorHAnsi"/>
        </w:rPr>
      </w:pPr>
      <w:bookmarkStart w:id="22" w:name="_Toc105945049"/>
      <w:r w:rsidRPr="007C5FD5">
        <w:rPr>
          <w:rFonts w:asciiTheme="minorHAnsi" w:hAnsiTheme="minorHAnsi" w:cstheme="minorHAnsi"/>
        </w:rPr>
        <w:t xml:space="preserve">3.3. </w:t>
      </w:r>
      <w:r w:rsidR="00BE6AB2" w:rsidRPr="007C5FD5">
        <w:rPr>
          <w:rFonts w:asciiTheme="minorHAnsi" w:hAnsiTheme="minorHAnsi" w:cstheme="minorHAnsi"/>
        </w:rPr>
        <w:t xml:space="preserve">The post-mortem </w:t>
      </w:r>
      <w:r w:rsidR="002731AE" w:rsidRPr="007C5FD5">
        <w:rPr>
          <w:rFonts w:asciiTheme="minorHAnsi" w:hAnsiTheme="minorHAnsi" w:cstheme="minorHAnsi"/>
        </w:rPr>
        <w:t>reconfiguration</w:t>
      </w:r>
      <w:r w:rsidR="00BE6AB2" w:rsidRPr="007C5FD5">
        <w:rPr>
          <w:rFonts w:asciiTheme="minorHAnsi" w:hAnsiTheme="minorHAnsi" w:cstheme="minorHAnsi"/>
        </w:rPr>
        <w:t xml:space="preserve"> of competing rights of the living</w:t>
      </w:r>
      <w:bookmarkEnd w:id="22"/>
      <w:r w:rsidR="00BE6AB2" w:rsidRPr="007C5FD5">
        <w:rPr>
          <w:rFonts w:asciiTheme="minorHAnsi" w:hAnsiTheme="minorHAnsi" w:cstheme="minorHAnsi"/>
        </w:rPr>
        <w:t xml:space="preserve"> </w:t>
      </w:r>
    </w:p>
    <w:p w14:paraId="760A8F20" w14:textId="77777777" w:rsidR="00BE6AB2" w:rsidRPr="007C5FD5" w:rsidRDefault="00BE6AB2" w:rsidP="00884C5E">
      <w:pPr>
        <w:autoSpaceDE w:val="0"/>
        <w:autoSpaceDN w:val="0"/>
        <w:adjustRightInd w:val="0"/>
        <w:spacing w:after="0" w:line="240" w:lineRule="auto"/>
        <w:jc w:val="both"/>
        <w:rPr>
          <w:rFonts w:cstheme="minorHAnsi"/>
        </w:rPr>
      </w:pPr>
    </w:p>
    <w:p w14:paraId="2E466569" w14:textId="4D49FFE6" w:rsidR="00D36C55" w:rsidRPr="007C5FD5" w:rsidRDefault="00884C5E" w:rsidP="00884C5E">
      <w:pPr>
        <w:autoSpaceDE w:val="0"/>
        <w:autoSpaceDN w:val="0"/>
        <w:adjustRightInd w:val="0"/>
        <w:spacing w:after="0" w:line="240" w:lineRule="auto"/>
        <w:jc w:val="both"/>
        <w:rPr>
          <w:rFonts w:cstheme="minorHAnsi"/>
        </w:rPr>
      </w:pPr>
      <w:r w:rsidRPr="007C5FD5">
        <w:rPr>
          <w:rFonts w:cstheme="minorHAnsi"/>
        </w:rPr>
        <w:t>Whether post-mortem medical confidentiality takes shape as a form of</w:t>
      </w:r>
      <w:r w:rsidR="00FA3D8C" w:rsidRPr="007C5FD5">
        <w:rPr>
          <w:rFonts w:cstheme="minorHAnsi"/>
        </w:rPr>
        <w:t xml:space="preserve"> relational </w:t>
      </w:r>
      <w:r w:rsidRPr="007C5FD5">
        <w:rPr>
          <w:rFonts w:cstheme="minorHAnsi"/>
        </w:rPr>
        <w:t xml:space="preserve">privacy or as </w:t>
      </w:r>
      <w:proofErr w:type="gramStart"/>
      <w:r w:rsidRPr="007C5FD5">
        <w:rPr>
          <w:rFonts w:cstheme="minorHAnsi"/>
        </w:rPr>
        <w:t xml:space="preserve">a </w:t>
      </w:r>
      <w:r w:rsidR="00996676" w:rsidRPr="007C5FD5">
        <w:rPr>
          <w:rFonts w:cstheme="minorHAnsi"/>
        </w:rPr>
        <w:t xml:space="preserve">general </w:t>
      </w:r>
      <w:r w:rsidR="00AC1A54" w:rsidRPr="007C5FD5">
        <w:rPr>
          <w:rFonts w:cstheme="minorHAnsi"/>
        </w:rPr>
        <w:t>public</w:t>
      </w:r>
      <w:proofErr w:type="gramEnd"/>
      <w:r w:rsidR="00AC1A54" w:rsidRPr="007C5FD5">
        <w:rPr>
          <w:rFonts w:cstheme="minorHAnsi"/>
        </w:rPr>
        <w:t xml:space="preserve"> good</w:t>
      </w:r>
      <w:r w:rsidRPr="007C5FD5">
        <w:rPr>
          <w:rFonts w:cstheme="minorHAnsi"/>
        </w:rPr>
        <w:t>, the</w:t>
      </w:r>
      <w:r w:rsidR="00DE7ECD" w:rsidRPr="007C5FD5">
        <w:rPr>
          <w:rFonts w:cstheme="minorHAnsi"/>
        </w:rPr>
        <w:t xml:space="preserve"> wider</w:t>
      </w:r>
      <w:r w:rsidRPr="007C5FD5">
        <w:rPr>
          <w:rFonts w:cstheme="minorHAnsi"/>
        </w:rPr>
        <w:t xml:space="preserve"> lessons it </w:t>
      </w:r>
      <w:r w:rsidR="00DE7ECD" w:rsidRPr="007C5FD5">
        <w:rPr>
          <w:rFonts w:cstheme="minorHAnsi"/>
        </w:rPr>
        <w:t>holds</w:t>
      </w:r>
      <w:r w:rsidRPr="007C5FD5">
        <w:rPr>
          <w:rFonts w:cstheme="minorHAnsi"/>
        </w:rPr>
        <w:t xml:space="preserve"> for post-mortem (digital) privacy is that it is, after all, firmly focused on the interests of the living. </w:t>
      </w:r>
      <w:r w:rsidR="00631E1C" w:rsidRPr="007C5FD5">
        <w:rPr>
          <w:rFonts w:cstheme="minorHAnsi"/>
        </w:rPr>
        <w:t>The p</w:t>
      </w:r>
      <w:r w:rsidRPr="007C5FD5">
        <w:rPr>
          <w:rFonts w:cstheme="minorHAnsi"/>
        </w:rPr>
        <w:t>ost-mortem</w:t>
      </w:r>
      <w:r w:rsidR="00631E1C" w:rsidRPr="007C5FD5">
        <w:rPr>
          <w:rFonts w:cstheme="minorHAnsi"/>
        </w:rPr>
        <w:t xml:space="preserve"> protection of</w:t>
      </w:r>
      <w:r w:rsidRPr="007C5FD5">
        <w:rPr>
          <w:rFonts w:cstheme="minorHAnsi"/>
        </w:rPr>
        <w:t xml:space="preserve"> medical confidentiality emerges as a</w:t>
      </w:r>
      <w:r w:rsidR="00631E1C" w:rsidRPr="007C5FD5">
        <w:rPr>
          <w:rFonts w:cstheme="minorHAnsi"/>
        </w:rPr>
        <w:t xml:space="preserve">n </w:t>
      </w:r>
      <w:r w:rsidRPr="007C5FD5">
        <w:rPr>
          <w:rFonts w:cstheme="minorHAnsi"/>
          <w:i/>
          <w:iCs/>
        </w:rPr>
        <w:t>adjunct</w:t>
      </w:r>
      <w:r w:rsidRPr="007C5FD5">
        <w:rPr>
          <w:rFonts w:cstheme="minorHAnsi"/>
        </w:rPr>
        <w:t xml:space="preserve"> to guarding</w:t>
      </w:r>
      <w:r w:rsidR="002B5EBE" w:rsidRPr="007C5FD5">
        <w:rPr>
          <w:rFonts w:cstheme="minorHAnsi"/>
        </w:rPr>
        <w:t xml:space="preserve"> privacy</w:t>
      </w:r>
      <w:r w:rsidR="000565F1" w:rsidRPr="007C5FD5">
        <w:rPr>
          <w:rFonts w:cstheme="minorHAnsi"/>
        </w:rPr>
        <w:t xml:space="preserve"> </w:t>
      </w:r>
      <w:r w:rsidRPr="007C5FD5">
        <w:rPr>
          <w:rFonts w:cstheme="minorHAnsi"/>
        </w:rPr>
        <w:t>interests of the living</w:t>
      </w:r>
      <w:r w:rsidR="000565F1" w:rsidRPr="007C5FD5">
        <w:rPr>
          <w:rFonts w:cstheme="minorHAnsi"/>
        </w:rPr>
        <w:t xml:space="preserve">. </w:t>
      </w:r>
      <w:r w:rsidR="00631E1C" w:rsidRPr="007C5FD5">
        <w:rPr>
          <w:rFonts w:cstheme="minorHAnsi"/>
        </w:rPr>
        <w:t>W</w:t>
      </w:r>
      <w:r w:rsidR="00AC1A54" w:rsidRPr="007C5FD5">
        <w:rPr>
          <w:rFonts w:cstheme="minorHAnsi"/>
        </w:rPr>
        <w:t xml:space="preserve">hilst the </w:t>
      </w:r>
      <w:r w:rsidRPr="007C5FD5">
        <w:rPr>
          <w:rFonts w:cstheme="minorHAnsi"/>
        </w:rPr>
        <w:t>confidentialities</w:t>
      </w:r>
      <w:r w:rsidR="00AC1A54" w:rsidRPr="007C5FD5">
        <w:rPr>
          <w:rFonts w:cstheme="minorHAnsi"/>
        </w:rPr>
        <w:t xml:space="preserve"> of the deceased</w:t>
      </w:r>
      <w:r w:rsidRPr="007C5FD5">
        <w:rPr>
          <w:rFonts w:cstheme="minorHAnsi"/>
        </w:rPr>
        <w:t xml:space="preserve"> may </w:t>
      </w:r>
      <w:r w:rsidR="00AC1A54" w:rsidRPr="007C5FD5">
        <w:rPr>
          <w:rFonts w:cstheme="minorHAnsi"/>
        </w:rPr>
        <w:t>survive</w:t>
      </w:r>
      <w:r w:rsidRPr="007C5FD5">
        <w:rPr>
          <w:rFonts w:cstheme="minorHAnsi"/>
        </w:rPr>
        <w:t xml:space="preserve"> </w:t>
      </w:r>
      <w:r w:rsidR="001957B0" w:rsidRPr="007C5FD5">
        <w:rPr>
          <w:rFonts w:cstheme="minorHAnsi"/>
        </w:rPr>
        <w:t>h</w:t>
      </w:r>
      <w:r w:rsidR="00631E1C" w:rsidRPr="007C5FD5">
        <w:rPr>
          <w:rFonts w:cstheme="minorHAnsi"/>
        </w:rPr>
        <w:t xml:space="preserve">er </w:t>
      </w:r>
      <w:r w:rsidRPr="007C5FD5">
        <w:rPr>
          <w:rFonts w:cstheme="minorHAnsi"/>
        </w:rPr>
        <w:t xml:space="preserve">death, </w:t>
      </w:r>
      <w:r w:rsidR="00631E1C" w:rsidRPr="007C5FD5">
        <w:rPr>
          <w:rFonts w:cstheme="minorHAnsi"/>
        </w:rPr>
        <w:t>this is entirely contingent</w:t>
      </w:r>
      <w:r w:rsidR="00FA3D8C" w:rsidRPr="007C5FD5">
        <w:rPr>
          <w:rFonts w:cstheme="minorHAnsi"/>
        </w:rPr>
        <w:t xml:space="preserve"> on the existence of </w:t>
      </w:r>
      <w:r w:rsidR="00EE6A2C" w:rsidRPr="007C5FD5">
        <w:rPr>
          <w:rFonts w:cstheme="minorHAnsi"/>
        </w:rPr>
        <w:t xml:space="preserve">a </w:t>
      </w:r>
      <w:r w:rsidR="00DC668D">
        <w:rPr>
          <w:rFonts w:cstheme="minorHAnsi"/>
        </w:rPr>
        <w:t xml:space="preserve">living </w:t>
      </w:r>
      <w:r w:rsidR="00FA3D8C" w:rsidRPr="007C5FD5">
        <w:rPr>
          <w:rFonts w:cstheme="minorHAnsi"/>
        </w:rPr>
        <w:t>‘carrier’ with</w:t>
      </w:r>
      <w:r w:rsidR="00AC1A54" w:rsidRPr="007C5FD5">
        <w:rPr>
          <w:rFonts w:cstheme="minorHAnsi"/>
        </w:rPr>
        <w:t xml:space="preserve"> </w:t>
      </w:r>
      <w:r w:rsidR="00631E1C" w:rsidRPr="007C5FD5">
        <w:rPr>
          <w:rFonts w:cstheme="minorHAnsi"/>
        </w:rPr>
        <w:t xml:space="preserve">parallel </w:t>
      </w:r>
      <w:r w:rsidR="00FA3D8C" w:rsidRPr="007C5FD5">
        <w:rPr>
          <w:rFonts w:cstheme="minorHAnsi"/>
        </w:rPr>
        <w:t>interests</w:t>
      </w:r>
      <w:r w:rsidR="0079733F">
        <w:rPr>
          <w:rFonts w:cstheme="minorHAnsi"/>
        </w:rPr>
        <w:t>,</w:t>
      </w:r>
      <w:r w:rsidR="00631E1C" w:rsidRPr="007C5FD5">
        <w:rPr>
          <w:rFonts w:cstheme="minorHAnsi"/>
        </w:rPr>
        <w:t xml:space="preserve"> </w:t>
      </w:r>
      <w:r w:rsidR="00AC1A54" w:rsidRPr="007C5FD5">
        <w:rPr>
          <w:rFonts w:cstheme="minorHAnsi"/>
          <w:i/>
          <w:iCs/>
        </w:rPr>
        <w:t>and</w:t>
      </w:r>
      <w:r w:rsidR="00AC1A54" w:rsidRPr="007C5FD5">
        <w:rPr>
          <w:rFonts w:cstheme="minorHAnsi"/>
        </w:rPr>
        <w:t xml:space="preserve"> </w:t>
      </w:r>
      <w:r w:rsidR="007F39E4" w:rsidRPr="007C5FD5">
        <w:rPr>
          <w:rFonts w:cstheme="minorHAnsi"/>
        </w:rPr>
        <w:t>on</w:t>
      </w:r>
      <w:r w:rsidR="00AC1A54" w:rsidRPr="007C5FD5">
        <w:rPr>
          <w:rFonts w:cstheme="minorHAnsi"/>
        </w:rPr>
        <w:t xml:space="preserve"> th</w:t>
      </w:r>
      <w:r w:rsidR="001957B0" w:rsidRPr="007C5FD5">
        <w:rPr>
          <w:rFonts w:cstheme="minorHAnsi"/>
        </w:rPr>
        <w:t xml:space="preserve">ose </w:t>
      </w:r>
      <w:r w:rsidR="007F39E4" w:rsidRPr="007C5FD5">
        <w:rPr>
          <w:rFonts w:cstheme="minorHAnsi"/>
        </w:rPr>
        <w:t>interests</w:t>
      </w:r>
      <w:r w:rsidR="00AC1A54" w:rsidRPr="007C5FD5">
        <w:rPr>
          <w:rFonts w:cstheme="minorHAnsi"/>
        </w:rPr>
        <w:t xml:space="preserve"> trump</w:t>
      </w:r>
      <w:r w:rsidR="007F39E4" w:rsidRPr="007C5FD5">
        <w:rPr>
          <w:rFonts w:cstheme="minorHAnsi"/>
        </w:rPr>
        <w:t>ing</w:t>
      </w:r>
      <w:r w:rsidR="00AC1A54" w:rsidRPr="007C5FD5">
        <w:rPr>
          <w:rFonts w:cstheme="minorHAnsi"/>
        </w:rPr>
        <w:t xml:space="preserve"> th</w:t>
      </w:r>
      <w:r w:rsidR="001957B0" w:rsidRPr="007C5FD5">
        <w:rPr>
          <w:rFonts w:cstheme="minorHAnsi"/>
        </w:rPr>
        <w:t>e interests of</w:t>
      </w:r>
      <w:r w:rsidR="00AC1A54" w:rsidRPr="007C5FD5">
        <w:rPr>
          <w:rFonts w:cstheme="minorHAnsi"/>
        </w:rPr>
        <w:t xml:space="preserve"> others</w:t>
      </w:r>
      <w:r w:rsidR="00631E1C" w:rsidRPr="007C5FD5">
        <w:rPr>
          <w:rFonts w:cstheme="minorHAnsi"/>
        </w:rPr>
        <w:t xml:space="preserve"> (as in </w:t>
      </w:r>
      <w:r w:rsidR="00631E1C" w:rsidRPr="007C5FD5">
        <w:rPr>
          <w:rFonts w:cstheme="minorHAnsi"/>
          <w:i/>
          <w:iCs/>
        </w:rPr>
        <w:t xml:space="preserve">Re C </w:t>
      </w:r>
      <w:r w:rsidR="00631E1C" w:rsidRPr="007C5FD5">
        <w:rPr>
          <w:rFonts w:cstheme="minorHAnsi"/>
        </w:rPr>
        <w:t xml:space="preserve">or </w:t>
      </w:r>
      <w:r w:rsidR="00631E1C" w:rsidRPr="007C5FD5">
        <w:rPr>
          <w:rFonts w:cstheme="minorHAnsi"/>
          <w:i/>
          <w:iCs/>
        </w:rPr>
        <w:t xml:space="preserve">Re </w:t>
      </w:r>
      <w:proofErr w:type="spellStart"/>
      <w:r w:rsidR="00631E1C" w:rsidRPr="007C5FD5">
        <w:rPr>
          <w:rFonts w:cstheme="minorHAnsi"/>
          <w:i/>
          <w:iCs/>
        </w:rPr>
        <w:t>Bluck</w:t>
      </w:r>
      <w:proofErr w:type="spellEnd"/>
      <w:r w:rsidR="00631E1C" w:rsidRPr="007C5FD5">
        <w:rPr>
          <w:rFonts w:cstheme="minorHAnsi"/>
        </w:rPr>
        <w:t>)</w:t>
      </w:r>
      <w:r w:rsidR="001957B0" w:rsidRPr="007C5FD5">
        <w:rPr>
          <w:rFonts w:cstheme="minorHAnsi"/>
        </w:rPr>
        <w:t xml:space="preserve">. </w:t>
      </w:r>
      <w:r w:rsidR="00631E1C" w:rsidRPr="007C5FD5">
        <w:rPr>
          <w:rFonts w:cstheme="minorHAnsi"/>
        </w:rPr>
        <w:t xml:space="preserve">By the same token, </w:t>
      </w:r>
      <w:r w:rsidR="0079733F">
        <w:rPr>
          <w:rFonts w:cstheme="minorHAnsi"/>
        </w:rPr>
        <w:t>with</w:t>
      </w:r>
      <w:r w:rsidR="007F39E4" w:rsidRPr="007C5FD5">
        <w:rPr>
          <w:rFonts w:cstheme="minorHAnsi"/>
        </w:rPr>
        <w:t xml:space="preserve"> the deceased taken out of the </w:t>
      </w:r>
      <w:r w:rsidR="0079733F">
        <w:rPr>
          <w:rFonts w:cstheme="minorHAnsi"/>
        </w:rPr>
        <w:t>equation</w:t>
      </w:r>
      <w:r w:rsidR="007F39E4" w:rsidRPr="007C5FD5">
        <w:rPr>
          <w:rFonts w:cstheme="minorHAnsi"/>
        </w:rPr>
        <w:t xml:space="preserve">, death becomes </w:t>
      </w:r>
      <w:r w:rsidR="00A266B0" w:rsidRPr="007C5FD5">
        <w:rPr>
          <w:rFonts w:cstheme="minorHAnsi"/>
        </w:rPr>
        <w:t>a</w:t>
      </w:r>
      <w:r w:rsidR="007F39E4" w:rsidRPr="007C5FD5">
        <w:rPr>
          <w:rFonts w:cstheme="minorHAnsi"/>
        </w:rPr>
        <w:t xml:space="preserve"> point </w:t>
      </w:r>
      <w:r w:rsidR="00A266B0" w:rsidRPr="007C5FD5">
        <w:rPr>
          <w:rFonts w:cstheme="minorHAnsi"/>
        </w:rPr>
        <w:t xml:space="preserve">for </w:t>
      </w:r>
      <w:r w:rsidR="00254034" w:rsidRPr="007C5FD5">
        <w:rPr>
          <w:rFonts w:cstheme="minorHAnsi"/>
        </w:rPr>
        <w:t>reconfigur</w:t>
      </w:r>
      <w:r w:rsidR="0079733F">
        <w:rPr>
          <w:rFonts w:cstheme="minorHAnsi"/>
        </w:rPr>
        <w:t>ing</w:t>
      </w:r>
      <w:r w:rsidR="00A266B0" w:rsidRPr="007C5FD5">
        <w:rPr>
          <w:rFonts w:cstheme="minorHAnsi"/>
        </w:rPr>
        <w:t xml:space="preserve"> the balance struck </w:t>
      </w:r>
      <w:r w:rsidR="0079733F" w:rsidRPr="007C5FD5">
        <w:rPr>
          <w:rFonts w:cstheme="minorHAnsi"/>
        </w:rPr>
        <w:t xml:space="preserve">ante-mortem </w:t>
      </w:r>
      <w:r w:rsidR="00A266B0" w:rsidRPr="007C5FD5">
        <w:rPr>
          <w:rFonts w:cstheme="minorHAnsi"/>
        </w:rPr>
        <w:t>between</w:t>
      </w:r>
      <w:r w:rsidR="00254034" w:rsidRPr="007C5FD5">
        <w:rPr>
          <w:rFonts w:cstheme="minorHAnsi"/>
        </w:rPr>
        <w:t xml:space="preserve"> the</w:t>
      </w:r>
      <w:r w:rsidR="007F39E4" w:rsidRPr="007C5FD5">
        <w:rPr>
          <w:rFonts w:cstheme="minorHAnsi"/>
        </w:rPr>
        <w:t xml:space="preserve"> </w:t>
      </w:r>
      <w:r w:rsidR="00735BA9" w:rsidRPr="007C5FD5">
        <w:rPr>
          <w:rFonts w:cstheme="minorHAnsi"/>
        </w:rPr>
        <w:t xml:space="preserve">competing </w:t>
      </w:r>
      <w:r w:rsidRPr="007C5FD5">
        <w:rPr>
          <w:rFonts w:cstheme="minorHAnsi"/>
        </w:rPr>
        <w:t>rights</w:t>
      </w:r>
      <w:r w:rsidR="00FD20B7" w:rsidRPr="007C5FD5">
        <w:rPr>
          <w:rFonts w:cstheme="minorHAnsi"/>
        </w:rPr>
        <w:t xml:space="preserve"> </w:t>
      </w:r>
      <w:r w:rsidR="00DE7ECD" w:rsidRPr="007C5FD5">
        <w:rPr>
          <w:rFonts w:cstheme="minorHAnsi"/>
        </w:rPr>
        <w:t>of the living</w:t>
      </w:r>
      <w:r w:rsidR="007F39E4" w:rsidRPr="007C5FD5">
        <w:rPr>
          <w:rFonts w:cstheme="minorHAnsi"/>
        </w:rPr>
        <w:t>.</w:t>
      </w:r>
      <w:r w:rsidR="00D36C55" w:rsidRPr="007C5FD5">
        <w:rPr>
          <w:rStyle w:val="FootnoteReference"/>
          <w:rFonts w:cstheme="minorHAnsi"/>
        </w:rPr>
        <w:footnoteReference w:id="166"/>
      </w:r>
      <w:r w:rsidR="00D36C55" w:rsidRPr="007C5FD5">
        <w:rPr>
          <w:rFonts w:cstheme="minorHAnsi"/>
        </w:rPr>
        <w:t xml:space="preserve"> </w:t>
      </w:r>
    </w:p>
    <w:p w14:paraId="0A6C351F" w14:textId="77777777" w:rsidR="003065D0" w:rsidRPr="007C5FD5" w:rsidRDefault="003065D0" w:rsidP="00FD77D8">
      <w:pPr>
        <w:spacing w:after="0" w:line="240" w:lineRule="auto"/>
        <w:jc w:val="both"/>
        <w:rPr>
          <w:rStyle w:val="sa2b98c15"/>
          <w:rFonts w:cstheme="minorHAnsi"/>
        </w:rPr>
      </w:pPr>
    </w:p>
    <w:p w14:paraId="1DA2E0FD" w14:textId="5DD4B914" w:rsidR="00822800" w:rsidRPr="007C5FD5" w:rsidRDefault="003065D0" w:rsidP="00FD77D8">
      <w:pPr>
        <w:spacing w:after="0" w:line="240" w:lineRule="auto"/>
        <w:jc w:val="both"/>
        <w:rPr>
          <w:rFonts w:cstheme="minorHAnsi"/>
          <w:color w:val="000000"/>
        </w:rPr>
      </w:pPr>
      <w:r w:rsidRPr="007C5FD5">
        <w:rPr>
          <w:rStyle w:val="sa2b98c15"/>
          <w:rFonts w:cstheme="minorHAnsi"/>
          <w:u w:val="single"/>
        </w:rPr>
        <w:t>Competing Privacy Rights</w:t>
      </w:r>
      <w:r w:rsidR="002A5BE7" w:rsidRPr="007C5FD5">
        <w:rPr>
          <w:rStyle w:val="sa2b98c15"/>
          <w:rFonts w:cstheme="minorHAnsi"/>
          <w:u w:val="single"/>
        </w:rPr>
        <w:t>.</w:t>
      </w:r>
      <w:r w:rsidRPr="007C5FD5">
        <w:rPr>
          <w:rStyle w:val="sa2b98c15"/>
          <w:rFonts w:cstheme="minorHAnsi"/>
        </w:rPr>
        <w:t xml:space="preserve"> </w:t>
      </w:r>
      <w:r w:rsidR="0088090D" w:rsidRPr="007C5FD5">
        <w:rPr>
          <w:rStyle w:val="sa2b98c15"/>
          <w:rFonts w:cstheme="minorHAnsi"/>
        </w:rPr>
        <w:t xml:space="preserve">A direct confrontation between the privacy </w:t>
      </w:r>
      <w:r w:rsidR="007F39E4" w:rsidRPr="007C5FD5">
        <w:rPr>
          <w:rStyle w:val="sa2b98c15"/>
          <w:rFonts w:cstheme="minorHAnsi"/>
        </w:rPr>
        <w:t xml:space="preserve">interests </w:t>
      </w:r>
      <w:r w:rsidR="0088090D" w:rsidRPr="007C5FD5">
        <w:rPr>
          <w:rStyle w:val="sa2b98c15"/>
          <w:rFonts w:cstheme="minorHAnsi"/>
        </w:rPr>
        <w:t>of the deceased</w:t>
      </w:r>
      <w:r w:rsidR="00A266B0" w:rsidRPr="007C5FD5">
        <w:rPr>
          <w:rStyle w:val="sa2b98c15"/>
          <w:rFonts w:cstheme="minorHAnsi"/>
        </w:rPr>
        <w:t>, o</w:t>
      </w:r>
      <w:r w:rsidR="007F39E4" w:rsidRPr="007C5FD5">
        <w:rPr>
          <w:rStyle w:val="sa2b98c15"/>
          <w:rFonts w:cstheme="minorHAnsi"/>
        </w:rPr>
        <w:t>r his estate</w:t>
      </w:r>
      <w:r w:rsidR="00A266B0" w:rsidRPr="007C5FD5">
        <w:rPr>
          <w:rStyle w:val="sa2b98c15"/>
          <w:rFonts w:cstheme="minorHAnsi"/>
        </w:rPr>
        <w:t xml:space="preserve">, </w:t>
      </w:r>
      <w:r w:rsidR="0088090D" w:rsidRPr="007C5FD5">
        <w:rPr>
          <w:rStyle w:val="sa2b98c15"/>
          <w:rFonts w:cstheme="minorHAnsi"/>
        </w:rPr>
        <w:t xml:space="preserve">and </w:t>
      </w:r>
      <w:r w:rsidR="00A266B0" w:rsidRPr="007C5FD5">
        <w:rPr>
          <w:rStyle w:val="sa2b98c15"/>
          <w:rFonts w:cstheme="minorHAnsi"/>
        </w:rPr>
        <w:t>the privacy</w:t>
      </w:r>
      <w:r w:rsidR="00EF3AFC" w:rsidRPr="007C5FD5">
        <w:rPr>
          <w:rStyle w:val="sa2b98c15"/>
          <w:rFonts w:cstheme="minorHAnsi"/>
        </w:rPr>
        <w:t xml:space="preserve"> </w:t>
      </w:r>
      <w:r w:rsidR="008F04C8" w:rsidRPr="007C5FD5">
        <w:rPr>
          <w:rStyle w:val="sa2b98c15"/>
          <w:rFonts w:cstheme="minorHAnsi"/>
        </w:rPr>
        <w:t>rights</w:t>
      </w:r>
      <w:r w:rsidR="0088090D" w:rsidRPr="007C5FD5">
        <w:rPr>
          <w:rStyle w:val="sa2b98c15"/>
          <w:rFonts w:cstheme="minorHAnsi"/>
        </w:rPr>
        <w:t xml:space="preserve"> of </w:t>
      </w:r>
      <w:r w:rsidR="00A266B0" w:rsidRPr="007C5FD5">
        <w:rPr>
          <w:rStyle w:val="sa2b98c15"/>
          <w:rFonts w:cstheme="minorHAnsi"/>
        </w:rPr>
        <w:t>others</w:t>
      </w:r>
      <w:r w:rsidR="0088090D" w:rsidRPr="007C5FD5">
        <w:rPr>
          <w:rStyle w:val="sa2b98c15"/>
          <w:rFonts w:cstheme="minorHAnsi"/>
        </w:rPr>
        <w:t xml:space="preserve"> occurred in </w:t>
      </w:r>
      <w:proofErr w:type="spellStart"/>
      <w:r w:rsidR="0088090D" w:rsidRPr="007C5FD5">
        <w:rPr>
          <w:rFonts w:cstheme="minorHAnsi"/>
          <w:i/>
          <w:iCs/>
          <w:color w:val="000000"/>
        </w:rPr>
        <w:t>Jäggi</w:t>
      </w:r>
      <w:proofErr w:type="spellEnd"/>
      <w:r w:rsidR="0088090D" w:rsidRPr="007C5FD5">
        <w:rPr>
          <w:rFonts w:cstheme="minorHAnsi"/>
          <w:i/>
          <w:iCs/>
          <w:color w:val="000000"/>
        </w:rPr>
        <w:t xml:space="preserve"> v Switzerland</w:t>
      </w:r>
      <w:r w:rsidR="0088090D" w:rsidRPr="007C5FD5">
        <w:rPr>
          <w:rFonts w:cstheme="minorHAnsi"/>
          <w:color w:val="000000"/>
        </w:rPr>
        <w:t xml:space="preserve"> (2010)</w:t>
      </w:r>
      <w:r w:rsidR="0088090D" w:rsidRPr="007C5FD5">
        <w:rPr>
          <w:rStyle w:val="FootnoteReference"/>
          <w:rFonts w:cstheme="minorHAnsi"/>
          <w:color w:val="000000"/>
        </w:rPr>
        <w:footnoteReference w:id="167"/>
      </w:r>
      <w:r w:rsidR="0088090D" w:rsidRPr="007C5FD5">
        <w:rPr>
          <w:rFonts w:cstheme="minorHAnsi"/>
          <w:color w:val="000000"/>
        </w:rPr>
        <w:t xml:space="preserve"> where the </w:t>
      </w:r>
      <w:r w:rsidR="0088090D" w:rsidRPr="007C5FD5">
        <w:rPr>
          <w:rStyle w:val="sa2b98c15"/>
          <w:rFonts w:cstheme="minorHAnsi"/>
        </w:rPr>
        <w:t>d</w:t>
      </w:r>
      <w:r w:rsidR="0088090D" w:rsidRPr="007C5FD5">
        <w:rPr>
          <w:rFonts w:cstheme="minorHAnsi"/>
          <w:color w:val="000000"/>
        </w:rPr>
        <w:t xml:space="preserve">eath of the rightsholder became the touchstone for reversing </w:t>
      </w:r>
      <w:r w:rsidR="00A266B0" w:rsidRPr="007C5FD5">
        <w:rPr>
          <w:rFonts w:cstheme="minorHAnsi"/>
          <w:color w:val="000000"/>
        </w:rPr>
        <w:t>the</w:t>
      </w:r>
      <w:r w:rsidR="0088090D" w:rsidRPr="007C5FD5">
        <w:rPr>
          <w:rFonts w:cstheme="minorHAnsi"/>
          <w:color w:val="000000"/>
        </w:rPr>
        <w:t xml:space="preserve"> pre-mortem</w:t>
      </w:r>
      <w:r w:rsidR="007F39E4" w:rsidRPr="007C5FD5">
        <w:rPr>
          <w:rFonts w:cstheme="minorHAnsi"/>
          <w:color w:val="000000"/>
        </w:rPr>
        <w:t xml:space="preserve"> settlement</w:t>
      </w:r>
      <w:r w:rsidR="00A266B0" w:rsidRPr="007C5FD5">
        <w:rPr>
          <w:rFonts w:cstheme="minorHAnsi"/>
          <w:color w:val="000000"/>
        </w:rPr>
        <w:t xml:space="preserve"> of rights</w:t>
      </w:r>
      <w:r w:rsidR="007F39E4" w:rsidRPr="007C5FD5">
        <w:rPr>
          <w:rFonts w:cstheme="minorHAnsi"/>
          <w:color w:val="000000"/>
        </w:rPr>
        <w:t xml:space="preserve">. </w:t>
      </w:r>
      <w:proofErr w:type="spellStart"/>
      <w:r w:rsidR="0088090D" w:rsidRPr="007C5FD5">
        <w:rPr>
          <w:rFonts w:cstheme="minorHAnsi"/>
          <w:color w:val="000000"/>
        </w:rPr>
        <w:t>Jäggi</w:t>
      </w:r>
      <w:proofErr w:type="spellEnd"/>
      <w:r w:rsidR="0088090D" w:rsidRPr="007C5FD5">
        <w:rPr>
          <w:rFonts w:cstheme="minorHAnsi"/>
          <w:i/>
          <w:iCs/>
          <w:color w:val="000000"/>
        </w:rPr>
        <w:t xml:space="preserve"> </w:t>
      </w:r>
      <w:r w:rsidR="0088090D" w:rsidRPr="007C5FD5">
        <w:rPr>
          <w:rFonts w:cstheme="minorHAnsi"/>
          <w:color w:val="000000"/>
        </w:rPr>
        <w:t xml:space="preserve">had tried, throughout his life, to prove AH’s paternity but was unable to do so during AH’s lifetime against his express wishes. After AH had died </w:t>
      </w:r>
      <w:proofErr w:type="spellStart"/>
      <w:r w:rsidR="0088090D" w:rsidRPr="007C5FD5">
        <w:rPr>
          <w:rFonts w:cstheme="minorHAnsi"/>
          <w:color w:val="000000"/>
        </w:rPr>
        <w:t>Jäggi‘s</w:t>
      </w:r>
      <w:proofErr w:type="spellEnd"/>
      <w:r w:rsidR="0088090D" w:rsidRPr="007C5FD5">
        <w:rPr>
          <w:rFonts w:cstheme="minorHAnsi"/>
          <w:color w:val="000000"/>
        </w:rPr>
        <w:t xml:space="preserve"> request to take a DNA sample from AH’s body (whilst exhumed </w:t>
      </w:r>
      <w:r w:rsidR="00E21FD4" w:rsidRPr="007C5FD5">
        <w:rPr>
          <w:rFonts w:cstheme="minorHAnsi"/>
          <w:color w:val="000000"/>
        </w:rPr>
        <w:t>at</w:t>
      </w:r>
      <w:r w:rsidR="0088090D" w:rsidRPr="007C5FD5">
        <w:rPr>
          <w:rFonts w:cstheme="minorHAnsi"/>
          <w:color w:val="000000"/>
        </w:rPr>
        <w:t xml:space="preserve"> the end of the lease of the tomb) was rejected by the Swiss Federal Court on the basis that the right to know one’s parentage was outweighed by ‘the right of the deceased, deriving from human dignity, to protect his remains from interferences contrary to morality and custom, and the right of the close relatives to respect for the deceased and the inviolability of his corpse.’</w:t>
      </w:r>
      <w:r w:rsidR="0088090D" w:rsidRPr="007C5FD5">
        <w:rPr>
          <w:rStyle w:val="FootnoteReference"/>
          <w:rFonts w:cstheme="minorHAnsi"/>
          <w:color w:val="000000"/>
        </w:rPr>
        <w:footnoteReference w:id="168"/>
      </w:r>
      <w:r w:rsidR="0088090D" w:rsidRPr="007C5FD5">
        <w:rPr>
          <w:rFonts w:cstheme="minorHAnsi"/>
          <w:color w:val="000000"/>
        </w:rPr>
        <w:t xml:space="preserve"> The </w:t>
      </w:r>
      <w:r w:rsidR="0088090D" w:rsidRPr="007C5FD5">
        <w:rPr>
          <w:rFonts w:cstheme="minorHAnsi"/>
          <w:color w:val="000000"/>
        </w:rPr>
        <w:lastRenderedPageBreak/>
        <w:t xml:space="preserve">ECtHR, however, allowed for the DNA paternity test to go ahead given that it was a ‘relatively unintrusive measure’ that struck a fair balance between </w:t>
      </w:r>
      <w:r w:rsidR="0088090D" w:rsidRPr="007C5FD5">
        <w:rPr>
          <w:rFonts w:cstheme="minorHAnsi"/>
        </w:rPr>
        <w:t>‘the applicant’s right to discover his parentage against the right of third parties to the inviolability of the deceased’s body, the right to respect for the dead and the public interest in the protection of legal certainty.’</w:t>
      </w:r>
      <w:r w:rsidR="0088090D" w:rsidRPr="007C5FD5">
        <w:rPr>
          <w:rStyle w:val="FootnoteReference"/>
          <w:rFonts w:cstheme="minorHAnsi"/>
        </w:rPr>
        <w:footnoteReference w:id="169"/>
      </w:r>
      <w:r w:rsidR="0088090D" w:rsidRPr="007C5FD5">
        <w:rPr>
          <w:rFonts w:cstheme="minorHAnsi"/>
        </w:rPr>
        <w:t xml:space="preserve"> </w:t>
      </w:r>
      <w:r w:rsidR="004A6F2F" w:rsidRPr="007C5FD5">
        <w:rPr>
          <w:rFonts w:cstheme="minorHAnsi"/>
        </w:rPr>
        <w:t>Meanwhile</w:t>
      </w:r>
      <w:r w:rsidR="0088090D" w:rsidRPr="007C5FD5">
        <w:rPr>
          <w:rFonts w:cstheme="minorHAnsi"/>
        </w:rPr>
        <w:t xml:space="preserve"> the ‘deceased’s own right to respect for his private life… could not be adversely aff</w:t>
      </w:r>
      <w:r w:rsidR="00EF4BFD">
        <w:rPr>
          <w:rFonts w:cstheme="minorHAnsi"/>
        </w:rPr>
        <w:t>23</w:t>
      </w:r>
      <w:r w:rsidR="0088090D" w:rsidRPr="007C5FD5">
        <w:rPr>
          <w:rFonts w:cstheme="minorHAnsi"/>
        </w:rPr>
        <w:t>ected by a request to that effect made after his death.’</w:t>
      </w:r>
      <w:r w:rsidR="0088090D" w:rsidRPr="007C5FD5">
        <w:rPr>
          <w:rStyle w:val="FootnoteReference"/>
          <w:rFonts w:cstheme="minorHAnsi"/>
        </w:rPr>
        <w:footnoteReference w:id="170"/>
      </w:r>
      <w:r w:rsidR="0088090D" w:rsidRPr="007C5FD5">
        <w:rPr>
          <w:rFonts w:cstheme="minorHAnsi"/>
        </w:rPr>
        <w:t xml:space="preserve"> </w:t>
      </w:r>
      <w:r w:rsidR="001957B0" w:rsidRPr="007C5FD5">
        <w:rPr>
          <w:rFonts w:cstheme="minorHAnsi"/>
        </w:rPr>
        <w:t>The ECtHR</w:t>
      </w:r>
      <w:r w:rsidR="00CB466F" w:rsidRPr="007C5FD5">
        <w:rPr>
          <w:rFonts w:cstheme="minorHAnsi"/>
        </w:rPr>
        <w:t xml:space="preserve"> struck a fresh balance between the privacy interests of the</w:t>
      </w:r>
      <w:r w:rsidR="001957B0" w:rsidRPr="007C5FD5">
        <w:rPr>
          <w:rFonts w:cstheme="minorHAnsi"/>
        </w:rPr>
        <w:t xml:space="preserve"> son </w:t>
      </w:r>
      <w:r w:rsidR="00CB466F" w:rsidRPr="007C5FD5">
        <w:rPr>
          <w:rFonts w:cstheme="minorHAnsi"/>
          <w:i/>
          <w:iCs/>
        </w:rPr>
        <w:t xml:space="preserve">and </w:t>
      </w:r>
      <w:r w:rsidR="00CB466F" w:rsidRPr="007C5FD5">
        <w:rPr>
          <w:rFonts w:cstheme="minorHAnsi"/>
        </w:rPr>
        <w:t>the</w:t>
      </w:r>
      <w:r w:rsidR="00E21FD4" w:rsidRPr="007C5FD5">
        <w:rPr>
          <w:rFonts w:cstheme="minorHAnsi"/>
        </w:rPr>
        <w:t xml:space="preserve"> </w:t>
      </w:r>
      <w:r w:rsidR="00010D84" w:rsidRPr="007C5FD5">
        <w:rPr>
          <w:rFonts w:cstheme="minorHAnsi"/>
        </w:rPr>
        <w:t>post-mortem dignitary interests of the deceased</w:t>
      </w:r>
      <w:r w:rsidR="00631E1C" w:rsidRPr="007C5FD5">
        <w:rPr>
          <w:rFonts w:cstheme="minorHAnsi"/>
        </w:rPr>
        <w:t xml:space="preserve"> </w:t>
      </w:r>
      <w:r w:rsidR="00EF4BFD">
        <w:rPr>
          <w:rFonts w:cstheme="minorHAnsi"/>
        </w:rPr>
        <w:t>(</w:t>
      </w:r>
      <w:r w:rsidR="00631E1C" w:rsidRPr="007C5FD5">
        <w:rPr>
          <w:rFonts w:cstheme="minorHAnsi"/>
        </w:rPr>
        <w:t xml:space="preserve">or </w:t>
      </w:r>
      <w:r w:rsidR="00A266B0" w:rsidRPr="007C5FD5">
        <w:rPr>
          <w:rFonts w:cstheme="minorHAnsi"/>
        </w:rPr>
        <w:t xml:space="preserve">his </w:t>
      </w:r>
      <w:r w:rsidR="00822800" w:rsidRPr="007C5FD5">
        <w:rPr>
          <w:rFonts w:cstheme="minorHAnsi"/>
        </w:rPr>
        <w:t>estate</w:t>
      </w:r>
      <w:r w:rsidR="00EF4BFD">
        <w:rPr>
          <w:rFonts w:cstheme="minorHAnsi"/>
        </w:rPr>
        <w:t>)</w:t>
      </w:r>
      <w:r w:rsidR="00631E1C" w:rsidRPr="007C5FD5">
        <w:rPr>
          <w:rFonts w:cstheme="minorHAnsi"/>
        </w:rPr>
        <w:t xml:space="preserve"> -</w:t>
      </w:r>
      <w:r w:rsidR="001957B0" w:rsidRPr="007C5FD5">
        <w:rPr>
          <w:rFonts w:cstheme="minorHAnsi"/>
        </w:rPr>
        <w:t xml:space="preserve"> s</w:t>
      </w:r>
      <w:r w:rsidR="00010D84" w:rsidRPr="007C5FD5">
        <w:rPr>
          <w:rFonts w:cstheme="minorHAnsi"/>
        </w:rPr>
        <w:t xml:space="preserve">uch as </w:t>
      </w:r>
      <w:r w:rsidR="00010D84" w:rsidRPr="007C5FD5">
        <w:rPr>
          <w:rFonts w:cstheme="minorHAnsi"/>
          <w:color w:val="000000"/>
        </w:rPr>
        <w:t>the inviolability of his corpse, the right to rest in peace or the right of the close relatives to respect for the deceased</w:t>
      </w:r>
      <w:r w:rsidR="001957B0" w:rsidRPr="007C5FD5">
        <w:rPr>
          <w:rFonts w:cstheme="minorHAnsi"/>
          <w:color w:val="000000"/>
        </w:rPr>
        <w:t xml:space="preserve"> – and </w:t>
      </w:r>
      <w:r w:rsidR="00254034" w:rsidRPr="007C5FD5">
        <w:rPr>
          <w:rFonts w:cstheme="minorHAnsi"/>
          <w:color w:val="000000"/>
        </w:rPr>
        <w:t>held</w:t>
      </w:r>
      <w:r w:rsidR="001957B0" w:rsidRPr="007C5FD5">
        <w:rPr>
          <w:rFonts w:cstheme="minorHAnsi"/>
          <w:color w:val="000000"/>
        </w:rPr>
        <w:t xml:space="preserve"> </w:t>
      </w:r>
      <w:r w:rsidR="00254034" w:rsidRPr="007C5FD5">
        <w:rPr>
          <w:rFonts w:cstheme="minorHAnsi"/>
          <w:color w:val="000000"/>
        </w:rPr>
        <w:t xml:space="preserve">in favour of </w:t>
      </w:r>
      <w:r w:rsidR="001957B0" w:rsidRPr="007C5FD5">
        <w:rPr>
          <w:rFonts w:cstheme="minorHAnsi"/>
          <w:color w:val="000000"/>
        </w:rPr>
        <w:t>the son,</w:t>
      </w:r>
      <w:r w:rsidR="00A54B7C" w:rsidRPr="007C5FD5">
        <w:rPr>
          <w:rFonts w:cstheme="minorHAnsi"/>
          <w:color w:val="000000"/>
        </w:rPr>
        <w:t xml:space="preserve"> but not without</w:t>
      </w:r>
      <w:r w:rsidR="00EF4BFD">
        <w:rPr>
          <w:rFonts w:cstheme="minorHAnsi"/>
          <w:color w:val="000000"/>
        </w:rPr>
        <w:t xml:space="preserve"> being</w:t>
      </w:r>
      <w:r w:rsidR="00A54B7C" w:rsidRPr="007C5FD5">
        <w:rPr>
          <w:rFonts w:cstheme="minorHAnsi"/>
          <w:color w:val="000000"/>
        </w:rPr>
        <w:t xml:space="preserve"> </w:t>
      </w:r>
      <w:r w:rsidR="001957B0" w:rsidRPr="007C5FD5">
        <w:rPr>
          <w:rFonts w:cstheme="minorHAnsi"/>
          <w:color w:val="000000"/>
        </w:rPr>
        <w:t>mindful</w:t>
      </w:r>
      <w:r w:rsidR="00A54B7C" w:rsidRPr="007C5FD5">
        <w:rPr>
          <w:rFonts w:cstheme="minorHAnsi"/>
          <w:color w:val="000000"/>
        </w:rPr>
        <w:t xml:space="preserve"> to the </w:t>
      </w:r>
      <w:r w:rsidR="001957B0" w:rsidRPr="007C5FD5">
        <w:rPr>
          <w:rFonts w:cstheme="minorHAnsi"/>
          <w:color w:val="000000"/>
        </w:rPr>
        <w:t xml:space="preserve">dignity of the </w:t>
      </w:r>
      <w:r w:rsidR="00A54B7C" w:rsidRPr="007C5FD5">
        <w:rPr>
          <w:rFonts w:cstheme="minorHAnsi"/>
          <w:color w:val="000000"/>
        </w:rPr>
        <w:t>deceased.</w:t>
      </w:r>
      <w:r w:rsidR="00A067E4" w:rsidRPr="007C5FD5">
        <w:rPr>
          <w:rFonts w:cstheme="minorHAnsi"/>
          <w:color w:val="000000"/>
        </w:rPr>
        <w:t xml:space="preserve"> </w:t>
      </w:r>
    </w:p>
    <w:p w14:paraId="31ED4FB7" w14:textId="7817EAA1" w:rsidR="00E21FD4" w:rsidRPr="007C5FD5" w:rsidRDefault="00E21FD4" w:rsidP="00FD77D8">
      <w:pPr>
        <w:spacing w:after="0" w:line="240" w:lineRule="auto"/>
        <w:jc w:val="both"/>
        <w:rPr>
          <w:rFonts w:cstheme="minorHAnsi"/>
          <w:color w:val="000000"/>
        </w:rPr>
      </w:pPr>
    </w:p>
    <w:p w14:paraId="51DCDFE4" w14:textId="41F8E653" w:rsidR="00A067E4" w:rsidRPr="007C5FD5" w:rsidRDefault="003065D0" w:rsidP="00FD77D8">
      <w:pPr>
        <w:spacing w:after="0" w:line="240" w:lineRule="auto"/>
        <w:jc w:val="both"/>
        <w:rPr>
          <w:rFonts w:cstheme="minorHAnsi"/>
        </w:rPr>
      </w:pPr>
      <w:r w:rsidRPr="007C5FD5">
        <w:rPr>
          <w:rFonts w:cstheme="minorHAnsi"/>
          <w:color w:val="000000"/>
          <w:u w:val="single"/>
        </w:rPr>
        <w:t>Competing Public</w:t>
      </w:r>
      <w:r w:rsidR="00A54B7C" w:rsidRPr="007C5FD5">
        <w:rPr>
          <w:rFonts w:cstheme="minorHAnsi"/>
          <w:color w:val="000000"/>
          <w:u w:val="single"/>
        </w:rPr>
        <w:t xml:space="preserve"> Goods</w:t>
      </w:r>
      <w:r w:rsidR="00192C1E" w:rsidRPr="007C5FD5">
        <w:rPr>
          <w:rFonts w:cstheme="minorHAnsi"/>
          <w:color w:val="000000"/>
          <w:u w:val="single"/>
        </w:rPr>
        <w:t>.</w:t>
      </w:r>
      <w:r w:rsidR="002A5BE7" w:rsidRPr="007C5FD5">
        <w:rPr>
          <w:rFonts w:cstheme="minorHAnsi"/>
          <w:color w:val="000000"/>
        </w:rPr>
        <w:t xml:space="preserve"> </w:t>
      </w:r>
      <w:r w:rsidR="005C4A6B" w:rsidRPr="007C5FD5">
        <w:rPr>
          <w:rFonts w:cstheme="minorHAnsi"/>
          <w:color w:val="000000"/>
        </w:rPr>
        <w:t xml:space="preserve">Similarly, the death of the rightsholder </w:t>
      </w:r>
      <w:r w:rsidR="001957B0" w:rsidRPr="007C5FD5">
        <w:rPr>
          <w:rFonts w:cstheme="minorHAnsi"/>
          <w:color w:val="000000"/>
        </w:rPr>
        <w:t>also</w:t>
      </w:r>
      <w:r w:rsidR="005C4A6B" w:rsidRPr="007C5FD5">
        <w:rPr>
          <w:rFonts w:cstheme="minorHAnsi"/>
          <w:color w:val="000000"/>
        </w:rPr>
        <w:t xml:space="preserve"> require</w:t>
      </w:r>
      <w:r w:rsidR="001957B0" w:rsidRPr="007C5FD5">
        <w:rPr>
          <w:rFonts w:cstheme="minorHAnsi"/>
          <w:color w:val="000000"/>
        </w:rPr>
        <w:t xml:space="preserve">s </w:t>
      </w:r>
      <w:r w:rsidR="005C4A6B" w:rsidRPr="007C5FD5">
        <w:rPr>
          <w:rFonts w:cstheme="minorHAnsi"/>
          <w:color w:val="000000"/>
        </w:rPr>
        <w:t>a rebalancing of the pre-mortem tension between the duty of medical confidentiality and other rights</w:t>
      </w:r>
      <w:r w:rsidR="00CC6FA1" w:rsidRPr="007C5FD5">
        <w:rPr>
          <w:rFonts w:cstheme="minorHAnsi"/>
          <w:color w:val="000000"/>
        </w:rPr>
        <w:t xml:space="preserve"> </w:t>
      </w:r>
      <w:r w:rsidR="00735BA9" w:rsidRPr="007C5FD5">
        <w:rPr>
          <w:rFonts w:cstheme="minorHAnsi"/>
          <w:color w:val="000000"/>
        </w:rPr>
        <w:t>and</w:t>
      </w:r>
      <w:r w:rsidR="00CC6FA1" w:rsidRPr="007C5FD5">
        <w:rPr>
          <w:rFonts w:cstheme="minorHAnsi"/>
          <w:color w:val="000000"/>
        </w:rPr>
        <w:t xml:space="preserve"> public goods</w:t>
      </w:r>
      <w:r w:rsidR="005C4A6B" w:rsidRPr="007C5FD5">
        <w:rPr>
          <w:rFonts w:cstheme="minorHAnsi"/>
          <w:color w:val="000000"/>
        </w:rPr>
        <w:t>, such as freedom of speech or open justice. I</w:t>
      </w:r>
      <w:r w:rsidR="00E21FD4" w:rsidRPr="007C5FD5">
        <w:rPr>
          <w:rFonts w:cstheme="minorHAnsi"/>
          <w:color w:val="000000"/>
        </w:rPr>
        <w:t xml:space="preserve">n </w:t>
      </w:r>
      <w:r w:rsidR="00E21FD4" w:rsidRPr="007C5FD5">
        <w:rPr>
          <w:rFonts w:cstheme="minorHAnsi"/>
          <w:i/>
          <w:iCs/>
          <w:color w:val="000000"/>
        </w:rPr>
        <w:t>Re Meek</w:t>
      </w:r>
      <w:r w:rsidR="00E21FD4" w:rsidRPr="007C5FD5">
        <w:rPr>
          <w:rFonts w:cstheme="minorHAnsi"/>
          <w:color w:val="000000"/>
        </w:rPr>
        <w:t xml:space="preserve"> (2014) </w:t>
      </w:r>
      <w:r w:rsidR="005C4A6B" w:rsidRPr="007C5FD5">
        <w:rPr>
          <w:rFonts w:cstheme="minorHAnsi"/>
          <w:color w:val="000000"/>
        </w:rPr>
        <w:t xml:space="preserve">the death of the vulnerable patient </w:t>
      </w:r>
      <w:r w:rsidR="00E21FD4" w:rsidRPr="007C5FD5">
        <w:rPr>
          <w:rFonts w:cstheme="minorHAnsi"/>
          <w:color w:val="000000"/>
        </w:rPr>
        <w:t xml:space="preserve">tipped the balance in favour of the publication of the judgment from being anonymised pre-mortem to being </w:t>
      </w:r>
      <w:r w:rsidR="00631E1C" w:rsidRPr="007C5FD5">
        <w:rPr>
          <w:rFonts w:cstheme="minorHAnsi"/>
          <w:color w:val="000000"/>
        </w:rPr>
        <w:t>de-</w:t>
      </w:r>
      <w:r w:rsidR="00E21FD4" w:rsidRPr="007C5FD5">
        <w:rPr>
          <w:rFonts w:cstheme="minorHAnsi"/>
          <w:color w:val="000000"/>
        </w:rPr>
        <w:t>anonymised post-mortem</w:t>
      </w:r>
      <w:r w:rsidR="008F04C8" w:rsidRPr="007C5FD5">
        <w:rPr>
          <w:rFonts w:cstheme="minorHAnsi"/>
          <w:color w:val="000000"/>
        </w:rPr>
        <w:t xml:space="preserve">. Hodge J took the deceased out of the equation </w:t>
      </w:r>
      <w:r w:rsidR="00EF4BFD">
        <w:rPr>
          <w:rFonts w:cstheme="minorHAnsi"/>
          <w:color w:val="000000"/>
        </w:rPr>
        <w:t>as</w:t>
      </w:r>
      <w:r w:rsidR="00032EE3" w:rsidRPr="007C5FD5">
        <w:rPr>
          <w:rFonts w:cstheme="minorHAnsi"/>
        </w:rPr>
        <w:t xml:space="preserve"> she had ‘no longer</w:t>
      </w:r>
      <w:r w:rsidR="00EF4BFD">
        <w:rPr>
          <w:rFonts w:cstheme="minorHAnsi"/>
        </w:rPr>
        <w:t>…</w:t>
      </w:r>
      <w:r w:rsidR="00032EE3" w:rsidRPr="007C5FD5">
        <w:rPr>
          <w:rFonts w:cstheme="minorHAnsi"/>
        </w:rPr>
        <w:t xml:space="preserve"> any need for the special protection afforded by anonymity’</w:t>
      </w:r>
      <w:r w:rsidR="00032EE3" w:rsidRPr="007C5FD5">
        <w:rPr>
          <w:rStyle w:val="FootnoteReference"/>
          <w:rFonts w:cstheme="minorHAnsi"/>
        </w:rPr>
        <w:footnoteReference w:id="171"/>
      </w:r>
      <w:r w:rsidR="00032EE3" w:rsidRPr="007C5FD5">
        <w:rPr>
          <w:rFonts w:cstheme="minorHAnsi"/>
        </w:rPr>
        <w:t xml:space="preserve"> and then framed the question as one </w:t>
      </w:r>
      <w:r w:rsidR="00032EE3" w:rsidRPr="007C5FD5">
        <w:rPr>
          <w:rFonts w:cstheme="minorHAnsi"/>
          <w:color w:val="000000"/>
        </w:rPr>
        <w:t xml:space="preserve">of </w:t>
      </w:r>
      <w:r w:rsidR="00631E1C" w:rsidRPr="007C5FD5">
        <w:rPr>
          <w:rFonts w:cstheme="minorHAnsi"/>
          <w:color w:val="000000"/>
        </w:rPr>
        <w:t xml:space="preserve">the </w:t>
      </w:r>
      <w:r w:rsidR="008F04C8" w:rsidRPr="007C5FD5">
        <w:rPr>
          <w:rFonts w:cstheme="minorHAnsi"/>
          <w:color w:val="000000"/>
        </w:rPr>
        <w:t>competing interests of the living</w:t>
      </w:r>
      <w:r w:rsidRPr="007C5FD5">
        <w:rPr>
          <w:rFonts w:cstheme="minorHAnsi"/>
          <w:color w:val="000000"/>
        </w:rPr>
        <w:t xml:space="preserve"> – here the protection of the carers versus open justice</w:t>
      </w:r>
      <w:r w:rsidR="00032EE3" w:rsidRPr="007C5FD5">
        <w:rPr>
          <w:rFonts w:cstheme="minorHAnsi"/>
          <w:color w:val="000000"/>
        </w:rPr>
        <w:t>. Protecting carers from the ‘</w:t>
      </w:r>
      <w:r w:rsidR="00032EE3" w:rsidRPr="007C5FD5">
        <w:rPr>
          <w:rFonts w:cstheme="minorHAnsi"/>
        </w:rPr>
        <w:t>full glare of public criticism if they genuinely fall short’</w:t>
      </w:r>
      <w:r w:rsidR="00DE0BCA">
        <w:rPr>
          <w:rFonts w:cstheme="minorHAnsi"/>
        </w:rPr>
        <w:t xml:space="preserve"> </w:t>
      </w:r>
      <w:r w:rsidR="00032EE3" w:rsidRPr="007C5FD5">
        <w:rPr>
          <w:rFonts w:cstheme="minorHAnsi"/>
        </w:rPr>
        <w:t>had to be weighed against ‘article 10 right to freedom of expression, including the right to receive and impart information… that justice should be open to public scrutiny.’</w:t>
      </w:r>
      <w:r w:rsidR="004C4C81" w:rsidRPr="007C5FD5">
        <w:rPr>
          <w:rStyle w:val="FootnoteReference"/>
          <w:rFonts w:cstheme="minorHAnsi"/>
        </w:rPr>
        <w:footnoteReference w:id="172"/>
      </w:r>
      <w:r w:rsidR="00032EE3" w:rsidRPr="007C5FD5">
        <w:rPr>
          <w:rFonts w:cstheme="minorHAnsi"/>
        </w:rPr>
        <w:t xml:space="preserve"> </w:t>
      </w:r>
      <w:r w:rsidR="00A156CE" w:rsidRPr="007C5FD5">
        <w:rPr>
          <w:rFonts w:cstheme="minorHAnsi"/>
        </w:rPr>
        <w:t>Hodge J continued</w:t>
      </w:r>
      <w:r w:rsidR="00DE0BCA">
        <w:rPr>
          <w:rFonts w:cstheme="minorHAnsi"/>
        </w:rPr>
        <w:t>:</w:t>
      </w:r>
      <w:r w:rsidR="00EE6A2C" w:rsidRPr="007C5FD5">
        <w:rPr>
          <w:rFonts w:cstheme="minorHAnsi"/>
        </w:rPr>
        <w:t xml:space="preserve"> </w:t>
      </w:r>
      <w:r w:rsidR="00032EE3" w:rsidRPr="007C5FD5">
        <w:rPr>
          <w:rFonts w:cstheme="minorHAnsi"/>
        </w:rPr>
        <w:t xml:space="preserve"> ‘[</w:t>
      </w:r>
      <w:proofErr w:type="spellStart"/>
      <w:r w:rsidR="00032EE3" w:rsidRPr="007C5FD5">
        <w:rPr>
          <w:rFonts w:cstheme="minorHAnsi"/>
        </w:rPr>
        <w:t>i</w:t>
      </w:r>
      <w:proofErr w:type="spellEnd"/>
      <w:r w:rsidR="00032EE3" w:rsidRPr="007C5FD5">
        <w:rPr>
          <w:rFonts w:cstheme="minorHAnsi"/>
        </w:rPr>
        <w:t>]t is in the public interest that those who</w:t>
      </w:r>
      <w:r w:rsidR="00EE6A2C" w:rsidRPr="007C5FD5">
        <w:rPr>
          <w:rFonts w:cstheme="minorHAnsi"/>
        </w:rPr>
        <w:t xml:space="preserve">… </w:t>
      </w:r>
      <w:r w:rsidR="00032EE3" w:rsidRPr="007C5FD5">
        <w:rPr>
          <w:rFonts w:cstheme="minorHAnsi"/>
        </w:rPr>
        <w:t>have abused the trust placed in them properly to care for P or to manage P's affairs, should be exposed to the full glare of publicity. The knowledge of the risk of this may serve to deter others from doing the same.’</w:t>
      </w:r>
      <w:r w:rsidR="00032EE3" w:rsidRPr="007C5FD5">
        <w:rPr>
          <w:rStyle w:val="FootnoteReference"/>
          <w:rFonts w:cstheme="minorHAnsi"/>
        </w:rPr>
        <w:footnoteReference w:id="173"/>
      </w:r>
      <w:r w:rsidR="00EE6A2C" w:rsidRPr="007C5FD5">
        <w:rPr>
          <w:rFonts w:cstheme="minorHAnsi"/>
        </w:rPr>
        <w:t xml:space="preserve"> </w:t>
      </w:r>
      <w:r w:rsidR="00160343" w:rsidRPr="007C5FD5">
        <w:rPr>
          <w:rFonts w:cstheme="minorHAnsi"/>
          <w:color w:val="000000"/>
        </w:rPr>
        <w:t xml:space="preserve">So </w:t>
      </w:r>
      <w:r w:rsidR="00503C05" w:rsidRPr="007C5FD5">
        <w:rPr>
          <w:rFonts w:cstheme="minorHAnsi"/>
          <w:color w:val="000000"/>
        </w:rPr>
        <w:t xml:space="preserve">post-mortem confidentiality </w:t>
      </w:r>
      <w:r w:rsidR="00EE6A2C" w:rsidRPr="007C5FD5">
        <w:rPr>
          <w:rFonts w:cstheme="minorHAnsi"/>
          <w:color w:val="000000"/>
        </w:rPr>
        <w:t>sh</w:t>
      </w:r>
      <w:r w:rsidR="00A067E4" w:rsidRPr="007C5FD5">
        <w:rPr>
          <w:rFonts w:cstheme="minorHAnsi"/>
          <w:color w:val="000000"/>
        </w:rPr>
        <w:t>ould not be</w:t>
      </w:r>
      <w:r w:rsidR="00160343" w:rsidRPr="007C5FD5">
        <w:rPr>
          <w:rFonts w:cstheme="minorHAnsi"/>
          <w:color w:val="000000"/>
        </w:rPr>
        <w:t xml:space="preserve"> allowed to</w:t>
      </w:r>
      <w:r w:rsidR="00A067E4" w:rsidRPr="007C5FD5">
        <w:rPr>
          <w:rFonts w:cstheme="minorHAnsi"/>
          <w:color w:val="000000"/>
        </w:rPr>
        <w:t xml:space="preserve"> </w:t>
      </w:r>
      <w:r w:rsidR="00160343" w:rsidRPr="007C5FD5">
        <w:rPr>
          <w:rFonts w:cstheme="minorHAnsi"/>
          <w:color w:val="000000"/>
        </w:rPr>
        <w:t xml:space="preserve">transform itself into </w:t>
      </w:r>
      <w:r w:rsidR="00503C05" w:rsidRPr="007C5FD5">
        <w:rPr>
          <w:rFonts w:cstheme="minorHAnsi"/>
          <w:color w:val="000000"/>
        </w:rPr>
        <w:t xml:space="preserve">a cloak of secrecy </w:t>
      </w:r>
      <w:r w:rsidR="00160343" w:rsidRPr="007C5FD5">
        <w:rPr>
          <w:rFonts w:cstheme="minorHAnsi"/>
          <w:color w:val="000000"/>
        </w:rPr>
        <w:t xml:space="preserve">behind which wrongdoing can occur without any </w:t>
      </w:r>
      <w:r w:rsidR="00DE0BCA">
        <w:rPr>
          <w:rFonts w:cstheme="minorHAnsi"/>
          <w:color w:val="000000"/>
        </w:rPr>
        <w:t xml:space="preserve">possibility </w:t>
      </w:r>
      <w:r w:rsidR="00160343" w:rsidRPr="007C5FD5">
        <w:rPr>
          <w:rFonts w:cstheme="minorHAnsi"/>
          <w:color w:val="000000"/>
        </w:rPr>
        <w:t xml:space="preserve">of accountability. </w:t>
      </w:r>
      <w:r w:rsidR="00EE6A2C" w:rsidRPr="007C5FD5">
        <w:rPr>
          <w:rFonts w:cstheme="minorHAnsi"/>
          <w:color w:val="000000"/>
        </w:rPr>
        <w:t xml:space="preserve"> </w:t>
      </w:r>
    </w:p>
    <w:p w14:paraId="2ED831AC" w14:textId="77777777" w:rsidR="00A067E4" w:rsidRPr="007C5FD5" w:rsidRDefault="00A067E4" w:rsidP="00FD77D8">
      <w:pPr>
        <w:spacing w:after="0" w:line="240" w:lineRule="auto"/>
        <w:jc w:val="both"/>
        <w:rPr>
          <w:rFonts w:cstheme="minorHAnsi"/>
          <w:color w:val="000000"/>
        </w:rPr>
      </w:pPr>
    </w:p>
    <w:p w14:paraId="6D3A256D" w14:textId="59B04E6C" w:rsidR="00160343" w:rsidRPr="007C5FD5" w:rsidRDefault="00EF518E" w:rsidP="00FD77D8">
      <w:pPr>
        <w:spacing w:after="0" w:line="240" w:lineRule="auto"/>
        <w:jc w:val="both"/>
        <w:rPr>
          <w:rFonts w:cstheme="minorHAnsi"/>
        </w:rPr>
      </w:pPr>
      <w:r w:rsidRPr="007C5FD5">
        <w:rPr>
          <w:rFonts w:cstheme="minorHAnsi"/>
          <w:color w:val="000000"/>
        </w:rPr>
        <w:t>H</w:t>
      </w:r>
      <w:r w:rsidR="00C015B0" w:rsidRPr="007C5FD5">
        <w:rPr>
          <w:rFonts w:cstheme="minorHAnsi"/>
          <w:color w:val="000000"/>
        </w:rPr>
        <w:t>ow the death of the rightsholder</w:t>
      </w:r>
      <w:r w:rsidR="00631E1C" w:rsidRPr="007C5FD5">
        <w:rPr>
          <w:rFonts w:cstheme="minorHAnsi"/>
          <w:color w:val="000000"/>
        </w:rPr>
        <w:t xml:space="preserve"> should alter</w:t>
      </w:r>
      <w:r w:rsidR="00C015B0" w:rsidRPr="007C5FD5">
        <w:rPr>
          <w:rFonts w:cstheme="minorHAnsi"/>
          <w:color w:val="000000"/>
        </w:rPr>
        <w:t xml:space="preserve"> the ante-mortem balance is necessarily contestable</w:t>
      </w:r>
      <w:r w:rsidR="0033174D" w:rsidRPr="007C5FD5">
        <w:rPr>
          <w:rFonts w:cstheme="minorHAnsi"/>
          <w:color w:val="000000"/>
        </w:rPr>
        <w:t xml:space="preserve"> </w:t>
      </w:r>
      <w:r w:rsidR="007542B8" w:rsidRPr="007C5FD5">
        <w:rPr>
          <w:rFonts w:cstheme="minorHAnsi"/>
          <w:color w:val="000000"/>
        </w:rPr>
        <w:t>and</w:t>
      </w:r>
      <w:r w:rsidR="00927D2F" w:rsidRPr="007C5FD5">
        <w:rPr>
          <w:rFonts w:cstheme="minorHAnsi"/>
          <w:color w:val="000000"/>
        </w:rPr>
        <w:t xml:space="preserve"> </w:t>
      </w:r>
      <w:r w:rsidR="000333E7" w:rsidRPr="007C5FD5">
        <w:rPr>
          <w:rFonts w:cstheme="minorHAnsi"/>
          <w:color w:val="000000"/>
        </w:rPr>
        <w:t>dynamic</w:t>
      </w:r>
      <w:r w:rsidR="00B26874" w:rsidRPr="007C5FD5">
        <w:rPr>
          <w:rFonts w:cstheme="minorHAnsi"/>
          <w:color w:val="000000"/>
        </w:rPr>
        <w:t xml:space="preserve">. </w:t>
      </w:r>
      <w:r w:rsidR="004805B2" w:rsidRPr="007C5FD5">
        <w:rPr>
          <w:rFonts w:cstheme="minorHAnsi"/>
          <w:color w:val="000000"/>
        </w:rPr>
        <w:t xml:space="preserve">In </w:t>
      </w:r>
      <w:proofErr w:type="spellStart"/>
      <w:r w:rsidR="004805B2" w:rsidRPr="007C5FD5">
        <w:rPr>
          <w:rFonts w:cstheme="minorHAnsi"/>
          <w:i/>
          <w:iCs/>
        </w:rPr>
        <w:t>Plon</w:t>
      </w:r>
      <w:proofErr w:type="spellEnd"/>
      <w:r w:rsidR="004805B2" w:rsidRPr="007C5FD5">
        <w:rPr>
          <w:rFonts w:cstheme="minorHAnsi"/>
          <w:i/>
          <w:iCs/>
        </w:rPr>
        <w:t xml:space="preserve"> (Société) </w:t>
      </w:r>
      <w:r w:rsidR="004805B2" w:rsidRPr="007C5FD5">
        <w:rPr>
          <w:rFonts w:cstheme="minorHAnsi"/>
        </w:rPr>
        <w:t>the publishing company</w:t>
      </w:r>
      <w:r w:rsidR="007649BD" w:rsidRPr="007C5FD5">
        <w:rPr>
          <w:rFonts w:cstheme="minorHAnsi"/>
        </w:rPr>
        <w:t xml:space="preserve"> of </w:t>
      </w:r>
      <w:r w:rsidR="007649BD" w:rsidRPr="007C5FD5">
        <w:rPr>
          <w:rFonts w:cstheme="minorHAnsi"/>
          <w:i/>
          <w:iCs/>
        </w:rPr>
        <w:t>Le Grand Secret</w:t>
      </w:r>
      <w:r w:rsidR="004805B2" w:rsidRPr="007C5FD5">
        <w:rPr>
          <w:rFonts w:cstheme="minorHAnsi"/>
          <w:i/>
          <w:iCs/>
        </w:rPr>
        <w:t xml:space="preserve"> </w:t>
      </w:r>
      <w:r w:rsidR="007649BD" w:rsidRPr="007C5FD5">
        <w:rPr>
          <w:rFonts w:cstheme="minorHAnsi"/>
        </w:rPr>
        <w:t>argued that</w:t>
      </w:r>
      <w:r w:rsidR="004805B2" w:rsidRPr="007C5FD5">
        <w:rPr>
          <w:rFonts w:cstheme="minorHAnsi"/>
        </w:rPr>
        <w:t xml:space="preserve"> the public interest in freedom of expression </w:t>
      </w:r>
      <w:r w:rsidR="007649BD" w:rsidRPr="007C5FD5">
        <w:rPr>
          <w:rFonts w:cstheme="minorHAnsi"/>
        </w:rPr>
        <w:t>should</w:t>
      </w:r>
      <w:r w:rsidR="0033174D" w:rsidRPr="007C5FD5">
        <w:rPr>
          <w:rFonts w:cstheme="minorHAnsi"/>
        </w:rPr>
        <w:t xml:space="preserve"> -</w:t>
      </w:r>
      <w:r w:rsidR="007649BD" w:rsidRPr="007C5FD5">
        <w:rPr>
          <w:rFonts w:cstheme="minorHAnsi"/>
        </w:rPr>
        <w:t xml:space="preserve"> post-mortem</w:t>
      </w:r>
      <w:r w:rsidR="0033174D" w:rsidRPr="007C5FD5">
        <w:rPr>
          <w:rFonts w:cstheme="minorHAnsi"/>
        </w:rPr>
        <w:t xml:space="preserve"> - </w:t>
      </w:r>
      <w:r w:rsidR="007649BD" w:rsidRPr="007C5FD5">
        <w:rPr>
          <w:rFonts w:cstheme="minorHAnsi"/>
        </w:rPr>
        <w:t>trump Mitterrand’s medical confidentiality</w:t>
      </w:r>
      <w:r w:rsidR="00EB1A5C" w:rsidRPr="007C5FD5">
        <w:rPr>
          <w:rFonts w:cstheme="minorHAnsi"/>
        </w:rPr>
        <w:t xml:space="preserve"> </w:t>
      </w:r>
      <w:r w:rsidR="007649BD" w:rsidRPr="007C5FD5">
        <w:rPr>
          <w:rFonts w:cstheme="minorHAnsi"/>
        </w:rPr>
        <w:t>as the book ‘contributed both to the right of citizens – towards whom President Mitterrand had voluntarily assumed a duty of “medical transparency” – to receive information about a “State lie”, and to a more general debate about the health of serving leaders... [and] that the debate had not become any less pressing after François Mitterrand's death.’</w:t>
      </w:r>
      <w:r w:rsidR="007649BD" w:rsidRPr="007C5FD5">
        <w:rPr>
          <w:rStyle w:val="FootnoteReference"/>
          <w:rFonts w:cstheme="minorHAnsi"/>
        </w:rPr>
        <w:footnoteReference w:id="174"/>
      </w:r>
      <w:r w:rsidR="0033174D" w:rsidRPr="007C5FD5">
        <w:rPr>
          <w:rFonts w:cstheme="minorHAnsi"/>
        </w:rPr>
        <w:t xml:space="preserve"> The ECtHR disagreed in so far as it </w:t>
      </w:r>
      <w:r w:rsidR="00927D2F" w:rsidRPr="007C5FD5">
        <w:rPr>
          <w:rFonts w:cstheme="minorHAnsi"/>
        </w:rPr>
        <w:t>found</w:t>
      </w:r>
      <w:r w:rsidR="0033174D" w:rsidRPr="007C5FD5">
        <w:rPr>
          <w:rFonts w:cstheme="minorHAnsi"/>
        </w:rPr>
        <w:t xml:space="preserve"> the </w:t>
      </w:r>
      <w:r w:rsidR="0033174D" w:rsidRPr="007C5FD5">
        <w:rPr>
          <w:rFonts w:cstheme="minorHAnsi"/>
          <w:i/>
          <w:iCs/>
        </w:rPr>
        <w:t>te</w:t>
      </w:r>
      <w:r w:rsidR="00B37E66" w:rsidRPr="007C5FD5">
        <w:rPr>
          <w:rFonts w:cstheme="minorHAnsi"/>
          <w:i/>
          <w:iCs/>
        </w:rPr>
        <w:t>mp</w:t>
      </w:r>
      <w:r w:rsidR="0033174D" w:rsidRPr="007C5FD5">
        <w:rPr>
          <w:rFonts w:cstheme="minorHAnsi"/>
          <w:i/>
          <w:iCs/>
        </w:rPr>
        <w:t xml:space="preserve">orary </w:t>
      </w:r>
      <w:r w:rsidR="0033174D" w:rsidRPr="007C5FD5">
        <w:rPr>
          <w:rFonts w:cstheme="minorHAnsi"/>
        </w:rPr>
        <w:t xml:space="preserve">injunction </w:t>
      </w:r>
      <w:r w:rsidR="00927D2F" w:rsidRPr="007C5FD5">
        <w:rPr>
          <w:rFonts w:cstheme="minorHAnsi"/>
        </w:rPr>
        <w:t xml:space="preserve">issued ten days after </w:t>
      </w:r>
      <w:r w:rsidR="00EB1A5C" w:rsidRPr="007C5FD5">
        <w:rPr>
          <w:rFonts w:cstheme="minorHAnsi"/>
        </w:rPr>
        <w:t>Mitterrand’s</w:t>
      </w:r>
      <w:r w:rsidR="00927D2F" w:rsidRPr="007C5FD5">
        <w:rPr>
          <w:rFonts w:cstheme="minorHAnsi"/>
        </w:rPr>
        <w:t xml:space="preserve"> death </w:t>
      </w:r>
      <w:r w:rsidR="00DE7ECD" w:rsidRPr="007C5FD5">
        <w:rPr>
          <w:rFonts w:cstheme="minorHAnsi"/>
        </w:rPr>
        <w:t xml:space="preserve">to be </w:t>
      </w:r>
      <w:r w:rsidR="00927D2F" w:rsidRPr="007C5FD5">
        <w:rPr>
          <w:rFonts w:cstheme="minorHAnsi"/>
        </w:rPr>
        <w:t>‘</w:t>
      </w:r>
      <w:r w:rsidR="0033174D" w:rsidRPr="007C5FD5">
        <w:rPr>
          <w:rFonts w:cstheme="minorHAnsi"/>
        </w:rPr>
        <w:t>necessary in democratic society</w:t>
      </w:r>
      <w:r w:rsidRPr="007C5FD5">
        <w:rPr>
          <w:rFonts w:cstheme="minorHAnsi"/>
        </w:rPr>
        <w:t>,</w:t>
      </w:r>
      <w:r w:rsidR="00927D2F" w:rsidRPr="007C5FD5">
        <w:rPr>
          <w:rFonts w:cstheme="minorHAnsi"/>
        </w:rPr>
        <w:t>’</w:t>
      </w:r>
      <w:r w:rsidR="00AB2974" w:rsidRPr="007C5FD5">
        <w:rPr>
          <w:rFonts w:cstheme="minorHAnsi"/>
        </w:rPr>
        <w:t xml:space="preserve"> </w:t>
      </w:r>
      <w:r w:rsidRPr="007C5FD5">
        <w:rPr>
          <w:rFonts w:cstheme="minorHAnsi"/>
        </w:rPr>
        <w:t>y</w:t>
      </w:r>
      <w:r w:rsidR="00AB2974" w:rsidRPr="007C5FD5">
        <w:rPr>
          <w:rFonts w:cstheme="minorHAnsi"/>
        </w:rPr>
        <w:t xml:space="preserve">et, </w:t>
      </w:r>
      <w:r w:rsidR="00B37E66" w:rsidRPr="007C5FD5">
        <w:rPr>
          <w:rFonts w:cstheme="minorHAnsi"/>
        </w:rPr>
        <w:t xml:space="preserve">the absolute and indefinite </w:t>
      </w:r>
      <w:r w:rsidR="00AB2974" w:rsidRPr="007C5FD5">
        <w:rPr>
          <w:rFonts w:cstheme="minorHAnsi"/>
        </w:rPr>
        <w:t>injunction issued</w:t>
      </w:r>
      <w:r w:rsidR="00B37E66" w:rsidRPr="007C5FD5">
        <w:rPr>
          <w:rFonts w:cstheme="minorHAnsi"/>
        </w:rPr>
        <w:t xml:space="preserve"> nine months after his death</w:t>
      </w:r>
      <w:r w:rsidR="00AB2974" w:rsidRPr="007C5FD5">
        <w:rPr>
          <w:rFonts w:cstheme="minorHAnsi"/>
        </w:rPr>
        <w:t xml:space="preserve"> disproportionate</w:t>
      </w:r>
      <w:r w:rsidR="000333E7" w:rsidRPr="007C5FD5">
        <w:rPr>
          <w:rFonts w:cstheme="minorHAnsi"/>
        </w:rPr>
        <w:t>:</w:t>
      </w:r>
      <w:r w:rsidR="00EE6A2C" w:rsidRPr="007C5FD5">
        <w:rPr>
          <w:rFonts w:cstheme="minorHAnsi"/>
          <w:color w:val="000000"/>
        </w:rPr>
        <w:t xml:space="preserve"> </w:t>
      </w:r>
      <w:r w:rsidR="000333E7" w:rsidRPr="007C5FD5">
        <w:rPr>
          <w:rFonts w:cstheme="minorHAnsi"/>
        </w:rPr>
        <w:t xml:space="preserve"> ‘the more time that elapsed, the more the public interest in discussion of the history of President Mitterrand's two terms of office prevailed over the requirements of protecting the President's rights with regard to medical confidentiality.’</w:t>
      </w:r>
      <w:r w:rsidR="000333E7" w:rsidRPr="007C5FD5">
        <w:rPr>
          <w:rStyle w:val="FootnoteReference"/>
          <w:rFonts w:cstheme="minorHAnsi"/>
        </w:rPr>
        <w:footnoteReference w:id="175"/>
      </w:r>
      <w:r w:rsidR="00EE6A2C" w:rsidRPr="007C5FD5">
        <w:rPr>
          <w:rFonts w:cstheme="minorHAnsi"/>
          <w:color w:val="000000"/>
        </w:rPr>
        <w:t xml:space="preserve"> </w:t>
      </w:r>
      <w:r w:rsidR="000333E7" w:rsidRPr="007C5FD5">
        <w:rPr>
          <w:rFonts w:cstheme="minorHAnsi"/>
        </w:rPr>
        <w:t xml:space="preserve"> So</w:t>
      </w:r>
      <w:r w:rsidR="002B02B4" w:rsidRPr="007C5FD5">
        <w:rPr>
          <w:rFonts w:cstheme="minorHAnsi"/>
        </w:rPr>
        <w:t xml:space="preserve"> </w:t>
      </w:r>
      <w:r w:rsidR="00A62BE3" w:rsidRPr="007C5FD5">
        <w:rPr>
          <w:rFonts w:cstheme="minorHAnsi"/>
        </w:rPr>
        <w:t>while</w:t>
      </w:r>
      <w:r w:rsidR="000333E7" w:rsidRPr="007C5FD5">
        <w:rPr>
          <w:rFonts w:cstheme="minorHAnsi"/>
        </w:rPr>
        <w:t xml:space="preserve"> freedom of expression </w:t>
      </w:r>
      <w:r w:rsidR="002B02B4" w:rsidRPr="007C5FD5">
        <w:rPr>
          <w:rFonts w:cstheme="minorHAnsi"/>
        </w:rPr>
        <w:t>could</w:t>
      </w:r>
      <w:r w:rsidR="000333E7" w:rsidRPr="007C5FD5">
        <w:rPr>
          <w:rFonts w:cstheme="minorHAnsi"/>
        </w:rPr>
        <w:t xml:space="preserve"> legitimately</w:t>
      </w:r>
      <w:r w:rsidR="002B02B4" w:rsidRPr="007C5FD5">
        <w:rPr>
          <w:rFonts w:cstheme="minorHAnsi"/>
        </w:rPr>
        <w:t xml:space="preserve"> be</w:t>
      </w:r>
      <w:r w:rsidR="000333E7" w:rsidRPr="007C5FD5">
        <w:rPr>
          <w:rFonts w:cstheme="minorHAnsi"/>
        </w:rPr>
        <w:t xml:space="preserve"> curbed</w:t>
      </w:r>
      <w:r w:rsidR="00BD47A6" w:rsidRPr="007C5FD5">
        <w:rPr>
          <w:rFonts w:cstheme="minorHAnsi"/>
        </w:rPr>
        <w:t xml:space="preserve">, </w:t>
      </w:r>
      <w:r w:rsidR="000333E7" w:rsidRPr="007C5FD5">
        <w:rPr>
          <w:rFonts w:cstheme="minorHAnsi"/>
        </w:rPr>
        <w:t>pre-mortem and temporarily post-mortem</w:t>
      </w:r>
      <w:r w:rsidR="00BD47A6" w:rsidRPr="007C5FD5">
        <w:rPr>
          <w:rFonts w:cstheme="minorHAnsi"/>
        </w:rPr>
        <w:t>, t</w:t>
      </w:r>
      <w:r w:rsidR="000333E7" w:rsidRPr="007C5FD5">
        <w:rPr>
          <w:rFonts w:cstheme="minorHAnsi"/>
        </w:rPr>
        <w:t>o protect medical confidentiality, the collective interest of the living in reflecting on Mitterrand’s political legacy</w:t>
      </w:r>
      <w:r w:rsidR="002B02B4" w:rsidRPr="007C5FD5">
        <w:rPr>
          <w:rFonts w:cstheme="minorHAnsi"/>
        </w:rPr>
        <w:t xml:space="preserve"> </w:t>
      </w:r>
      <w:r w:rsidR="000333E7" w:rsidRPr="007C5FD5">
        <w:rPr>
          <w:rFonts w:cstheme="minorHAnsi"/>
        </w:rPr>
        <w:t xml:space="preserve">meant that access to </w:t>
      </w:r>
      <w:r w:rsidR="002B02B4" w:rsidRPr="007C5FD5">
        <w:rPr>
          <w:rFonts w:cstheme="minorHAnsi"/>
        </w:rPr>
        <w:t>his</w:t>
      </w:r>
      <w:r w:rsidR="001A4362" w:rsidRPr="007C5FD5">
        <w:rPr>
          <w:rFonts w:cstheme="minorHAnsi"/>
        </w:rPr>
        <w:t xml:space="preserve"> confidential</w:t>
      </w:r>
      <w:r w:rsidR="002B02B4" w:rsidRPr="007C5FD5">
        <w:rPr>
          <w:rFonts w:cstheme="minorHAnsi"/>
        </w:rPr>
        <w:t xml:space="preserve"> </w:t>
      </w:r>
      <w:r w:rsidR="001A4362" w:rsidRPr="007C5FD5">
        <w:rPr>
          <w:rFonts w:cstheme="minorHAnsi"/>
        </w:rPr>
        <w:t>medical</w:t>
      </w:r>
      <w:r w:rsidR="000333E7" w:rsidRPr="007C5FD5">
        <w:rPr>
          <w:rFonts w:cstheme="minorHAnsi"/>
        </w:rPr>
        <w:t xml:space="preserve"> information</w:t>
      </w:r>
      <w:r w:rsidR="002B02B4" w:rsidRPr="007C5FD5">
        <w:rPr>
          <w:rFonts w:cstheme="minorHAnsi"/>
        </w:rPr>
        <w:t xml:space="preserve"> (which </w:t>
      </w:r>
      <w:r w:rsidR="001A4362" w:rsidRPr="007C5FD5">
        <w:rPr>
          <w:rFonts w:cstheme="minorHAnsi"/>
          <w:i/>
          <w:iCs/>
        </w:rPr>
        <w:t>de facto</w:t>
      </w:r>
      <w:r w:rsidR="001A4362" w:rsidRPr="007C5FD5">
        <w:rPr>
          <w:rFonts w:cstheme="minorHAnsi"/>
        </w:rPr>
        <w:t xml:space="preserve"> </w:t>
      </w:r>
      <w:r w:rsidR="002B02B4" w:rsidRPr="007C5FD5">
        <w:rPr>
          <w:rFonts w:cstheme="minorHAnsi"/>
        </w:rPr>
        <w:t>had already been in the public domain) formally</w:t>
      </w:r>
      <w:r w:rsidR="000333E7" w:rsidRPr="007C5FD5">
        <w:rPr>
          <w:rFonts w:cstheme="minorHAnsi"/>
        </w:rPr>
        <w:t xml:space="preserve"> changed hands less than a year </w:t>
      </w:r>
      <w:r w:rsidR="002B02B4" w:rsidRPr="007C5FD5">
        <w:rPr>
          <w:rFonts w:cstheme="minorHAnsi"/>
        </w:rPr>
        <w:t>after</w:t>
      </w:r>
      <w:r w:rsidR="000333E7" w:rsidRPr="007C5FD5">
        <w:rPr>
          <w:rFonts w:cstheme="minorHAnsi"/>
        </w:rPr>
        <w:t xml:space="preserve"> his death</w:t>
      </w:r>
      <w:r w:rsidR="00BD47A6" w:rsidRPr="007C5FD5">
        <w:rPr>
          <w:rFonts w:cstheme="minorHAnsi"/>
        </w:rPr>
        <w:t xml:space="preserve"> -</w:t>
      </w:r>
      <w:r w:rsidR="001B2A1B" w:rsidRPr="007C5FD5">
        <w:rPr>
          <w:rFonts w:cstheme="minorHAnsi"/>
        </w:rPr>
        <w:t xml:space="preserve"> from the relatives to the public</w:t>
      </w:r>
      <w:r w:rsidR="000333E7" w:rsidRPr="007C5FD5">
        <w:rPr>
          <w:rFonts w:cstheme="minorHAnsi"/>
        </w:rPr>
        <w:t xml:space="preserve">. </w:t>
      </w:r>
      <w:r w:rsidR="00605F5D" w:rsidRPr="007C5FD5">
        <w:rPr>
          <w:rFonts w:cstheme="minorHAnsi"/>
        </w:rPr>
        <w:t>In</w:t>
      </w:r>
      <w:r w:rsidR="00AB2974" w:rsidRPr="007C5FD5">
        <w:rPr>
          <w:rFonts w:cstheme="minorHAnsi"/>
        </w:rPr>
        <w:t xml:space="preserve"> </w:t>
      </w:r>
      <w:r w:rsidR="002B02B4" w:rsidRPr="007C5FD5">
        <w:rPr>
          <w:rFonts w:cstheme="minorHAnsi"/>
        </w:rPr>
        <w:t xml:space="preserve">the case of private individuals, as </w:t>
      </w:r>
      <w:r w:rsidR="002B02B4" w:rsidRPr="007C5FD5">
        <w:rPr>
          <w:rFonts w:cstheme="minorHAnsi"/>
        </w:rPr>
        <w:lastRenderedPageBreak/>
        <w:t xml:space="preserve">applicable to </w:t>
      </w:r>
      <w:r w:rsidR="001A4362" w:rsidRPr="007C5FD5">
        <w:rPr>
          <w:rFonts w:cstheme="minorHAnsi"/>
        </w:rPr>
        <w:t>most</w:t>
      </w:r>
      <w:r w:rsidR="002B02B4" w:rsidRPr="007C5FD5">
        <w:rPr>
          <w:rFonts w:cstheme="minorHAnsi"/>
        </w:rPr>
        <w:t xml:space="preserve"> digital legacies, </w:t>
      </w:r>
      <w:r w:rsidR="00605F5D" w:rsidRPr="007C5FD5">
        <w:rPr>
          <w:rFonts w:cstheme="minorHAnsi"/>
        </w:rPr>
        <w:t>any</w:t>
      </w:r>
      <w:r w:rsidR="007666E6" w:rsidRPr="007C5FD5">
        <w:rPr>
          <w:rFonts w:cstheme="minorHAnsi"/>
        </w:rPr>
        <w:t xml:space="preserve"> </w:t>
      </w:r>
      <w:r w:rsidR="002B02B4" w:rsidRPr="007C5FD5">
        <w:rPr>
          <w:rFonts w:cstheme="minorHAnsi"/>
        </w:rPr>
        <w:t xml:space="preserve">public interest in </w:t>
      </w:r>
      <w:r w:rsidR="007666E6" w:rsidRPr="007C5FD5">
        <w:rPr>
          <w:rFonts w:cstheme="minorHAnsi"/>
        </w:rPr>
        <w:t xml:space="preserve">private </w:t>
      </w:r>
      <w:r w:rsidR="00605F5D" w:rsidRPr="007C5FD5">
        <w:rPr>
          <w:rFonts w:cstheme="minorHAnsi"/>
        </w:rPr>
        <w:t xml:space="preserve">or personal </w:t>
      </w:r>
      <w:r w:rsidR="007666E6" w:rsidRPr="007C5FD5">
        <w:rPr>
          <w:rFonts w:cstheme="minorHAnsi"/>
        </w:rPr>
        <w:t>information</w:t>
      </w:r>
      <w:r w:rsidR="00605F5D" w:rsidRPr="007C5FD5">
        <w:rPr>
          <w:rFonts w:cstheme="minorHAnsi"/>
        </w:rPr>
        <w:t xml:space="preserve"> of the deceased </w:t>
      </w:r>
      <w:r w:rsidR="00EC549B">
        <w:rPr>
          <w:rFonts w:cstheme="minorHAnsi"/>
        </w:rPr>
        <w:t>is generally</w:t>
      </w:r>
      <w:r w:rsidR="00160343" w:rsidRPr="007C5FD5">
        <w:rPr>
          <w:rFonts w:cstheme="minorHAnsi"/>
        </w:rPr>
        <w:t xml:space="preserve"> </w:t>
      </w:r>
      <w:r w:rsidR="00605F5D" w:rsidRPr="007C5FD5">
        <w:rPr>
          <w:rFonts w:cstheme="minorHAnsi"/>
        </w:rPr>
        <w:t>much smaller than in respect of public or political figures.</w:t>
      </w:r>
      <w:r w:rsidR="00EC549B">
        <w:rPr>
          <w:rStyle w:val="FootnoteReference"/>
          <w:rFonts w:cstheme="minorHAnsi"/>
        </w:rPr>
        <w:footnoteReference w:id="176"/>
      </w:r>
      <w:r w:rsidR="00627CCE">
        <w:rPr>
          <w:rFonts w:cstheme="minorHAnsi"/>
        </w:rPr>
        <w:t xml:space="preserve"> </w:t>
      </w:r>
      <w:r w:rsidR="00735BA9" w:rsidRPr="007C5FD5">
        <w:rPr>
          <w:rFonts w:cstheme="minorHAnsi"/>
        </w:rPr>
        <w:t>Still,</w:t>
      </w:r>
      <w:r w:rsidR="00842F45" w:rsidRPr="007C5FD5">
        <w:rPr>
          <w:rFonts w:cstheme="minorHAnsi"/>
        </w:rPr>
        <w:t xml:space="preserve"> it seems that</w:t>
      </w:r>
      <w:r w:rsidR="00735BA9" w:rsidRPr="007C5FD5">
        <w:rPr>
          <w:rFonts w:cstheme="minorHAnsi"/>
        </w:rPr>
        <w:t xml:space="preserve"> where the privacy interests of the deceased </w:t>
      </w:r>
      <w:r w:rsidR="00842F45" w:rsidRPr="007C5FD5">
        <w:rPr>
          <w:rFonts w:cstheme="minorHAnsi"/>
        </w:rPr>
        <w:t>or her deceased</w:t>
      </w:r>
      <w:r w:rsidR="00735BA9" w:rsidRPr="007C5FD5">
        <w:rPr>
          <w:rFonts w:cstheme="minorHAnsi"/>
        </w:rPr>
        <w:t xml:space="preserve"> estate are in </w:t>
      </w:r>
      <w:r w:rsidR="00254034" w:rsidRPr="007C5FD5">
        <w:rPr>
          <w:rFonts w:cstheme="minorHAnsi"/>
        </w:rPr>
        <w:t xml:space="preserve">direct </w:t>
      </w:r>
      <w:r w:rsidR="00735BA9" w:rsidRPr="007C5FD5">
        <w:rPr>
          <w:rFonts w:cstheme="minorHAnsi"/>
        </w:rPr>
        <w:t>confrontation with individual claims to privacy or</w:t>
      </w:r>
      <w:r w:rsidR="00254034" w:rsidRPr="007C5FD5">
        <w:rPr>
          <w:rFonts w:cstheme="minorHAnsi"/>
        </w:rPr>
        <w:t xml:space="preserve"> other rights and</w:t>
      </w:r>
      <w:r w:rsidR="00735BA9" w:rsidRPr="007C5FD5">
        <w:rPr>
          <w:rFonts w:cstheme="minorHAnsi"/>
        </w:rPr>
        <w:t xml:space="preserve"> collective goods</w:t>
      </w:r>
      <w:r w:rsidR="00254034" w:rsidRPr="007C5FD5">
        <w:rPr>
          <w:rFonts w:cstheme="minorHAnsi"/>
        </w:rPr>
        <w:t xml:space="preserve">, such as open </w:t>
      </w:r>
      <w:r w:rsidR="00735BA9" w:rsidRPr="007C5FD5">
        <w:rPr>
          <w:rFonts w:cstheme="minorHAnsi"/>
        </w:rPr>
        <w:t xml:space="preserve">justice or freedom </w:t>
      </w:r>
      <w:r w:rsidR="00254034" w:rsidRPr="007C5FD5">
        <w:rPr>
          <w:rFonts w:cstheme="minorHAnsi"/>
        </w:rPr>
        <w:t>to</w:t>
      </w:r>
      <w:r w:rsidR="00735BA9" w:rsidRPr="007C5FD5">
        <w:rPr>
          <w:rFonts w:cstheme="minorHAnsi"/>
        </w:rPr>
        <w:t xml:space="preserve"> information, </w:t>
      </w:r>
      <w:r w:rsidR="00842F45" w:rsidRPr="007C5FD5">
        <w:rPr>
          <w:rFonts w:cstheme="minorHAnsi"/>
        </w:rPr>
        <w:t>the law</w:t>
      </w:r>
      <w:r w:rsidR="00254034" w:rsidRPr="007C5FD5">
        <w:rPr>
          <w:rFonts w:cstheme="minorHAnsi"/>
        </w:rPr>
        <w:t xml:space="preserve"> betrays its forward looking orientation by firmly erring on the side the latter. </w:t>
      </w:r>
    </w:p>
    <w:p w14:paraId="57824DF0" w14:textId="05CFA1BE" w:rsidR="00BE6AB2" w:rsidRPr="007C5FD5" w:rsidRDefault="007F39E4" w:rsidP="007F39E4">
      <w:pPr>
        <w:pStyle w:val="Heading1"/>
        <w:numPr>
          <w:ilvl w:val="0"/>
          <w:numId w:val="2"/>
        </w:numPr>
        <w:rPr>
          <w:rFonts w:asciiTheme="minorHAnsi" w:hAnsiTheme="minorHAnsi" w:cstheme="minorHAnsi"/>
        </w:rPr>
      </w:pPr>
      <w:bookmarkStart w:id="23" w:name="_Toc105945050"/>
      <w:bookmarkStart w:id="24" w:name="_Toc104129821"/>
      <w:r w:rsidRPr="007C5FD5">
        <w:rPr>
          <w:rFonts w:asciiTheme="minorHAnsi" w:hAnsiTheme="minorHAnsi" w:cstheme="minorHAnsi"/>
        </w:rPr>
        <w:t>Conclusion</w:t>
      </w:r>
      <w:bookmarkEnd w:id="23"/>
      <w:r w:rsidRPr="007C5FD5">
        <w:rPr>
          <w:rFonts w:asciiTheme="minorHAnsi" w:hAnsiTheme="minorHAnsi" w:cstheme="minorHAnsi"/>
        </w:rPr>
        <w:t xml:space="preserve"> </w:t>
      </w:r>
      <w:bookmarkEnd w:id="24"/>
    </w:p>
    <w:p w14:paraId="2671EA39" w14:textId="6DB3FB6B" w:rsidR="00E94DC1" w:rsidRPr="007C5FD5" w:rsidRDefault="00FC1438" w:rsidP="00D71000">
      <w:pPr>
        <w:jc w:val="both"/>
        <w:rPr>
          <w:rFonts w:cstheme="minorHAnsi"/>
        </w:rPr>
      </w:pPr>
      <w:r w:rsidRPr="007C5FD5">
        <w:rPr>
          <w:rFonts w:cstheme="minorHAnsi"/>
        </w:rPr>
        <w:t xml:space="preserve">This paper </w:t>
      </w:r>
      <w:r w:rsidR="00F11615">
        <w:rPr>
          <w:rFonts w:cstheme="minorHAnsi"/>
        </w:rPr>
        <w:t xml:space="preserve">capitalised on the post-mortem </w:t>
      </w:r>
      <w:r w:rsidRPr="007C5FD5">
        <w:rPr>
          <w:rFonts w:cstheme="minorHAnsi"/>
        </w:rPr>
        <w:t xml:space="preserve">duty of medical confidentiality to interrogate the </w:t>
      </w:r>
      <w:r w:rsidR="00DB56CD" w:rsidRPr="007C5FD5">
        <w:rPr>
          <w:rFonts w:cstheme="minorHAnsi"/>
        </w:rPr>
        <w:t xml:space="preserve">possibility of </w:t>
      </w:r>
      <w:r w:rsidRPr="007C5FD5">
        <w:rPr>
          <w:rFonts w:cstheme="minorHAnsi"/>
        </w:rPr>
        <w:t xml:space="preserve">post-mortem privacy as prompted by the debate </w:t>
      </w:r>
      <w:r w:rsidR="00184AA2" w:rsidRPr="007C5FD5">
        <w:rPr>
          <w:rFonts w:cstheme="minorHAnsi"/>
        </w:rPr>
        <w:t>about</w:t>
      </w:r>
      <w:r w:rsidRPr="007C5FD5">
        <w:rPr>
          <w:rFonts w:cstheme="minorHAnsi"/>
        </w:rPr>
        <w:t xml:space="preserve"> digital legacies. Th</w:t>
      </w:r>
      <w:r w:rsidR="00793A87">
        <w:rPr>
          <w:rFonts w:cstheme="minorHAnsi"/>
        </w:rPr>
        <w:t>e</w:t>
      </w:r>
      <w:r w:rsidRPr="007C5FD5">
        <w:rPr>
          <w:rFonts w:cstheme="minorHAnsi"/>
        </w:rPr>
        <w:t xml:space="preserve"> microcosm offer</w:t>
      </w:r>
      <w:r w:rsidR="00F11615">
        <w:rPr>
          <w:rFonts w:cstheme="minorHAnsi"/>
        </w:rPr>
        <w:t>ed</w:t>
      </w:r>
      <w:r w:rsidR="009E0E9A">
        <w:rPr>
          <w:rFonts w:cstheme="minorHAnsi"/>
        </w:rPr>
        <w:t xml:space="preserve"> </w:t>
      </w:r>
      <w:r w:rsidR="00DB56CD" w:rsidRPr="007C5FD5">
        <w:rPr>
          <w:rFonts w:cstheme="minorHAnsi"/>
        </w:rPr>
        <w:t xml:space="preserve">an </w:t>
      </w:r>
      <w:r w:rsidRPr="007C5FD5">
        <w:rPr>
          <w:rFonts w:cstheme="minorHAnsi"/>
        </w:rPr>
        <w:t xml:space="preserve">analytical </w:t>
      </w:r>
      <w:r w:rsidR="00DB56CD" w:rsidRPr="007C5FD5">
        <w:rPr>
          <w:rFonts w:cstheme="minorHAnsi"/>
        </w:rPr>
        <w:t>gateway</w:t>
      </w:r>
      <w:r w:rsidR="007C5FD5">
        <w:rPr>
          <w:rFonts w:cstheme="minorHAnsi"/>
        </w:rPr>
        <w:t xml:space="preserve"> into the problematic</w:t>
      </w:r>
      <w:r w:rsidR="00D44C28">
        <w:rPr>
          <w:rFonts w:cstheme="minorHAnsi"/>
        </w:rPr>
        <w:t xml:space="preserve"> </w:t>
      </w:r>
      <w:r w:rsidR="00F11615">
        <w:rPr>
          <w:rFonts w:cstheme="minorHAnsi"/>
        </w:rPr>
        <w:t>first and foremost</w:t>
      </w:r>
      <w:r w:rsidR="00DB56CD" w:rsidRPr="007C5FD5">
        <w:rPr>
          <w:rFonts w:cstheme="minorHAnsi"/>
        </w:rPr>
        <w:t xml:space="preserve"> because</w:t>
      </w:r>
      <w:r w:rsidRPr="007C5FD5">
        <w:rPr>
          <w:rFonts w:cstheme="minorHAnsi"/>
        </w:rPr>
        <w:t xml:space="preserve"> </w:t>
      </w:r>
      <w:r w:rsidR="00184AA2" w:rsidRPr="007C5FD5">
        <w:rPr>
          <w:rFonts w:cstheme="minorHAnsi"/>
        </w:rPr>
        <w:t>medical confidentiality</w:t>
      </w:r>
      <w:r w:rsidRPr="007C5FD5">
        <w:rPr>
          <w:rFonts w:cstheme="minorHAnsi"/>
        </w:rPr>
        <w:t xml:space="preserve"> </w:t>
      </w:r>
      <w:r w:rsidR="001408A9">
        <w:rPr>
          <w:rFonts w:cstheme="minorHAnsi"/>
        </w:rPr>
        <w:t>is</w:t>
      </w:r>
      <w:r w:rsidR="00DB56CD" w:rsidRPr="007C5FD5">
        <w:rPr>
          <w:rFonts w:cstheme="minorHAnsi"/>
        </w:rPr>
        <w:t xml:space="preserve"> </w:t>
      </w:r>
      <w:r w:rsidR="00E94DC1" w:rsidRPr="007C5FD5">
        <w:rPr>
          <w:rFonts w:cstheme="minorHAnsi"/>
        </w:rPr>
        <w:t>an</w:t>
      </w:r>
      <w:r w:rsidRPr="007C5FD5">
        <w:rPr>
          <w:rFonts w:cstheme="minorHAnsi"/>
        </w:rPr>
        <w:t xml:space="preserve"> </w:t>
      </w:r>
      <w:r w:rsidR="00E94DC1" w:rsidRPr="007C5FD5">
        <w:rPr>
          <w:rFonts w:cstheme="minorHAnsi"/>
        </w:rPr>
        <w:t xml:space="preserve">outlier case </w:t>
      </w:r>
      <w:r w:rsidRPr="007C5FD5">
        <w:rPr>
          <w:rFonts w:cstheme="minorHAnsi"/>
        </w:rPr>
        <w:t xml:space="preserve">in which post-mortem protection </w:t>
      </w:r>
      <w:r w:rsidR="003A3095" w:rsidRPr="007C5FD5">
        <w:rPr>
          <w:rFonts w:cstheme="minorHAnsi"/>
        </w:rPr>
        <w:t>has been</w:t>
      </w:r>
      <w:r w:rsidR="00184AA2" w:rsidRPr="007C5FD5">
        <w:rPr>
          <w:rFonts w:cstheme="minorHAnsi"/>
        </w:rPr>
        <w:t xml:space="preserve"> </w:t>
      </w:r>
      <w:r w:rsidR="00DB56CD" w:rsidRPr="007C5FD5">
        <w:rPr>
          <w:rFonts w:cstheme="minorHAnsi"/>
        </w:rPr>
        <w:t>allowe</w:t>
      </w:r>
      <w:r w:rsidR="00184AA2" w:rsidRPr="007C5FD5">
        <w:rPr>
          <w:rFonts w:cstheme="minorHAnsi"/>
        </w:rPr>
        <w:t>d</w:t>
      </w:r>
      <w:r w:rsidR="00DB56CD" w:rsidRPr="007C5FD5">
        <w:rPr>
          <w:rFonts w:cstheme="minorHAnsi"/>
        </w:rPr>
        <w:t xml:space="preserve"> </w:t>
      </w:r>
      <w:r w:rsidR="00E94DC1" w:rsidRPr="007C5FD5">
        <w:rPr>
          <w:rFonts w:cstheme="minorHAnsi"/>
        </w:rPr>
        <w:t xml:space="preserve">in England and Wales </w:t>
      </w:r>
      <w:r w:rsidR="00184AA2" w:rsidRPr="007C5FD5">
        <w:rPr>
          <w:rFonts w:cstheme="minorHAnsi"/>
        </w:rPr>
        <w:t xml:space="preserve">and </w:t>
      </w:r>
      <w:r w:rsidR="00E94DC1" w:rsidRPr="007C5FD5">
        <w:rPr>
          <w:rFonts w:cstheme="minorHAnsi"/>
        </w:rPr>
        <w:t xml:space="preserve">by </w:t>
      </w:r>
      <w:r w:rsidR="00184AA2" w:rsidRPr="007C5FD5">
        <w:rPr>
          <w:rFonts w:cstheme="minorHAnsi"/>
        </w:rPr>
        <w:t>the ECtHR</w:t>
      </w:r>
      <w:r w:rsidR="003A3095" w:rsidRPr="007C5FD5">
        <w:rPr>
          <w:rFonts w:cstheme="minorHAnsi"/>
        </w:rPr>
        <w:t xml:space="preserve">, </w:t>
      </w:r>
      <w:r w:rsidR="00DB56CD" w:rsidRPr="007C5FD5">
        <w:rPr>
          <w:rFonts w:cstheme="minorHAnsi"/>
        </w:rPr>
        <w:t xml:space="preserve">and thus </w:t>
      </w:r>
      <w:r w:rsidR="003A3095" w:rsidRPr="007C5FD5">
        <w:rPr>
          <w:rFonts w:cstheme="minorHAnsi"/>
        </w:rPr>
        <w:t xml:space="preserve">provides </w:t>
      </w:r>
      <w:r w:rsidR="00DB56CD" w:rsidRPr="007C5FD5">
        <w:rPr>
          <w:rFonts w:cstheme="minorHAnsi"/>
        </w:rPr>
        <w:t xml:space="preserve">a </w:t>
      </w:r>
      <w:r w:rsidR="003A3095" w:rsidRPr="007C5FD5">
        <w:rPr>
          <w:rFonts w:cstheme="minorHAnsi"/>
        </w:rPr>
        <w:t xml:space="preserve">site </w:t>
      </w:r>
      <w:r w:rsidR="002E363D" w:rsidRPr="007C5FD5">
        <w:rPr>
          <w:rFonts w:cstheme="minorHAnsi"/>
        </w:rPr>
        <w:t>for</w:t>
      </w:r>
      <w:r w:rsidR="00DB56CD" w:rsidRPr="007C5FD5">
        <w:rPr>
          <w:rFonts w:cstheme="minorHAnsi"/>
        </w:rPr>
        <w:t xml:space="preserve"> </w:t>
      </w:r>
      <w:r w:rsidR="009B6260" w:rsidRPr="007C5FD5">
        <w:rPr>
          <w:rFonts w:cstheme="minorHAnsi"/>
        </w:rPr>
        <w:t>testing</w:t>
      </w:r>
      <w:r w:rsidR="002E363D" w:rsidRPr="007C5FD5">
        <w:rPr>
          <w:rFonts w:cstheme="minorHAnsi"/>
        </w:rPr>
        <w:t xml:space="preserve"> standard</w:t>
      </w:r>
      <w:r w:rsidR="00E94DC1" w:rsidRPr="007C5FD5">
        <w:rPr>
          <w:rFonts w:cstheme="minorHAnsi"/>
        </w:rPr>
        <w:t xml:space="preserve"> </w:t>
      </w:r>
      <w:r w:rsidR="00184AA2" w:rsidRPr="007C5FD5">
        <w:rPr>
          <w:rFonts w:cstheme="minorHAnsi"/>
        </w:rPr>
        <w:t>objections to such protection</w:t>
      </w:r>
      <w:r w:rsidR="002E363D" w:rsidRPr="007C5FD5">
        <w:rPr>
          <w:rFonts w:cstheme="minorHAnsi"/>
        </w:rPr>
        <w:t xml:space="preserve">. </w:t>
      </w:r>
      <w:r w:rsidR="00D44C28">
        <w:rPr>
          <w:rFonts w:cstheme="minorHAnsi"/>
        </w:rPr>
        <w:t>Furthermore,</w:t>
      </w:r>
      <w:r w:rsidR="00184AA2" w:rsidRPr="007C5FD5">
        <w:rPr>
          <w:rFonts w:cstheme="minorHAnsi"/>
        </w:rPr>
        <w:t xml:space="preserve"> </w:t>
      </w:r>
      <w:r w:rsidR="002E363D" w:rsidRPr="007C5FD5">
        <w:rPr>
          <w:rFonts w:cstheme="minorHAnsi"/>
        </w:rPr>
        <w:t xml:space="preserve">as </w:t>
      </w:r>
      <w:r w:rsidR="00184AA2" w:rsidRPr="007C5FD5">
        <w:rPr>
          <w:rFonts w:cstheme="minorHAnsi"/>
        </w:rPr>
        <w:t>medical confidentiality</w:t>
      </w:r>
      <w:r w:rsidR="002E363D" w:rsidRPr="007C5FD5">
        <w:rPr>
          <w:rFonts w:cstheme="minorHAnsi"/>
        </w:rPr>
        <w:t xml:space="preserve"> </w:t>
      </w:r>
      <w:r w:rsidR="00184AA2" w:rsidRPr="007C5FD5">
        <w:rPr>
          <w:rFonts w:cstheme="minorHAnsi"/>
        </w:rPr>
        <w:t>encapsulates</w:t>
      </w:r>
      <w:r w:rsidR="00DB56CD" w:rsidRPr="007C5FD5">
        <w:rPr>
          <w:rFonts w:cstheme="minorHAnsi"/>
        </w:rPr>
        <w:t xml:space="preserve">, </w:t>
      </w:r>
      <w:r w:rsidR="00D44C28">
        <w:rPr>
          <w:rFonts w:cstheme="minorHAnsi"/>
        </w:rPr>
        <w:t>as</w:t>
      </w:r>
      <w:r w:rsidR="00DB56CD" w:rsidRPr="007C5FD5">
        <w:rPr>
          <w:rFonts w:cstheme="minorHAnsi"/>
        </w:rPr>
        <w:t xml:space="preserve"> argued</w:t>
      </w:r>
      <w:r w:rsidR="003C7EF2">
        <w:rPr>
          <w:rFonts w:cstheme="minorHAnsi"/>
        </w:rPr>
        <w:t xml:space="preserve"> here</w:t>
      </w:r>
      <w:r w:rsidR="00DB56CD" w:rsidRPr="007C5FD5">
        <w:rPr>
          <w:rFonts w:cstheme="minorHAnsi"/>
        </w:rPr>
        <w:t>,</w:t>
      </w:r>
      <w:r w:rsidR="002E363D" w:rsidRPr="007C5FD5">
        <w:rPr>
          <w:rFonts w:cstheme="minorHAnsi"/>
        </w:rPr>
        <w:t xml:space="preserve"> </w:t>
      </w:r>
      <w:r w:rsidR="00184AA2" w:rsidRPr="007C5FD5">
        <w:rPr>
          <w:rFonts w:cstheme="minorHAnsi"/>
        </w:rPr>
        <w:t xml:space="preserve">the </w:t>
      </w:r>
      <w:r w:rsidR="003C7EF2">
        <w:rPr>
          <w:rFonts w:cstheme="minorHAnsi"/>
        </w:rPr>
        <w:t xml:space="preserve">very </w:t>
      </w:r>
      <w:r w:rsidR="00184AA2" w:rsidRPr="007C5FD5">
        <w:rPr>
          <w:rFonts w:cstheme="minorHAnsi"/>
        </w:rPr>
        <w:t>essence of information privacy</w:t>
      </w:r>
      <w:r w:rsidR="002E363D" w:rsidRPr="007C5FD5">
        <w:rPr>
          <w:rFonts w:cstheme="minorHAnsi"/>
        </w:rPr>
        <w:t xml:space="preserve">, </w:t>
      </w:r>
      <w:r w:rsidR="00184AA2" w:rsidRPr="007C5FD5">
        <w:rPr>
          <w:rFonts w:cstheme="minorHAnsi"/>
        </w:rPr>
        <w:t xml:space="preserve">conclusions reached in </w:t>
      </w:r>
      <w:r w:rsidR="003F3446" w:rsidRPr="007C5FD5">
        <w:rPr>
          <w:rFonts w:cstheme="minorHAnsi"/>
        </w:rPr>
        <w:t>its</w:t>
      </w:r>
      <w:r w:rsidR="00184AA2" w:rsidRPr="007C5FD5">
        <w:rPr>
          <w:rFonts w:cstheme="minorHAnsi"/>
        </w:rPr>
        <w:t xml:space="preserve"> specific </w:t>
      </w:r>
      <w:r w:rsidR="00E94DC1" w:rsidRPr="007C5FD5">
        <w:rPr>
          <w:rFonts w:cstheme="minorHAnsi"/>
        </w:rPr>
        <w:t>context</w:t>
      </w:r>
      <w:r w:rsidR="00184AA2" w:rsidRPr="007C5FD5">
        <w:rPr>
          <w:rFonts w:cstheme="minorHAnsi"/>
        </w:rPr>
        <w:t xml:space="preserve"> </w:t>
      </w:r>
      <w:r w:rsidR="00D44C28">
        <w:rPr>
          <w:rFonts w:cstheme="minorHAnsi"/>
        </w:rPr>
        <w:t xml:space="preserve">become </w:t>
      </w:r>
      <w:r w:rsidR="00184AA2" w:rsidRPr="007C5FD5">
        <w:rPr>
          <w:rFonts w:cstheme="minorHAnsi"/>
        </w:rPr>
        <w:t>available t</w:t>
      </w:r>
      <w:r w:rsidR="00D44C28">
        <w:rPr>
          <w:rFonts w:cstheme="minorHAnsi"/>
        </w:rPr>
        <w:t>o</w:t>
      </w:r>
      <w:r w:rsidR="00184AA2" w:rsidRPr="007C5FD5">
        <w:rPr>
          <w:rFonts w:cstheme="minorHAnsi"/>
        </w:rPr>
        <w:t xml:space="preserve"> the general </w:t>
      </w:r>
      <w:r w:rsidR="00E94DC1" w:rsidRPr="007C5FD5">
        <w:rPr>
          <w:rFonts w:cstheme="minorHAnsi"/>
        </w:rPr>
        <w:t xml:space="preserve">one </w:t>
      </w:r>
      <w:r w:rsidR="00184AA2" w:rsidRPr="007C5FD5">
        <w:rPr>
          <w:rFonts w:cstheme="minorHAnsi"/>
        </w:rPr>
        <w:t>of information privacy.</w:t>
      </w:r>
      <w:r w:rsidR="00D44C28">
        <w:rPr>
          <w:rFonts w:cstheme="minorHAnsi"/>
        </w:rPr>
        <w:t xml:space="preserve"> Finally,</w:t>
      </w:r>
      <w:r w:rsidR="00184AA2" w:rsidRPr="007C5FD5">
        <w:rPr>
          <w:rFonts w:cstheme="minorHAnsi"/>
        </w:rPr>
        <w:t xml:space="preserve"> the grounding of medical confidentiality in the long-standing professional duty</w:t>
      </w:r>
      <w:r w:rsidR="00D44C28">
        <w:rPr>
          <w:rFonts w:cstheme="minorHAnsi"/>
        </w:rPr>
        <w:t>, as</w:t>
      </w:r>
      <w:r w:rsidR="00184AA2" w:rsidRPr="007C5FD5">
        <w:rPr>
          <w:rFonts w:cstheme="minorHAnsi"/>
        </w:rPr>
        <w:t xml:space="preserve"> enshrined </w:t>
      </w:r>
      <w:r w:rsidR="00D17D68">
        <w:rPr>
          <w:rFonts w:cstheme="minorHAnsi"/>
        </w:rPr>
        <w:t>in</w:t>
      </w:r>
      <w:r w:rsidR="00184AA2" w:rsidRPr="007C5FD5">
        <w:rPr>
          <w:rFonts w:cstheme="minorHAnsi"/>
        </w:rPr>
        <w:t xml:space="preserve"> the Hippocratic Oath</w:t>
      </w:r>
      <w:r w:rsidR="00D44C28">
        <w:rPr>
          <w:rFonts w:cstheme="minorHAnsi"/>
        </w:rPr>
        <w:t>,</w:t>
      </w:r>
      <w:r w:rsidR="00184AA2" w:rsidRPr="007C5FD5">
        <w:rPr>
          <w:rFonts w:cstheme="minorHAnsi"/>
        </w:rPr>
        <w:t xml:space="preserve"> </w:t>
      </w:r>
      <w:r w:rsidR="003E4EAD">
        <w:rPr>
          <w:rFonts w:cstheme="minorHAnsi"/>
        </w:rPr>
        <w:t xml:space="preserve">also </w:t>
      </w:r>
      <w:r w:rsidR="00EF4BFD">
        <w:rPr>
          <w:rFonts w:cstheme="minorHAnsi"/>
        </w:rPr>
        <w:t>brings with it</w:t>
      </w:r>
      <w:r w:rsidR="00184AA2" w:rsidRPr="007C5FD5">
        <w:rPr>
          <w:rFonts w:cstheme="minorHAnsi"/>
        </w:rPr>
        <w:t xml:space="preserve"> </w:t>
      </w:r>
      <w:r w:rsidR="009B6260" w:rsidRPr="007C5FD5">
        <w:rPr>
          <w:rFonts w:cstheme="minorHAnsi"/>
        </w:rPr>
        <w:t>complementary</w:t>
      </w:r>
      <w:r w:rsidR="00D75B45" w:rsidRPr="007C5FD5">
        <w:rPr>
          <w:rFonts w:cstheme="minorHAnsi"/>
        </w:rPr>
        <w:t xml:space="preserve"> </w:t>
      </w:r>
      <w:r w:rsidR="00184AA2" w:rsidRPr="007C5FD5">
        <w:rPr>
          <w:rFonts w:cstheme="minorHAnsi"/>
        </w:rPr>
        <w:t xml:space="preserve">insights </w:t>
      </w:r>
      <w:r w:rsidR="002731AE" w:rsidRPr="007C5FD5">
        <w:rPr>
          <w:rFonts w:cstheme="minorHAnsi"/>
        </w:rPr>
        <w:t xml:space="preserve">about </w:t>
      </w:r>
      <w:r w:rsidR="003C7EF2">
        <w:rPr>
          <w:rFonts w:cstheme="minorHAnsi"/>
        </w:rPr>
        <w:t>its</w:t>
      </w:r>
      <w:r w:rsidR="00E94DC1" w:rsidRPr="007C5FD5">
        <w:rPr>
          <w:rFonts w:cstheme="minorHAnsi"/>
        </w:rPr>
        <w:t xml:space="preserve"> </w:t>
      </w:r>
      <w:r w:rsidR="00866E03" w:rsidRPr="007C5FD5">
        <w:rPr>
          <w:rFonts w:cstheme="minorHAnsi"/>
        </w:rPr>
        <w:t>institutional</w:t>
      </w:r>
      <w:r w:rsidR="00E94DC1" w:rsidRPr="007C5FD5">
        <w:rPr>
          <w:rFonts w:cstheme="minorHAnsi"/>
        </w:rPr>
        <w:t xml:space="preserve"> </w:t>
      </w:r>
      <w:r w:rsidR="007C5FD5">
        <w:rPr>
          <w:rFonts w:cstheme="minorHAnsi"/>
        </w:rPr>
        <w:t>drivers</w:t>
      </w:r>
      <w:r w:rsidR="003C7EF2">
        <w:rPr>
          <w:rFonts w:cstheme="minorHAnsi"/>
        </w:rPr>
        <w:t xml:space="preserve">, </w:t>
      </w:r>
      <w:r w:rsidR="00E94DC1" w:rsidRPr="007C5FD5">
        <w:rPr>
          <w:rFonts w:cstheme="minorHAnsi"/>
        </w:rPr>
        <w:t xml:space="preserve">including </w:t>
      </w:r>
      <w:r w:rsidR="003E4EAD">
        <w:rPr>
          <w:rFonts w:cstheme="minorHAnsi"/>
        </w:rPr>
        <w:t xml:space="preserve">for </w:t>
      </w:r>
      <w:r w:rsidR="00E94DC1" w:rsidRPr="007C5FD5">
        <w:rPr>
          <w:rFonts w:cstheme="minorHAnsi"/>
        </w:rPr>
        <w:t xml:space="preserve">its post-mortem extension. </w:t>
      </w:r>
    </w:p>
    <w:p w14:paraId="0CC28630" w14:textId="329C3C2C" w:rsidR="00D71000" w:rsidRPr="007C5FD5" w:rsidRDefault="00EA0121" w:rsidP="00D71000">
      <w:pPr>
        <w:jc w:val="both"/>
        <w:rPr>
          <w:rFonts w:cstheme="minorHAnsi"/>
        </w:rPr>
      </w:pPr>
      <w:r>
        <w:rPr>
          <w:rFonts w:cstheme="minorHAnsi"/>
        </w:rPr>
        <w:t xml:space="preserve">A close reading of </w:t>
      </w:r>
      <w:r w:rsidR="00DB56CD" w:rsidRPr="007C5FD5">
        <w:rPr>
          <w:rFonts w:cstheme="minorHAnsi"/>
        </w:rPr>
        <w:t xml:space="preserve">recent case law </w:t>
      </w:r>
      <w:r>
        <w:rPr>
          <w:rFonts w:cstheme="minorHAnsi"/>
        </w:rPr>
        <w:t>reveals</w:t>
      </w:r>
      <w:r w:rsidR="00DB56CD" w:rsidRPr="007C5FD5">
        <w:rPr>
          <w:rFonts w:cstheme="minorHAnsi"/>
        </w:rPr>
        <w:t xml:space="preserve"> that </w:t>
      </w:r>
      <w:r w:rsidR="003C7EF2">
        <w:rPr>
          <w:rFonts w:cstheme="minorHAnsi"/>
        </w:rPr>
        <w:t xml:space="preserve">the </w:t>
      </w:r>
      <w:r w:rsidR="001B6B48" w:rsidRPr="007C5FD5">
        <w:rPr>
          <w:rFonts w:cstheme="minorHAnsi"/>
        </w:rPr>
        <w:t>post-mortem</w:t>
      </w:r>
      <w:r w:rsidR="00AA541F">
        <w:rPr>
          <w:rFonts w:cstheme="minorHAnsi"/>
        </w:rPr>
        <w:t xml:space="preserve"> duty of</w:t>
      </w:r>
      <w:r w:rsidR="001B6B48" w:rsidRPr="007C5FD5">
        <w:rPr>
          <w:rFonts w:cstheme="minorHAnsi"/>
        </w:rPr>
        <w:t xml:space="preserve"> medical confidentiality </w:t>
      </w:r>
      <w:r w:rsidR="00DB56CD" w:rsidRPr="007C5FD5">
        <w:rPr>
          <w:rFonts w:cstheme="minorHAnsi"/>
        </w:rPr>
        <w:t>is</w:t>
      </w:r>
      <w:r w:rsidR="00D44C28">
        <w:rPr>
          <w:rFonts w:cstheme="minorHAnsi"/>
        </w:rPr>
        <w:t xml:space="preserve"> after all</w:t>
      </w:r>
      <w:r w:rsidR="00A711AF" w:rsidRPr="007C5FD5">
        <w:rPr>
          <w:rFonts w:cstheme="minorHAnsi"/>
        </w:rPr>
        <w:t xml:space="preserve"> a</w:t>
      </w:r>
      <w:r w:rsidR="009B6260" w:rsidRPr="007C5FD5">
        <w:rPr>
          <w:rFonts w:cstheme="minorHAnsi"/>
        </w:rPr>
        <w:t xml:space="preserve"> </w:t>
      </w:r>
      <w:r w:rsidR="00987905" w:rsidRPr="007C5FD5">
        <w:rPr>
          <w:rFonts w:cstheme="minorHAnsi"/>
        </w:rPr>
        <w:t>f</w:t>
      </w:r>
      <w:r w:rsidR="00DB56CD" w:rsidRPr="007C5FD5">
        <w:rPr>
          <w:rFonts w:cstheme="minorHAnsi"/>
        </w:rPr>
        <w:t>ake: whilst</w:t>
      </w:r>
      <w:r w:rsidR="009B6260" w:rsidRPr="007C5FD5">
        <w:rPr>
          <w:rFonts w:cstheme="minorHAnsi"/>
        </w:rPr>
        <w:t xml:space="preserve"> the duty of</w:t>
      </w:r>
      <w:r w:rsidR="00DB56CD" w:rsidRPr="007C5FD5">
        <w:rPr>
          <w:rFonts w:cstheme="minorHAnsi"/>
        </w:rPr>
        <w:t xml:space="preserve"> medical confidentiality survive</w:t>
      </w:r>
      <w:r w:rsidR="009B6260" w:rsidRPr="007C5FD5">
        <w:rPr>
          <w:rFonts w:cstheme="minorHAnsi"/>
        </w:rPr>
        <w:t>s</w:t>
      </w:r>
      <w:r w:rsidR="00DB56CD" w:rsidRPr="007C5FD5">
        <w:rPr>
          <w:rFonts w:cstheme="minorHAnsi"/>
        </w:rPr>
        <w:t xml:space="preserve"> the death of the rightsholder, it </w:t>
      </w:r>
      <w:r w:rsidR="009B6260" w:rsidRPr="007C5FD5">
        <w:rPr>
          <w:rFonts w:cstheme="minorHAnsi"/>
        </w:rPr>
        <w:t xml:space="preserve">in fact </w:t>
      </w:r>
      <w:r w:rsidR="00A711AF" w:rsidRPr="007C5FD5">
        <w:rPr>
          <w:rFonts w:cstheme="minorHAnsi"/>
        </w:rPr>
        <w:t>protects the</w:t>
      </w:r>
      <w:r w:rsidR="00DB56CD" w:rsidRPr="007C5FD5">
        <w:rPr>
          <w:rFonts w:cstheme="minorHAnsi"/>
        </w:rPr>
        <w:t xml:space="preserve"> </w:t>
      </w:r>
      <w:r w:rsidR="00D71000" w:rsidRPr="007C5FD5">
        <w:rPr>
          <w:rFonts w:cstheme="minorHAnsi"/>
        </w:rPr>
        <w:t xml:space="preserve">overlapping </w:t>
      </w:r>
      <w:r w:rsidR="00ED1508">
        <w:rPr>
          <w:rFonts w:cstheme="minorHAnsi"/>
        </w:rPr>
        <w:t>privacy</w:t>
      </w:r>
      <w:r w:rsidR="00D71000" w:rsidRPr="007C5FD5">
        <w:rPr>
          <w:rFonts w:cstheme="minorHAnsi"/>
        </w:rPr>
        <w:t xml:space="preserve"> interests of </w:t>
      </w:r>
      <w:r w:rsidR="001B6B48" w:rsidRPr="007C5FD5">
        <w:rPr>
          <w:rFonts w:cstheme="minorHAnsi"/>
        </w:rPr>
        <w:t>the living. These</w:t>
      </w:r>
      <w:r>
        <w:rPr>
          <w:rFonts w:cstheme="minorHAnsi"/>
        </w:rPr>
        <w:t xml:space="preserve"> protected</w:t>
      </w:r>
      <w:r w:rsidR="001B6B48" w:rsidRPr="007C5FD5">
        <w:rPr>
          <w:rFonts w:cstheme="minorHAnsi"/>
        </w:rPr>
        <w:t xml:space="preserve"> significant others </w:t>
      </w:r>
      <w:r w:rsidR="00987905" w:rsidRPr="007C5FD5">
        <w:rPr>
          <w:rFonts w:cstheme="minorHAnsi"/>
        </w:rPr>
        <w:t>may be</w:t>
      </w:r>
      <w:r w:rsidR="00D71000" w:rsidRPr="007C5FD5">
        <w:rPr>
          <w:rFonts w:cstheme="minorHAnsi"/>
        </w:rPr>
        <w:t xml:space="preserve"> medical staff, care personnel or family, whose own privacy </w:t>
      </w:r>
      <w:r w:rsidR="00AA541F">
        <w:rPr>
          <w:rFonts w:cstheme="minorHAnsi"/>
        </w:rPr>
        <w:t>are</w:t>
      </w:r>
      <w:r w:rsidR="00987905" w:rsidRPr="007C5FD5">
        <w:rPr>
          <w:rFonts w:cstheme="minorHAnsi"/>
        </w:rPr>
        <w:t xml:space="preserve"> </w:t>
      </w:r>
      <w:r w:rsidR="00D71000" w:rsidRPr="007C5FD5">
        <w:rPr>
          <w:rFonts w:cstheme="minorHAnsi"/>
        </w:rPr>
        <w:t xml:space="preserve">directly implicated in </w:t>
      </w:r>
      <w:r w:rsidR="00987905" w:rsidRPr="007C5FD5">
        <w:rPr>
          <w:rFonts w:cstheme="minorHAnsi"/>
        </w:rPr>
        <w:t xml:space="preserve">the </w:t>
      </w:r>
      <w:r w:rsidR="00D71000" w:rsidRPr="007C5FD5">
        <w:rPr>
          <w:rFonts w:cstheme="minorHAnsi"/>
        </w:rPr>
        <w:t>purported breach of th</w:t>
      </w:r>
      <w:r w:rsidR="00987905" w:rsidRPr="007C5FD5">
        <w:rPr>
          <w:rFonts w:cstheme="minorHAnsi"/>
        </w:rPr>
        <w:t>ose</w:t>
      </w:r>
      <w:r w:rsidR="00D71000" w:rsidRPr="007C5FD5">
        <w:rPr>
          <w:rFonts w:cstheme="minorHAnsi"/>
        </w:rPr>
        <w:t xml:space="preserve"> of the deceased. </w:t>
      </w:r>
      <w:r w:rsidR="009E0E9A">
        <w:rPr>
          <w:rFonts w:cstheme="minorHAnsi"/>
        </w:rPr>
        <w:t>E</w:t>
      </w:r>
      <w:r w:rsidR="009B6260" w:rsidRPr="007C5FD5">
        <w:rPr>
          <w:rFonts w:cstheme="minorHAnsi"/>
        </w:rPr>
        <w:t>v</w:t>
      </w:r>
      <w:r w:rsidR="00D71000" w:rsidRPr="007C5FD5">
        <w:rPr>
          <w:rFonts w:cstheme="minorHAnsi"/>
        </w:rPr>
        <w:t>en</w:t>
      </w:r>
      <w:r w:rsidR="009B6260" w:rsidRPr="007C5FD5">
        <w:rPr>
          <w:rFonts w:cstheme="minorHAnsi"/>
        </w:rPr>
        <w:t xml:space="preserve"> when</w:t>
      </w:r>
      <w:r w:rsidR="00D71000" w:rsidRPr="007C5FD5">
        <w:rPr>
          <w:rFonts w:cstheme="minorHAnsi"/>
        </w:rPr>
        <w:t xml:space="preserve"> </w:t>
      </w:r>
      <w:r w:rsidR="009B6260" w:rsidRPr="007C5FD5">
        <w:rPr>
          <w:rFonts w:cstheme="minorHAnsi"/>
        </w:rPr>
        <w:t xml:space="preserve">post-mortem privacy or confidentiality is constructed as an expression of </w:t>
      </w:r>
      <w:r w:rsidR="00A711AF" w:rsidRPr="007C5FD5">
        <w:rPr>
          <w:rFonts w:cstheme="minorHAnsi"/>
        </w:rPr>
        <w:t>a</w:t>
      </w:r>
      <w:r w:rsidR="009B6260" w:rsidRPr="007C5FD5">
        <w:rPr>
          <w:rFonts w:cstheme="minorHAnsi"/>
        </w:rPr>
        <w:t xml:space="preserve"> public good</w:t>
      </w:r>
      <w:r w:rsidR="00A711AF" w:rsidRPr="007C5FD5">
        <w:rPr>
          <w:rFonts w:cstheme="minorHAnsi"/>
        </w:rPr>
        <w:t xml:space="preserve">, </w:t>
      </w:r>
      <w:r w:rsidR="001B6B48" w:rsidRPr="007C5FD5">
        <w:rPr>
          <w:rFonts w:cstheme="minorHAnsi"/>
        </w:rPr>
        <w:t xml:space="preserve">such as </w:t>
      </w:r>
      <w:r w:rsidR="009B6260" w:rsidRPr="007C5FD5">
        <w:rPr>
          <w:rFonts w:cstheme="minorHAnsi"/>
        </w:rPr>
        <w:t xml:space="preserve">human dignity, it is </w:t>
      </w:r>
      <w:r w:rsidR="00BC61E5" w:rsidRPr="007C5FD5">
        <w:rPr>
          <w:rFonts w:cstheme="minorHAnsi"/>
        </w:rPr>
        <w:t xml:space="preserve">not an indefinite self-sustaining protective device </w:t>
      </w:r>
      <w:r w:rsidR="00BC61E5">
        <w:rPr>
          <w:rFonts w:cstheme="minorHAnsi"/>
        </w:rPr>
        <w:t>but</w:t>
      </w:r>
      <w:r w:rsidR="009B6260" w:rsidRPr="007C5FD5">
        <w:rPr>
          <w:rFonts w:cstheme="minorHAnsi"/>
        </w:rPr>
        <w:t xml:space="preserve"> </w:t>
      </w:r>
      <w:r w:rsidR="005755E5">
        <w:rPr>
          <w:rFonts w:cstheme="minorHAnsi"/>
        </w:rPr>
        <w:t xml:space="preserve">squarely </w:t>
      </w:r>
      <w:r w:rsidR="009B6260" w:rsidRPr="007C5FD5">
        <w:rPr>
          <w:rFonts w:cstheme="minorHAnsi"/>
        </w:rPr>
        <w:t>anchored in the interests of the deceased’s significant others</w:t>
      </w:r>
      <w:r w:rsidR="00BC61E5">
        <w:rPr>
          <w:rFonts w:cstheme="minorHAnsi"/>
        </w:rPr>
        <w:t>.</w:t>
      </w:r>
      <w:r w:rsidR="009B6260" w:rsidRPr="007C5FD5">
        <w:rPr>
          <w:rFonts w:cstheme="minorHAnsi"/>
        </w:rPr>
        <w:t xml:space="preserve"> </w:t>
      </w:r>
      <w:r w:rsidR="00866E03" w:rsidRPr="007C5FD5">
        <w:rPr>
          <w:rFonts w:cstheme="minorHAnsi"/>
        </w:rPr>
        <w:t>Yet, as much as the living are</w:t>
      </w:r>
      <w:r w:rsidR="00ED1508">
        <w:rPr>
          <w:rFonts w:cstheme="minorHAnsi"/>
        </w:rPr>
        <w:t xml:space="preserve"> caught</w:t>
      </w:r>
      <w:r w:rsidR="00866E03" w:rsidRPr="007C5FD5">
        <w:rPr>
          <w:rFonts w:cstheme="minorHAnsi"/>
        </w:rPr>
        <w:t xml:space="preserve"> in the confidentialities of the deceased and thus protected against purported breaches</w:t>
      </w:r>
      <w:r w:rsidR="00A711AF" w:rsidRPr="007C5FD5">
        <w:rPr>
          <w:rFonts w:cstheme="minorHAnsi"/>
        </w:rPr>
        <w:t xml:space="preserve"> of</w:t>
      </w:r>
      <w:r w:rsidR="00866E03" w:rsidRPr="007C5FD5">
        <w:rPr>
          <w:rFonts w:cstheme="minorHAnsi"/>
        </w:rPr>
        <w:t xml:space="preserve"> the deceased’s notional privacy</w:t>
      </w:r>
      <w:r w:rsidR="00A711AF" w:rsidRPr="007C5FD5">
        <w:rPr>
          <w:rFonts w:cstheme="minorHAnsi"/>
        </w:rPr>
        <w:t>, the deceased’s confidentialities are also</w:t>
      </w:r>
      <w:r w:rsidR="00BC61E5">
        <w:rPr>
          <w:rFonts w:cstheme="minorHAnsi"/>
        </w:rPr>
        <w:t xml:space="preserve"> </w:t>
      </w:r>
      <w:r w:rsidR="00AA541F">
        <w:rPr>
          <w:rFonts w:cstheme="minorHAnsi"/>
        </w:rPr>
        <w:t xml:space="preserve">reflexively </w:t>
      </w:r>
      <w:r w:rsidR="00866E03" w:rsidRPr="007C5FD5">
        <w:rPr>
          <w:rFonts w:cstheme="minorHAnsi"/>
        </w:rPr>
        <w:t xml:space="preserve">sheltered from wider disclosure </w:t>
      </w:r>
      <w:r>
        <w:rPr>
          <w:rFonts w:cstheme="minorHAnsi"/>
        </w:rPr>
        <w:t>by</w:t>
      </w:r>
      <w:r w:rsidR="00866E03" w:rsidRPr="007C5FD5">
        <w:rPr>
          <w:rFonts w:cstheme="minorHAnsi"/>
        </w:rPr>
        <w:t xml:space="preserve"> the</w:t>
      </w:r>
      <w:r w:rsidR="005755E5">
        <w:rPr>
          <w:rFonts w:cstheme="minorHAnsi"/>
        </w:rPr>
        <w:t>se</w:t>
      </w:r>
      <w:r w:rsidR="00866E03" w:rsidRPr="007C5FD5">
        <w:rPr>
          <w:rFonts w:cstheme="minorHAnsi"/>
        </w:rPr>
        <w:t xml:space="preserve"> parallel interests of the living. By the same token, where </w:t>
      </w:r>
      <w:r w:rsidRPr="007C5FD5">
        <w:rPr>
          <w:rFonts w:cstheme="minorHAnsi"/>
        </w:rPr>
        <w:t>individual or collective</w:t>
      </w:r>
      <w:r>
        <w:rPr>
          <w:rFonts w:cstheme="minorHAnsi"/>
        </w:rPr>
        <w:t xml:space="preserve"> </w:t>
      </w:r>
      <w:r w:rsidR="00866E03" w:rsidRPr="007C5FD5">
        <w:rPr>
          <w:rFonts w:cstheme="minorHAnsi"/>
        </w:rPr>
        <w:t xml:space="preserve">interests of the living </w:t>
      </w:r>
      <w:proofErr w:type="gramStart"/>
      <w:r w:rsidR="00866E03" w:rsidRPr="007C5FD5">
        <w:rPr>
          <w:rFonts w:cstheme="minorHAnsi"/>
        </w:rPr>
        <w:t>are in conflict with</w:t>
      </w:r>
      <w:proofErr w:type="gramEnd"/>
      <w:r w:rsidR="00866E03" w:rsidRPr="007C5FD5">
        <w:rPr>
          <w:rFonts w:cstheme="minorHAnsi"/>
        </w:rPr>
        <w:t xml:space="preserve"> those of the deceased, </w:t>
      </w:r>
      <w:r w:rsidR="00A711AF" w:rsidRPr="007C5FD5">
        <w:rPr>
          <w:rFonts w:cstheme="minorHAnsi"/>
        </w:rPr>
        <w:t>or</w:t>
      </w:r>
      <w:r w:rsidR="00866E03" w:rsidRPr="007C5FD5">
        <w:rPr>
          <w:rFonts w:cstheme="minorHAnsi"/>
        </w:rPr>
        <w:t xml:space="preserve"> the deceased’s estate, the former are liable to trump the latter.  </w:t>
      </w:r>
    </w:p>
    <w:p w14:paraId="4DD7CF67" w14:textId="0680643E" w:rsidR="00C82C34" w:rsidRPr="007C5FD5" w:rsidRDefault="00D17D68" w:rsidP="008E58F2">
      <w:pPr>
        <w:jc w:val="both"/>
        <w:rPr>
          <w:rFonts w:cstheme="minorHAnsi"/>
        </w:rPr>
      </w:pPr>
      <w:r>
        <w:rPr>
          <w:rFonts w:cstheme="minorHAnsi"/>
        </w:rPr>
        <w:t>W</w:t>
      </w:r>
      <w:r w:rsidR="00866E03" w:rsidRPr="007C5FD5">
        <w:rPr>
          <w:rFonts w:cstheme="minorHAnsi"/>
        </w:rPr>
        <w:t xml:space="preserve">hat </w:t>
      </w:r>
      <w:r w:rsidR="00A711AF" w:rsidRPr="007C5FD5">
        <w:rPr>
          <w:rFonts w:cstheme="minorHAnsi"/>
        </w:rPr>
        <w:t xml:space="preserve">so-called post-mortem </w:t>
      </w:r>
      <w:r w:rsidR="007C5FD5">
        <w:rPr>
          <w:rFonts w:cstheme="minorHAnsi"/>
        </w:rPr>
        <w:t>privacy</w:t>
      </w:r>
      <w:r w:rsidR="00866E03" w:rsidRPr="007C5FD5">
        <w:rPr>
          <w:rFonts w:cstheme="minorHAnsi"/>
        </w:rPr>
        <w:t xml:space="preserve"> tells us about privacy is </w:t>
      </w:r>
      <w:r w:rsidR="00A711AF" w:rsidRPr="007C5FD5">
        <w:rPr>
          <w:rFonts w:cstheme="minorHAnsi"/>
        </w:rPr>
        <w:t xml:space="preserve">that </w:t>
      </w:r>
      <w:r w:rsidR="001B6B48" w:rsidRPr="007C5FD5">
        <w:rPr>
          <w:rFonts w:cstheme="minorHAnsi"/>
        </w:rPr>
        <w:t>privacy</w:t>
      </w:r>
      <w:r w:rsidR="00095ACF" w:rsidRPr="007C5FD5">
        <w:rPr>
          <w:rFonts w:cstheme="minorHAnsi"/>
        </w:rPr>
        <w:t xml:space="preserve"> has a </w:t>
      </w:r>
      <w:r w:rsidR="007C5FD5">
        <w:rPr>
          <w:rFonts w:cstheme="minorHAnsi"/>
        </w:rPr>
        <w:t xml:space="preserve">clear </w:t>
      </w:r>
      <w:r w:rsidR="00A711AF" w:rsidRPr="007C5FD5">
        <w:rPr>
          <w:rFonts w:cstheme="minorHAnsi"/>
        </w:rPr>
        <w:t>forward</w:t>
      </w:r>
      <w:r w:rsidR="0087096E" w:rsidRPr="007C5FD5">
        <w:rPr>
          <w:rFonts w:cstheme="minorHAnsi"/>
        </w:rPr>
        <w:t>-</w:t>
      </w:r>
      <w:r w:rsidR="00A711AF" w:rsidRPr="007C5FD5">
        <w:rPr>
          <w:rFonts w:cstheme="minorHAnsi"/>
        </w:rPr>
        <w:t>looking orientatio</w:t>
      </w:r>
      <w:r w:rsidR="00095ACF" w:rsidRPr="007C5FD5">
        <w:rPr>
          <w:rFonts w:cstheme="minorHAnsi"/>
        </w:rPr>
        <w:t>n;</w:t>
      </w:r>
      <w:r w:rsidR="000E16C6" w:rsidRPr="007C5FD5">
        <w:rPr>
          <w:rFonts w:cstheme="minorHAnsi"/>
        </w:rPr>
        <w:t xml:space="preserve"> </w:t>
      </w:r>
      <w:r w:rsidR="00A711AF" w:rsidRPr="007C5FD5">
        <w:rPr>
          <w:rFonts w:cstheme="minorHAnsi"/>
        </w:rPr>
        <w:t xml:space="preserve">on the death of the rightsholder </w:t>
      </w:r>
      <w:r w:rsidR="00095ACF" w:rsidRPr="007C5FD5">
        <w:rPr>
          <w:rFonts w:cstheme="minorHAnsi"/>
        </w:rPr>
        <w:t xml:space="preserve">it </w:t>
      </w:r>
      <w:r w:rsidR="00A711AF" w:rsidRPr="007C5FD5">
        <w:rPr>
          <w:rFonts w:cstheme="minorHAnsi"/>
        </w:rPr>
        <w:t>switches its focus to the living</w:t>
      </w:r>
      <w:r w:rsidR="00BC61E5">
        <w:rPr>
          <w:rFonts w:cstheme="minorHAnsi"/>
        </w:rPr>
        <w:t xml:space="preserve"> - </w:t>
      </w:r>
      <w:r w:rsidR="00C715F7" w:rsidRPr="007C5FD5">
        <w:rPr>
          <w:rFonts w:cstheme="minorHAnsi"/>
        </w:rPr>
        <w:t xml:space="preserve">as a tool for </w:t>
      </w:r>
      <w:r w:rsidR="001B6B48" w:rsidRPr="007C5FD5">
        <w:rPr>
          <w:rFonts w:cstheme="minorHAnsi"/>
        </w:rPr>
        <w:t xml:space="preserve">their </w:t>
      </w:r>
      <w:r w:rsidR="00A711AF" w:rsidRPr="007C5FD5">
        <w:rPr>
          <w:rFonts w:cstheme="minorHAnsi"/>
        </w:rPr>
        <w:t>auton</w:t>
      </w:r>
      <w:r w:rsidR="000E16C6" w:rsidRPr="007C5FD5">
        <w:rPr>
          <w:rFonts w:cstheme="minorHAnsi"/>
        </w:rPr>
        <w:t>om</w:t>
      </w:r>
      <w:r w:rsidR="00A711AF" w:rsidRPr="007C5FD5">
        <w:rPr>
          <w:rFonts w:cstheme="minorHAnsi"/>
        </w:rPr>
        <w:t>ous</w:t>
      </w:r>
      <w:r w:rsidR="005755E5">
        <w:rPr>
          <w:rFonts w:cstheme="minorHAnsi"/>
        </w:rPr>
        <w:t xml:space="preserve"> </w:t>
      </w:r>
      <w:r w:rsidR="009E0E9A">
        <w:rPr>
          <w:rFonts w:cstheme="minorHAnsi"/>
        </w:rPr>
        <w:t xml:space="preserve">decision-making </w:t>
      </w:r>
      <w:r w:rsidR="00A711AF" w:rsidRPr="007C5FD5">
        <w:rPr>
          <w:rFonts w:cstheme="minorHAnsi"/>
        </w:rPr>
        <w:t xml:space="preserve">free from </w:t>
      </w:r>
      <w:r w:rsidR="000E16C6" w:rsidRPr="007C5FD5">
        <w:rPr>
          <w:rFonts w:cstheme="minorHAnsi"/>
        </w:rPr>
        <w:t>public scrutiny.</w:t>
      </w:r>
      <w:r w:rsidR="001408A9">
        <w:rPr>
          <w:rFonts w:cstheme="minorHAnsi"/>
        </w:rPr>
        <w:t xml:space="preserve"> </w:t>
      </w:r>
      <w:r w:rsidR="003C7EF2">
        <w:rPr>
          <w:rFonts w:cstheme="minorHAnsi"/>
        </w:rPr>
        <w:t>P</w:t>
      </w:r>
      <w:r w:rsidR="001B6B48" w:rsidRPr="007C5FD5">
        <w:rPr>
          <w:rFonts w:cstheme="minorHAnsi"/>
        </w:rPr>
        <w:t>o</w:t>
      </w:r>
      <w:r w:rsidR="0087096E" w:rsidRPr="007C5FD5">
        <w:rPr>
          <w:rFonts w:cstheme="minorHAnsi"/>
        </w:rPr>
        <w:t>st-mortem p</w:t>
      </w:r>
      <w:r w:rsidR="000E16C6" w:rsidRPr="007C5FD5">
        <w:rPr>
          <w:rFonts w:cstheme="minorHAnsi"/>
        </w:rPr>
        <w:t>rivacy</w:t>
      </w:r>
      <w:r w:rsidR="0087096E" w:rsidRPr="007C5FD5">
        <w:rPr>
          <w:rFonts w:cstheme="minorHAnsi"/>
        </w:rPr>
        <w:t xml:space="preserve"> </w:t>
      </w:r>
      <w:r w:rsidR="003C7EF2">
        <w:rPr>
          <w:rFonts w:cstheme="minorHAnsi"/>
        </w:rPr>
        <w:t xml:space="preserve">also </w:t>
      </w:r>
      <w:r w:rsidR="0087096E" w:rsidRPr="007C5FD5">
        <w:rPr>
          <w:rFonts w:cstheme="minorHAnsi"/>
        </w:rPr>
        <w:t>amplifies that privacy</w:t>
      </w:r>
      <w:r w:rsidR="000E16C6" w:rsidRPr="007C5FD5">
        <w:rPr>
          <w:rFonts w:cstheme="minorHAnsi"/>
        </w:rPr>
        <w:t xml:space="preserve"> </w:t>
      </w:r>
      <w:proofErr w:type="gramStart"/>
      <w:r w:rsidR="000E16C6" w:rsidRPr="007C5FD5">
        <w:rPr>
          <w:rFonts w:cstheme="minorHAnsi"/>
        </w:rPr>
        <w:t>is</w:t>
      </w:r>
      <w:r w:rsidR="008E58F2" w:rsidRPr="007C5FD5">
        <w:rPr>
          <w:rFonts w:cstheme="minorHAnsi"/>
        </w:rPr>
        <w:t xml:space="preserve"> </w:t>
      </w:r>
      <w:r w:rsidR="000E16C6" w:rsidRPr="007C5FD5">
        <w:rPr>
          <w:rFonts w:cstheme="minorHAnsi"/>
        </w:rPr>
        <w:t>located in</w:t>
      </w:r>
      <w:proofErr w:type="gramEnd"/>
      <w:r w:rsidR="00095ACF" w:rsidRPr="007C5FD5">
        <w:rPr>
          <w:rFonts w:cstheme="minorHAnsi"/>
        </w:rPr>
        <w:t xml:space="preserve"> and across</w:t>
      </w:r>
      <w:r w:rsidR="000E16C6" w:rsidRPr="007C5FD5">
        <w:rPr>
          <w:rFonts w:cstheme="minorHAnsi"/>
        </w:rPr>
        <w:t xml:space="preserve"> relationships and as such deeply social; it is not protective of the individual </w:t>
      </w:r>
      <w:r w:rsidR="000E16C6" w:rsidRPr="007C5FD5">
        <w:rPr>
          <w:rFonts w:cstheme="minorHAnsi"/>
          <w:i/>
          <w:iCs/>
        </w:rPr>
        <w:t>versus</w:t>
      </w:r>
      <w:r w:rsidR="000E16C6" w:rsidRPr="007C5FD5">
        <w:rPr>
          <w:rFonts w:cstheme="minorHAnsi"/>
        </w:rPr>
        <w:t xml:space="preserve"> the community, but of individual</w:t>
      </w:r>
      <w:r w:rsidR="003C7EF2">
        <w:rPr>
          <w:rFonts w:cstheme="minorHAnsi"/>
        </w:rPr>
        <w:t>s</w:t>
      </w:r>
      <w:r w:rsidR="000E16C6" w:rsidRPr="007C5FD5">
        <w:rPr>
          <w:rFonts w:cstheme="minorHAnsi"/>
        </w:rPr>
        <w:t xml:space="preserve"> </w:t>
      </w:r>
      <w:r w:rsidR="000E16C6" w:rsidRPr="007C5FD5">
        <w:rPr>
          <w:rFonts w:cstheme="minorHAnsi"/>
          <w:i/>
          <w:iCs/>
        </w:rPr>
        <w:t>within</w:t>
      </w:r>
      <w:r>
        <w:rPr>
          <w:rFonts w:cstheme="minorHAnsi"/>
        </w:rPr>
        <w:t xml:space="preserve"> </w:t>
      </w:r>
      <w:r w:rsidR="000E16C6" w:rsidRPr="007C5FD5">
        <w:rPr>
          <w:rFonts w:cstheme="minorHAnsi"/>
        </w:rPr>
        <w:t>communi</w:t>
      </w:r>
      <w:r w:rsidR="00913102">
        <w:rPr>
          <w:rFonts w:cstheme="minorHAnsi"/>
        </w:rPr>
        <w:t xml:space="preserve">ties </w:t>
      </w:r>
      <w:r w:rsidR="000E16C6" w:rsidRPr="007C5FD5">
        <w:rPr>
          <w:rFonts w:cstheme="minorHAnsi"/>
        </w:rPr>
        <w:t>and</w:t>
      </w:r>
      <w:r w:rsidR="003C7EF2">
        <w:rPr>
          <w:rFonts w:cstheme="minorHAnsi"/>
        </w:rPr>
        <w:t xml:space="preserve"> is</w:t>
      </w:r>
      <w:r w:rsidR="000E16C6" w:rsidRPr="007C5FD5">
        <w:rPr>
          <w:rFonts w:cstheme="minorHAnsi"/>
        </w:rPr>
        <w:t xml:space="preserve"> constitutive of </w:t>
      </w:r>
      <w:r w:rsidR="00913102">
        <w:rPr>
          <w:rFonts w:cstheme="minorHAnsi"/>
        </w:rPr>
        <w:t xml:space="preserve">these </w:t>
      </w:r>
      <w:r w:rsidR="000E16C6" w:rsidRPr="007C5FD5">
        <w:rPr>
          <w:rFonts w:cstheme="minorHAnsi"/>
        </w:rPr>
        <w:t>communities. It enables trusted relationship</w:t>
      </w:r>
      <w:r>
        <w:rPr>
          <w:rFonts w:cstheme="minorHAnsi"/>
        </w:rPr>
        <w:t>s</w:t>
      </w:r>
      <w:r w:rsidR="000E16C6" w:rsidRPr="007C5FD5">
        <w:rPr>
          <w:rFonts w:cstheme="minorHAnsi"/>
        </w:rPr>
        <w:t xml:space="preserve"> amongst strangers</w:t>
      </w:r>
      <w:r w:rsidR="00EF4BFD">
        <w:rPr>
          <w:rFonts w:cstheme="minorHAnsi"/>
        </w:rPr>
        <w:t xml:space="preserve"> </w:t>
      </w:r>
      <w:r w:rsidR="00EF4BFD" w:rsidRPr="007C5FD5">
        <w:rPr>
          <w:rFonts w:cstheme="minorHAnsi"/>
        </w:rPr>
        <w:t xml:space="preserve">with </w:t>
      </w:r>
      <w:r w:rsidR="00EF4BFD">
        <w:rPr>
          <w:rFonts w:cstheme="minorHAnsi"/>
        </w:rPr>
        <w:t xml:space="preserve">a </w:t>
      </w:r>
      <w:r w:rsidR="00EF4BFD" w:rsidRPr="007C5FD5">
        <w:rPr>
          <w:rFonts w:cstheme="minorHAnsi"/>
        </w:rPr>
        <w:t>reciproc</w:t>
      </w:r>
      <w:r w:rsidR="00EF4BFD">
        <w:rPr>
          <w:rFonts w:cstheme="minorHAnsi"/>
        </w:rPr>
        <w:t>ity of</w:t>
      </w:r>
      <w:r w:rsidR="00EF4BFD" w:rsidRPr="007C5FD5">
        <w:rPr>
          <w:rFonts w:cstheme="minorHAnsi"/>
        </w:rPr>
        <w:t xml:space="preserve"> interests </w:t>
      </w:r>
      <w:r w:rsidR="000E16C6" w:rsidRPr="007C5FD5">
        <w:rPr>
          <w:rFonts w:cstheme="minorHAnsi"/>
        </w:rPr>
        <w:t xml:space="preserve">across social, </w:t>
      </w:r>
      <w:proofErr w:type="gramStart"/>
      <w:r w:rsidR="000E16C6" w:rsidRPr="007C5FD5">
        <w:rPr>
          <w:rFonts w:cstheme="minorHAnsi"/>
        </w:rPr>
        <w:t>professional</w:t>
      </w:r>
      <w:proofErr w:type="gramEnd"/>
      <w:r w:rsidR="000E16C6" w:rsidRPr="007C5FD5">
        <w:rPr>
          <w:rFonts w:cstheme="minorHAnsi"/>
        </w:rPr>
        <w:t xml:space="preserve"> and public domains</w:t>
      </w:r>
      <w:r w:rsidR="00EF4BFD">
        <w:rPr>
          <w:rFonts w:cstheme="minorHAnsi"/>
        </w:rPr>
        <w:t>.</w:t>
      </w:r>
      <w:r>
        <w:rPr>
          <w:rFonts w:cstheme="minorHAnsi"/>
        </w:rPr>
        <w:t xml:space="preserve"> </w:t>
      </w:r>
      <w:r w:rsidR="008E58F2" w:rsidRPr="007C5FD5">
        <w:rPr>
          <w:rFonts w:cstheme="minorHAnsi"/>
        </w:rPr>
        <w:t>The question</w:t>
      </w:r>
      <w:r w:rsidR="00C715F7" w:rsidRPr="007C5FD5">
        <w:rPr>
          <w:rFonts w:cstheme="minorHAnsi"/>
        </w:rPr>
        <w:t xml:space="preserve"> for privacy</w:t>
      </w:r>
      <w:r w:rsidR="008E58F2" w:rsidRPr="007C5FD5">
        <w:rPr>
          <w:rFonts w:cstheme="minorHAnsi"/>
        </w:rPr>
        <w:t xml:space="preserve"> is not whether there was an </w:t>
      </w:r>
      <w:r w:rsidR="008E58F2" w:rsidRPr="007C5FD5">
        <w:rPr>
          <w:rFonts w:cstheme="minorHAnsi"/>
          <w:i/>
          <w:iCs/>
        </w:rPr>
        <w:t>a priori</w:t>
      </w:r>
      <w:r w:rsidR="008E58F2" w:rsidRPr="007C5FD5">
        <w:rPr>
          <w:rFonts w:cstheme="minorHAnsi"/>
        </w:rPr>
        <w:t xml:space="preserve"> relationship of trust, but whether there ought to be</w:t>
      </w:r>
      <w:r w:rsidR="00913102">
        <w:rPr>
          <w:rFonts w:cstheme="minorHAnsi"/>
        </w:rPr>
        <w:t xml:space="preserve"> a</w:t>
      </w:r>
      <w:r w:rsidR="008E58F2" w:rsidRPr="007C5FD5">
        <w:rPr>
          <w:rFonts w:cstheme="minorHAnsi"/>
        </w:rPr>
        <w:t xml:space="preserve"> </w:t>
      </w:r>
      <w:r w:rsidR="00556C09">
        <w:rPr>
          <w:rFonts w:cstheme="minorHAnsi"/>
        </w:rPr>
        <w:t>trusted</w:t>
      </w:r>
      <w:r w:rsidR="007C5FD5">
        <w:rPr>
          <w:rFonts w:cstheme="minorHAnsi"/>
        </w:rPr>
        <w:t xml:space="preserve"> </w:t>
      </w:r>
      <w:r w:rsidR="008E58F2" w:rsidRPr="007C5FD5">
        <w:rPr>
          <w:rFonts w:cstheme="minorHAnsi"/>
        </w:rPr>
        <w:t xml:space="preserve">relationship. </w:t>
      </w:r>
      <w:r w:rsidR="00C715F7" w:rsidRPr="007C5FD5">
        <w:rPr>
          <w:rFonts w:cstheme="minorHAnsi"/>
        </w:rPr>
        <w:t xml:space="preserve">By the same token, </w:t>
      </w:r>
      <w:r w:rsidR="008E58F2" w:rsidRPr="007C5FD5">
        <w:rPr>
          <w:rFonts w:cstheme="minorHAnsi"/>
        </w:rPr>
        <w:t>whilst privacy as a</w:t>
      </w:r>
      <w:r w:rsidR="00F11615">
        <w:rPr>
          <w:rFonts w:cstheme="minorHAnsi"/>
        </w:rPr>
        <w:t xml:space="preserve"> legal</w:t>
      </w:r>
      <w:r w:rsidR="008E58F2" w:rsidRPr="007C5FD5">
        <w:rPr>
          <w:rFonts w:cstheme="minorHAnsi"/>
        </w:rPr>
        <w:t xml:space="preserve"> right </w:t>
      </w:r>
      <w:r w:rsidR="00F11615">
        <w:rPr>
          <w:rFonts w:cstheme="minorHAnsi"/>
        </w:rPr>
        <w:t>assumes a neat</w:t>
      </w:r>
      <w:r w:rsidR="008E58F2" w:rsidRPr="007C5FD5">
        <w:rPr>
          <w:rFonts w:cstheme="minorHAnsi"/>
        </w:rPr>
        <w:t xml:space="preserve"> singular, binary, one</w:t>
      </w:r>
      <w:r w:rsidR="00AA541F">
        <w:rPr>
          <w:rFonts w:cstheme="minorHAnsi"/>
        </w:rPr>
        <w:t>-</w:t>
      </w:r>
      <w:r w:rsidR="008E58F2" w:rsidRPr="007C5FD5">
        <w:rPr>
          <w:rFonts w:cstheme="minorHAnsi"/>
        </w:rPr>
        <w:t>way claim</w:t>
      </w:r>
      <w:r w:rsidR="001B6B48" w:rsidRPr="007C5FD5">
        <w:rPr>
          <w:rFonts w:cstheme="minorHAnsi"/>
        </w:rPr>
        <w:t xml:space="preserve"> </w:t>
      </w:r>
      <w:r w:rsidR="009E0E9A">
        <w:rPr>
          <w:rFonts w:cstheme="minorHAnsi"/>
        </w:rPr>
        <w:t xml:space="preserve">made against </w:t>
      </w:r>
      <w:r w:rsidR="001B6B48" w:rsidRPr="007C5FD5">
        <w:rPr>
          <w:rFonts w:cstheme="minorHAnsi"/>
        </w:rPr>
        <w:t>another</w:t>
      </w:r>
      <w:r w:rsidR="008E58F2" w:rsidRPr="007C5FD5">
        <w:rPr>
          <w:rFonts w:cstheme="minorHAnsi"/>
        </w:rPr>
        <w:t xml:space="preserve">, </w:t>
      </w:r>
      <w:r w:rsidR="0087096E" w:rsidRPr="007C5FD5">
        <w:rPr>
          <w:rFonts w:cstheme="minorHAnsi"/>
        </w:rPr>
        <w:t>on the ground</w:t>
      </w:r>
      <w:r w:rsidR="008E58F2" w:rsidRPr="007C5FD5">
        <w:rPr>
          <w:rFonts w:cstheme="minorHAnsi"/>
        </w:rPr>
        <w:t xml:space="preserve"> </w:t>
      </w:r>
      <w:r w:rsidR="00913102">
        <w:rPr>
          <w:rFonts w:cstheme="minorHAnsi"/>
        </w:rPr>
        <w:t>it</w:t>
      </w:r>
      <w:r w:rsidR="008E58F2" w:rsidRPr="007C5FD5">
        <w:rPr>
          <w:rFonts w:cstheme="minorHAnsi"/>
        </w:rPr>
        <w:t xml:space="preserve"> is entangled in</w:t>
      </w:r>
      <w:r w:rsidR="0087096E" w:rsidRPr="007C5FD5">
        <w:rPr>
          <w:rFonts w:cstheme="minorHAnsi"/>
        </w:rPr>
        <w:t xml:space="preserve"> the messy sociality of</w:t>
      </w:r>
      <w:r w:rsidR="008E58F2" w:rsidRPr="007C5FD5">
        <w:rPr>
          <w:rFonts w:cstheme="minorHAnsi"/>
        </w:rPr>
        <w:t xml:space="preserve"> </w:t>
      </w:r>
      <w:r w:rsidR="005755E5">
        <w:rPr>
          <w:rFonts w:cstheme="minorHAnsi"/>
        </w:rPr>
        <w:t>life and its</w:t>
      </w:r>
      <w:r w:rsidR="008E58F2" w:rsidRPr="007C5FD5">
        <w:rPr>
          <w:rFonts w:cstheme="minorHAnsi"/>
        </w:rPr>
        <w:t xml:space="preserve"> multitude of overlapping, interdependent</w:t>
      </w:r>
      <w:r w:rsidR="0087096E" w:rsidRPr="007C5FD5">
        <w:rPr>
          <w:rFonts w:cstheme="minorHAnsi"/>
        </w:rPr>
        <w:t xml:space="preserve"> </w:t>
      </w:r>
      <w:r w:rsidR="00556C09">
        <w:rPr>
          <w:rFonts w:cstheme="minorHAnsi"/>
        </w:rPr>
        <w:t xml:space="preserve">and </w:t>
      </w:r>
      <w:r w:rsidR="0087096E" w:rsidRPr="007C5FD5">
        <w:rPr>
          <w:rFonts w:cstheme="minorHAnsi"/>
        </w:rPr>
        <w:t>conflicting</w:t>
      </w:r>
      <w:r w:rsidR="008E58F2" w:rsidRPr="007C5FD5">
        <w:rPr>
          <w:rFonts w:cstheme="minorHAnsi"/>
        </w:rPr>
        <w:t xml:space="preserve"> relationships of </w:t>
      </w:r>
      <w:r w:rsidR="001B6B48" w:rsidRPr="007C5FD5">
        <w:rPr>
          <w:rFonts w:cstheme="minorHAnsi"/>
        </w:rPr>
        <w:t xml:space="preserve">often </w:t>
      </w:r>
      <w:r w:rsidR="00F206A8" w:rsidRPr="007C5FD5">
        <w:rPr>
          <w:rFonts w:cstheme="minorHAnsi"/>
        </w:rPr>
        <w:t xml:space="preserve">mutual vulnerabilities and </w:t>
      </w:r>
      <w:r w:rsidR="00C82C34" w:rsidRPr="007C5FD5">
        <w:rPr>
          <w:rFonts w:cstheme="minorHAnsi"/>
        </w:rPr>
        <w:t xml:space="preserve">attendant </w:t>
      </w:r>
      <w:r w:rsidR="00F206A8" w:rsidRPr="007C5FD5">
        <w:rPr>
          <w:rFonts w:cstheme="minorHAnsi"/>
        </w:rPr>
        <w:t>dependencie</w:t>
      </w:r>
      <w:r w:rsidR="00C82C34" w:rsidRPr="007C5FD5">
        <w:rPr>
          <w:rFonts w:cstheme="minorHAnsi"/>
        </w:rPr>
        <w:t>s</w:t>
      </w:r>
      <w:r w:rsidR="008E58F2" w:rsidRPr="007C5FD5">
        <w:rPr>
          <w:rFonts w:cstheme="minorHAnsi"/>
        </w:rPr>
        <w:t xml:space="preserve">, and so </w:t>
      </w:r>
      <w:r w:rsidR="0087096E" w:rsidRPr="007C5FD5">
        <w:rPr>
          <w:rFonts w:cstheme="minorHAnsi"/>
        </w:rPr>
        <w:t>cast</w:t>
      </w:r>
      <w:r>
        <w:rPr>
          <w:rFonts w:cstheme="minorHAnsi"/>
        </w:rPr>
        <w:t>s</w:t>
      </w:r>
      <w:r w:rsidR="0087096E" w:rsidRPr="007C5FD5">
        <w:rPr>
          <w:rFonts w:cstheme="minorHAnsi"/>
        </w:rPr>
        <w:t xml:space="preserve"> its net much wider than any one individual</w:t>
      </w:r>
      <w:r>
        <w:rPr>
          <w:rFonts w:cstheme="minorHAnsi"/>
        </w:rPr>
        <w:t xml:space="preserve"> at a time</w:t>
      </w:r>
      <w:r w:rsidR="0087096E" w:rsidRPr="007C5FD5">
        <w:rPr>
          <w:rFonts w:cstheme="minorHAnsi"/>
        </w:rPr>
        <w:t xml:space="preserve">. </w:t>
      </w:r>
      <w:r w:rsidR="008E58F2" w:rsidRPr="007C5FD5">
        <w:rPr>
          <w:rFonts w:cstheme="minorHAnsi"/>
        </w:rPr>
        <w:t xml:space="preserve"> </w:t>
      </w:r>
    </w:p>
    <w:p w14:paraId="0446CF23" w14:textId="36609BAC" w:rsidR="008D6B08" w:rsidRPr="007C5FD5" w:rsidRDefault="00C715F7" w:rsidP="00EA0121">
      <w:pPr>
        <w:jc w:val="both"/>
        <w:rPr>
          <w:rFonts w:cstheme="minorHAnsi"/>
        </w:rPr>
      </w:pPr>
      <w:r w:rsidRPr="009301BC">
        <w:rPr>
          <w:rFonts w:cstheme="minorHAnsi"/>
        </w:rPr>
        <w:t xml:space="preserve">Digital legacies do </w:t>
      </w:r>
      <w:r w:rsidR="00FE3EE9" w:rsidRPr="009301BC">
        <w:rPr>
          <w:rFonts w:cstheme="minorHAnsi"/>
        </w:rPr>
        <w:t xml:space="preserve">not generally </w:t>
      </w:r>
      <w:r w:rsidR="001B6B48" w:rsidRPr="009301BC">
        <w:rPr>
          <w:rFonts w:cstheme="minorHAnsi"/>
        </w:rPr>
        <w:t>upset</w:t>
      </w:r>
      <w:r w:rsidRPr="009301BC">
        <w:rPr>
          <w:rFonts w:cstheme="minorHAnsi"/>
        </w:rPr>
        <w:t xml:space="preserve"> these </w:t>
      </w:r>
      <w:r w:rsidR="009301BC" w:rsidRPr="009301BC">
        <w:rPr>
          <w:rFonts w:cstheme="minorHAnsi"/>
        </w:rPr>
        <w:t xml:space="preserve">privacy </w:t>
      </w:r>
      <w:r w:rsidRPr="009301BC">
        <w:rPr>
          <w:rFonts w:cstheme="minorHAnsi"/>
        </w:rPr>
        <w:t>fundamentals but enhance their significance.</w:t>
      </w:r>
      <w:r w:rsidR="00FE3EE9" w:rsidRPr="009301BC">
        <w:rPr>
          <w:rFonts w:cstheme="minorHAnsi"/>
        </w:rPr>
        <w:t xml:space="preserve"> </w:t>
      </w:r>
      <w:r w:rsidR="00ED1508" w:rsidRPr="009301BC">
        <w:rPr>
          <w:rFonts w:cstheme="minorHAnsi"/>
        </w:rPr>
        <w:t>Th</w:t>
      </w:r>
      <w:r w:rsidR="001B6B48" w:rsidRPr="009301BC">
        <w:rPr>
          <w:rFonts w:cstheme="minorHAnsi"/>
        </w:rPr>
        <w:t xml:space="preserve">ere is </w:t>
      </w:r>
      <w:r w:rsidR="00ED1508" w:rsidRPr="009301BC">
        <w:rPr>
          <w:rFonts w:cstheme="minorHAnsi"/>
        </w:rPr>
        <w:t>little that speaks</w:t>
      </w:r>
      <w:r w:rsidR="001B6B48" w:rsidRPr="009301BC">
        <w:rPr>
          <w:rFonts w:cstheme="minorHAnsi"/>
        </w:rPr>
        <w:t xml:space="preserve"> </w:t>
      </w:r>
      <w:r w:rsidR="00987905" w:rsidRPr="009301BC">
        <w:rPr>
          <w:rFonts w:cstheme="minorHAnsi"/>
        </w:rPr>
        <w:t>in favour of</w:t>
      </w:r>
      <w:r w:rsidR="001B6B48" w:rsidRPr="009301BC">
        <w:rPr>
          <w:rFonts w:cstheme="minorHAnsi"/>
        </w:rPr>
        <w:t xml:space="preserve"> corporate platform</w:t>
      </w:r>
      <w:r w:rsidR="00987905" w:rsidRPr="009301BC">
        <w:rPr>
          <w:rFonts w:cstheme="minorHAnsi"/>
        </w:rPr>
        <w:t>s becoming</w:t>
      </w:r>
      <w:r w:rsidR="001B6B48" w:rsidRPr="009301BC">
        <w:rPr>
          <w:rFonts w:cstheme="minorHAnsi"/>
        </w:rPr>
        <w:t xml:space="preserve"> the default custodian</w:t>
      </w:r>
      <w:r w:rsidR="00FE3EE9" w:rsidRPr="009301BC">
        <w:rPr>
          <w:rFonts w:cstheme="minorHAnsi"/>
        </w:rPr>
        <w:t>s</w:t>
      </w:r>
      <w:r w:rsidR="001B6B48" w:rsidRPr="009301BC">
        <w:rPr>
          <w:rFonts w:cstheme="minorHAnsi"/>
        </w:rPr>
        <w:t xml:space="preserve"> of th</w:t>
      </w:r>
      <w:r w:rsidR="00FE3EE9" w:rsidRPr="009301BC">
        <w:rPr>
          <w:rFonts w:cstheme="minorHAnsi"/>
        </w:rPr>
        <w:t>eir users’</w:t>
      </w:r>
      <w:r w:rsidR="001B6B48" w:rsidRPr="009301BC">
        <w:rPr>
          <w:rFonts w:cstheme="minorHAnsi"/>
        </w:rPr>
        <w:t xml:space="preserve"> legacies and attendant confidentialities of others</w:t>
      </w:r>
      <w:r w:rsidR="00FE3EE9" w:rsidRPr="009301BC">
        <w:rPr>
          <w:rFonts w:cstheme="minorHAnsi"/>
        </w:rPr>
        <w:t xml:space="preserve">, </w:t>
      </w:r>
      <w:r w:rsidR="00D82D8B" w:rsidRPr="009301BC">
        <w:rPr>
          <w:rFonts w:cstheme="minorHAnsi"/>
        </w:rPr>
        <w:t xml:space="preserve">and thus to unsettle the </w:t>
      </w:r>
      <w:r w:rsidR="00D7511D" w:rsidRPr="009301BC">
        <w:rPr>
          <w:rFonts w:cstheme="minorHAnsi"/>
        </w:rPr>
        <w:t>traditional</w:t>
      </w:r>
      <w:r w:rsidR="00AA541F">
        <w:rPr>
          <w:rFonts w:cstheme="minorHAnsi"/>
        </w:rPr>
        <w:t xml:space="preserve"> post-</w:t>
      </w:r>
      <w:r w:rsidR="00AA541F">
        <w:rPr>
          <w:rFonts w:cstheme="minorHAnsi"/>
        </w:rPr>
        <w:lastRenderedPageBreak/>
        <w:t>mortem</w:t>
      </w:r>
      <w:r w:rsidR="00D7511D" w:rsidRPr="009301BC">
        <w:rPr>
          <w:rFonts w:cstheme="minorHAnsi"/>
        </w:rPr>
        <w:t xml:space="preserve"> ordering of analogue personal effect</w:t>
      </w:r>
      <w:r w:rsidR="007C5FD5" w:rsidRPr="009301BC">
        <w:rPr>
          <w:rFonts w:cstheme="minorHAnsi"/>
        </w:rPr>
        <w:t>s</w:t>
      </w:r>
      <w:r w:rsidR="00987905" w:rsidRPr="009301BC">
        <w:rPr>
          <w:rFonts w:cstheme="minorHAnsi"/>
        </w:rPr>
        <w:t xml:space="preserve"> with </w:t>
      </w:r>
      <w:r w:rsidR="007C5FD5" w:rsidRPr="009301BC">
        <w:rPr>
          <w:rFonts w:cstheme="minorHAnsi"/>
        </w:rPr>
        <w:t xml:space="preserve">a </w:t>
      </w:r>
      <w:r w:rsidR="00987905" w:rsidRPr="009301BC">
        <w:rPr>
          <w:rFonts w:cstheme="minorHAnsi"/>
        </w:rPr>
        <w:t>strong</w:t>
      </w:r>
      <w:r w:rsidR="00987905" w:rsidRPr="007C5FD5">
        <w:rPr>
          <w:rFonts w:cstheme="minorHAnsi"/>
        </w:rPr>
        <w:t xml:space="preserve"> family orientation. On the contrary, the personal</w:t>
      </w:r>
      <w:r w:rsidR="00556C09">
        <w:rPr>
          <w:rFonts w:cstheme="minorHAnsi"/>
        </w:rPr>
        <w:t xml:space="preserve"> (and economic)</w:t>
      </w:r>
      <w:r w:rsidR="00987905" w:rsidRPr="007C5FD5">
        <w:rPr>
          <w:rFonts w:cstheme="minorHAnsi"/>
        </w:rPr>
        <w:t xml:space="preserve"> value of such digital legacies, coupled with</w:t>
      </w:r>
      <w:r w:rsidR="007C5FD5">
        <w:rPr>
          <w:rFonts w:cstheme="minorHAnsi"/>
        </w:rPr>
        <w:t xml:space="preserve"> the</w:t>
      </w:r>
      <w:r w:rsidR="00987905" w:rsidRPr="007C5FD5">
        <w:rPr>
          <w:rFonts w:cstheme="minorHAnsi"/>
        </w:rPr>
        <w:t xml:space="preserve"> moral hazard associated with locking </w:t>
      </w:r>
      <w:r w:rsidR="00BC61E5">
        <w:rPr>
          <w:rFonts w:cstheme="minorHAnsi"/>
        </w:rPr>
        <w:t>them up</w:t>
      </w:r>
      <w:r w:rsidR="00987905" w:rsidRPr="007C5FD5">
        <w:rPr>
          <w:rFonts w:cstheme="minorHAnsi"/>
        </w:rPr>
        <w:t xml:space="preserve"> with corporate duty bearer</w:t>
      </w:r>
      <w:r w:rsidR="003C7EF2">
        <w:rPr>
          <w:rFonts w:cstheme="minorHAnsi"/>
        </w:rPr>
        <w:t>s</w:t>
      </w:r>
      <w:r w:rsidR="00987905" w:rsidRPr="007C5FD5">
        <w:rPr>
          <w:rFonts w:cstheme="minorHAnsi"/>
        </w:rPr>
        <w:t>,</w:t>
      </w:r>
      <w:r w:rsidR="00EA0121">
        <w:rPr>
          <w:rFonts w:cstheme="minorHAnsi"/>
        </w:rPr>
        <w:t xml:space="preserve"> </w:t>
      </w:r>
      <w:r w:rsidR="009E0E9A">
        <w:rPr>
          <w:rFonts w:cstheme="minorHAnsi"/>
        </w:rPr>
        <w:t>speak</w:t>
      </w:r>
      <w:r w:rsidR="00987905" w:rsidRPr="007C5FD5">
        <w:rPr>
          <w:rFonts w:cstheme="minorHAnsi"/>
        </w:rPr>
        <w:t xml:space="preserve"> in favour of</w:t>
      </w:r>
      <w:r w:rsidR="00556C09">
        <w:rPr>
          <w:rFonts w:cstheme="minorHAnsi"/>
        </w:rPr>
        <w:t xml:space="preserve"> </w:t>
      </w:r>
      <w:r w:rsidR="009301BC">
        <w:rPr>
          <w:rFonts w:cstheme="minorHAnsi"/>
        </w:rPr>
        <w:t xml:space="preserve">keeping </w:t>
      </w:r>
      <w:r w:rsidR="00987905" w:rsidRPr="007C5FD5">
        <w:rPr>
          <w:rFonts w:cstheme="minorHAnsi"/>
        </w:rPr>
        <w:t>traditional intestate</w:t>
      </w:r>
      <w:r w:rsidR="00EA0121">
        <w:rPr>
          <w:rFonts w:cstheme="minorHAnsi"/>
        </w:rPr>
        <w:t xml:space="preserve"> ordering</w:t>
      </w:r>
      <w:r w:rsidR="00D17D68">
        <w:rPr>
          <w:rFonts w:cstheme="minorHAnsi"/>
        </w:rPr>
        <w:t xml:space="preserve"> firml</w:t>
      </w:r>
      <w:r w:rsidR="00AA541F">
        <w:rPr>
          <w:rFonts w:cstheme="minorHAnsi"/>
        </w:rPr>
        <w:t>y in place</w:t>
      </w:r>
      <w:r w:rsidR="007C5FD5">
        <w:rPr>
          <w:rFonts w:cstheme="minorHAnsi"/>
        </w:rPr>
        <w:t xml:space="preserve">. </w:t>
      </w:r>
      <w:bookmarkEnd w:id="0"/>
      <w:r w:rsidR="00BC61E5">
        <w:rPr>
          <w:rFonts w:cstheme="minorHAnsi"/>
        </w:rPr>
        <w:t>Meanwhile</w:t>
      </w:r>
      <w:r w:rsidR="009E0E9A">
        <w:rPr>
          <w:rFonts w:cstheme="minorHAnsi"/>
        </w:rPr>
        <w:t xml:space="preserve">, </w:t>
      </w:r>
      <w:r w:rsidR="00BC61E5">
        <w:rPr>
          <w:rFonts w:cstheme="minorHAnsi"/>
        </w:rPr>
        <w:t>the fact</w:t>
      </w:r>
      <w:r w:rsidR="009E0E9A">
        <w:rPr>
          <w:rFonts w:cstheme="minorHAnsi"/>
        </w:rPr>
        <w:t xml:space="preserve"> </w:t>
      </w:r>
      <w:r w:rsidR="00BC61E5">
        <w:rPr>
          <w:rFonts w:cstheme="minorHAnsi"/>
        </w:rPr>
        <w:t xml:space="preserve">that the deceased’s </w:t>
      </w:r>
      <w:r w:rsidR="009242A7">
        <w:rPr>
          <w:rFonts w:cstheme="minorHAnsi"/>
        </w:rPr>
        <w:t xml:space="preserve">personal </w:t>
      </w:r>
      <w:r w:rsidR="00BC61E5">
        <w:rPr>
          <w:rFonts w:cstheme="minorHAnsi"/>
        </w:rPr>
        <w:t xml:space="preserve">data has entered the realm of big data and therein </w:t>
      </w:r>
      <w:r w:rsidR="00796425">
        <w:rPr>
          <w:rFonts w:cstheme="minorHAnsi"/>
        </w:rPr>
        <w:t xml:space="preserve">become </w:t>
      </w:r>
      <w:r w:rsidR="00BC61E5">
        <w:rPr>
          <w:rFonts w:cstheme="minorHAnsi"/>
        </w:rPr>
        <w:t xml:space="preserve">inextricably and </w:t>
      </w:r>
      <w:r w:rsidR="00BC61E5" w:rsidRPr="009242A7">
        <w:rPr>
          <w:rFonts w:cstheme="minorHAnsi"/>
          <w:i/>
          <w:iCs/>
        </w:rPr>
        <w:t>irretrievably</w:t>
      </w:r>
      <w:r w:rsidR="00BC61E5">
        <w:rPr>
          <w:rFonts w:cstheme="minorHAnsi"/>
        </w:rPr>
        <w:t xml:space="preserve"> </w:t>
      </w:r>
      <w:r w:rsidR="009242A7">
        <w:rPr>
          <w:rFonts w:cstheme="minorHAnsi"/>
        </w:rPr>
        <w:t xml:space="preserve">part and parcel of algorithmic intelligence shows primarily the limits of </w:t>
      </w:r>
      <w:r w:rsidR="00796425">
        <w:rPr>
          <w:rFonts w:cstheme="minorHAnsi"/>
        </w:rPr>
        <w:t xml:space="preserve">information privacy </w:t>
      </w:r>
      <w:r w:rsidR="009242A7">
        <w:rPr>
          <w:rFonts w:cstheme="minorHAnsi"/>
        </w:rPr>
        <w:t>law and only in the second and derivative instance the limits of</w:t>
      </w:r>
      <w:r w:rsidR="00796425">
        <w:rPr>
          <w:rFonts w:cstheme="minorHAnsi"/>
        </w:rPr>
        <w:t xml:space="preserve"> any</w:t>
      </w:r>
      <w:r w:rsidR="009242A7">
        <w:rPr>
          <w:rFonts w:cstheme="minorHAnsi"/>
        </w:rPr>
        <w:t xml:space="preserve"> post-mortem ordering.</w:t>
      </w:r>
      <w:r w:rsidR="009242A7" w:rsidRPr="009301BC">
        <w:rPr>
          <w:rStyle w:val="FootnoteReference"/>
          <w:rFonts w:cstheme="minorHAnsi"/>
        </w:rPr>
        <w:footnoteReference w:id="177"/>
      </w:r>
      <w:r w:rsidR="009242A7" w:rsidRPr="009301BC">
        <w:rPr>
          <w:rFonts w:cstheme="minorHAnsi"/>
        </w:rPr>
        <w:t xml:space="preserve"> </w:t>
      </w:r>
      <w:r w:rsidR="009242A7">
        <w:rPr>
          <w:rFonts w:cstheme="minorHAnsi"/>
        </w:rPr>
        <w:t>At the same time, it</w:t>
      </w:r>
      <w:r w:rsidR="00796425">
        <w:rPr>
          <w:rFonts w:cstheme="minorHAnsi"/>
        </w:rPr>
        <w:t xml:space="preserve"> </w:t>
      </w:r>
      <w:r w:rsidR="009242A7">
        <w:rPr>
          <w:rFonts w:cstheme="minorHAnsi"/>
        </w:rPr>
        <w:t>reinforces</w:t>
      </w:r>
      <w:r w:rsidR="00796425">
        <w:rPr>
          <w:rFonts w:cstheme="minorHAnsi"/>
        </w:rPr>
        <w:t xml:space="preserve"> the argument about the deeply social nature of privacy and its location in and across the tangled multitude of human relations.  </w:t>
      </w:r>
    </w:p>
    <w:sectPr w:rsidR="008D6B08" w:rsidRPr="007C5F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E04D" w14:textId="77777777" w:rsidR="00122215" w:rsidRDefault="00122215" w:rsidP="00787F01">
      <w:pPr>
        <w:spacing w:after="0" w:line="240" w:lineRule="auto"/>
      </w:pPr>
      <w:r>
        <w:separator/>
      </w:r>
    </w:p>
  </w:endnote>
  <w:endnote w:type="continuationSeparator" w:id="0">
    <w:p w14:paraId="42C83185" w14:textId="77777777" w:rsidR="00122215" w:rsidRDefault="00122215" w:rsidP="0078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AdvOTbc475f09">
    <w:altName w:val="Cambria"/>
    <w:panose1 w:val="00000000000000000000"/>
    <w:charset w:val="00"/>
    <w:family w:val="roman"/>
    <w:notTrueType/>
    <w:pitch w:val="default"/>
    <w:sig w:usb0="00000003" w:usb1="00000000" w:usb2="00000000" w:usb3="00000000" w:csb0="00000001" w:csb1="00000000"/>
  </w:font>
  <w:font w:name="TimesTen-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090063"/>
      <w:docPartObj>
        <w:docPartGallery w:val="Page Numbers (Bottom of Page)"/>
        <w:docPartUnique/>
      </w:docPartObj>
    </w:sdtPr>
    <w:sdtEndPr>
      <w:rPr>
        <w:noProof/>
      </w:rPr>
    </w:sdtEndPr>
    <w:sdtContent>
      <w:p w14:paraId="19EF058F" w14:textId="17EA1892" w:rsidR="00CC0B13" w:rsidRDefault="00CC0B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0E7634" w14:textId="77777777" w:rsidR="00CC0B13" w:rsidRDefault="00CC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CD42" w14:textId="77777777" w:rsidR="00122215" w:rsidRDefault="00122215" w:rsidP="00787F01">
      <w:pPr>
        <w:spacing w:after="0" w:line="240" w:lineRule="auto"/>
      </w:pPr>
      <w:r>
        <w:separator/>
      </w:r>
    </w:p>
  </w:footnote>
  <w:footnote w:type="continuationSeparator" w:id="0">
    <w:p w14:paraId="72573ADF" w14:textId="77777777" w:rsidR="00122215" w:rsidRDefault="00122215" w:rsidP="00787F01">
      <w:pPr>
        <w:spacing w:after="0" w:line="240" w:lineRule="auto"/>
      </w:pPr>
      <w:r>
        <w:continuationSeparator/>
      </w:r>
    </w:p>
  </w:footnote>
  <w:footnote w:id="1">
    <w:p w14:paraId="10FD759B" w14:textId="4A2EFCAE" w:rsidR="00945323" w:rsidRPr="00793A87" w:rsidRDefault="00945323" w:rsidP="00214FA3">
      <w:pPr>
        <w:pStyle w:val="FootnoteText"/>
        <w:spacing w:afterAutospacing="0"/>
        <w:ind w:left="0"/>
        <w:rPr>
          <w:rFonts w:asciiTheme="minorHAnsi" w:hAnsiTheme="minorHAnsi" w:cstheme="minorHAnsi"/>
        </w:rPr>
      </w:pPr>
      <w:r w:rsidRPr="00793A87">
        <w:rPr>
          <w:rFonts w:asciiTheme="minorHAnsi" w:hAnsiTheme="minorHAnsi" w:cstheme="minorHAnsi"/>
        </w:rPr>
        <w:t>* University of Southampton. Many thanks to Remigius Nwabueze</w:t>
      </w:r>
      <w:r w:rsidR="00144B9F" w:rsidRPr="00793A87">
        <w:rPr>
          <w:rFonts w:asciiTheme="minorHAnsi" w:hAnsiTheme="minorHAnsi" w:cstheme="minorHAnsi"/>
        </w:rPr>
        <w:t xml:space="preserve"> and the anonymous referees</w:t>
      </w:r>
      <w:r w:rsidR="00573A4F" w:rsidRPr="00793A87">
        <w:rPr>
          <w:rFonts w:asciiTheme="minorHAnsi" w:hAnsiTheme="minorHAnsi" w:cstheme="minorHAnsi"/>
        </w:rPr>
        <w:t xml:space="preserve"> </w:t>
      </w:r>
      <w:r w:rsidR="005755E5" w:rsidRPr="00793A87">
        <w:rPr>
          <w:rFonts w:asciiTheme="minorHAnsi" w:hAnsiTheme="minorHAnsi" w:cstheme="minorHAnsi"/>
        </w:rPr>
        <w:t xml:space="preserve">for </w:t>
      </w:r>
      <w:r w:rsidR="00144B9F" w:rsidRPr="00793A87">
        <w:rPr>
          <w:rFonts w:asciiTheme="minorHAnsi" w:hAnsiTheme="minorHAnsi" w:cstheme="minorHAnsi"/>
        </w:rPr>
        <w:t>their</w:t>
      </w:r>
      <w:r w:rsidR="00573A4F" w:rsidRPr="00793A87">
        <w:rPr>
          <w:rFonts w:asciiTheme="minorHAnsi" w:hAnsiTheme="minorHAnsi" w:cstheme="minorHAnsi"/>
        </w:rPr>
        <w:t xml:space="preserve"> </w:t>
      </w:r>
      <w:r w:rsidR="00144B9F" w:rsidRPr="00793A87">
        <w:rPr>
          <w:rFonts w:asciiTheme="minorHAnsi" w:hAnsiTheme="minorHAnsi" w:cstheme="minorHAnsi"/>
        </w:rPr>
        <w:t xml:space="preserve">helpful </w:t>
      </w:r>
      <w:r w:rsidRPr="00793A87">
        <w:rPr>
          <w:rFonts w:asciiTheme="minorHAnsi" w:hAnsiTheme="minorHAnsi" w:cstheme="minorHAnsi"/>
        </w:rPr>
        <w:t xml:space="preserve">comments on an earlier draft. </w:t>
      </w:r>
    </w:p>
    <w:p w14:paraId="411784B5" w14:textId="71642A19" w:rsidR="00774A0B" w:rsidRPr="00793A87" w:rsidRDefault="00774A0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Regulation (EU) 2016/679 of the European Parliament and of the Council of 27 April 2016 </w:t>
      </w:r>
      <w:r w:rsidRPr="00793A87">
        <w:rPr>
          <w:rFonts w:asciiTheme="minorHAnsi" w:hAnsiTheme="minorHAnsi" w:cstheme="minorHAnsi"/>
        </w:rPr>
        <w:br/>
      </w:r>
      <w:r w:rsidRPr="00793A87">
        <w:rPr>
          <w:rStyle w:val="markedcontent"/>
          <w:rFonts w:asciiTheme="minorHAnsi" w:hAnsiTheme="minorHAnsi" w:cstheme="minorHAnsi"/>
        </w:rPr>
        <w:t>on the protection of natural persons with regard to the processing of personal data and on the free</w:t>
      </w:r>
      <w:r w:rsidRPr="00793A87">
        <w:rPr>
          <w:rFonts w:asciiTheme="minorHAnsi" w:hAnsiTheme="minorHAnsi" w:cstheme="minorHAnsi"/>
        </w:rPr>
        <w:br/>
      </w:r>
      <w:r w:rsidRPr="00793A87">
        <w:rPr>
          <w:rStyle w:val="markedcontent"/>
          <w:rFonts w:asciiTheme="minorHAnsi" w:hAnsiTheme="minorHAnsi" w:cstheme="minorHAnsi"/>
        </w:rPr>
        <w:t xml:space="preserve">movement of such data. </w:t>
      </w:r>
    </w:p>
  </w:footnote>
  <w:footnote w:id="2">
    <w:p w14:paraId="48FF8AEF" w14:textId="7EC4DD1D" w:rsidR="001B770B" w:rsidRPr="00793A87" w:rsidRDefault="001B770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Google Spain SL and Google Inc v Agencia Española de Protección de Datos (AEPD) and Mario Costeja González </w:t>
      </w:r>
      <w:r w:rsidRPr="00793A87">
        <w:rPr>
          <w:rFonts w:asciiTheme="minorHAnsi" w:hAnsiTheme="minorHAnsi" w:cstheme="minorHAnsi"/>
        </w:rPr>
        <w:t>C</w:t>
      </w:r>
      <w:r w:rsidRPr="00793A87">
        <w:rPr>
          <w:rFonts w:asciiTheme="minorHAnsi" w:hAnsiTheme="minorHAnsi" w:cstheme="minorHAnsi"/>
        </w:rPr>
        <w:noBreakHyphen/>
        <w:t xml:space="preserve">131/12 (CJEU, GC, 13 May 2014) EU:C:2014:317, interpreting the Data Protection Directive </w:t>
      </w:r>
      <w:r w:rsidRPr="00793A87">
        <w:rPr>
          <w:rStyle w:val="markedcontent"/>
          <w:rFonts w:asciiTheme="minorHAnsi" w:hAnsiTheme="minorHAnsi" w:cstheme="minorHAnsi"/>
        </w:rPr>
        <w:t>95/46/EC</w:t>
      </w:r>
      <w:r w:rsidRPr="00793A87">
        <w:rPr>
          <w:rFonts w:asciiTheme="minorHAnsi" w:hAnsiTheme="minorHAnsi" w:cstheme="minorHAnsi"/>
        </w:rPr>
        <w:t xml:space="preserve">; now Art 17 of the GDPR. </w:t>
      </w:r>
      <w:r w:rsidR="004E416C" w:rsidRPr="00793A87">
        <w:rPr>
          <w:rFonts w:asciiTheme="minorHAnsi" w:hAnsiTheme="minorHAnsi" w:cstheme="minorHAnsi"/>
        </w:rPr>
        <w:t xml:space="preserve">NNG de Andrade, ‘Oblivion: the right to be different … from oneself: re-proposing the right to be forgotten’ in A Ghezzi, AG Pereira AG, L Vesnic-Alujevic L (eds) </w:t>
      </w:r>
      <w:r w:rsidR="004E416C" w:rsidRPr="00793A87">
        <w:rPr>
          <w:rFonts w:asciiTheme="minorHAnsi" w:hAnsiTheme="minorHAnsi" w:cstheme="minorHAnsi"/>
          <w:i/>
          <w:iCs/>
        </w:rPr>
        <w:t>The Ethics of Memory in a Digital Age – Interrogating the Right to Be Forgotten</w:t>
      </w:r>
      <w:r w:rsidR="004E416C" w:rsidRPr="00793A87">
        <w:rPr>
          <w:rFonts w:asciiTheme="minorHAnsi" w:hAnsiTheme="minorHAnsi" w:cstheme="minorHAnsi"/>
        </w:rPr>
        <w:t xml:space="preserve"> (New York: Palgrave Macmillan, 2014) 65</w:t>
      </w:r>
      <w:r w:rsidR="009301BC" w:rsidRPr="00793A87">
        <w:rPr>
          <w:rFonts w:asciiTheme="minorHAnsi" w:hAnsiTheme="minorHAnsi" w:cstheme="minorHAnsi"/>
        </w:rPr>
        <w:t>. For some</w:t>
      </w:r>
      <w:r w:rsidR="00637721" w:rsidRPr="00793A87">
        <w:rPr>
          <w:rFonts w:asciiTheme="minorHAnsi" w:hAnsiTheme="minorHAnsi" w:cstheme="minorHAnsi"/>
        </w:rPr>
        <w:t xml:space="preserve"> </w:t>
      </w:r>
      <w:r w:rsidR="00B60038" w:rsidRPr="00793A87">
        <w:rPr>
          <w:rFonts w:asciiTheme="minorHAnsi" w:hAnsiTheme="minorHAnsi" w:cstheme="minorHAnsi"/>
        </w:rPr>
        <w:t xml:space="preserve">limited </w:t>
      </w:r>
      <w:r w:rsidR="009301BC" w:rsidRPr="00793A87">
        <w:rPr>
          <w:rFonts w:asciiTheme="minorHAnsi" w:hAnsiTheme="minorHAnsi" w:cstheme="minorHAnsi"/>
        </w:rPr>
        <w:t>US authority to the same effect, see</w:t>
      </w:r>
      <w:r w:rsidR="00B60038" w:rsidRPr="00793A87">
        <w:rPr>
          <w:rFonts w:asciiTheme="minorHAnsi" w:hAnsiTheme="minorHAnsi" w:cstheme="minorHAnsi"/>
        </w:rPr>
        <w:t xml:space="preserve"> e.g.</w:t>
      </w:r>
      <w:r w:rsidR="007F6568" w:rsidRPr="00793A87">
        <w:rPr>
          <w:rFonts w:asciiTheme="minorHAnsi" w:hAnsiTheme="minorHAnsi" w:cstheme="minorHAnsi"/>
          <w:i/>
          <w:iCs/>
        </w:rPr>
        <w:t xml:space="preserve"> Briscoe v Reader's Digest Association</w:t>
      </w:r>
      <w:r w:rsidR="007F6568" w:rsidRPr="00793A87">
        <w:rPr>
          <w:rFonts w:asciiTheme="minorHAnsi" w:hAnsiTheme="minorHAnsi" w:cstheme="minorHAnsi"/>
        </w:rPr>
        <w:t xml:space="preserve"> 4 Cal</w:t>
      </w:r>
      <w:r w:rsidR="009301BC" w:rsidRPr="00793A87">
        <w:rPr>
          <w:rFonts w:asciiTheme="minorHAnsi" w:hAnsiTheme="minorHAnsi" w:cstheme="minorHAnsi"/>
        </w:rPr>
        <w:t xml:space="preserve"> </w:t>
      </w:r>
      <w:r w:rsidR="007F6568" w:rsidRPr="00793A87">
        <w:rPr>
          <w:rFonts w:asciiTheme="minorHAnsi" w:hAnsiTheme="minorHAnsi" w:cstheme="minorHAnsi"/>
        </w:rPr>
        <w:t>3d 532 (1971) concerning</w:t>
      </w:r>
      <w:r w:rsidR="009301BC" w:rsidRPr="00793A87">
        <w:rPr>
          <w:rFonts w:asciiTheme="minorHAnsi" w:hAnsiTheme="minorHAnsi" w:cstheme="minorHAnsi"/>
        </w:rPr>
        <w:t xml:space="preserve"> a</w:t>
      </w:r>
      <w:r w:rsidR="007F6568" w:rsidRPr="00793A87">
        <w:rPr>
          <w:rFonts w:asciiTheme="minorHAnsi" w:hAnsiTheme="minorHAnsi" w:cstheme="minorHAnsi"/>
        </w:rPr>
        <w:t xml:space="preserve"> newspaper revelation of the claimant’s criminal past</w:t>
      </w:r>
      <w:r w:rsidR="009301BC" w:rsidRPr="00793A87">
        <w:rPr>
          <w:rFonts w:asciiTheme="minorHAnsi" w:hAnsiTheme="minorHAnsi" w:cstheme="minorHAnsi"/>
        </w:rPr>
        <w:t xml:space="preserve"> which</w:t>
      </w:r>
      <w:r w:rsidR="007F6568" w:rsidRPr="00793A87">
        <w:rPr>
          <w:rFonts w:asciiTheme="minorHAnsi" w:hAnsiTheme="minorHAnsi" w:cstheme="minorHAnsi"/>
        </w:rPr>
        <w:t xml:space="preserve"> had the effect of alienating his daughter and friends from him.</w:t>
      </w:r>
    </w:p>
  </w:footnote>
  <w:footnote w:id="3">
    <w:p w14:paraId="0F09871F" w14:textId="45305F3E" w:rsidR="000D1F6B" w:rsidRPr="00793A87" w:rsidRDefault="000D1F6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374A30" w:rsidRPr="00793A87">
        <w:rPr>
          <w:rFonts w:asciiTheme="minorHAnsi" w:hAnsiTheme="minorHAnsi" w:cstheme="minorHAnsi"/>
        </w:rPr>
        <w:t xml:space="preserve"> </w:t>
      </w:r>
      <w:r w:rsidR="00712F22" w:rsidRPr="00793A87">
        <w:rPr>
          <w:rFonts w:asciiTheme="minorHAnsi" w:hAnsiTheme="minorHAnsi" w:cstheme="minorHAnsi"/>
        </w:rPr>
        <w:t xml:space="preserve">Jason Mazzone, ‘Facebook’s Afterlife’ (2012) 90 </w:t>
      </w:r>
      <w:r w:rsidR="00712F22" w:rsidRPr="00793A87">
        <w:rPr>
          <w:rFonts w:asciiTheme="minorHAnsi" w:hAnsiTheme="minorHAnsi" w:cstheme="minorHAnsi"/>
          <w:i/>
          <w:iCs/>
        </w:rPr>
        <w:t xml:space="preserve">North Carolina Law Review </w:t>
      </w:r>
      <w:r w:rsidR="00712F22" w:rsidRPr="00793A87">
        <w:rPr>
          <w:rFonts w:asciiTheme="minorHAnsi" w:hAnsiTheme="minorHAnsi" w:cstheme="minorHAnsi"/>
        </w:rPr>
        <w:t>1643;</w:t>
      </w:r>
      <w:r w:rsidR="00822642" w:rsidRPr="00793A87">
        <w:rPr>
          <w:rFonts w:asciiTheme="minorHAnsi" w:hAnsiTheme="minorHAnsi" w:cstheme="minorHAnsi"/>
        </w:rPr>
        <w:t xml:space="preserve"> </w:t>
      </w:r>
      <w:r w:rsidR="002A6D56" w:rsidRPr="00793A87">
        <w:rPr>
          <w:rFonts w:asciiTheme="minorHAnsi" w:hAnsiTheme="minorHAnsi" w:cstheme="minorHAnsi"/>
        </w:rPr>
        <w:t xml:space="preserve">Lilian Edwards, Edina Harbinja, ‘Protecting Post-Mortem Privacy: Reconsidering the Privacy Interests of the Deceased in a Digital World’ (2013) 32 (1) </w:t>
      </w:r>
      <w:r w:rsidR="002A6D56" w:rsidRPr="00793A87">
        <w:rPr>
          <w:rFonts w:asciiTheme="minorHAnsi" w:hAnsiTheme="minorHAnsi" w:cstheme="minorHAnsi"/>
          <w:i/>
        </w:rPr>
        <w:t xml:space="preserve">Cardozo Arts &amp; Entertainment Law Journal </w:t>
      </w:r>
      <w:r w:rsidR="002A6D56" w:rsidRPr="00793A87">
        <w:rPr>
          <w:rFonts w:asciiTheme="minorHAnsi" w:hAnsiTheme="minorHAnsi" w:cstheme="minorHAnsi"/>
        </w:rPr>
        <w:t>10</w:t>
      </w:r>
      <w:r w:rsidR="00374A30" w:rsidRPr="00793A87">
        <w:rPr>
          <w:rFonts w:asciiTheme="minorHAnsi" w:hAnsiTheme="minorHAnsi" w:cstheme="minorHAnsi"/>
        </w:rPr>
        <w:t>1; Natalie M Banta, ‘Death and Privacy in the Digital Age’ (2016) 94 North Carolina Law Review 927</w:t>
      </w:r>
      <w:r w:rsidR="006B26A2" w:rsidRPr="00793A87">
        <w:rPr>
          <w:rFonts w:asciiTheme="minorHAnsi" w:hAnsiTheme="minorHAnsi" w:cstheme="minorHAnsi"/>
        </w:rPr>
        <w:t xml:space="preserve">; </w:t>
      </w:r>
      <w:r w:rsidR="006B26A2" w:rsidRPr="00793A87">
        <w:rPr>
          <w:rStyle w:val="reference-text"/>
          <w:rFonts w:asciiTheme="minorHAnsi" w:hAnsiTheme="minorHAnsi" w:cstheme="minorHAnsi"/>
        </w:rPr>
        <w:t xml:space="preserve">Floris Tomasini, </w:t>
      </w:r>
      <w:r w:rsidR="006B26A2" w:rsidRPr="00793A87">
        <w:rPr>
          <w:rStyle w:val="reference-text"/>
          <w:rFonts w:asciiTheme="minorHAnsi" w:hAnsiTheme="minorHAnsi" w:cstheme="minorHAnsi"/>
          <w:i/>
          <w:iCs/>
        </w:rPr>
        <w:t xml:space="preserve">Remembering and Disremembering the Dead </w:t>
      </w:r>
      <w:r w:rsidR="006B26A2" w:rsidRPr="00793A87">
        <w:rPr>
          <w:rStyle w:val="reference-text"/>
          <w:rFonts w:asciiTheme="minorHAnsi" w:hAnsiTheme="minorHAnsi" w:cstheme="minorHAnsi"/>
        </w:rPr>
        <w:t>(Palgrave, 2017) esp Ch3.</w:t>
      </w:r>
    </w:p>
  </w:footnote>
  <w:footnote w:id="4">
    <w:p w14:paraId="46E2E54D" w14:textId="33C567F6" w:rsidR="000D1F6B" w:rsidRPr="00793A87" w:rsidRDefault="000D1F6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lang w:eastAsia="en-GB"/>
        </w:rPr>
        <w:t>Estate of Maria Cecilia Quadri v Parisi</w:t>
      </w:r>
      <w:r w:rsidRPr="00793A87">
        <w:rPr>
          <w:rFonts w:asciiTheme="minorHAnsi" w:hAnsiTheme="minorHAnsi" w:cstheme="minorHAnsi"/>
          <w:lang w:eastAsia="en-GB"/>
        </w:rPr>
        <w:t xml:space="preserve"> (2021</w:t>
      </w:r>
      <w:r w:rsidR="000B7000" w:rsidRPr="00793A87">
        <w:rPr>
          <w:rFonts w:asciiTheme="minorHAnsi" w:hAnsiTheme="minorHAnsi" w:cstheme="minorHAnsi"/>
        </w:rPr>
        <w:t>)</w:t>
      </w:r>
      <w:r w:rsidRPr="00793A87">
        <w:rPr>
          <w:rFonts w:asciiTheme="minorHAnsi" w:hAnsiTheme="minorHAnsi" w:cstheme="minorHAnsi"/>
        </w:rPr>
        <w:t xml:space="preserve"> WL 3544783 (Fla</w:t>
      </w:r>
      <w:r w:rsidR="000B7000" w:rsidRPr="00793A87">
        <w:rPr>
          <w:rFonts w:asciiTheme="minorHAnsi" w:hAnsiTheme="minorHAnsi" w:cstheme="minorHAnsi"/>
        </w:rPr>
        <w:t xml:space="preserve"> </w:t>
      </w:r>
      <w:r w:rsidRPr="00793A87">
        <w:rPr>
          <w:rFonts w:asciiTheme="minorHAnsi" w:hAnsiTheme="minorHAnsi" w:cstheme="minorHAnsi"/>
        </w:rPr>
        <w:t>Cir</w:t>
      </w:r>
      <w:r w:rsidR="000B7000" w:rsidRPr="00793A87">
        <w:rPr>
          <w:rFonts w:asciiTheme="minorHAnsi" w:hAnsiTheme="minorHAnsi" w:cstheme="minorHAnsi"/>
        </w:rPr>
        <w:t xml:space="preserve"> </w:t>
      </w:r>
      <w:r w:rsidRPr="00793A87">
        <w:rPr>
          <w:rFonts w:asciiTheme="minorHAnsi" w:hAnsiTheme="minorHAnsi" w:cstheme="minorHAnsi"/>
        </w:rPr>
        <w:t>C</w:t>
      </w:r>
      <w:r w:rsidR="000B7000" w:rsidRPr="00793A87">
        <w:rPr>
          <w:rFonts w:asciiTheme="minorHAnsi" w:hAnsiTheme="minorHAnsi" w:cstheme="minorHAnsi"/>
        </w:rPr>
        <w:t>t</w:t>
      </w:r>
      <w:r w:rsidRPr="00793A87">
        <w:rPr>
          <w:rFonts w:asciiTheme="minorHAnsi" w:hAnsiTheme="minorHAnsi" w:cstheme="minorHAnsi"/>
        </w:rPr>
        <w:t>)</w:t>
      </w:r>
      <w:r w:rsidR="000B7000" w:rsidRPr="00793A87">
        <w:rPr>
          <w:rFonts w:asciiTheme="minorHAnsi" w:hAnsiTheme="minorHAnsi" w:cstheme="minorHAnsi"/>
        </w:rPr>
        <w:t xml:space="preserve">; see also </w:t>
      </w:r>
      <w:r w:rsidR="000B7000" w:rsidRPr="00793A87">
        <w:rPr>
          <w:rStyle w:val="Emphasis"/>
          <w:rFonts w:asciiTheme="minorHAnsi" w:hAnsiTheme="minorHAnsi" w:cstheme="minorHAnsi"/>
        </w:rPr>
        <w:t>Ajemian v</w:t>
      </w:r>
      <w:r w:rsidR="000B7000" w:rsidRPr="00793A87">
        <w:rPr>
          <w:rFonts w:asciiTheme="minorHAnsi" w:hAnsiTheme="minorHAnsi" w:cstheme="minorHAnsi"/>
        </w:rPr>
        <w:t xml:space="preserve"> </w:t>
      </w:r>
      <w:r w:rsidR="000B7000" w:rsidRPr="00793A87">
        <w:rPr>
          <w:rStyle w:val="Emphasis"/>
          <w:rFonts w:asciiTheme="minorHAnsi" w:hAnsiTheme="minorHAnsi" w:cstheme="minorHAnsi"/>
        </w:rPr>
        <w:t>Yahoo! Inc</w:t>
      </w:r>
      <w:r w:rsidR="000B7000" w:rsidRPr="00793A87">
        <w:rPr>
          <w:rFonts w:asciiTheme="minorHAnsi" w:hAnsiTheme="minorHAnsi" w:cstheme="minorHAnsi"/>
        </w:rPr>
        <w:t xml:space="preserve"> 84 NE3d 766 (Mass 2017).</w:t>
      </w:r>
    </w:p>
  </w:footnote>
  <w:footnote w:id="5">
    <w:p w14:paraId="23C90376" w14:textId="7A07AAA4" w:rsidR="008B6B73" w:rsidRPr="00793A87" w:rsidRDefault="008B6B73" w:rsidP="00214FA3">
      <w:pPr>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144B9F" w:rsidRPr="00793A87">
        <w:rPr>
          <w:rFonts w:cstheme="minorHAnsi"/>
          <w:i/>
          <w:sz w:val="20"/>
          <w:szCs w:val="20"/>
        </w:rPr>
        <w:t>Digital Inheritance</w:t>
      </w:r>
      <w:r w:rsidRPr="00793A87">
        <w:rPr>
          <w:rFonts w:cstheme="minorHAnsi"/>
          <w:i/>
          <w:sz w:val="20"/>
          <w:szCs w:val="20"/>
        </w:rPr>
        <w:t xml:space="preserve"> </w:t>
      </w:r>
      <w:r w:rsidRPr="00793A87">
        <w:rPr>
          <w:rStyle w:val="Strong"/>
          <w:rFonts w:cstheme="minorHAnsi"/>
          <w:b w:val="0"/>
          <w:bCs w:val="0"/>
          <w:sz w:val="20"/>
          <w:szCs w:val="20"/>
        </w:rPr>
        <w:t>III ZR 183/17</w:t>
      </w:r>
      <w:r w:rsidRPr="00793A87">
        <w:rPr>
          <w:rFonts w:cstheme="minorHAnsi"/>
          <w:sz w:val="20"/>
          <w:szCs w:val="20"/>
        </w:rPr>
        <w:t xml:space="preserve"> (</w:t>
      </w:r>
      <w:r w:rsidR="009301BC" w:rsidRPr="00793A87">
        <w:rPr>
          <w:rFonts w:cstheme="minorHAnsi"/>
          <w:sz w:val="20"/>
          <w:szCs w:val="20"/>
        </w:rPr>
        <w:t xml:space="preserve">12 July </w:t>
      </w:r>
      <w:r w:rsidRPr="00793A87">
        <w:rPr>
          <w:rStyle w:val="Strong"/>
          <w:rFonts w:cstheme="minorHAnsi"/>
          <w:b w:val="0"/>
          <w:bCs w:val="0"/>
          <w:sz w:val="20"/>
          <w:szCs w:val="20"/>
        </w:rPr>
        <w:t>2018) BGH</w:t>
      </w:r>
      <w:r w:rsidR="00637721" w:rsidRPr="00793A87">
        <w:rPr>
          <w:rStyle w:val="Strong"/>
          <w:rFonts w:cstheme="minorHAnsi"/>
          <w:b w:val="0"/>
          <w:bCs w:val="0"/>
          <w:sz w:val="20"/>
          <w:szCs w:val="20"/>
        </w:rPr>
        <w:t xml:space="preserve">. </w:t>
      </w:r>
    </w:p>
  </w:footnote>
  <w:footnote w:id="6">
    <w:p w14:paraId="275D9CE0" w14:textId="05654525" w:rsidR="005D032C" w:rsidRPr="00793A87" w:rsidRDefault="005D032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941D1B" w:rsidRPr="00793A87">
        <w:rPr>
          <w:rFonts w:asciiTheme="minorHAnsi" w:hAnsiTheme="minorHAnsi" w:cstheme="minorHAnsi"/>
        </w:rPr>
        <w:t xml:space="preserve">In </w:t>
      </w:r>
      <w:r w:rsidR="00941D1B" w:rsidRPr="00793A87">
        <w:rPr>
          <w:rFonts w:asciiTheme="minorHAnsi" w:hAnsiTheme="minorHAnsi" w:cstheme="minorHAnsi"/>
          <w:i/>
          <w:iCs/>
        </w:rPr>
        <w:t xml:space="preserve">National Archives and Records Administration v Favish </w:t>
      </w:r>
      <w:r w:rsidR="00941D1B" w:rsidRPr="00793A87">
        <w:rPr>
          <w:rFonts w:asciiTheme="minorHAnsi" w:hAnsiTheme="minorHAnsi" w:cstheme="minorHAnsi"/>
        </w:rPr>
        <w:t>541 US 157 (2004)</w:t>
      </w:r>
      <w:r w:rsidR="00C64104" w:rsidRPr="00793A87">
        <w:rPr>
          <w:rFonts w:asciiTheme="minorHAnsi" w:hAnsiTheme="minorHAnsi" w:cstheme="minorHAnsi"/>
        </w:rPr>
        <w:t xml:space="preserve"> </w:t>
      </w:r>
      <w:r w:rsidR="00330D2C" w:rsidRPr="00793A87">
        <w:rPr>
          <w:rFonts w:asciiTheme="minorHAnsi" w:hAnsiTheme="minorHAnsi" w:cstheme="minorHAnsi"/>
        </w:rPr>
        <w:t xml:space="preserve">the US Supreme Court allowed the family’s privacy claim </w:t>
      </w:r>
      <w:r w:rsidR="002A14FD" w:rsidRPr="00793A87">
        <w:rPr>
          <w:rFonts w:asciiTheme="minorHAnsi" w:hAnsiTheme="minorHAnsi" w:cstheme="minorHAnsi"/>
        </w:rPr>
        <w:t xml:space="preserve">in respect of </w:t>
      </w:r>
      <w:r w:rsidR="00330D2C" w:rsidRPr="00793A87">
        <w:rPr>
          <w:rFonts w:asciiTheme="minorHAnsi" w:hAnsiTheme="minorHAnsi" w:cstheme="minorHAnsi"/>
        </w:rPr>
        <w:t>death scene images of the deceased as an exemption to freedom of information requests (here made by journalists)</w:t>
      </w:r>
      <w:r w:rsidR="00AE1207" w:rsidRPr="00793A87">
        <w:rPr>
          <w:rFonts w:asciiTheme="minorHAnsi" w:hAnsiTheme="minorHAnsi" w:cstheme="minorHAnsi"/>
        </w:rPr>
        <w:t>: ‘The well-established cultural tradition of acknowledging a family's control over the body and the deceased's death images has long been recognized at common law.’</w:t>
      </w:r>
    </w:p>
  </w:footnote>
  <w:footnote w:id="7">
    <w:p w14:paraId="1BA168AE" w14:textId="13003903" w:rsidR="00ED0286" w:rsidRPr="00793A87" w:rsidRDefault="00ED028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Marisa McVey,</w:t>
      </w:r>
      <w:r w:rsidR="002A14FD" w:rsidRPr="00793A87">
        <w:rPr>
          <w:rFonts w:asciiTheme="minorHAnsi" w:hAnsiTheme="minorHAnsi" w:cstheme="minorHAnsi"/>
        </w:rPr>
        <w:t xml:space="preserve"> </w:t>
      </w:r>
      <w:r w:rsidRPr="00793A87">
        <w:rPr>
          <w:rFonts w:asciiTheme="minorHAnsi" w:hAnsiTheme="minorHAnsi" w:cstheme="minorHAnsi"/>
        </w:rPr>
        <w:t xml:space="preserve">‘Deepfakes and the Dead: The Case of Anthony Bourdain’ (10 August 2021) </w:t>
      </w:r>
      <w:r w:rsidRPr="00793A87">
        <w:rPr>
          <w:rFonts w:asciiTheme="minorHAnsi" w:hAnsiTheme="minorHAnsi" w:cstheme="minorHAnsi"/>
          <w:i/>
          <w:iCs/>
        </w:rPr>
        <w:t xml:space="preserve">Modern </w:t>
      </w:r>
      <w:r w:rsidR="005B7963" w:rsidRPr="00793A87">
        <w:rPr>
          <w:rFonts w:asciiTheme="minorHAnsi" w:hAnsiTheme="minorHAnsi" w:cstheme="minorHAnsi"/>
          <w:i/>
          <w:iCs/>
        </w:rPr>
        <w:t>T</w:t>
      </w:r>
      <w:r w:rsidRPr="00793A87">
        <w:rPr>
          <w:rFonts w:asciiTheme="minorHAnsi" w:hAnsiTheme="minorHAnsi" w:cstheme="minorHAnsi"/>
          <w:i/>
          <w:iCs/>
        </w:rPr>
        <w:t xml:space="preserve">echnologies, </w:t>
      </w:r>
      <w:r w:rsidR="005B7963" w:rsidRPr="00793A87">
        <w:rPr>
          <w:rFonts w:asciiTheme="minorHAnsi" w:hAnsiTheme="minorHAnsi" w:cstheme="minorHAnsi"/>
          <w:i/>
          <w:iCs/>
        </w:rPr>
        <w:t>P</w:t>
      </w:r>
      <w:r w:rsidRPr="00793A87">
        <w:rPr>
          <w:rFonts w:asciiTheme="minorHAnsi" w:hAnsiTheme="minorHAnsi" w:cstheme="minorHAnsi"/>
          <w:i/>
          <w:iCs/>
        </w:rPr>
        <w:t xml:space="preserve">rivacy </w:t>
      </w:r>
      <w:r w:rsidR="005B7963" w:rsidRPr="00793A87">
        <w:rPr>
          <w:rFonts w:asciiTheme="minorHAnsi" w:hAnsiTheme="minorHAnsi" w:cstheme="minorHAnsi"/>
          <w:i/>
          <w:iCs/>
        </w:rPr>
        <w:t>L</w:t>
      </w:r>
      <w:r w:rsidRPr="00793A87">
        <w:rPr>
          <w:rFonts w:asciiTheme="minorHAnsi" w:hAnsiTheme="minorHAnsi" w:cstheme="minorHAnsi"/>
          <w:i/>
          <w:iCs/>
        </w:rPr>
        <w:t xml:space="preserve">aw and the </w:t>
      </w:r>
      <w:r w:rsidR="005B7963" w:rsidRPr="00793A87">
        <w:rPr>
          <w:rFonts w:asciiTheme="minorHAnsi" w:hAnsiTheme="minorHAnsi" w:cstheme="minorHAnsi"/>
          <w:i/>
          <w:iCs/>
        </w:rPr>
        <w:t>D</w:t>
      </w:r>
      <w:r w:rsidRPr="00793A87">
        <w:rPr>
          <w:rFonts w:asciiTheme="minorHAnsi" w:hAnsiTheme="minorHAnsi" w:cstheme="minorHAnsi"/>
          <w:i/>
          <w:iCs/>
        </w:rPr>
        <w:t>ead</w:t>
      </w:r>
      <w:r w:rsidRPr="00793A87">
        <w:rPr>
          <w:rFonts w:asciiTheme="minorHAnsi" w:hAnsiTheme="minorHAnsi" w:cstheme="minorHAnsi"/>
        </w:rPr>
        <w:t xml:space="preserve"> </w:t>
      </w:r>
      <w:hyperlink r:id="rId1" w:history="1">
        <w:r w:rsidRPr="00793A87">
          <w:rPr>
            <w:rStyle w:val="Hyperlink"/>
            <w:rFonts w:asciiTheme="minorHAnsi" w:hAnsiTheme="minorHAnsi" w:cstheme="minorHAnsi"/>
          </w:rPr>
          <w:t>https://thefutureofprivacylaw.wordpress.com/2021/08/10/deepfakes-and-the-dead-the-case-of-anthony-bourdain/</w:t>
        </w:r>
      </w:hyperlink>
      <w:r w:rsidRPr="00793A87">
        <w:rPr>
          <w:rFonts w:asciiTheme="minorHAnsi" w:hAnsiTheme="minorHAnsi" w:cstheme="minorHAnsi"/>
        </w:rPr>
        <w:t xml:space="preserve"> </w:t>
      </w:r>
    </w:p>
  </w:footnote>
  <w:footnote w:id="8">
    <w:p w14:paraId="776502A7" w14:textId="3EE49CFA" w:rsidR="008C3DDE" w:rsidRPr="00793A87" w:rsidRDefault="00823C86"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000B7000" w:rsidRPr="00793A87">
        <w:rPr>
          <w:rFonts w:cstheme="minorHAnsi"/>
          <w:i/>
          <w:sz w:val="20"/>
          <w:szCs w:val="20"/>
        </w:rPr>
        <w:t xml:space="preserve"> </w:t>
      </w:r>
      <w:r w:rsidR="00A2110A" w:rsidRPr="00793A87">
        <w:rPr>
          <w:rFonts w:cstheme="minorHAnsi"/>
          <w:i/>
          <w:sz w:val="20"/>
          <w:szCs w:val="20"/>
        </w:rPr>
        <w:t>Mephisto</w:t>
      </w:r>
      <w:r w:rsidR="00A2110A" w:rsidRPr="00793A87">
        <w:rPr>
          <w:rFonts w:cstheme="minorHAnsi"/>
          <w:sz w:val="20"/>
          <w:szCs w:val="20"/>
        </w:rPr>
        <w:t xml:space="preserve"> </w:t>
      </w:r>
      <w:r w:rsidR="008C3DDE" w:rsidRPr="00793A87">
        <w:rPr>
          <w:rFonts w:cstheme="minorHAnsi"/>
          <w:sz w:val="20"/>
          <w:szCs w:val="20"/>
        </w:rPr>
        <w:t>30/173 (</w:t>
      </w:r>
      <w:r w:rsidR="00374A30" w:rsidRPr="00793A87">
        <w:rPr>
          <w:rFonts w:cstheme="minorHAnsi"/>
          <w:sz w:val="20"/>
          <w:szCs w:val="20"/>
        </w:rPr>
        <w:t>24 February 1971</w:t>
      </w:r>
      <w:r w:rsidR="008C3DDE" w:rsidRPr="00793A87">
        <w:rPr>
          <w:rFonts w:cstheme="minorHAnsi"/>
          <w:sz w:val="20"/>
          <w:szCs w:val="20"/>
        </w:rPr>
        <w:t>)</w:t>
      </w:r>
      <w:r w:rsidR="00BF2415" w:rsidRPr="00793A87">
        <w:rPr>
          <w:rFonts w:cstheme="minorHAnsi"/>
          <w:sz w:val="20"/>
          <w:szCs w:val="20"/>
        </w:rPr>
        <w:t xml:space="preserve"> </w:t>
      </w:r>
      <w:r w:rsidR="00A2110A" w:rsidRPr="00793A87">
        <w:rPr>
          <w:rFonts w:cstheme="minorHAnsi"/>
          <w:sz w:val="20"/>
          <w:szCs w:val="20"/>
        </w:rPr>
        <w:t xml:space="preserve">BVergG; </w:t>
      </w:r>
      <w:r w:rsidR="00BF2415" w:rsidRPr="00793A87">
        <w:rPr>
          <w:rFonts w:cstheme="minorHAnsi"/>
          <w:i/>
          <w:iCs/>
          <w:sz w:val="20"/>
          <w:szCs w:val="20"/>
        </w:rPr>
        <w:t>Marlene Dietrich</w:t>
      </w:r>
      <w:r w:rsidR="00BF2415" w:rsidRPr="00793A87">
        <w:rPr>
          <w:rFonts w:cstheme="minorHAnsi"/>
          <w:sz w:val="20"/>
          <w:szCs w:val="20"/>
        </w:rPr>
        <w:t xml:space="preserve"> 1 ZR 49/97 (1</w:t>
      </w:r>
      <w:r w:rsidR="00E92AF4" w:rsidRPr="00793A87">
        <w:rPr>
          <w:rFonts w:cstheme="minorHAnsi"/>
          <w:sz w:val="20"/>
          <w:szCs w:val="20"/>
        </w:rPr>
        <w:t xml:space="preserve"> December 1</w:t>
      </w:r>
      <w:r w:rsidR="00BF2415" w:rsidRPr="00793A87">
        <w:rPr>
          <w:rFonts w:cstheme="minorHAnsi"/>
          <w:sz w:val="20"/>
          <w:szCs w:val="20"/>
        </w:rPr>
        <w:t>999) BGH</w:t>
      </w:r>
      <w:r w:rsidR="00662E53" w:rsidRPr="00793A87">
        <w:rPr>
          <w:rFonts w:cstheme="minorHAnsi"/>
          <w:sz w:val="20"/>
          <w:szCs w:val="20"/>
        </w:rPr>
        <w:t>;</w:t>
      </w:r>
      <w:r w:rsidR="00BF2415" w:rsidRPr="00793A87">
        <w:rPr>
          <w:rFonts w:cstheme="minorHAnsi"/>
          <w:sz w:val="20"/>
          <w:szCs w:val="20"/>
        </w:rPr>
        <w:t xml:space="preserve"> </w:t>
      </w:r>
      <w:r w:rsidR="00A2110A" w:rsidRPr="00793A87">
        <w:rPr>
          <w:rFonts w:cstheme="minorHAnsi"/>
          <w:i/>
          <w:sz w:val="20"/>
          <w:szCs w:val="20"/>
        </w:rPr>
        <w:t>Wilhelm Kaisen</w:t>
      </w:r>
      <w:r w:rsidR="00A2110A" w:rsidRPr="00793A87">
        <w:rPr>
          <w:rFonts w:cstheme="minorHAnsi"/>
          <w:sz w:val="20"/>
          <w:szCs w:val="20"/>
        </w:rPr>
        <w:t xml:space="preserve"> </w:t>
      </w:r>
      <w:r w:rsidR="008C3DDE" w:rsidRPr="00793A87">
        <w:rPr>
          <w:rFonts w:cstheme="minorHAnsi"/>
          <w:sz w:val="20"/>
          <w:szCs w:val="20"/>
        </w:rPr>
        <w:t>1 BvR 932/94 (</w:t>
      </w:r>
      <w:r w:rsidR="00374A30" w:rsidRPr="00793A87">
        <w:rPr>
          <w:rFonts w:cstheme="minorHAnsi"/>
          <w:sz w:val="20"/>
          <w:szCs w:val="20"/>
        </w:rPr>
        <w:t>5 April 2001</w:t>
      </w:r>
      <w:r w:rsidR="008C3DDE" w:rsidRPr="00793A87">
        <w:rPr>
          <w:rFonts w:cstheme="minorHAnsi"/>
          <w:sz w:val="20"/>
          <w:szCs w:val="20"/>
        </w:rPr>
        <w:t>2</w:t>
      </w:r>
      <w:r w:rsidR="00BF2415" w:rsidRPr="00793A87">
        <w:rPr>
          <w:rFonts w:cstheme="minorHAnsi"/>
          <w:sz w:val="20"/>
          <w:szCs w:val="20"/>
        </w:rPr>
        <w:t>)</w:t>
      </w:r>
      <w:r w:rsidR="008C3DDE" w:rsidRPr="00793A87">
        <w:rPr>
          <w:rFonts w:cstheme="minorHAnsi"/>
          <w:sz w:val="20"/>
          <w:szCs w:val="20"/>
        </w:rPr>
        <w:t xml:space="preserve"> </w:t>
      </w:r>
      <w:r w:rsidR="00A2110A" w:rsidRPr="00793A87">
        <w:rPr>
          <w:rFonts w:cstheme="minorHAnsi"/>
          <w:sz w:val="20"/>
          <w:szCs w:val="20"/>
        </w:rPr>
        <w:t>BVerfG</w:t>
      </w:r>
      <w:r w:rsidR="00E92AF4" w:rsidRPr="00793A87">
        <w:rPr>
          <w:rFonts w:cstheme="minorHAnsi"/>
          <w:sz w:val="20"/>
          <w:szCs w:val="20"/>
        </w:rPr>
        <w:t>;</w:t>
      </w:r>
      <w:r w:rsidR="00311151" w:rsidRPr="00793A87">
        <w:rPr>
          <w:rFonts w:cstheme="minorHAnsi"/>
          <w:sz w:val="20"/>
          <w:szCs w:val="20"/>
        </w:rPr>
        <w:t xml:space="preserve"> </w:t>
      </w:r>
      <w:r w:rsidR="00E92AF4" w:rsidRPr="00793A87">
        <w:rPr>
          <w:rFonts w:cstheme="minorHAnsi"/>
          <w:sz w:val="20"/>
          <w:szCs w:val="20"/>
        </w:rPr>
        <w:t>s</w:t>
      </w:r>
      <w:r w:rsidR="00311151" w:rsidRPr="00793A87">
        <w:rPr>
          <w:rFonts w:cstheme="minorHAnsi"/>
          <w:sz w:val="20"/>
          <w:szCs w:val="20"/>
        </w:rPr>
        <w:t>ee also § 189 of the German Criminal Code (</w:t>
      </w:r>
      <w:r w:rsidR="00374A30" w:rsidRPr="00793A87">
        <w:rPr>
          <w:rFonts w:cstheme="minorHAnsi"/>
          <w:sz w:val="20"/>
          <w:szCs w:val="20"/>
        </w:rPr>
        <w:t xml:space="preserve">offence of </w:t>
      </w:r>
      <w:r w:rsidR="00311151" w:rsidRPr="00793A87">
        <w:rPr>
          <w:rFonts w:cstheme="minorHAnsi"/>
          <w:sz w:val="20"/>
          <w:szCs w:val="20"/>
        </w:rPr>
        <w:t xml:space="preserve">defiling </w:t>
      </w:r>
      <w:r w:rsidR="00374A30" w:rsidRPr="00793A87">
        <w:rPr>
          <w:rFonts w:cstheme="minorHAnsi"/>
          <w:sz w:val="20"/>
          <w:szCs w:val="20"/>
        </w:rPr>
        <w:t xml:space="preserve">the </w:t>
      </w:r>
      <w:r w:rsidR="00311151" w:rsidRPr="00793A87">
        <w:rPr>
          <w:rFonts w:cstheme="minorHAnsi"/>
          <w:sz w:val="20"/>
          <w:szCs w:val="20"/>
        </w:rPr>
        <w:t>memory of dead)</w:t>
      </w:r>
      <w:r w:rsidR="00662E53" w:rsidRPr="00793A87">
        <w:rPr>
          <w:rFonts w:cstheme="minorHAnsi"/>
          <w:sz w:val="20"/>
          <w:szCs w:val="20"/>
        </w:rPr>
        <w:t>.</w:t>
      </w:r>
      <w:r w:rsidR="006B26A2" w:rsidRPr="00793A87">
        <w:rPr>
          <w:rFonts w:cstheme="minorHAnsi"/>
          <w:sz w:val="20"/>
          <w:szCs w:val="20"/>
        </w:rPr>
        <w:t xml:space="preserve"> </w:t>
      </w:r>
    </w:p>
  </w:footnote>
  <w:footnote w:id="9">
    <w:p w14:paraId="04F31341" w14:textId="2115419D" w:rsidR="00B33B9A" w:rsidRPr="00793A87" w:rsidRDefault="00B33B9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B26A2" w:rsidRPr="00793A87">
        <w:rPr>
          <w:rFonts w:asciiTheme="minorHAnsi" w:hAnsiTheme="minorHAnsi" w:cstheme="minorHAnsi"/>
        </w:rPr>
        <w:t>Note, for example, Recital 27 of the GDPR which provides that ‘This Regulation does not apply to the personal data of deceased persons. Member States may provide for rules regarding the processing of personal data of deceased persons.’ In the UK data protection is limited to living individuals: s.3(2) of the Data Protection Act 2018.</w:t>
      </w:r>
      <w:r w:rsidR="000132C1" w:rsidRPr="00793A87">
        <w:rPr>
          <w:rFonts w:asciiTheme="minorHAnsi" w:hAnsiTheme="minorHAnsi" w:cstheme="minorHAnsi"/>
        </w:rPr>
        <w:t xml:space="preserve"> </w:t>
      </w:r>
    </w:p>
  </w:footnote>
  <w:footnote w:id="10">
    <w:p w14:paraId="25A93479" w14:textId="4CFF08DD" w:rsidR="002815AA" w:rsidRPr="00793A87" w:rsidRDefault="002815A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Style w:val="reference-text"/>
          <w:rFonts w:asciiTheme="minorHAnsi" w:hAnsiTheme="minorHAnsi" w:cstheme="minorHAnsi"/>
          <w:i/>
          <w:iCs/>
        </w:rPr>
        <w:t>Hambly v Trott</w:t>
      </w:r>
      <w:r w:rsidRPr="00793A87">
        <w:rPr>
          <w:rStyle w:val="reference-text"/>
          <w:rFonts w:asciiTheme="minorHAnsi" w:hAnsiTheme="minorHAnsi" w:cstheme="minorHAnsi"/>
        </w:rPr>
        <w:t xml:space="preserve"> (1776) 1 Cowper 371</w:t>
      </w:r>
      <w:r w:rsidR="00B26874" w:rsidRPr="00793A87">
        <w:rPr>
          <w:rStyle w:val="reference-text"/>
          <w:rFonts w:asciiTheme="minorHAnsi" w:hAnsiTheme="minorHAnsi" w:cstheme="minorHAnsi"/>
        </w:rPr>
        <w:t xml:space="preserve"> (</w:t>
      </w:r>
      <w:r w:rsidR="00B26874" w:rsidRPr="00793A87">
        <w:rPr>
          <w:rFonts w:asciiTheme="minorHAnsi" w:hAnsiTheme="minorHAnsi" w:cstheme="minorHAnsi"/>
        </w:rPr>
        <w:t>where the court acknowledged the limited application of the maxim to torts)</w:t>
      </w:r>
      <w:r w:rsidR="00662E53" w:rsidRPr="00793A87">
        <w:rPr>
          <w:rFonts w:asciiTheme="minorHAnsi" w:hAnsiTheme="minorHAnsi" w:cstheme="minorHAnsi"/>
        </w:rPr>
        <w:t>;</w:t>
      </w:r>
      <w:r w:rsidR="006B26A2" w:rsidRPr="00793A87">
        <w:rPr>
          <w:rFonts w:asciiTheme="minorHAnsi" w:hAnsiTheme="minorHAnsi" w:cstheme="minorHAnsi"/>
        </w:rPr>
        <w:t xml:space="preserve"> </w:t>
      </w:r>
      <w:r w:rsidR="00B26874" w:rsidRPr="00793A87">
        <w:rPr>
          <w:rFonts w:asciiTheme="minorHAnsi" w:hAnsiTheme="minorHAnsi" w:cstheme="minorHAnsi"/>
        </w:rPr>
        <w:t>but</w:t>
      </w:r>
      <w:r w:rsidR="00662E53" w:rsidRPr="00793A87">
        <w:rPr>
          <w:rFonts w:asciiTheme="minorHAnsi" w:hAnsiTheme="minorHAnsi" w:cstheme="minorHAnsi"/>
        </w:rPr>
        <w:t xml:space="preserve"> the</w:t>
      </w:r>
      <w:r w:rsidR="00B26874" w:rsidRPr="00793A87">
        <w:rPr>
          <w:rFonts w:asciiTheme="minorHAnsi" w:hAnsiTheme="minorHAnsi" w:cstheme="minorHAnsi"/>
        </w:rPr>
        <w:t xml:space="preserve"> Common Law Procedure Act 1833, replaced by the Law Reform (Miscellaneous Provisions) Act 1934</w:t>
      </w:r>
      <w:r w:rsidR="006B26A2" w:rsidRPr="00793A87">
        <w:rPr>
          <w:rFonts w:asciiTheme="minorHAnsi" w:hAnsiTheme="minorHAnsi" w:cstheme="minorHAnsi"/>
        </w:rPr>
        <w:t xml:space="preserve"> allow</w:t>
      </w:r>
      <w:r w:rsidR="00662E53" w:rsidRPr="00793A87">
        <w:rPr>
          <w:rFonts w:asciiTheme="minorHAnsi" w:hAnsiTheme="minorHAnsi" w:cstheme="minorHAnsi"/>
        </w:rPr>
        <w:t>ed</w:t>
      </w:r>
      <w:r w:rsidR="006B26A2" w:rsidRPr="00793A87">
        <w:rPr>
          <w:rFonts w:asciiTheme="minorHAnsi" w:hAnsiTheme="minorHAnsi" w:cstheme="minorHAnsi"/>
        </w:rPr>
        <w:t xml:space="preserve"> for the deceased’s estate to recover some losses that arose before </w:t>
      </w:r>
      <w:r w:rsidR="00736BEF" w:rsidRPr="00793A87">
        <w:rPr>
          <w:rFonts w:asciiTheme="minorHAnsi" w:hAnsiTheme="minorHAnsi" w:cstheme="minorHAnsi"/>
        </w:rPr>
        <w:t xml:space="preserve">their </w:t>
      </w:r>
      <w:r w:rsidR="006B26A2" w:rsidRPr="00793A87">
        <w:rPr>
          <w:rFonts w:asciiTheme="minorHAnsi" w:hAnsiTheme="minorHAnsi" w:cstheme="minorHAnsi"/>
        </w:rPr>
        <w:t>death</w:t>
      </w:r>
      <w:r w:rsidR="00B26874" w:rsidRPr="00793A87">
        <w:rPr>
          <w:rFonts w:asciiTheme="minorHAnsi" w:hAnsiTheme="minorHAnsi" w:cstheme="minorHAnsi"/>
        </w:rPr>
        <w:t xml:space="preserve">. </w:t>
      </w:r>
      <w:r w:rsidR="00B924E1" w:rsidRPr="00793A87">
        <w:rPr>
          <w:rStyle w:val="reference-text"/>
          <w:rFonts w:asciiTheme="minorHAnsi" w:hAnsiTheme="minorHAnsi" w:cstheme="minorHAnsi"/>
        </w:rPr>
        <w:t xml:space="preserve"> </w:t>
      </w:r>
    </w:p>
  </w:footnote>
  <w:footnote w:id="11">
    <w:p w14:paraId="4083FABC" w14:textId="77777777" w:rsidR="00E05923" w:rsidRPr="00793A87" w:rsidRDefault="00E0592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Alvin E Evans, ‘Survival of Claims For and Against Executors and Administrator’ (1931) 19 </w:t>
      </w:r>
      <w:r w:rsidRPr="00793A87">
        <w:rPr>
          <w:rFonts w:asciiTheme="minorHAnsi" w:hAnsiTheme="minorHAnsi" w:cstheme="minorHAnsi"/>
          <w:i/>
          <w:iCs/>
        </w:rPr>
        <w:t xml:space="preserve">Kentucky Law Journal </w:t>
      </w:r>
      <w:r w:rsidRPr="00793A87">
        <w:rPr>
          <w:rFonts w:asciiTheme="minorHAnsi" w:hAnsiTheme="minorHAnsi" w:cstheme="minorHAnsi"/>
        </w:rPr>
        <w:t xml:space="preserve">195, 206. </w:t>
      </w:r>
    </w:p>
  </w:footnote>
  <w:footnote w:id="12">
    <w:p w14:paraId="64783E80" w14:textId="501C09EC" w:rsidR="00A44BB9" w:rsidRPr="00793A87" w:rsidRDefault="00A44BB9"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Style w:val="acopre"/>
          <w:rFonts w:asciiTheme="minorHAnsi" w:hAnsiTheme="minorHAnsi" w:cstheme="minorHAnsi"/>
          <w:i/>
          <w:iCs/>
        </w:rPr>
        <w:t>James</w:t>
      </w:r>
      <w:r w:rsidRPr="00793A87">
        <w:rPr>
          <w:rStyle w:val="acopre"/>
          <w:rFonts w:asciiTheme="minorHAnsi" w:hAnsiTheme="minorHAnsi" w:cstheme="minorHAnsi"/>
        </w:rPr>
        <w:t xml:space="preserve"> </w:t>
      </w:r>
      <w:r w:rsidRPr="00793A87">
        <w:rPr>
          <w:rStyle w:val="Emphasis"/>
          <w:rFonts w:asciiTheme="minorHAnsi" w:hAnsiTheme="minorHAnsi" w:cstheme="minorHAnsi"/>
        </w:rPr>
        <w:t>v</w:t>
      </w:r>
      <w:r w:rsidRPr="00793A87">
        <w:rPr>
          <w:rStyle w:val="acopre"/>
          <w:rFonts w:asciiTheme="minorHAnsi" w:hAnsiTheme="minorHAnsi" w:cstheme="minorHAnsi"/>
        </w:rPr>
        <w:t xml:space="preserve"> </w:t>
      </w:r>
      <w:r w:rsidRPr="00793A87">
        <w:rPr>
          <w:rStyle w:val="Emphasis"/>
          <w:rFonts w:asciiTheme="minorHAnsi" w:hAnsiTheme="minorHAnsi" w:cstheme="minorHAnsi"/>
        </w:rPr>
        <w:t>Screen Gems Inc</w:t>
      </w:r>
      <w:r w:rsidRPr="00793A87">
        <w:rPr>
          <w:rStyle w:val="acopre"/>
          <w:rFonts w:asciiTheme="minorHAnsi" w:hAnsiTheme="minorHAnsi" w:cstheme="minorHAnsi"/>
        </w:rPr>
        <w:t xml:space="preserve"> (1959) 174 CalApp 2d 650</w:t>
      </w:r>
      <w:r w:rsidR="008D02FD" w:rsidRPr="00793A87">
        <w:rPr>
          <w:rStyle w:val="acopre"/>
          <w:rFonts w:asciiTheme="minorHAnsi" w:hAnsiTheme="minorHAnsi" w:cstheme="minorHAnsi"/>
        </w:rPr>
        <w:t>, 653</w:t>
      </w:r>
      <w:r w:rsidRPr="00793A87">
        <w:rPr>
          <w:rStyle w:val="acopre"/>
          <w:rFonts w:asciiTheme="minorHAnsi" w:hAnsiTheme="minorHAnsi" w:cstheme="minorHAnsi"/>
        </w:rPr>
        <w:t xml:space="preserve">; </w:t>
      </w:r>
      <w:r w:rsidR="008D02FD" w:rsidRPr="00793A87">
        <w:rPr>
          <w:rStyle w:val="acopre"/>
          <w:rFonts w:asciiTheme="minorHAnsi" w:hAnsiTheme="minorHAnsi" w:cstheme="minorHAnsi"/>
          <w:i/>
          <w:iCs/>
        </w:rPr>
        <w:t xml:space="preserve">Hendrickson v California Newspapers Inc </w:t>
      </w:r>
      <w:r w:rsidR="008D02FD" w:rsidRPr="00793A87">
        <w:rPr>
          <w:rStyle w:val="acopre"/>
          <w:rFonts w:asciiTheme="minorHAnsi" w:hAnsiTheme="minorHAnsi" w:cstheme="minorHAnsi"/>
        </w:rPr>
        <w:t>(1975) 48 CalApp 3d 59,</w:t>
      </w:r>
      <w:r w:rsidR="00156110" w:rsidRPr="00793A87">
        <w:rPr>
          <w:rStyle w:val="acopre"/>
          <w:rFonts w:asciiTheme="minorHAnsi" w:hAnsiTheme="minorHAnsi" w:cstheme="minorHAnsi"/>
        </w:rPr>
        <w:t xml:space="preserve"> </w:t>
      </w:r>
      <w:r w:rsidR="008D02FD" w:rsidRPr="00793A87">
        <w:rPr>
          <w:rStyle w:val="acopre"/>
          <w:rFonts w:asciiTheme="minorHAnsi" w:hAnsiTheme="minorHAnsi" w:cstheme="minorHAnsi"/>
        </w:rPr>
        <w:t>62</w:t>
      </w:r>
      <w:r w:rsidR="00156110" w:rsidRPr="00793A87">
        <w:rPr>
          <w:rStyle w:val="acopre"/>
          <w:rFonts w:asciiTheme="minorHAnsi" w:hAnsiTheme="minorHAnsi" w:cstheme="minorHAnsi"/>
        </w:rPr>
        <w:t xml:space="preserve">. </w:t>
      </w:r>
    </w:p>
  </w:footnote>
  <w:footnote w:id="13">
    <w:p w14:paraId="03ED057F" w14:textId="552690D4" w:rsidR="000549EF" w:rsidRPr="00793A87" w:rsidRDefault="000549EF" w:rsidP="00214FA3">
      <w:pPr>
        <w:spacing w:after="0" w:line="240" w:lineRule="auto"/>
        <w:jc w:val="both"/>
        <w:rPr>
          <w:rFonts w:cstheme="minorHAnsi"/>
          <w:sz w:val="20"/>
          <w:szCs w:val="20"/>
        </w:rPr>
      </w:pPr>
      <w:r w:rsidRPr="00793A87">
        <w:rPr>
          <w:rStyle w:val="FootnoteReference"/>
          <w:rFonts w:cstheme="minorHAnsi"/>
          <w:sz w:val="20"/>
          <w:szCs w:val="20"/>
        </w:rPr>
        <w:footnoteRef/>
      </w:r>
      <w:r w:rsidR="00867653" w:rsidRPr="00793A87">
        <w:rPr>
          <w:rFonts w:cstheme="minorHAnsi"/>
          <w:sz w:val="20"/>
          <w:szCs w:val="20"/>
        </w:rPr>
        <w:t xml:space="preserve"> For the related problematic of data donations, see</w:t>
      </w:r>
      <w:r w:rsidRPr="00793A87">
        <w:rPr>
          <w:rFonts w:cstheme="minorHAnsi"/>
          <w:sz w:val="20"/>
          <w:szCs w:val="20"/>
        </w:rPr>
        <w:t xml:space="preserve"> Edina Harbinja, ‘Posthumous Medical Data Donation: The Case for a Legal Framework’ in Jenny Krutzinna, Luciano Floridi (eds), </w:t>
      </w:r>
      <w:r w:rsidRPr="00793A87">
        <w:rPr>
          <w:rFonts w:cstheme="minorHAnsi"/>
          <w:i/>
          <w:iCs/>
          <w:sz w:val="20"/>
          <w:szCs w:val="20"/>
        </w:rPr>
        <w:t>The Ethics of Medical Data Donation</w:t>
      </w:r>
      <w:r w:rsidRPr="00793A87">
        <w:rPr>
          <w:rFonts w:cstheme="minorHAnsi"/>
          <w:sz w:val="20"/>
          <w:szCs w:val="20"/>
        </w:rPr>
        <w:t xml:space="preserve"> (Cham: Springer, 2019) 137</w:t>
      </w:r>
      <w:r w:rsidR="00342533" w:rsidRPr="00793A87">
        <w:rPr>
          <w:rFonts w:cstheme="minorHAnsi"/>
          <w:sz w:val="20"/>
          <w:szCs w:val="20"/>
        </w:rPr>
        <w:t>.</w:t>
      </w:r>
    </w:p>
  </w:footnote>
  <w:footnote w:id="14">
    <w:p w14:paraId="1E3DA142" w14:textId="14611E1C" w:rsidR="000B0FCA" w:rsidRPr="00793A87" w:rsidRDefault="000B0FCA"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342533" w:rsidRPr="00793A87">
        <w:rPr>
          <w:rFonts w:cstheme="minorHAnsi"/>
          <w:sz w:val="20"/>
          <w:szCs w:val="20"/>
        </w:rPr>
        <w:t xml:space="preserve">Solicitor-client privilege </w:t>
      </w:r>
      <w:r w:rsidR="006B7DE5" w:rsidRPr="00793A87">
        <w:rPr>
          <w:rFonts w:cstheme="minorHAnsi"/>
          <w:sz w:val="20"/>
          <w:szCs w:val="20"/>
        </w:rPr>
        <w:t xml:space="preserve">is </w:t>
      </w:r>
      <w:r w:rsidR="00342533" w:rsidRPr="00793A87">
        <w:rPr>
          <w:rFonts w:cstheme="minorHAnsi"/>
          <w:sz w:val="20"/>
          <w:szCs w:val="20"/>
        </w:rPr>
        <w:t xml:space="preserve">an </w:t>
      </w:r>
      <w:r w:rsidR="00736BEF" w:rsidRPr="00793A87">
        <w:rPr>
          <w:rFonts w:cstheme="minorHAnsi"/>
          <w:sz w:val="20"/>
          <w:szCs w:val="20"/>
        </w:rPr>
        <w:t xml:space="preserve">analogous professional </w:t>
      </w:r>
      <w:r w:rsidRPr="00793A87">
        <w:rPr>
          <w:rFonts w:cstheme="minorHAnsi"/>
          <w:sz w:val="20"/>
          <w:szCs w:val="20"/>
        </w:rPr>
        <w:t>exception</w:t>
      </w:r>
      <w:r w:rsidR="00342533" w:rsidRPr="00793A87">
        <w:rPr>
          <w:rFonts w:cstheme="minorHAnsi"/>
          <w:sz w:val="20"/>
          <w:szCs w:val="20"/>
        </w:rPr>
        <w:t xml:space="preserve">: </w:t>
      </w:r>
      <w:r w:rsidR="009E0E9A" w:rsidRPr="00793A87">
        <w:rPr>
          <w:rFonts w:cstheme="minorHAnsi"/>
          <w:sz w:val="20"/>
          <w:szCs w:val="20"/>
        </w:rPr>
        <w:t xml:space="preserve">for </w:t>
      </w:r>
      <w:r w:rsidR="00342533" w:rsidRPr="00793A87">
        <w:rPr>
          <w:rFonts w:cstheme="minorHAnsi"/>
          <w:sz w:val="20"/>
          <w:szCs w:val="20"/>
        </w:rPr>
        <w:t xml:space="preserve">the UK, see Solicitors Regulation Authority, </w:t>
      </w:r>
      <w:r w:rsidR="00342533" w:rsidRPr="00793A87">
        <w:rPr>
          <w:rFonts w:cstheme="minorHAnsi"/>
          <w:i/>
          <w:iCs/>
          <w:sz w:val="20"/>
          <w:szCs w:val="20"/>
        </w:rPr>
        <w:t>Code of Conduct</w:t>
      </w:r>
      <w:r w:rsidR="00342533" w:rsidRPr="00793A87">
        <w:rPr>
          <w:rFonts w:cstheme="minorHAnsi"/>
          <w:sz w:val="20"/>
          <w:szCs w:val="20"/>
        </w:rPr>
        <w:t xml:space="preserve"> (s.6.3) and </w:t>
      </w:r>
      <w:r w:rsidR="00342533" w:rsidRPr="00793A87">
        <w:rPr>
          <w:rFonts w:cstheme="minorHAnsi"/>
          <w:i/>
          <w:iCs/>
          <w:sz w:val="20"/>
          <w:szCs w:val="20"/>
        </w:rPr>
        <w:t>Guidance - Confidentiality of client information</w:t>
      </w:r>
      <w:r w:rsidR="00342533" w:rsidRPr="00793A87">
        <w:rPr>
          <w:rFonts w:cstheme="minorHAnsi"/>
          <w:sz w:val="20"/>
          <w:szCs w:val="20"/>
        </w:rPr>
        <w:t xml:space="preserve"> (5 April 2022) ; for the US</w:t>
      </w:r>
      <w:r w:rsidR="009E0E9A" w:rsidRPr="00793A87">
        <w:rPr>
          <w:rFonts w:cstheme="minorHAnsi"/>
          <w:sz w:val="20"/>
          <w:szCs w:val="20"/>
        </w:rPr>
        <w:t xml:space="preserve">, </w:t>
      </w:r>
      <w:r w:rsidRPr="00793A87">
        <w:rPr>
          <w:rFonts w:cstheme="minorHAnsi"/>
          <w:sz w:val="20"/>
          <w:szCs w:val="20"/>
        </w:rPr>
        <w:t xml:space="preserve">see </w:t>
      </w:r>
      <w:r w:rsidRPr="00793A87">
        <w:rPr>
          <w:rFonts w:cstheme="minorHAnsi"/>
          <w:i/>
          <w:iCs/>
          <w:sz w:val="20"/>
          <w:szCs w:val="20"/>
        </w:rPr>
        <w:t>Swidler &amp; Berlin v United States</w:t>
      </w:r>
      <w:r w:rsidRPr="00793A87">
        <w:rPr>
          <w:rFonts w:cstheme="minorHAnsi"/>
          <w:sz w:val="20"/>
          <w:szCs w:val="20"/>
        </w:rPr>
        <w:t xml:space="preserve"> </w:t>
      </w:r>
      <w:r w:rsidR="00736BEF" w:rsidRPr="00793A87">
        <w:rPr>
          <w:rFonts w:cstheme="minorHAnsi"/>
          <w:sz w:val="20"/>
          <w:szCs w:val="20"/>
        </w:rPr>
        <w:t>524 US 399 (1998)</w:t>
      </w:r>
      <w:r w:rsidR="00342533" w:rsidRPr="00793A87">
        <w:rPr>
          <w:rFonts w:cstheme="minorHAnsi"/>
          <w:sz w:val="20"/>
          <w:szCs w:val="20"/>
        </w:rPr>
        <w:t>.</w:t>
      </w:r>
    </w:p>
  </w:footnote>
  <w:footnote w:id="15">
    <w:p w14:paraId="5C6C4665" w14:textId="33D578F0" w:rsidR="006F40E4" w:rsidRPr="00793A87" w:rsidRDefault="006F40E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Bluck v The Information Commissioner and Epsom and St Helier University NHS Trust</w:t>
      </w:r>
      <w:r w:rsidR="00495E97" w:rsidRPr="00793A87">
        <w:rPr>
          <w:rFonts w:asciiTheme="minorHAnsi" w:hAnsiTheme="minorHAnsi" w:cstheme="minorHAnsi"/>
          <w:i/>
          <w:iCs/>
        </w:rPr>
        <w:t xml:space="preserve"> </w:t>
      </w:r>
      <w:r w:rsidRPr="00793A87">
        <w:rPr>
          <w:rFonts w:asciiTheme="minorHAnsi" w:hAnsiTheme="minorHAnsi" w:cstheme="minorHAnsi"/>
        </w:rPr>
        <w:t>(2007) 98 BMLR 1, para 17</w:t>
      </w:r>
      <w:r w:rsidR="000C4C40" w:rsidRPr="00793A87">
        <w:rPr>
          <w:rFonts w:asciiTheme="minorHAnsi" w:hAnsiTheme="minorHAnsi" w:cstheme="minorHAnsi"/>
        </w:rPr>
        <w:t>.</w:t>
      </w:r>
    </w:p>
  </w:footnote>
  <w:footnote w:id="16">
    <w:p w14:paraId="09ED50E8" w14:textId="76A375F8" w:rsidR="006F40E4" w:rsidRPr="00793A87" w:rsidRDefault="006F40E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lang w:eastAsia="en-GB"/>
        </w:rPr>
        <w:t>Estate of Maria Cecilia Quadri v Parisi</w:t>
      </w:r>
      <w:r w:rsidRPr="00793A87">
        <w:rPr>
          <w:rFonts w:asciiTheme="minorHAnsi" w:hAnsiTheme="minorHAnsi" w:cstheme="minorHAnsi"/>
          <w:lang w:eastAsia="en-GB"/>
        </w:rPr>
        <w:t xml:space="preserve"> (2021</w:t>
      </w:r>
      <w:r w:rsidRPr="00793A87">
        <w:rPr>
          <w:rFonts w:asciiTheme="minorHAnsi" w:hAnsiTheme="minorHAnsi" w:cstheme="minorHAnsi"/>
        </w:rPr>
        <w:t xml:space="preserve">) WL 3544783 (Fla.Cir.Ct.) 3, </w:t>
      </w:r>
      <w:r w:rsidRPr="00793A87">
        <w:rPr>
          <w:rStyle w:val="Emphasis"/>
          <w:rFonts w:asciiTheme="minorHAnsi" w:hAnsiTheme="minorHAnsi" w:cstheme="minorHAnsi"/>
          <w:i w:val="0"/>
          <w:iCs w:val="0"/>
        </w:rPr>
        <w:t>citing</w:t>
      </w:r>
      <w:r w:rsidRPr="00793A87">
        <w:rPr>
          <w:rFonts w:asciiTheme="minorHAnsi" w:hAnsiTheme="minorHAnsi" w:cstheme="minorHAnsi"/>
        </w:rPr>
        <w:t xml:space="preserve"> Thomas Jefferson, </w:t>
      </w:r>
      <w:r w:rsidRPr="00793A87">
        <w:rPr>
          <w:rStyle w:val="counderline"/>
          <w:rFonts w:asciiTheme="minorHAnsi" w:hAnsiTheme="minorHAnsi" w:cstheme="minorHAnsi"/>
          <w:i/>
          <w:iCs/>
        </w:rPr>
        <w:t>Writings</w:t>
      </w:r>
      <w:r w:rsidRPr="00793A87">
        <w:rPr>
          <w:rFonts w:asciiTheme="minorHAnsi" w:hAnsiTheme="minorHAnsi" w:cstheme="minorHAnsi"/>
        </w:rPr>
        <w:t xml:space="preserve"> (Merrill D. Peterson ed, 1984)</w:t>
      </w:r>
      <w:r w:rsidR="00AA541F" w:rsidRPr="00793A87">
        <w:rPr>
          <w:rFonts w:asciiTheme="minorHAnsi" w:hAnsiTheme="minorHAnsi" w:cstheme="minorHAnsi"/>
        </w:rPr>
        <w:t xml:space="preserve"> </w:t>
      </w:r>
      <w:r w:rsidRPr="00793A87">
        <w:rPr>
          <w:rFonts w:asciiTheme="minorHAnsi" w:hAnsiTheme="minorHAnsi" w:cstheme="minorHAnsi"/>
        </w:rPr>
        <w:t xml:space="preserve">1490, 1493. </w:t>
      </w:r>
    </w:p>
  </w:footnote>
  <w:footnote w:id="17">
    <w:p w14:paraId="55EB3AC8" w14:textId="273BB6EB" w:rsidR="00FC3B0E" w:rsidRPr="00793A87" w:rsidRDefault="00A2110A"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00CA20C3" w:rsidRPr="00793A87">
        <w:rPr>
          <w:rFonts w:cstheme="minorHAnsi"/>
          <w:color w:val="000000"/>
          <w:sz w:val="20"/>
          <w:szCs w:val="20"/>
        </w:rPr>
        <w:t xml:space="preserve"> F</w:t>
      </w:r>
      <w:r w:rsidR="00FC3B0E" w:rsidRPr="00793A87">
        <w:rPr>
          <w:rFonts w:cstheme="minorHAnsi"/>
          <w:color w:val="000000"/>
          <w:sz w:val="20"/>
          <w:szCs w:val="20"/>
        </w:rPr>
        <w:t xml:space="preserve">or example, </w:t>
      </w:r>
      <w:r w:rsidR="00867653" w:rsidRPr="00793A87">
        <w:rPr>
          <w:rFonts w:cstheme="minorHAnsi"/>
          <w:color w:val="000000"/>
          <w:sz w:val="20"/>
          <w:szCs w:val="20"/>
        </w:rPr>
        <w:t xml:space="preserve">under s. 1 of </w:t>
      </w:r>
      <w:r w:rsidRPr="00793A87">
        <w:rPr>
          <w:rFonts w:cstheme="minorHAnsi"/>
          <w:sz w:val="20"/>
          <w:szCs w:val="20"/>
        </w:rPr>
        <w:t>Fatal Accident Act 1976</w:t>
      </w:r>
      <w:r w:rsidR="00FC3B0E" w:rsidRPr="00793A87">
        <w:rPr>
          <w:rFonts w:cstheme="minorHAnsi"/>
          <w:sz w:val="20"/>
          <w:szCs w:val="20"/>
        </w:rPr>
        <w:t xml:space="preserve"> </w:t>
      </w:r>
      <w:r w:rsidR="00867653" w:rsidRPr="00793A87">
        <w:rPr>
          <w:rFonts w:cstheme="minorHAnsi"/>
          <w:sz w:val="20"/>
          <w:szCs w:val="20"/>
        </w:rPr>
        <w:t>dependants of the deceased may</w:t>
      </w:r>
      <w:r w:rsidR="00FC3B0E" w:rsidRPr="00793A87">
        <w:rPr>
          <w:rFonts w:cstheme="minorHAnsi"/>
          <w:sz w:val="20"/>
          <w:szCs w:val="20"/>
        </w:rPr>
        <w:t xml:space="preserve"> sue in their own right</w:t>
      </w:r>
      <w:r w:rsidR="00867653" w:rsidRPr="00793A87">
        <w:rPr>
          <w:rFonts w:cstheme="minorHAnsi"/>
          <w:sz w:val="20"/>
          <w:szCs w:val="20"/>
        </w:rPr>
        <w:t xml:space="preserve"> to recover for </w:t>
      </w:r>
      <w:r w:rsidR="00CA20C3" w:rsidRPr="00793A87">
        <w:rPr>
          <w:rFonts w:cstheme="minorHAnsi"/>
          <w:sz w:val="20"/>
          <w:szCs w:val="20"/>
        </w:rPr>
        <w:t xml:space="preserve">their losses </w:t>
      </w:r>
      <w:r w:rsidR="00867653" w:rsidRPr="00793A87">
        <w:rPr>
          <w:rFonts w:cstheme="minorHAnsi"/>
          <w:sz w:val="20"/>
          <w:szCs w:val="20"/>
        </w:rPr>
        <w:t xml:space="preserve">caused by the death due the wrongful act. </w:t>
      </w:r>
    </w:p>
  </w:footnote>
  <w:footnote w:id="18">
    <w:p w14:paraId="7A47B56D" w14:textId="19051DC6" w:rsidR="00F26CAE" w:rsidRPr="00793A87" w:rsidRDefault="00F26CA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In German </w:t>
      </w:r>
      <w:r w:rsidRPr="00793A87">
        <w:rPr>
          <w:rFonts w:asciiTheme="minorHAnsi" w:hAnsiTheme="minorHAnsi" w:cstheme="minorHAnsi"/>
          <w:i/>
          <w:iCs/>
        </w:rPr>
        <w:t>‘</w:t>
      </w:r>
      <w:r w:rsidR="00867653" w:rsidRPr="00793A87">
        <w:rPr>
          <w:rStyle w:val="Emphasis"/>
          <w:rFonts w:asciiTheme="minorHAnsi" w:hAnsiTheme="minorHAnsi" w:cstheme="minorHAnsi"/>
          <w:i w:val="0"/>
          <w:iCs w:val="0"/>
        </w:rPr>
        <w:t>höchst persönlich</w:t>
      </w:r>
      <w:r w:rsidR="00867653" w:rsidRPr="00793A87">
        <w:rPr>
          <w:rFonts w:asciiTheme="minorHAnsi" w:hAnsiTheme="minorHAnsi" w:cstheme="minorHAnsi"/>
          <w:i/>
          <w:iCs/>
        </w:rPr>
        <w:t>’.</w:t>
      </w:r>
    </w:p>
  </w:footnote>
  <w:footnote w:id="19">
    <w:p w14:paraId="4B2AACC5" w14:textId="4FF57403" w:rsidR="00123807" w:rsidRPr="00793A87" w:rsidRDefault="0012380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color w:val="000000"/>
        </w:rPr>
        <w:t xml:space="preserve">Thomas I Emerson, </w:t>
      </w:r>
      <w:r w:rsidRPr="00793A87">
        <w:rPr>
          <w:rFonts w:asciiTheme="minorHAnsi" w:hAnsiTheme="minorHAnsi" w:cstheme="minorHAnsi"/>
          <w:i/>
          <w:iCs/>
          <w:color w:val="000000"/>
        </w:rPr>
        <w:t>The System of Freedom of Expression</w:t>
      </w:r>
      <w:r w:rsidRPr="00793A87">
        <w:rPr>
          <w:rFonts w:asciiTheme="minorHAnsi" w:hAnsiTheme="minorHAnsi" w:cstheme="minorHAnsi"/>
          <w:color w:val="000000"/>
        </w:rPr>
        <w:t xml:space="preserve"> (1970) 545, 549</w:t>
      </w:r>
      <w:r w:rsidR="00B96E3A" w:rsidRPr="00793A87">
        <w:rPr>
          <w:rFonts w:asciiTheme="minorHAnsi" w:hAnsiTheme="minorHAnsi" w:cstheme="minorHAnsi"/>
          <w:color w:val="000000"/>
        </w:rPr>
        <w:t xml:space="preserve"> [emphasis added]</w:t>
      </w:r>
      <w:r w:rsidR="00A038DF" w:rsidRPr="00793A87">
        <w:rPr>
          <w:rFonts w:asciiTheme="minorHAnsi" w:hAnsiTheme="minorHAnsi" w:cstheme="minorHAnsi"/>
          <w:color w:val="000000"/>
        </w:rPr>
        <w:t xml:space="preserve">, </w:t>
      </w:r>
      <w:r w:rsidR="00C43516" w:rsidRPr="00793A87">
        <w:rPr>
          <w:rFonts w:asciiTheme="minorHAnsi" w:hAnsiTheme="minorHAnsi" w:cstheme="minorHAnsi"/>
          <w:color w:val="000000"/>
        </w:rPr>
        <w:t>critiqued in</w:t>
      </w:r>
      <w:r w:rsidR="00E17991" w:rsidRPr="00793A87">
        <w:rPr>
          <w:rFonts w:asciiTheme="minorHAnsi" w:hAnsiTheme="minorHAnsi" w:cstheme="minorHAnsi"/>
        </w:rPr>
        <w:t xml:space="preserve"> Daniel J Solove</w:t>
      </w:r>
      <w:r w:rsidR="00C43516" w:rsidRPr="00793A87">
        <w:rPr>
          <w:rFonts w:asciiTheme="minorHAnsi" w:hAnsiTheme="minorHAnsi" w:cstheme="minorHAnsi"/>
        </w:rPr>
        <w:t xml:space="preserve">, ‘The meaning and value of privacy’ in Beate Roessler, Dorota Mkrosinska, </w:t>
      </w:r>
      <w:r w:rsidR="00C43516" w:rsidRPr="00793A87">
        <w:rPr>
          <w:rFonts w:asciiTheme="minorHAnsi" w:hAnsiTheme="minorHAnsi" w:cstheme="minorHAnsi"/>
          <w:i/>
          <w:iCs/>
        </w:rPr>
        <w:t>Social Dimensions of Privacy</w:t>
      </w:r>
      <w:r w:rsidR="00C43516" w:rsidRPr="00793A87">
        <w:rPr>
          <w:rFonts w:asciiTheme="minorHAnsi" w:hAnsiTheme="minorHAnsi" w:cstheme="minorHAnsi"/>
        </w:rPr>
        <w:t xml:space="preserve"> (Cambridge: CUP, 2015) 71; </w:t>
      </w:r>
      <w:r w:rsidR="00E17991" w:rsidRPr="00793A87">
        <w:rPr>
          <w:rFonts w:asciiTheme="minorHAnsi" w:hAnsiTheme="minorHAnsi" w:cstheme="minorHAnsi"/>
        </w:rPr>
        <w:t>see also Helen Nisse</w:t>
      </w:r>
      <w:r w:rsidR="00342533" w:rsidRPr="00793A87">
        <w:rPr>
          <w:rFonts w:asciiTheme="minorHAnsi" w:hAnsiTheme="minorHAnsi" w:cstheme="minorHAnsi"/>
        </w:rPr>
        <w:t>n</w:t>
      </w:r>
      <w:r w:rsidR="00E17991" w:rsidRPr="00793A87">
        <w:rPr>
          <w:rFonts w:asciiTheme="minorHAnsi" w:hAnsiTheme="minorHAnsi" w:cstheme="minorHAnsi"/>
        </w:rPr>
        <w:t xml:space="preserve">baum, </w:t>
      </w:r>
      <w:r w:rsidR="00E17991" w:rsidRPr="00793A87">
        <w:rPr>
          <w:rFonts w:asciiTheme="minorHAnsi" w:hAnsiTheme="minorHAnsi" w:cstheme="minorHAnsi"/>
          <w:i/>
          <w:iCs/>
        </w:rPr>
        <w:t>Privacy in Context</w:t>
      </w:r>
      <w:r w:rsidR="00E17991" w:rsidRPr="00793A87">
        <w:rPr>
          <w:rFonts w:asciiTheme="minorHAnsi" w:hAnsiTheme="minorHAnsi" w:cstheme="minorHAnsi"/>
        </w:rPr>
        <w:t xml:space="preserve"> (Stanford: Stanford University Press, 2010)</w:t>
      </w:r>
      <w:r w:rsidR="00C43516" w:rsidRPr="00793A87">
        <w:rPr>
          <w:rFonts w:asciiTheme="minorHAnsi" w:hAnsiTheme="minorHAnsi" w:cstheme="minorHAnsi"/>
        </w:rPr>
        <w:t xml:space="preserve"> esp Chapter 4</w:t>
      </w:r>
      <w:r w:rsidR="00D45878" w:rsidRPr="00793A87">
        <w:rPr>
          <w:rFonts w:asciiTheme="minorHAnsi" w:hAnsiTheme="minorHAnsi" w:cstheme="minorHAnsi"/>
        </w:rPr>
        <w:t xml:space="preserve">; Prescilla Regan, </w:t>
      </w:r>
      <w:r w:rsidR="00D45878" w:rsidRPr="00793A87">
        <w:rPr>
          <w:rFonts w:asciiTheme="minorHAnsi" w:hAnsiTheme="minorHAnsi" w:cstheme="minorHAnsi"/>
          <w:i/>
          <w:iCs/>
        </w:rPr>
        <w:t>Legislating Privacy</w:t>
      </w:r>
      <w:r w:rsidR="00D45878" w:rsidRPr="00793A87">
        <w:rPr>
          <w:rFonts w:asciiTheme="minorHAnsi" w:hAnsiTheme="minorHAnsi" w:cstheme="minorHAnsi"/>
        </w:rPr>
        <w:t xml:space="preserve"> (University of North Carolina Press, 1995).</w:t>
      </w:r>
    </w:p>
  </w:footnote>
  <w:footnote w:id="20">
    <w:p w14:paraId="5E17E954" w14:textId="2AECE3E8" w:rsidR="000116D3" w:rsidRPr="00793A87" w:rsidRDefault="000116D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C43516" w:rsidRPr="00793A87">
        <w:rPr>
          <w:rFonts w:asciiTheme="minorHAnsi" w:hAnsiTheme="minorHAnsi" w:cstheme="minorHAnsi"/>
        </w:rPr>
        <w:t xml:space="preserve">Nissenbaum ibid 81ff. </w:t>
      </w:r>
    </w:p>
  </w:footnote>
  <w:footnote w:id="21">
    <w:p w14:paraId="071BA27C" w14:textId="38B3BA57" w:rsidR="00FC577A" w:rsidRPr="00793A87" w:rsidRDefault="00FC577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A47215" w:rsidRPr="00793A87">
        <w:rPr>
          <w:rFonts w:asciiTheme="minorHAnsi" w:hAnsiTheme="minorHAnsi" w:cstheme="minorHAnsi"/>
        </w:rPr>
        <w:t xml:space="preserve">This boundary </w:t>
      </w:r>
      <w:r w:rsidR="00342533" w:rsidRPr="00793A87">
        <w:rPr>
          <w:rFonts w:asciiTheme="minorHAnsi" w:hAnsiTheme="minorHAnsi" w:cstheme="minorHAnsi"/>
        </w:rPr>
        <w:t>is especially</w:t>
      </w:r>
      <w:r w:rsidR="00A47215" w:rsidRPr="00793A87">
        <w:rPr>
          <w:rFonts w:asciiTheme="minorHAnsi" w:hAnsiTheme="minorHAnsi" w:cstheme="minorHAnsi"/>
        </w:rPr>
        <w:t xml:space="preserve"> relevant to the Anglo-American conception of privacy which locates </w:t>
      </w:r>
      <w:r w:rsidR="00AE1207" w:rsidRPr="00793A87">
        <w:rPr>
          <w:rFonts w:asciiTheme="minorHAnsi" w:hAnsiTheme="minorHAnsi" w:cstheme="minorHAnsi"/>
        </w:rPr>
        <w:t xml:space="preserve">privacy </w:t>
      </w:r>
      <w:r w:rsidR="00C32685" w:rsidRPr="00793A87">
        <w:rPr>
          <w:rFonts w:asciiTheme="minorHAnsi" w:hAnsiTheme="minorHAnsi" w:cstheme="minorHAnsi"/>
        </w:rPr>
        <w:t>principally</w:t>
      </w:r>
      <w:r w:rsidR="00A47215" w:rsidRPr="00793A87">
        <w:rPr>
          <w:rFonts w:asciiTheme="minorHAnsi" w:hAnsiTheme="minorHAnsi" w:cstheme="minorHAnsi"/>
        </w:rPr>
        <w:t xml:space="preserve"> in the home</w:t>
      </w:r>
      <w:r w:rsidR="00C32685" w:rsidRPr="00793A87">
        <w:rPr>
          <w:rFonts w:asciiTheme="minorHAnsi" w:hAnsiTheme="minorHAnsi" w:cstheme="minorHAnsi"/>
        </w:rPr>
        <w:t xml:space="preserve"> </w:t>
      </w:r>
      <w:r w:rsidR="00A47215" w:rsidRPr="00793A87">
        <w:rPr>
          <w:rFonts w:asciiTheme="minorHAnsi" w:hAnsiTheme="minorHAnsi" w:cstheme="minorHAnsi"/>
        </w:rPr>
        <w:t xml:space="preserve">and does not </w:t>
      </w:r>
      <w:r w:rsidR="006B7DE5" w:rsidRPr="00793A87">
        <w:rPr>
          <w:rFonts w:asciiTheme="minorHAnsi" w:hAnsiTheme="minorHAnsi" w:cstheme="minorHAnsi"/>
        </w:rPr>
        <w:t>recognise</w:t>
      </w:r>
      <w:r w:rsidR="00342533" w:rsidRPr="00793A87">
        <w:rPr>
          <w:rFonts w:asciiTheme="minorHAnsi" w:hAnsiTheme="minorHAnsi" w:cstheme="minorHAnsi"/>
        </w:rPr>
        <w:t xml:space="preserve"> privacy</w:t>
      </w:r>
      <w:r w:rsidR="00A47215" w:rsidRPr="00793A87">
        <w:rPr>
          <w:rFonts w:asciiTheme="minorHAnsi" w:hAnsiTheme="minorHAnsi" w:cstheme="minorHAnsi"/>
        </w:rPr>
        <w:t xml:space="preserve"> </w:t>
      </w:r>
      <w:r w:rsidR="006B7DE5" w:rsidRPr="00793A87">
        <w:rPr>
          <w:rFonts w:asciiTheme="minorHAnsi" w:hAnsiTheme="minorHAnsi" w:cstheme="minorHAnsi"/>
        </w:rPr>
        <w:t xml:space="preserve">claims </w:t>
      </w:r>
      <w:r w:rsidR="00A47215" w:rsidRPr="00793A87">
        <w:rPr>
          <w:rFonts w:asciiTheme="minorHAnsi" w:hAnsiTheme="minorHAnsi" w:cstheme="minorHAnsi"/>
        </w:rPr>
        <w:t>in public: James Q Whitman, ‘The T</w:t>
      </w:r>
      <w:r w:rsidR="00342533" w:rsidRPr="00793A87">
        <w:rPr>
          <w:rFonts w:asciiTheme="minorHAnsi" w:hAnsiTheme="minorHAnsi" w:cstheme="minorHAnsi"/>
        </w:rPr>
        <w:t>wo</w:t>
      </w:r>
      <w:r w:rsidR="00A47215" w:rsidRPr="00793A87">
        <w:rPr>
          <w:rFonts w:asciiTheme="minorHAnsi" w:hAnsiTheme="minorHAnsi" w:cstheme="minorHAnsi"/>
        </w:rPr>
        <w:t xml:space="preserve"> Western Cultures of Privacy: Dignity Versus Liberty’ (2004) 113 </w:t>
      </w:r>
      <w:r w:rsidR="00A47215" w:rsidRPr="00793A87">
        <w:rPr>
          <w:rFonts w:asciiTheme="minorHAnsi" w:hAnsiTheme="minorHAnsi" w:cstheme="minorHAnsi"/>
          <w:i/>
          <w:iCs/>
        </w:rPr>
        <w:t>Yale Law Journal</w:t>
      </w:r>
      <w:r w:rsidR="00A47215" w:rsidRPr="00793A87">
        <w:rPr>
          <w:rFonts w:asciiTheme="minorHAnsi" w:hAnsiTheme="minorHAnsi" w:cstheme="minorHAnsi"/>
        </w:rPr>
        <w:t xml:space="preserve"> 1151.</w:t>
      </w:r>
    </w:p>
  </w:footnote>
  <w:footnote w:id="22">
    <w:p w14:paraId="72B10967" w14:textId="05FE586B" w:rsidR="00FC577A" w:rsidRPr="00793A87" w:rsidRDefault="00FC577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David Feldman</w:t>
      </w:r>
      <w:r w:rsidRPr="00793A87">
        <w:rPr>
          <w:rFonts w:asciiTheme="minorHAnsi" w:hAnsiTheme="minorHAnsi" w:cstheme="minorHAnsi"/>
          <w:i/>
          <w:iCs/>
        </w:rPr>
        <w:t>, Civil Liberties and Human Rights in England and Wales</w:t>
      </w:r>
      <w:r w:rsidRPr="00793A87">
        <w:rPr>
          <w:rFonts w:asciiTheme="minorHAnsi" w:hAnsiTheme="minorHAnsi" w:cstheme="minorHAnsi"/>
        </w:rPr>
        <w:t xml:space="preserve"> (2</w:t>
      </w:r>
      <w:r w:rsidRPr="00793A87">
        <w:rPr>
          <w:rFonts w:asciiTheme="minorHAnsi" w:hAnsiTheme="minorHAnsi" w:cstheme="minorHAnsi"/>
          <w:vertAlign w:val="superscript"/>
        </w:rPr>
        <w:t>nd</w:t>
      </w:r>
      <w:r w:rsidRPr="00793A87">
        <w:rPr>
          <w:rFonts w:asciiTheme="minorHAnsi" w:hAnsiTheme="minorHAnsi" w:cstheme="minorHAnsi"/>
        </w:rPr>
        <w:t xml:space="preserve"> ed, Oxford: OUP, 2002) 524.</w:t>
      </w:r>
    </w:p>
  </w:footnote>
  <w:footnote w:id="23">
    <w:p w14:paraId="4A34775A" w14:textId="7AE86207" w:rsidR="003C79D4" w:rsidRPr="00793A87" w:rsidRDefault="001B00FC" w:rsidP="00214FA3">
      <w:pPr>
        <w:spacing w:after="0" w:line="240" w:lineRule="auto"/>
        <w:jc w:val="both"/>
        <w:rPr>
          <w:rFonts w:eastAsia="Times New Roman" w:cstheme="minorHAnsi"/>
          <w:sz w:val="20"/>
          <w:szCs w:val="20"/>
          <w:lang w:eastAsia="en-GB"/>
        </w:rPr>
      </w:pPr>
      <w:r w:rsidRPr="00793A87">
        <w:rPr>
          <w:rStyle w:val="FootnoteReference"/>
          <w:rFonts w:cstheme="minorHAnsi"/>
          <w:sz w:val="20"/>
          <w:szCs w:val="20"/>
        </w:rPr>
        <w:footnoteRef/>
      </w:r>
      <w:r w:rsidRPr="00793A87">
        <w:rPr>
          <w:rFonts w:cstheme="minorHAnsi"/>
          <w:sz w:val="20"/>
          <w:szCs w:val="20"/>
        </w:rPr>
        <w:t xml:space="preserve"> </w:t>
      </w:r>
      <w:r w:rsidR="003C79D4" w:rsidRPr="00793A87">
        <w:rPr>
          <w:rFonts w:cstheme="minorHAnsi"/>
          <w:sz w:val="20"/>
          <w:szCs w:val="20"/>
        </w:rPr>
        <w:t xml:space="preserve">  </w:t>
      </w:r>
      <w:r w:rsidR="003C79D4" w:rsidRPr="00793A87">
        <w:rPr>
          <w:rFonts w:cstheme="minorHAnsi"/>
          <w:i/>
          <w:iCs/>
          <w:sz w:val="20"/>
          <w:szCs w:val="20"/>
        </w:rPr>
        <w:t>Re C (Adult Patient: publicity)</w:t>
      </w:r>
      <w:r w:rsidR="003C79D4" w:rsidRPr="00793A87">
        <w:rPr>
          <w:rFonts w:cstheme="minorHAnsi"/>
          <w:sz w:val="20"/>
          <w:szCs w:val="20"/>
        </w:rPr>
        <w:t xml:space="preserve"> [1996] 2 FLR 251</w:t>
      </w:r>
      <w:r w:rsidR="00943915" w:rsidRPr="00793A87">
        <w:rPr>
          <w:rFonts w:cstheme="minorHAnsi"/>
          <w:sz w:val="20"/>
          <w:szCs w:val="20"/>
        </w:rPr>
        <w:t xml:space="preserve">. For </w:t>
      </w:r>
      <w:r w:rsidR="00C80175" w:rsidRPr="00793A87">
        <w:rPr>
          <w:rFonts w:cstheme="minorHAnsi"/>
          <w:sz w:val="20"/>
          <w:szCs w:val="20"/>
        </w:rPr>
        <w:t xml:space="preserve">earlier </w:t>
      </w:r>
      <w:r w:rsidR="00943915" w:rsidRPr="00793A87">
        <w:rPr>
          <w:rFonts w:cstheme="minorHAnsi"/>
          <w:sz w:val="20"/>
          <w:szCs w:val="20"/>
        </w:rPr>
        <w:t>ambiguous contrary authority, see</w:t>
      </w:r>
      <w:r w:rsidR="003C79D4" w:rsidRPr="00793A87">
        <w:rPr>
          <w:rFonts w:cstheme="minorHAnsi"/>
          <w:sz w:val="20"/>
          <w:szCs w:val="20"/>
        </w:rPr>
        <w:t xml:space="preserve"> </w:t>
      </w:r>
      <w:r w:rsidR="00A979C3" w:rsidRPr="00793A87">
        <w:rPr>
          <w:rFonts w:cstheme="minorHAnsi"/>
          <w:i/>
          <w:iCs/>
          <w:sz w:val="20"/>
          <w:szCs w:val="20"/>
        </w:rPr>
        <w:t xml:space="preserve">Prince Albert v Strange </w:t>
      </w:r>
      <w:r w:rsidR="00A979C3" w:rsidRPr="00793A87">
        <w:rPr>
          <w:rFonts w:cstheme="minorHAnsi"/>
          <w:sz w:val="20"/>
          <w:szCs w:val="20"/>
        </w:rPr>
        <w:t>(1849)</w:t>
      </w:r>
      <w:r w:rsidR="00A979C3" w:rsidRPr="00793A87">
        <w:rPr>
          <w:rFonts w:cstheme="minorHAnsi"/>
          <w:i/>
          <w:iCs/>
          <w:sz w:val="20"/>
          <w:szCs w:val="20"/>
        </w:rPr>
        <w:t xml:space="preserve"> </w:t>
      </w:r>
      <w:r w:rsidR="00A979C3" w:rsidRPr="00793A87">
        <w:rPr>
          <w:rFonts w:cstheme="minorHAnsi"/>
          <w:sz w:val="20"/>
          <w:szCs w:val="20"/>
        </w:rPr>
        <w:t xml:space="preserve">1 H &amp; T 1, 25, where the Lord Chancellor referred </w:t>
      </w:r>
      <w:r w:rsidR="003C79D4" w:rsidRPr="00793A87">
        <w:rPr>
          <w:rFonts w:eastAsia="Times New Roman" w:cstheme="minorHAnsi"/>
          <w:sz w:val="20"/>
          <w:szCs w:val="20"/>
          <w:lang w:eastAsia="en-GB"/>
        </w:rPr>
        <w:t xml:space="preserve">to </w:t>
      </w:r>
      <w:r w:rsidR="00943915" w:rsidRPr="00793A87">
        <w:rPr>
          <w:rFonts w:eastAsia="Times New Roman" w:cstheme="minorHAnsi"/>
          <w:i/>
          <w:iCs/>
          <w:sz w:val="20"/>
          <w:szCs w:val="20"/>
          <w:lang w:eastAsia="en-GB"/>
        </w:rPr>
        <w:t>Wyatt v</w:t>
      </w:r>
      <w:r w:rsidR="00943915" w:rsidRPr="00793A87">
        <w:rPr>
          <w:rFonts w:eastAsia="Times New Roman" w:cstheme="minorHAnsi"/>
          <w:sz w:val="20"/>
          <w:szCs w:val="20"/>
          <w:lang w:eastAsia="en-GB"/>
        </w:rPr>
        <w:t xml:space="preserve"> </w:t>
      </w:r>
      <w:r w:rsidR="003C79D4" w:rsidRPr="00793A87">
        <w:rPr>
          <w:rFonts w:eastAsia="Times New Roman" w:cstheme="minorHAnsi"/>
          <w:i/>
          <w:iCs/>
          <w:sz w:val="20"/>
          <w:szCs w:val="20"/>
          <w:lang w:eastAsia="en-GB"/>
        </w:rPr>
        <w:t>Wilson</w:t>
      </w:r>
      <w:r w:rsidR="00943915" w:rsidRPr="00793A87">
        <w:rPr>
          <w:rFonts w:eastAsia="Times New Roman" w:cstheme="minorHAnsi"/>
          <w:i/>
          <w:iCs/>
          <w:sz w:val="20"/>
          <w:szCs w:val="20"/>
          <w:lang w:eastAsia="en-GB"/>
        </w:rPr>
        <w:t xml:space="preserve"> </w:t>
      </w:r>
      <w:r w:rsidR="003C79D4" w:rsidRPr="00793A87">
        <w:rPr>
          <w:rFonts w:eastAsia="Times New Roman" w:cstheme="minorHAnsi"/>
          <w:sz w:val="20"/>
          <w:szCs w:val="20"/>
          <w:lang w:eastAsia="en-GB"/>
        </w:rPr>
        <w:t>(1820</w:t>
      </w:r>
      <w:r w:rsidR="00943915" w:rsidRPr="00793A87">
        <w:rPr>
          <w:rFonts w:eastAsia="Times New Roman" w:cstheme="minorHAnsi"/>
          <w:sz w:val="20"/>
          <w:szCs w:val="20"/>
          <w:lang w:eastAsia="en-GB"/>
        </w:rPr>
        <w:t>, Unrep</w:t>
      </w:r>
      <w:r w:rsidR="003C79D4" w:rsidRPr="00793A87">
        <w:rPr>
          <w:rFonts w:eastAsia="Times New Roman" w:cstheme="minorHAnsi"/>
          <w:sz w:val="20"/>
          <w:szCs w:val="20"/>
          <w:lang w:eastAsia="en-GB"/>
        </w:rPr>
        <w:t>)</w:t>
      </w:r>
      <w:r w:rsidR="00A979C3" w:rsidRPr="00793A87">
        <w:rPr>
          <w:rFonts w:eastAsia="Times New Roman" w:cstheme="minorHAnsi"/>
          <w:sz w:val="20"/>
          <w:szCs w:val="20"/>
          <w:lang w:eastAsia="en-GB"/>
        </w:rPr>
        <w:t xml:space="preserve"> in which </w:t>
      </w:r>
      <w:r w:rsidR="003C79D4" w:rsidRPr="00793A87">
        <w:rPr>
          <w:rFonts w:eastAsia="Times New Roman" w:cstheme="minorHAnsi"/>
          <w:sz w:val="20"/>
          <w:szCs w:val="20"/>
          <w:lang w:eastAsia="en-GB"/>
        </w:rPr>
        <w:t xml:space="preserve">Lord Eldon appeared to have assumed that the duty of </w:t>
      </w:r>
      <w:r w:rsidR="00943915" w:rsidRPr="00793A87">
        <w:rPr>
          <w:rFonts w:eastAsia="Times New Roman" w:cstheme="minorHAnsi"/>
          <w:sz w:val="20"/>
          <w:szCs w:val="20"/>
          <w:lang w:eastAsia="en-GB"/>
        </w:rPr>
        <w:t xml:space="preserve">medical </w:t>
      </w:r>
      <w:r w:rsidR="003C79D4" w:rsidRPr="00793A87">
        <w:rPr>
          <w:rFonts w:eastAsia="Times New Roman" w:cstheme="minorHAnsi"/>
          <w:sz w:val="20"/>
          <w:szCs w:val="20"/>
          <w:lang w:eastAsia="en-GB"/>
        </w:rPr>
        <w:t xml:space="preserve">confidentiality ceased </w:t>
      </w:r>
      <w:r w:rsidR="00943915" w:rsidRPr="00793A87">
        <w:rPr>
          <w:rFonts w:eastAsia="Times New Roman" w:cstheme="minorHAnsi"/>
          <w:sz w:val="20"/>
          <w:szCs w:val="20"/>
          <w:lang w:eastAsia="en-GB"/>
        </w:rPr>
        <w:t>upon death</w:t>
      </w:r>
      <w:r w:rsidR="003C79D4" w:rsidRPr="00793A87">
        <w:rPr>
          <w:rFonts w:eastAsia="Times New Roman" w:cstheme="minorHAnsi"/>
          <w:sz w:val="20"/>
          <w:szCs w:val="20"/>
          <w:lang w:eastAsia="en-GB"/>
        </w:rPr>
        <w:t xml:space="preserve">: </w:t>
      </w:r>
      <w:r w:rsidR="00943915" w:rsidRPr="00793A87">
        <w:rPr>
          <w:rFonts w:eastAsia="Times New Roman" w:cstheme="minorHAnsi"/>
          <w:sz w:val="20"/>
          <w:szCs w:val="20"/>
          <w:lang w:eastAsia="en-GB"/>
        </w:rPr>
        <w:t>‘</w:t>
      </w:r>
      <w:r w:rsidR="003C79D4" w:rsidRPr="00793A87">
        <w:rPr>
          <w:rFonts w:eastAsia="Times New Roman" w:cstheme="minorHAnsi"/>
          <w:sz w:val="20"/>
          <w:szCs w:val="20"/>
          <w:lang w:eastAsia="en-GB"/>
        </w:rPr>
        <w:t>If one of the late King’s physicians had kept a diary of what he had heard or seen, the court would not in the King’s lifetime, have permitted him to print or publish it</w:t>
      </w:r>
      <w:r w:rsidR="00943915" w:rsidRPr="00793A87">
        <w:rPr>
          <w:rFonts w:eastAsia="Times New Roman" w:cstheme="minorHAnsi"/>
          <w:sz w:val="20"/>
          <w:szCs w:val="20"/>
          <w:lang w:eastAsia="en-GB"/>
        </w:rPr>
        <w:t>.’</w:t>
      </w:r>
      <w:r w:rsidR="000132C1" w:rsidRPr="00793A87">
        <w:rPr>
          <w:rFonts w:eastAsia="Times New Roman" w:cstheme="minorHAnsi"/>
          <w:sz w:val="20"/>
          <w:szCs w:val="20"/>
          <w:lang w:eastAsia="en-GB"/>
        </w:rPr>
        <w:t xml:space="preserve"> </w:t>
      </w:r>
    </w:p>
  </w:footnote>
  <w:footnote w:id="24">
    <w:p w14:paraId="64A380F0" w14:textId="46D8D79B" w:rsidR="00FB0923" w:rsidRPr="00793A87" w:rsidRDefault="00FB092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C667DB" w:rsidRPr="00793A87">
        <w:rPr>
          <w:rFonts w:asciiTheme="minorHAnsi" w:hAnsiTheme="minorHAnsi" w:cstheme="minorHAnsi"/>
          <w:i/>
          <w:iCs/>
        </w:rPr>
        <w:t xml:space="preserve">Re </w:t>
      </w:r>
      <w:r w:rsidR="00105128" w:rsidRPr="00793A87">
        <w:rPr>
          <w:rFonts w:asciiTheme="minorHAnsi" w:hAnsiTheme="minorHAnsi" w:cstheme="minorHAnsi"/>
          <w:i/>
          <w:iCs/>
        </w:rPr>
        <w:t xml:space="preserve">C  </w:t>
      </w:r>
      <w:r w:rsidR="00105128" w:rsidRPr="00793A87">
        <w:rPr>
          <w:rFonts w:asciiTheme="minorHAnsi" w:hAnsiTheme="minorHAnsi" w:cstheme="minorHAnsi"/>
        </w:rPr>
        <w:t xml:space="preserve">ibid </w:t>
      </w:r>
      <w:r w:rsidR="00C667DB" w:rsidRPr="00793A87">
        <w:rPr>
          <w:rFonts w:asciiTheme="minorHAnsi" w:hAnsiTheme="minorHAnsi" w:cstheme="minorHAnsi"/>
        </w:rPr>
        <w:t>256</w:t>
      </w:r>
      <w:r w:rsidR="00CF50E6" w:rsidRPr="00793A87">
        <w:rPr>
          <w:rFonts w:asciiTheme="minorHAnsi" w:hAnsiTheme="minorHAnsi" w:cstheme="minorHAnsi"/>
        </w:rPr>
        <w:t xml:space="preserve"> [emphasis added].</w:t>
      </w:r>
    </w:p>
  </w:footnote>
  <w:footnote w:id="25">
    <w:p w14:paraId="4DFCD983" w14:textId="1C52C0BA" w:rsidR="001F2B7A" w:rsidRPr="00793A87" w:rsidRDefault="001F2B7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As identified by a number of </w:t>
      </w:r>
      <w:r w:rsidR="00105128" w:rsidRPr="00793A87">
        <w:rPr>
          <w:rFonts w:asciiTheme="minorHAnsi" w:hAnsiTheme="minorHAnsi" w:cstheme="minorHAnsi"/>
        </w:rPr>
        <w:t>commentators</w:t>
      </w:r>
      <w:r w:rsidRPr="00793A87">
        <w:rPr>
          <w:rFonts w:asciiTheme="minorHAnsi" w:hAnsiTheme="minorHAnsi" w:cstheme="minorHAnsi"/>
        </w:rPr>
        <w:t>:</w:t>
      </w:r>
      <w:r w:rsidR="00AE1207" w:rsidRPr="00793A87">
        <w:rPr>
          <w:rFonts w:asciiTheme="minorHAnsi" w:hAnsiTheme="minorHAnsi" w:cstheme="minorHAnsi"/>
        </w:rPr>
        <w:t xml:space="preserve"> </w:t>
      </w:r>
      <w:r w:rsidRPr="00793A87">
        <w:rPr>
          <w:rFonts w:asciiTheme="minorHAnsi" w:hAnsiTheme="minorHAnsi" w:cstheme="minorHAnsi"/>
        </w:rPr>
        <w:t xml:space="preserve">JC Buitelaar, ‘Post-mortem privacy and informational self-determination’ (2017) 19 </w:t>
      </w:r>
      <w:r w:rsidRPr="00793A87">
        <w:rPr>
          <w:rFonts w:asciiTheme="minorHAnsi" w:hAnsiTheme="minorHAnsi" w:cstheme="minorHAnsi"/>
          <w:i/>
          <w:iCs/>
        </w:rPr>
        <w:t xml:space="preserve">Ethics Informational Technology </w:t>
      </w:r>
      <w:r w:rsidRPr="00793A87">
        <w:rPr>
          <w:rFonts w:asciiTheme="minorHAnsi" w:hAnsiTheme="minorHAnsi" w:cstheme="minorHAnsi"/>
        </w:rPr>
        <w:t>129, 13</w:t>
      </w:r>
      <w:r w:rsidR="004E63AE" w:rsidRPr="00793A87">
        <w:rPr>
          <w:rFonts w:asciiTheme="minorHAnsi" w:hAnsiTheme="minorHAnsi" w:cstheme="minorHAnsi"/>
        </w:rPr>
        <w:t>1</w:t>
      </w:r>
      <w:r w:rsidR="00105128" w:rsidRPr="00793A87">
        <w:rPr>
          <w:rFonts w:asciiTheme="minorHAnsi" w:hAnsiTheme="minorHAnsi" w:cstheme="minorHAnsi"/>
        </w:rPr>
        <w:t>ff</w:t>
      </w:r>
      <w:r w:rsidR="003C2FE3" w:rsidRPr="00793A87">
        <w:rPr>
          <w:rFonts w:asciiTheme="minorHAnsi" w:hAnsiTheme="minorHAnsi" w:cstheme="minorHAnsi"/>
        </w:rPr>
        <w:t xml:space="preserve">; Joel Feinberg, </w:t>
      </w:r>
      <w:r w:rsidR="003C2FE3" w:rsidRPr="00793A87">
        <w:rPr>
          <w:rStyle w:val="Emphasis"/>
          <w:rFonts w:asciiTheme="minorHAnsi" w:hAnsiTheme="minorHAnsi" w:cstheme="minorHAnsi"/>
        </w:rPr>
        <w:t>Harm to others</w:t>
      </w:r>
      <w:r w:rsidR="003C2FE3" w:rsidRPr="00793A87">
        <w:rPr>
          <w:rFonts w:asciiTheme="minorHAnsi" w:hAnsiTheme="minorHAnsi" w:cstheme="minorHAnsi"/>
        </w:rPr>
        <w:t xml:space="preserve"> (New York: Oxford University Press, 1984)</w:t>
      </w:r>
      <w:r w:rsidR="00E15BAD" w:rsidRPr="00793A87">
        <w:rPr>
          <w:rFonts w:asciiTheme="minorHAnsi" w:hAnsiTheme="minorHAnsi" w:cstheme="minorHAnsi"/>
        </w:rPr>
        <w:t xml:space="preserve"> 93 (‘the subject of harm in death is the living person ante-mortem, whose interests are squelched</w:t>
      </w:r>
      <w:r w:rsidR="00342533" w:rsidRPr="00793A87">
        <w:rPr>
          <w:rFonts w:asciiTheme="minorHAnsi" w:hAnsiTheme="minorHAnsi" w:cstheme="minorHAnsi"/>
        </w:rPr>
        <w:t>.</w:t>
      </w:r>
      <w:r w:rsidR="00E15BAD" w:rsidRPr="00793A87">
        <w:rPr>
          <w:rFonts w:asciiTheme="minorHAnsi" w:hAnsiTheme="minorHAnsi" w:cstheme="minorHAnsi"/>
        </w:rPr>
        <w:t>’)</w:t>
      </w:r>
    </w:p>
  </w:footnote>
  <w:footnote w:id="26">
    <w:p w14:paraId="16ACE32C" w14:textId="316DFD05" w:rsidR="00D45878" w:rsidRPr="00793A87" w:rsidRDefault="00D4587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However, he </w:t>
      </w:r>
      <w:r w:rsidR="00C32685" w:rsidRPr="00793A87">
        <w:rPr>
          <w:rFonts w:asciiTheme="minorHAnsi" w:hAnsiTheme="minorHAnsi" w:cstheme="minorHAnsi"/>
        </w:rPr>
        <w:t>arguably analogised the case before him</w:t>
      </w:r>
      <w:r w:rsidRPr="00793A87">
        <w:rPr>
          <w:rFonts w:asciiTheme="minorHAnsi" w:hAnsiTheme="minorHAnsi" w:cstheme="minorHAnsi"/>
        </w:rPr>
        <w:t xml:space="preserve"> to </w:t>
      </w:r>
      <w:r w:rsidRPr="00793A87">
        <w:rPr>
          <w:rFonts w:asciiTheme="minorHAnsi" w:hAnsiTheme="minorHAnsi" w:cstheme="minorHAnsi"/>
          <w:i/>
          <w:iCs/>
        </w:rPr>
        <w:t>Re C (A Minor) (Wardship: Medical Treatment) (No 2</w:t>
      </w:r>
      <w:r w:rsidRPr="00793A87">
        <w:rPr>
          <w:rFonts w:asciiTheme="minorHAnsi" w:hAnsiTheme="minorHAnsi" w:cstheme="minorHAnsi"/>
        </w:rPr>
        <w:t>) [1990] 1 FLR 263</w:t>
      </w:r>
      <w:r w:rsidR="00AE1207" w:rsidRPr="00793A87">
        <w:rPr>
          <w:rFonts w:asciiTheme="minorHAnsi" w:hAnsiTheme="minorHAnsi" w:cstheme="minorHAnsi"/>
        </w:rPr>
        <w:t xml:space="preserve"> </w:t>
      </w:r>
      <w:r w:rsidR="00C32685" w:rsidRPr="00793A87">
        <w:rPr>
          <w:rFonts w:asciiTheme="minorHAnsi" w:hAnsiTheme="minorHAnsi" w:cstheme="minorHAnsi"/>
        </w:rPr>
        <w:t>concerning</w:t>
      </w:r>
      <w:r w:rsidRPr="00793A87">
        <w:rPr>
          <w:rFonts w:asciiTheme="minorHAnsi" w:hAnsiTheme="minorHAnsi" w:cstheme="minorHAnsi"/>
        </w:rPr>
        <w:t xml:space="preserve"> disclosures of a seriously and irreversibly brain-damaged child who would never experience the harm of privacy intrusive publicity</w:t>
      </w:r>
      <w:r w:rsidR="00C32685" w:rsidRPr="00793A87">
        <w:rPr>
          <w:rFonts w:asciiTheme="minorHAnsi" w:hAnsiTheme="minorHAnsi" w:cstheme="minorHAnsi"/>
        </w:rPr>
        <w:t>.</w:t>
      </w:r>
    </w:p>
  </w:footnote>
  <w:footnote w:id="27">
    <w:p w14:paraId="451AAEF2" w14:textId="29D879CD" w:rsidR="001A0EEF" w:rsidRPr="00793A87" w:rsidRDefault="001A0EE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Note</w:t>
      </w:r>
      <w:r w:rsidR="00C32685" w:rsidRPr="00793A87">
        <w:rPr>
          <w:rFonts w:asciiTheme="minorHAnsi" w:hAnsiTheme="minorHAnsi" w:cstheme="minorHAnsi"/>
        </w:rPr>
        <w:t xml:space="preserve"> </w:t>
      </w:r>
      <w:r w:rsidRPr="00793A87">
        <w:rPr>
          <w:rFonts w:asciiTheme="minorHAnsi" w:hAnsiTheme="minorHAnsi" w:cstheme="minorHAnsi"/>
        </w:rPr>
        <w:t xml:space="preserve">that s.3(1)(f) of the Access to Health Records Act 1990 appears to assume the existence of the post-mortem duty of medical confidentiality as it </w:t>
      </w:r>
      <w:r w:rsidR="00C32685" w:rsidRPr="00793A87">
        <w:rPr>
          <w:rFonts w:asciiTheme="minorHAnsi" w:hAnsiTheme="minorHAnsi" w:cstheme="minorHAnsi"/>
        </w:rPr>
        <w:t xml:space="preserve">allows only </w:t>
      </w:r>
      <w:r w:rsidR="00AE1207" w:rsidRPr="00793A87">
        <w:rPr>
          <w:rFonts w:asciiTheme="minorHAnsi" w:hAnsiTheme="minorHAnsi" w:cstheme="minorHAnsi"/>
        </w:rPr>
        <w:t xml:space="preserve">a limited </w:t>
      </w:r>
      <w:r w:rsidRPr="00793A87">
        <w:rPr>
          <w:rFonts w:asciiTheme="minorHAnsi" w:hAnsiTheme="minorHAnsi" w:cstheme="minorHAnsi"/>
        </w:rPr>
        <w:t>number of persons</w:t>
      </w:r>
      <w:r w:rsidR="00C32685" w:rsidRPr="00793A87">
        <w:rPr>
          <w:rFonts w:asciiTheme="minorHAnsi" w:hAnsiTheme="minorHAnsi" w:cstheme="minorHAnsi"/>
        </w:rPr>
        <w:t xml:space="preserve"> (</w:t>
      </w:r>
      <w:r w:rsidR="00C32685" w:rsidRPr="00793A87">
        <w:rPr>
          <w:rFonts w:asciiTheme="minorHAnsi" w:eastAsia="Times New Roman" w:hAnsiTheme="minorHAnsi" w:cstheme="minorHAnsi"/>
          <w:lang w:eastAsia="en-GB"/>
        </w:rPr>
        <w:t xml:space="preserve">‘personal representative and any person who may have a claim arising out of the patient’s death’) access to those records. </w:t>
      </w:r>
    </w:p>
  </w:footnote>
  <w:footnote w:id="28">
    <w:p w14:paraId="68ECA6AA" w14:textId="70C56A9D" w:rsidR="00C67ADD" w:rsidRPr="00793A87" w:rsidRDefault="00C67AD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Re C </w:t>
      </w:r>
      <w:r w:rsidR="00C32685" w:rsidRPr="00793A87">
        <w:rPr>
          <w:rFonts w:asciiTheme="minorHAnsi" w:hAnsiTheme="minorHAnsi" w:cstheme="minorHAnsi"/>
        </w:rPr>
        <w:t>above n</w:t>
      </w:r>
      <w:r w:rsidR="00AE1207" w:rsidRPr="00793A87">
        <w:rPr>
          <w:rFonts w:asciiTheme="minorHAnsi" w:hAnsiTheme="minorHAnsi" w:cstheme="minorHAnsi"/>
        </w:rPr>
        <w:t xml:space="preserve"> </w:t>
      </w:r>
      <w:r w:rsidR="00C32685" w:rsidRPr="00793A87">
        <w:rPr>
          <w:rFonts w:asciiTheme="minorHAnsi" w:hAnsiTheme="minorHAnsi" w:cstheme="minorHAnsi"/>
        </w:rPr>
        <w:t xml:space="preserve">23, </w:t>
      </w:r>
      <w:r w:rsidRPr="00793A87">
        <w:rPr>
          <w:rFonts w:asciiTheme="minorHAnsi" w:hAnsiTheme="minorHAnsi" w:cstheme="minorHAnsi"/>
        </w:rPr>
        <w:t>254.</w:t>
      </w:r>
      <w:r w:rsidR="00D43116" w:rsidRPr="00793A87">
        <w:rPr>
          <w:rFonts w:asciiTheme="minorHAnsi" w:hAnsiTheme="minorHAnsi" w:cstheme="minorHAnsi"/>
        </w:rPr>
        <w:t xml:space="preserve"> See also World Medical Association, </w:t>
      </w:r>
      <w:r w:rsidR="00D43116" w:rsidRPr="00793A87">
        <w:rPr>
          <w:rFonts w:asciiTheme="minorHAnsi" w:hAnsiTheme="minorHAnsi" w:cstheme="minorHAnsi"/>
          <w:i/>
          <w:iCs/>
        </w:rPr>
        <w:t>Declaration of Geneva</w:t>
      </w:r>
      <w:r w:rsidR="00D43116" w:rsidRPr="00793A87">
        <w:rPr>
          <w:rFonts w:asciiTheme="minorHAnsi" w:hAnsiTheme="minorHAnsi" w:cstheme="minorHAnsi"/>
        </w:rPr>
        <w:t xml:space="preserve"> (1948) inter alia: ‘I will respect the secrets which are confided in me, even after the patient has died</w:t>
      </w:r>
      <w:r w:rsidR="004D119B" w:rsidRPr="00793A87">
        <w:rPr>
          <w:rFonts w:asciiTheme="minorHAnsi" w:hAnsiTheme="minorHAnsi" w:cstheme="minorHAnsi"/>
        </w:rPr>
        <w:t>’; or</w:t>
      </w:r>
      <w:r w:rsidR="00472990" w:rsidRPr="00793A87">
        <w:rPr>
          <w:rFonts w:asciiTheme="minorHAnsi" w:hAnsiTheme="minorHAnsi" w:cstheme="minorHAnsi"/>
        </w:rPr>
        <w:t xml:space="preserve"> Art 9 of the GDPR, in particular Art 9(3) on ‘obligations of professional secrecy’</w:t>
      </w:r>
      <w:r w:rsidR="004D119B" w:rsidRPr="00793A87">
        <w:rPr>
          <w:rFonts w:asciiTheme="minorHAnsi" w:hAnsiTheme="minorHAnsi" w:cstheme="minorHAnsi"/>
        </w:rPr>
        <w:t>.</w:t>
      </w:r>
      <w:r w:rsidR="00472990" w:rsidRPr="00793A87">
        <w:rPr>
          <w:rFonts w:asciiTheme="minorHAnsi" w:hAnsiTheme="minorHAnsi" w:cstheme="minorHAnsi"/>
        </w:rPr>
        <w:t xml:space="preserve"> </w:t>
      </w:r>
    </w:p>
  </w:footnote>
  <w:footnote w:id="29">
    <w:p w14:paraId="2FEAFF35" w14:textId="582262CE" w:rsidR="0046563A" w:rsidRPr="00793A87" w:rsidRDefault="0046563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495E97" w:rsidRPr="00793A87">
        <w:rPr>
          <w:rFonts w:asciiTheme="minorHAnsi" w:hAnsiTheme="minorHAnsi" w:cstheme="minorHAnsi"/>
        </w:rPr>
        <w:t xml:space="preserve"> RG Toulson, CM Phipps,</w:t>
      </w:r>
      <w:r w:rsidR="00495E97" w:rsidRPr="00793A87">
        <w:rPr>
          <w:rFonts w:asciiTheme="minorHAnsi" w:hAnsiTheme="minorHAnsi" w:cstheme="minorHAnsi"/>
          <w:i/>
          <w:iCs/>
        </w:rPr>
        <w:t xml:space="preserve"> Confidentiality</w:t>
      </w:r>
      <w:r w:rsidRPr="00793A87">
        <w:rPr>
          <w:rFonts w:asciiTheme="minorHAnsi" w:hAnsiTheme="minorHAnsi" w:cstheme="minorHAnsi"/>
        </w:rPr>
        <w:t xml:space="preserve"> </w:t>
      </w:r>
      <w:r w:rsidR="00AF61C5" w:rsidRPr="00793A87">
        <w:rPr>
          <w:rFonts w:asciiTheme="minorHAnsi" w:hAnsiTheme="minorHAnsi" w:cstheme="minorHAnsi"/>
        </w:rPr>
        <w:t>(2</w:t>
      </w:r>
      <w:r w:rsidR="00AF61C5" w:rsidRPr="00793A87">
        <w:rPr>
          <w:rFonts w:asciiTheme="minorHAnsi" w:hAnsiTheme="minorHAnsi" w:cstheme="minorHAnsi"/>
          <w:vertAlign w:val="superscript"/>
        </w:rPr>
        <w:t>nd</w:t>
      </w:r>
      <w:r w:rsidR="00AF61C5" w:rsidRPr="00793A87">
        <w:rPr>
          <w:rFonts w:asciiTheme="minorHAnsi" w:hAnsiTheme="minorHAnsi" w:cstheme="minorHAnsi"/>
        </w:rPr>
        <w:t xml:space="preserve"> ed, </w:t>
      </w:r>
      <w:r w:rsidR="00495E97" w:rsidRPr="00793A87">
        <w:rPr>
          <w:rFonts w:asciiTheme="minorHAnsi" w:hAnsiTheme="minorHAnsi" w:cstheme="minorHAnsi"/>
        </w:rPr>
        <w:t xml:space="preserve">Sweet &amp; Maxwell, </w:t>
      </w:r>
      <w:r w:rsidR="00AF61C5" w:rsidRPr="00793A87">
        <w:rPr>
          <w:rFonts w:asciiTheme="minorHAnsi" w:hAnsiTheme="minorHAnsi" w:cstheme="minorHAnsi"/>
        </w:rPr>
        <w:t xml:space="preserve">2006) </w:t>
      </w:r>
      <w:r w:rsidR="00495E97" w:rsidRPr="00793A87">
        <w:rPr>
          <w:rFonts w:asciiTheme="minorHAnsi" w:hAnsiTheme="minorHAnsi" w:cstheme="minorHAnsi"/>
        </w:rPr>
        <w:t>p</w:t>
      </w:r>
      <w:r w:rsidRPr="00793A87">
        <w:rPr>
          <w:rFonts w:asciiTheme="minorHAnsi" w:hAnsiTheme="minorHAnsi" w:cstheme="minorHAnsi"/>
        </w:rPr>
        <w:t>ara 11-053</w:t>
      </w:r>
      <w:r w:rsidR="00495E97" w:rsidRPr="00793A87">
        <w:rPr>
          <w:rFonts w:asciiTheme="minorHAnsi" w:hAnsiTheme="minorHAnsi" w:cstheme="minorHAnsi"/>
        </w:rPr>
        <w:t xml:space="preserve">, </w:t>
      </w:r>
      <w:r w:rsidRPr="00793A87">
        <w:rPr>
          <w:rFonts w:asciiTheme="minorHAnsi" w:hAnsiTheme="minorHAnsi" w:cstheme="minorHAnsi"/>
        </w:rPr>
        <w:t xml:space="preserve">cited in </w:t>
      </w:r>
      <w:r w:rsidR="00495E97" w:rsidRPr="00793A87">
        <w:rPr>
          <w:rFonts w:asciiTheme="minorHAnsi" w:hAnsiTheme="minorHAnsi" w:cstheme="minorHAnsi"/>
          <w:i/>
          <w:iCs/>
        </w:rPr>
        <w:t>Bluck</w:t>
      </w:r>
      <w:r w:rsidR="00AE1207" w:rsidRPr="00793A87">
        <w:rPr>
          <w:rFonts w:asciiTheme="minorHAnsi" w:hAnsiTheme="minorHAnsi" w:cstheme="minorHAnsi"/>
        </w:rPr>
        <w:t xml:space="preserve"> above n 15,</w:t>
      </w:r>
      <w:r w:rsidR="00495E97" w:rsidRPr="00793A87">
        <w:rPr>
          <w:rFonts w:asciiTheme="minorHAnsi" w:hAnsiTheme="minorHAnsi" w:cstheme="minorHAnsi"/>
        </w:rPr>
        <w:t xml:space="preserve"> </w:t>
      </w:r>
      <w:r w:rsidRPr="00793A87">
        <w:rPr>
          <w:rFonts w:asciiTheme="minorHAnsi" w:hAnsiTheme="minorHAnsi" w:cstheme="minorHAnsi"/>
        </w:rPr>
        <w:t>para 1</w:t>
      </w:r>
      <w:r w:rsidR="006B6DE8" w:rsidRPr="00793A87">
        <w:rPr>
          <w:rFonts w:asciiTheme="minorHAnsi" w:hAnsiTheme="minorHAnsi" w:cstheme="minorHAnsi"/>
        </w:rPr>
        <w:t>8</w:t>
      </w:r>
      <w:r w:rsidRPr="00793A87">
        <w:rPr>
          <w:rFonts w:asciiTheme="minorHAnsi" w:hAnsiTheme="minorHAnsi" w:cstheme="minorHAnsi"/>
        </w:rPr>
        <w:t xml:space="preserve">. </w:t>
      </w:r>
    </w:p>
  </w:footnote>
  <w:footnote w:id="30">
    <w:p w14:paraId="102A3981" w14:textId="22994FB1" w:rsidR="0046563A" w:rsidRPr="00793A87" w:rsidRDefault="0046563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Morison v Moat </w:t>
      </w:r>
      <w:r w:rsidRPr="00793A87">
        <w:rPr>
          <w:rFonts w:asciiTheme="minorHAnsi" w:hAnsiTheme="minorHAnsi" w:cstheme="minorHAnsi"/>
        </w:rPr>
        <w:t>(1851) 9 Hare 241.</w:t>
      </w:r>
    </w:p>
  </w:footnote>
  <w:footnote w:id="31">
    <w:p w14:paraId="0FF490B9" w14:textId="5B78299F" w:rsidR="00F2729E" w:rsidRPr="00793A87" w:rsidRDefault="006B6DE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A6EE5" w:rsidRPr="00793A87">
        <w:rPr>
          <w:rFonts w:asciiTheme="minorHAnsi" w:hAnsiTheme="minorHAnsi" w:cstheme="minorHAnsi"/>
          <w:i/>
          <w:iCs/>
        </w:rPr>
        <w:t xml:space="preserve">Bluck </w:t>
      </w:r>
      <w:r w:rsidR="004D119B" w:rsidRPr="00793A87">
        <w:rPr>
          <w:rFonts w:asciiTheme="minorHAnsi" w:hAnsiTheme="minorHAnsi" w:cstheme="minorHAnsi"/>
        </w:rPr>
        <w:t>above n 15,</w:t>
      </w:r>
      <w:r w:rsidR="007A6EE5" w:rsidRPr="00793A87">
        <w:rPr>
          <w:rFonts w:asciiTheme="minorHAnsi" w:hAnsiTheme="minorHAnsi" w:cstheme="minorHAnsi"/>
        </w:rPr>
        <w:t xml:space="preserve"> </w:t>
      </w:r>
      <w:r w:rsidRPr="00793A87">
        <w:rPr>
          <w:rFonts w:asciiTheme="minorHAnsi" w:hAnsiTheme="minorHAnsi" w:cstheme="minorHAnsi"/>
        </w:rPr>
        <w:t>para 18</w:t>
      </w:r>
      <w:r w:rsidR="007A6EE5" w:rsidRPr="00793A87">
        <w:rPr>
          <w:rFonts w:asciiTheme="minorHAnsi" w:hAnsiTheme="minorHAnsi" w:cstheme="minorHAnsi"/>
        </w:rPr>
        <w:t xml:space="preserve">, </w:t>
      </w:r>
      <w:r w:rsidR="000C4C40" w:rsidRPr="00793A87">
        <w:rPr>
          <w:rFonts w:asciiTheme="minorHAnsi" w:hAnsiTheme="minorHAnsi" w:cstheme="minorHAnsi"/>
        </w:rPr>
        <w:t xml:space="preserve">24, </w:t>
      </w:r>
      <w:r w:rsidR="007A6EE5" w:rsidRPr="00793A87">
        <w:rPr>
          <w:rFonts w:asciiTheme="minorHAnsi" w:hAnsiTheme="minorHAnsi" w:cstheme="minorHAnsi"/>
        </w:rPr>
        <w:t>where court nonetheless based its decision on the post-mortem equitable duty of confidentiality (para 21).</w:t>
      </w:r>
      <w:r w:rsidR="00F2729E" w:rsidRPr="00793A87">
        <w:rPr>
          <w:rFonts w:asciiTheme="minorHAnsi" w:hAnsiTheme="minorHAnsi" w:cstheme="minorHAnsi"/>
        </w:rPr>
        <w:t xml:space="preserve"> </w:t>
      </w:r>
    </w:p>
  </w:footnote>
  <w:footnote w:id="32">
    <w:p w14:paraId="355D4AD8" w14:textId="3157165D" w:rsidR="00B86D93" w:rsidRPr="00793A87" w:rsidRDefault="00B86D9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6491E" w:rsidRPr="00793A87">
        <w:rPr>
          <w:rFonts w:asciiTheme="minorHAnsi" w:hAnsiTheme="minorHAnsi" w:cstheme="minorHAnsi"/>
          <w:i/>
          <w:iCs/>
        </w:rPr>
        <w:t>Plon (Société)</w:t>
      </w:r>
      <w:r w:rsidRPr="00793A87">
        <w:rPr>
          <w:rFonts w:asciiTheme="minorHAnsi" w:hAnsiTheme="minorHAnsi" w:cstheme="minorHAnsi"/>
          <w:i/>
          <w:iCs/>
          <w:color w:val="auto"/>
        </w:rPr>
        <w:t xml:space="preserve"> v France 58148/00</w:t>
      </w:r>
      <w:r w:rsidRPr="00793A87">
        <w:rPr>
          <w:rFonts w:asciiTheme="minorHAnsi" w:hAnsiTheme="minorHAnsi" w:cstheme="minorHAnsi"/>
          <w:color w:val="auto"/>
        </w:rPr>
        <w:t xml:space="preserve"> [2004] ECHR 200 [hereafter </w:t>
      </w:r>
      <w:r w:rsidR="0076491E" w:rsidRPr="00793A87">
        <w:rPr>
          <w:rFonts w:asciiTheme="minorHAnsi" w:hAnsiTheme="minorHAnsi" w:cstheme="minorHAnsi"/>
          <w:i/>
          <w:iCs/>
        </w:rPr>
        <w:t xml:space="preserve">Plon (Société) </w:t>
      </w:r>
      <w:r w:rsidRPr="00793A87">
        <w:rPr>
          <w:rFonts w:asciiTheme="minorHAnsi" w:hAnsiTheme="minorHAnsi" w:cstheme="minorHAnsi"/>
          <w:color w:val="auto"/>
        </w:rPr>
        <w:t>]</w:t>
      </w:r>
    </w:p>
  </w:footnote>
  <w:footnote w:id="33">
    <w:p w14:paraId="38136A87" w14:textId="75F19704" w:rsidR="00950638" w:rsidRPr="00793A87" w:rsidRDefault="00950638" w:rsidP="00214FA3">
      <w:pPr>
        <w:pStyle w:val="FootnoteText"/>
        <w:spacing w:afterAutospacing="0"/>
        <w:ind w:left="0"/>
        <w:rPr>
          <w:rFonts w:asciiTheme="minorHAnsi" w:hAnsiTheme="minorHAnsi" w:cstheme="minorHAnsi"/>
          <w:color w:val="auto"/>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F430BE" w:rsidRPr="00793A87">
        <w:rPr>
          <w:rFonts w:asciiTheme="minorHAnsi" w:hAnsiTheme="minorHAnsi" w:cstheme="minorHAnsi"/>
        </w:rPr>
        <w:t xml:space="preserve">Judgment of Tribunal de Grande Instance </w:t>
      </w:r>
      <w:r w:rsidR="004D119B" w:rsidRPr="00793A87">
        <w:rPr>
          <w:rFonts w:asciiTheme="minorHAnsi" w:hAnsiTheme="minorHAnsi" w:cstheme="minorHAnsi"/>
        </w:rPr>
        <w:t>(</w:t>
      </w:r>
      <w:r w:rsidR="00F430BE" w:rsidRPr="00793A87">
        <w:rPr>
          <w:rFonts w:asciiTheme="minorHAnsi" w:hAnsiTheme="minorHAnsi" w:cstheme="minorHAnsi"/>
        </w:rPr>
        <w:t>18 January 1996</w:t>
      </w:r>
      <w:r w:rsidR="004D119B" w:rsidRPr="00793A87">
        <w:rPr>
          <w:rFonts w:asciiTheme="minorHAnsi" w:hAnsiTheme="minorHAnsi" w:cstheme="minorHAnsi"/>
        </w:rPr>
        <w:t>)</w:t>
      </w:r>
      <w:r w:rsidR="00F430BE" w:rsidRPr="00793A87">
        <w:rPr>
          <w:rFonts w:asciiTheme="minorHAnsi" w:hAnsiTheme="minorHAnsi" w:cstheme="minorHAnsi"/>
        </w:rPr>
        <w:t xml:space="preserve"> and the Court of Appeal's judgment </w:t>
      </w:r>
      <w:r w:rsidR="004D119B" w:rsidRPr="00793A87">
        <w:rPr>
          <w:rFonts w:asciiTheme="minorHAnsi" w:hAnsiTheme="minorHAnsi" w:cstheme="minorHAnsi"/>
        </w:rPr>
        <w:t>(</w:t>
      </w:r>
      <w:r w:rsidR="00F430BE" w:rsidRPr="00793A87">
        <w:rPr>
          <w:rFonts w:asciiTheme="minorHAnsi" w:hAnsiTheme="minorHAnsi" w:cstheme="minorHAnsi"/>
        </w:rPr>
        <w:t>13 March 1996</w:t>
      </w:r>
      <w:r w:rsidR="004D119B" w:rsidRPr="00793A87">
        <w:rPr>
          <w:rFonts w:asciiTheme="minorHAnsi" w:hAnsiTheme="minorHAnsi" w:cstheme="minorHAnsi"/>
        </w:rPr>
        <w:t>)</w:t>
      </w:r>
      <w:r w:rsidR="00F430BE" w:rsidRPr="00793A87">
        <w:rPr>
          <w:rFonts w:asciiTheme="minorHAnsi" w:hAnsiTheme="minorHAnsi" w:cstheme="minorHAnsi"/>
        </w:rPr>
        <w:t xml:space="preserve"> discussed in </w:t>
      </w:r>
      <w:r w:rsidR="0076491E" w:rsidRPr="00793A87">
        <w:rPr>
          <w:rFonts w:asciiTheme="minorHAnsi" w:hAnsiTheme="minorHAnsi" w:cstheme="minorHAnsi"/>
          <w:i/>
          <w:iCs/>
        </w:rPr>
        <w:t xml:space="preserve">Plon (Société) </w:t>
      </w:r>
      <w:r w:rsidR="00710447" w:rsidRPr="00793A87">
        <w:rPr>
          <w:rFonts w:asciiTheme="minorHAnsi" w:hAnsiTheme="minorHAnsi" w:cstheme="minorHAnsi"/>
          <w:color w:val="auto"/>
        </w:rPr>
        <w:t>i</w:t>
      </w:r>
      <w:r w:rsidR="00B86D93" w:rsidRPr="00793A87">
        <w:rPr>
          <w:rFonts w:asciiTheme="minorHAnsi" w:hAnsiTheme="minorHAnsi" w:cstheme="minorHAnsi"/>
          <w:color w:val="auto"/>
        </w:rPr>
        <w:t xml:space="preserve">bid, </w:t>
      </w:r>
      <w:r w:rsidR="006C167E" w:rsidRPr="00793A87">
        <w:rPr>
          <w:rFonts w:asciiTheme="minorHAnsi" w:hAnsiTheme="minorHAnsi" w:cstheme="minorHAnsi"/>
          <w:color w:val="auto"/>
        </w:rPr>
        <w:t>para 9</w:t>
      </w:r>
      <w:r w:rsidR="00F430BE" w:rsidRPr="00793A87">
        <w:rPr>
          <w:rFonts w:asciiTheme="minorHAnsi" w:hAnsiTheme="minorHAnsi" w:cstheme="minorHAnsi"/>
          <w:color w:val="auto"/>
        </w:rPr>
        <w:t>.</w:t>
      </w:r>
    </w:p>
  </w:footnote>
  <w:footnote w:id="34">
    <w:p w14:paraId="1C259387" w14:textId="07DEA324" w:rsidR="00FC3B0E" w:rsidRPr="00793A87" w:rsidRDefault="000A3331"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411A5C" w:rsidRPr="00793A87">
        <w:rPr>
          <w:rFonts w:cstheme="minorHAnsi"/>
          <w:i/>
          <w:iCs/>
          <w:sz w:val="20"/>
          <w:szCs w:val="20"/>
        </w:rPr>
        <w:t xml:space="preserve">SA Editions Plon v </w:t>
      </w:r>
      <w:r w:rsidR="00D84B60" w:rsidRPr="00793A87">
        <w:rPr>
          <w:rFonts w:cstheme="minorHAnsi"/>
          <w:i/>
          <w:iCs/>
          <w:sz w:val="20"/>
          <w:szCs w:val="20"/>
        </w:rPr>
        <w:t>Mitterrand</w:t>
      </w:r>
      <w:r w:rsidR="00411A5C" w:rsidRPr="00793A87">
        <w:rPr>
          <w:rFonts w:cstheme="minorHAnsi"/>
          <w:i/>
          <w:iCs/>
          <w:sz w:val="20"/>
          <w:szCs w:val="20"/>
        </w:rPr>
        <w:t xml:space="preserve"> </w:t>
      </w:r>
      <w:r w:rsidR="00411A5C" w:rsidRPr="00793A87">
        <w:rPr>
          <w:rFonts w:cstheme="minorHAnsi"/>
          <w:sz w:val="20"/>
          <w:szCs w:val="20"/>
        </w:rPr>
        <w:t>(27 May 1997</w:t>
      </w:r>
      <w:r w:rsidR="004D119B" w:rsidRPr="00793A87">
        <w:rPr>
          <w:rFonts w:cstheme="minorHAnsi"/>
          <w:sz w:val="20"/>
          <w:szCs w:val="20"/>
        </w:rPr>
        <w:t xml:space="preserve">) </w:t>
      </w:r>
      <w:r w:rsidR="00342533" w:rsidRPr="00793A87">
        <w:rPr>
          <w:rFonts w:cstheme="minorHAnsi"/>
          <w:sz w:val="20"/>
          <w:szCs w:val="20"/>
        </w:rPr>
        <w:t xml:space="preserve">Paris </w:t>
      </w:r>
      <w:r w:rsidR="00B37E66" w:rsidRPr="00793A87">
        <w:rPr>
          <w:rFonts w:cstheme="minorHAnsi"/>
          <w:sz w:val="20"/>
          <w:szCs w:val="20"/>
        </w:rPr>
        <w:t xml:space="preserve">Court of Appeal </w:t>
      </w:r>
      <w:r w:rsidR="00F430BE" w:rsidRPr="00793A87">
        <w:rPr>
          <w:rFonts w:cstheme="minorHAnsi"/>
          <w:sz w:val="20"/>
          <w:szCs w:val="20"/>
        </w:rPr>
        <w:t xml:space="preserve">discussed in </w:t>
      </w:r>
      <w:r w:rsidR="0076491E" w:rsidRPr="00793A87">
        <w:rPr>
          <w:rFonts w:cstheme="minorHAnsi"/>
          <w:i/>
          <w:iCs/>
          <w:sz w:val="20"/>
          <w:szCs w:val="20"/>
        </w:rPr>
        <w:t xml:space="preserve">Plon (Société) </w:t>
      </w:r>
      <w:r w:rsidR="00D84B60" w:rsidRPr="00793A87">
        <w:rPr>
          <w:rFonts w:cstheme="minorHAnsi"/>
          <w:sz w:val="20"/>
          <w:szCs w:val="20"/>
        </w:rPr>
        <w:t xml:space="preserve">above n 32, </w:t>
      </w:r>
      <w:r w:rsidR="00621BC3" w:rsidRPr="00793A87">
        <w:rPr>
          <w:rFonts w:cstheme="minorHAnsi"/>
          <w:sz w:val="20"/>
          <w:szCs w:val="20"/>
        </w:rPr>
        <w:t>para 15</w:t>
      </w:r>
      <w:r w:rsidR="00D633C9" w:rsidRPr="00793A87">
        <w:rPr>
          <w:rFonts w:cstheme="minorHAnsi"/>
          <w:sz w:val="20"/>
          <w:szCs w:val="20"/>
        </w:rPr>
        <w:t xml:space="preserve">. </w:t>
      </w:r>
      <w:r w:rsidRPr="00793A87">
        <w:rPr>
          <w:rFonts w:cstheme="minorHAnsi"/>
          <w:sz w:val="20"/>
          <w:szCs w:val="20"/>
        </w:rPr>
        <w:t xml:space="preserve"> </w:t>
      </w:r>
    </w:p>
  </w:footnote>
  <w:footnote w:id="35">
    <w:p w14:paraId="25AE84C9" w14:textId="1BD352D8" w:rsidR="00845A18" w:rsidRPr="00793A87" w:rsidRDefault="00845A1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D119B" w:rsidRPr="00793A87">
        <w:rPr>
          <w:rFonts w:asciiTheme="minorHAnsi" w:hAnsiTheme="minorHAnsi" w:cstheme="minorHAnsi"/>
          <w:i/>
          <w:iCs/>
        </w:rPr>
        <w:t xml:space="preserve">SA Editions Plon v Mitterand </w:t>
      </w:r>
      <w:r w:rsidR="004D119B" w:rsidRPr="00793A87">
        <w:rPr>
          <w:rFonts w:asciiTheme="minorHAnsi" w:hAnsiTheme="minorHAnsi" w:cstheme="minorHAnsi"/>
        </w:rPr>
        <w:t>(27 May 1997) I</w:t>
      </w:r>
      <w:r w:rsidR="00AE030E" w:rsidRPr="00793A87">
        <w:rPr>
          <w:rFonts w:asciiTheme="minorHAnsi" w:hAnsiTheme="minorHAnsi" w:cstheme="minorHAnsi"/>
        </w:rPr>
        <w:t>bid</w:t>
      </w:r>
      <w:r w:rsidR="004262C8" w:rsidRPr="00793A87">
        <w:rPr>
          <w:rFonts w:asciiTheme="minorHAnsi" w:hAnsiTheme="minorHAnsi" w:cstheme="minorHAnsi"/>
        </w:rPr>
        <w:t xml:space="preserve"> [emphasis added];</w:t>
      </w:r>
      <w:r w:rsidR="00867C35" w:rsidRPr="00793A87">
        <w:rPr>
          <w:rFonts w:asciiTheme="minorHAnsi" w:hAnsiTheme="minorHAnsi" w:cstheme="minorHAnsi"/>
        </w:rPr>
        <w:t xml:space="preserve"> the permanent ban was upheld in </w:t>
      </w:r>
      <w:r w:rsidR="004262C8" w:rsidRPr="00793A87">
        <w:rPr>
          <w:rFonts w:asciiTheme="minorHAnsi" w:hAnsiTheme="minorHAnsi" w:cstheme="minorHAnsi"/>
          <w:i/>
          <w:iCs/>
          <w:color w:val="000000"/>
        </w:rPr>
        <w:t xml:space="preserve">SA Editions Plon v Mitterand </w:t>
      </w:r>
      <w:r w:rsidR="004262C8" w:rsidRPr="00793A87">
        <w:rPr>
          <w:rFonts w:asciiTheme="minorHAnsi" w:hAnsiTheme="minorHAnsi" w:cstheme="minorHAnsi"/>
          <w:color w:val="000000"/>
        </w:rPr>
        <w:t>(14 December 1999</w:t>
      </w:r>
      <w:r w:rsidR="004D119B" w:rsidRPr="00793A87">
        <w:rPr>
          <w:rFonts w:asciiTheme="minorHAnsi" w:hAnsiTheme="minorHAnsi" w:cstheme="minorHAnsi"/>
          <w:color w:val="000000"/>
        </w:rPr>
        <w:t>)</w:t>
      </w:r>
      <w:r w:rsidR="004262C8" w:rsidRPr="00793A87">
        <w:rPr>
          <w:rFonts w:asciiTheme="minorHAnsi" w:hAnsiTheme="minorHAnsi" w:cstheme="minorHAnsi"/>
          <w:color w:val="000000"/>
        </w:rPr>
        <w:t xml:space="preserve"> Cour de Cassation</w:t>
      </w:r>
      <w:r w:rsidR="00B86D93" w:rsidRPr="00793A87">
        <w:rPr>
          <w:rFonts w:asciiTheme="minorHAnsi" w:hAnsiTheme="minorHAnsi" w:cstheme="minorHAnsi"/>
          <w:color w:val="000000"/>
        </w:rPr>
        <w:t xml:space="preserve">, </w:t>
      </w:r>
      <w:r w:rsidR="00FF6E24" w:rsidRPr="00793A87">
        <w:rPr>
          <w:rFonts w:asciiTheme="minorHAnsi" w:hAnsiTheme="minorHAnsi" w:cstheme="minorHAnsi"/>
        </w:rPr>
        <w:t xml:space="preserve">cited in </w:t>
      </w:r>
      <w:r w:rsidR="0076491E" w:rsidRPr="00793A87">
        <w:rPr>
          <w:rFonts w:asciiTheme="minorHAnsi" w:hAnsiTheme="minorHAnsi" w:cstheme="minorHAnsi"/>
          <w:i/>
          <w:iCs/>
        </w:rPr>
        <w:t>Plon (Société)</w:t>
      </w:r>
      <w:r w:rsidR="00D84B60" w:rsidRPr="00793A87">
        <w:rPr>
          <w:rFonts w:asciiTheme="minorHAnsi" w:hAnsiTheme="minorHAnsi" w:cstheme="minorHAnsi"/>
        </w:rPr>
        <w:t xml:space="preserve"> above n 32, </w:t>
      </w:r>
      <w:r w:rsidR="00B86D93" w:rsidRPr="00793A87">
        <w:rPr>
          <w:rFonts w:asciiTheme="minorHAnsi" w:hAnsiTheme="minorHAnsi" w:cstheme="minorHAnsi"/>
        </w:rPr>
        <w:t xml:space="preserve">para </w:t>
      </w:r>
      <w:r w:rsidR="00342533" w:rsidRPr="00793A87">
        <w:rPr>
          <w:rFonts w:asciiTheme="minorHAnsi" w:hAnsiTheme="minorHAnsi" w:cstheme="minorHAnsi"/>
        </w:rPr>
        <w:t>16</w:t>
      </w:r>
      <w:r w:rsidR="00B86D93" w:rsidRPr="00793A87">
        <w:rPr>
          <w:rFonts w:asciiTheme="minorHAnsi" w:hAnsiTheme="minorHAnsi" w:cstheme="minorHAnsi"/>
        </w:rPr>
        <w:t xml:space="preserve">.  </w:t>
      </w:r>
    </w:p>
  </w:footnote>
  <w:footnote w:id="36">
    <w:p w14:paraId="075978D1" w14:textId="50508F30" w:rsidR="00FA161F" w:rsidRPr="00793A87" w:rsidRDefault="00FA161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w:t>
      </w:r>
      <w:r w:rsidR="003E350D" w:rsidRPr="00793A87">
        <w:rPr>
          <w:rFonts w:asciiTheme="minorHAnsi" w:hAnsiTheme="minorHAnsi" w:cstheme="minorHAnsi"/>
        </w:rPr>
        <w:t xml:space="preserve">, although note </w:t>
      </w:r>
      <w:r w:rsidR="0076491E" w:rsidRPr="00793A87">
        <w:rPr>
          <w:rFonts w:asciiTheme="minorHAnsi" w:hAnsiTheme="minorHAnsi" w:cstheme="minorHAnsi"/>
          <w:i/>
          <w:iCs/>
        </w:rPr>
        <w:t xml:space="preserve">Plon (Société) </w:t>
      </w:r>
      <w:r w:rsidR="00D84B60" w:rsidRPr="00793A87">
        <w:rPr>
          <w:rFonts w:asciiTheme="minorHAnsi" w:hAnsiTheme="minorHAnsi" w:cstheme="minorHAnsi"/>
        </w:rPr>
        <w:t xml:space="preserve">above n 32, </w:t>
      </w:r>
      <w:r w:rsidR="003E350D" w:rsidRPr="00793A87">
        <w:rPr>
          <w:rFonts w:asciiTheme="minorHAnsi" w:hAnsiTheme="minorHAnsi" w:cstheme="minorHAnsi"/>
        </w:rPr>
        <w:t xml:space="preserve">para 29, </w:t>
      </w:r>
      <w:r w:rsidR="00BC49C1" w:rsidRPr="00793A87">
        <w:rPr>
          <w:rFonts w:asciiTheme="minorHAnsi" w:hAnsiTheme="minorHAnsi" w:cstheme="minorHAnsi"/>
        </w:rPr>
        <w:t>where</w:t>
      </w:r>
      <w:r w:rsidR="003E350D" w:rsidRPr="00793A87">
        <w:rPr>
          <w:rFonts w:asciiTheme="minorHAnsi" w:hAnsiTheme="minorHAnsi" w:cstheme="minorHAnsi"/>
        </w:rPr>
        <w:t xml:space="preserve"> the cause of action accrued before Mitterrand’s death in 1995 when the decision to published was taken.</w:t>
      </w:r>
      <w:r w:rsidR="003C79D4" w:rsidRPr="00793A87">
        <w:rPr>
          <w:rFonts w:asciiTheme="minorHAnsi" w:hAnsiTheme="minorHAnsi" w:cstheme="minorHAnsi"/>
        </w:rPr>
        <w:t xml:space="preserve"> Similarly, under </w:t>
      </w:r>
      <w:r w:rsidR="003C79D4" w:rsidRPr="00793A87">
        <w:rPr>
          <w:rStyle w:val="font0"/>
          <w:rFonts w:asciiTheme="minorHAnsi" w:hAnsiTheme="minorHAnsi" w:cstheme="minorHAnsi"/>
        </w:rPr>
        <w:t>Law Reform</w:t>
      </w:r>
      <w:r w:rsidR="003C79D4" w:rsidRPr="00793A87">
        <w:rPr>
          <w:rFonts w:asciiTheme="minorHAnsi" w:hAnsiTheme="minorHAnsi" w:cstheme="minorHAnsi"/>
        </w:rPr>
        <w:t xml:space="preserve"> </w:t>
      </w:r>
      <w:r w:rsidR="003C79D4" w:rsidRPr="00793A87">
        <w:rPr>
          <w:rStyle w:val="font0"/>
          <w:rFonts w:asciiTheme="minorHAnsi" w:hAnsiTheme="minorHAnsi" w:cstheme="minorHAnsi"/>
        </w:rPr>
        <w:t>(Miscellaneous Provisions) Act 1934, enforcement of a right after death</w:t>
      </w:r>
      <w:r w:rsidR="00B86D93" w:rsidRPr="00793A87">
        <w:rPr>
          <w:rStyle w:val="font0"/>
          <w:rFonts w:asciiTheme="minorHAnsi" w:hAnsiTheme="minorHAnsi" w:cstheme="minorHAnsi"/>
        </w:rPr>
        <w:t xml:space="preserve"> </w:t>
      </w:r>
      <w:r w:rsidR="003C79D4" w:rsidRPr="00793A87">
        <w:rPr>
          <w:rStyle w:val="font0"/>
          <w:rFonts w:asciiTheme="minorHAnsi" w:hAnsiTheme="minorHAnsi" w:cstheme="minorHAnsi"/>
        </w:rPr>
        <w:t xml:space="preserve">requires that the cause of action existed at the time of death. </w:t>
      </w:r>
    </w:p>
  </w:footnote>
  <w:footnote w:id="37">
    <w:p w14:paraId="2691A725" w14:textId="7FF39037" w:rsidR="003E350D" w:rsidRPr="00793A87" w:rsidRDefault="003E350D"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B86D93" w:rsidRPr="00793A87">
        <w:rPr>
          <w:rFonts w:cstheme="minorHAnsi"/>
          <w:sz w:val="20"/>
          <w:szCs w:val="20"/>
        </w:rPr>
        <w:t>But n</w:t>
      </w:r>
      <w:r w:rsidR="00621BC3" w:rsidRPr="00793A87">
        <w:rPr>
          <w:rFonts w:cstheme="minorHAnsi"/>
          <w:sz w:val="20"/>
          <w:szCs w:val="20"/>
        </w:rPr>
        <w:t xml:space="preserve">ote </w:t>
      </w:r>
      <w:r w:rsidR="0076491E" w:rsidRPr="00793A87">
        <w:rPr>
          <w:rFonts w:cstheme="minorHAnsi"/>
          <w:i/>
          <w:iCs/>
          <w:sz w:val="20"/>
          <w:szCs w:val="20"/>
        </w:rPr>
        <w:t>Plon (Société)</w:t>
      </w:r>
      <w:r w:rsidR="00B86D93" w:rsidRPr="00793A87">
        <w:rPr>
          <w:rFonts w:cstheme="minorHAnsi"/>
          <w:sz w:val="20"/>
          <w:szCs w:val="20"/>
        </w:rPr>
        <w:t xml:space="preserve"> </w:t>
      </w:r>
      <w:r w:rsidR="00D84B60" w:rsidRPr="00793A87">
        <w:rPr>
          <w:rFonts w:cstheme="minorHAnsi"/>
          <w:sz w:val="20"/>
          <w:szCs w:val="20"/>
        </w:rPr>
        <w:t xml:space="preserve">above n 32, </w:t>
      </w:r>
      <w:r w:rsidRPr="00793A87">
        <w:rPr>
          <w:rFonts w:cstheme="minorHAnsi"/>
          <w:sz w:val="20"/>
          <w:szCs w:val="20"/>
        </w:rPr>
        <w:t xml:space="preserve">para 16, </w:t>
      </w:r>
      <w:r w:rsidR="00AE1207" w:rsidRPr="00793A87">
        <w:rPr>
          <w:rFonts w:cstheme="minorHAnsi"/>
          <w:sz w:val="20"/>
          <w:szCs w:val="20"/>
        </w:rPr>
        <w:t>referred to</w:t>
      </w:r>
      <w:r w:rsidRPr="00793A87">
        <w:rPr>
          <w:rFonts w:cstheme="minorHAnsi"/>
          <w:sz w:val="20"/>
          <w:szCs w:val="20"/>
        </w:rPr>
        <w:t xml:space="preserve"> </w:t>
      </w:r>
      <w:r w:rsidRPr="00793A87">
        <w:rPr>
          <w:rFonts w:cstheme="minorHAnsi"/>
          <w:i/>
          <w:iCs/>
          <w:color w:val="000000"/>
          <w:sz w:val="20"/>
          <w:szCs w:val="20"/>
        </w:rPr>
        <w:t xml:space="preserve">SA Editions Plon v Mitterand </w:t>
      </w:r>
      <w:r w:rsidRPr="00793A87">
        <w:rPr>
          <w:rFonts w:cstheme="minorHAnsi"/>
          <w:color w:val="000000"/>
          <w:sz w:val="20"/>
          <w:szCs w:val="20"/>
        </w:rPr>
        <w:t>(14 December 1999</w:t>
      </w:r>
      <w:r w:rsidR="00B86D93" w:rsidRPr="00793A87">
        <w:rPr>
          <w:rFonts w:cstheme="minorHAnsi"/>
          <w:color w:val="000000"/>
          <w:sz w:val="20"/>
          <w:szCs w:val="20"/>
        </w:rPr>
        <w:t xml:space="preserve">) </w:t>
      </w:r>
      <w:r w:rsidRPr="00793A87">
        <w:rPr>
          <w:rFonts w:cstheme="minorHAnsi"/>
          <w:color w:val="000000"/>
          <w:sz w:val="20"/>
          <w:szCs w:val="20"/>
        </w:rPr>
        <w:t>Cour de Cassation</w:t>
      </w:r>
      <w:r w:rsidRPr="00793A87">
        <w:rPr>
          <w:rFonts w:cstheme="minorHAnsi"/>
          <w:color w:val="373636"/>
          <w:sz w:val="20"/>
          <w:szCs w:val="20"/>
        </w:rPr>
        <w:t xml:space="preserve">) </w:t>
      </w:r>
      <w:r w:rsidRPr="00793A87">
        <w:rPr>
          <w:rFonts w:cstheme="minorHAnsi"/>
          <w:sz w:val="20"/>
          <w:szCs w:val="20"/>
        </w:rPr>
        <w:t>where the Court observed that the facts ‘could also constitute interference with the right to respect for private life.’</w:t>
      </w:r>
      <w:r w:rsidR="00621BC3" w:rsidRPr="00793A87">
        <w:rPr>
          <w:rFonts w:cstheme="minorHAnsi"/>
          <w:sz w:val="20"/>
          <w:szCs w:val="20"/>
        </w:rPr>
        <w:t xml:space="preserve"> </w:t>
      </w:r>
    </w:p>
  </w:footnote>
  <w:footnote w:id="38">
    <w:p w14:paraId="1112B1B2" w14:textId="5B96E030" w:rsidR="003E350D" w:rsidRPr="00793A87" w:rsidRDefault="003E350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649BD" w:rsidRPr="00793A87">
        <w:rPr>
          <w:rFonts w:asciiTheme="minorHAnsi" w:hAnsiTheme="minorHAnsi" w:cstheme="minorHAnsi"/>
          <w:i/>
          <w:iCs/>
        </w:rPr>
        <w:t>Plon (Société)</w:t>
      </w:r>
      <w:r w:rsidR="00B86D93" w:rsidRPr="00793A87">
        <w:rPr>
          <w:rFonts w:asciiTheme="minorHAnsi" w:hAnsiTheme="minorHAnsi" w:cstheme="minorHAnsi"/>
          <w:i/>
          <w:iCs/>
        </w:rPr>
        <w:t xml:space="preserve"> </w:t>
      </w:r>
      <w:r w:rsidR="00D84B60" w:rsidRPr="00793A87">
        <w:rPr>
          <w:rFonts w:asciiTheme="minorHAnsi" w:hAnsiTheme="minorHAnsi" w:cstheme="minorHAnsi"/>
        </w:rPr>
        <w:t xml:space="preserve">above n 32, </w:t>
      </w:r>
      <w:r w:rsidRPr="00793A87">
        <w:rPr>
          <w:rFonts w:asciiTheme="minorHAnsi" w:hAnsiTheme="minorHAnsi" w:cstheme="minorHAnsi"/>
        </w:rPr>
        <w:t>para 34.</w:t>
      </w:r>
    </w:p>
  </w:footnote>
  <w:footnote w:id="39">
    <w:p w14:paraId="4C182DA9" w14:textId="56E091F9" w:rsidR="0085188F" w:rsidRPr="00793A87" w:rsidRDefault="0085188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649BD" w:rsidRPr="00793A87">
        <w:rPr>
          <w:rFonts w:asciiTheme="minorHAnsi" w:hAnsiTheme="minorHAnsi" w:cstheme="minorHAnsi"/>
          <w:i/>
          <w:iCs/>
        </w:rPr>
        <w:t xml:space="preserve">Plon (Société) </w:t>
      </w:r>
      <w:r w:rsidR="00D84B60" w:rsidRPr="00793A87">
        <w:rPr>
          <w:rFonts w:asciiTheme="minorHAnsi" w:hAnsiTheme="minorHAnsi" w:cstheme="minorHAnsi"/>
        </w:rPr>
        <w:t xml:space="preserve">above n 32, </w:t>
      </w:r>
      <w:r w:rsidRPr="00793A87">
        <w:rPr>
          <w:rFonts w:asciiTheme="minorHAnsi" w:hAnsiTheme="minorHAnsi" w:cstheme="minorHAnsi"/>
        </w:rPr>
        <w:t>para 48, 53-55</w:t>
      </w:r>
      <w:r w:rsidR="00AE1207" w:rsidRPr="00793A87">
        <w:rPr>
          <w:rFonts w:asciiTheme="minorHAnsi" w:hAnsiTheme="minorHAnsi" w:cstheme="minorHAnsi"/>
        </w:rPr>
        <w:t xml:space="preserve">; </w:t>
      </w:r>
      <w:r w:rsidR="0071612F" w:rsidRPr="00793A87">
        <w:rPr>
          <w:rFonts w:asciiTheme="minorHAnsi" w:hAnsiTheme="minorHAnsi" w:cstheme="minorHAnsi"/>
        </w:rPr>
        <w:t xml:space="preserve">the </w:t>
      </w:r>
      <w:r w:rsidR="00C8003C" w:rsidRPr="00793A87">
        <w:rPr>
          <w:rFonts w:asciiTheme="minorHAnsi" w:hAnsiTheme="minorHAnsi" w:cstheme="minorHAnsi"/>
        </w:rPr>
        <w:t>ECtHR</w:t>
      </w:r>
      <w:r w:rsidR="00B86D93" w:rsidRPr="00793A87">
        <w:rPr>
          <w:rFonts w:asciiTheme="minorHAnsi" w:hAnsiTheme="minorHAnsi" w:cstheme="minorHAnsi"/>
        </w:rPr>
        <w:t xml:space="preserve"> also</w:t>
      </w:r>
      <w:r w:rsidR="0071612F" w:rsidRPr="00793A87">
        <w:rPr>
          <w:rFonts w:asciiTheme="minorHAnsi" w:hAnsiTheme="minorHAnsi" w:cstheme="minorHAnsi"/>
        </w:rPr>
        <w:t xml:space="preserve"> stressed that the </w:t>
      </w:r>
      <w:r w:rsidR="00C8003C" w:rsidRPr="00793A87">
        <w:rPr>
          <w:rFonts w:asciiTheme="minorHAnsi" w:hAnsiTheme="minorHAnsi" w:cstheme="minorHAnsi"/>
        </w:rPr>
        <w:t xml:space="preserve">temporary </w:t>
      </w:r>
      <w:r w:rsidR="00B86D93" w:rsidRPr="00793A87">
        <w:rPr>
          <w:rFonts w:asciiTheme="minorHAnsi" w:hAnsiTheme="minorHAnsi" w:cstheme="minorHAnsi"/>
        </w:rPr>
        <w:t xml:space="preserve">ban </w:t>
      </w:r>
      <w:r w:rsidR="0071612F" w:rsidRPr="00793A87">
        <w:rPr>
          <w:rFonts w:asciiTheme="minorHAnsi" w:hAnsiTheme="minorHAnsi" w:cstheme="minorHAnsi"/>
        </w:rPr>
        <w:t xml:space="preserve">allowed </w:t>
      </w:r>
      <w:r w:rsidR="00952FC7" w:rsidRPr="00793A87">
        <w:rPr>
          <w:rFonts w:asciiTheme="minorHAnsi" w:hAnsiTheme="minorHAnsi" w:cstheme="minorHAnsi"/>
        </w:rPr>
        <w:t xml:space="preserve">the urgent-application judge </w:t>
      </w:r>
      <w:r w:rsidR="0071612F" w:rsidRPr="00793A87">
        <w:rPr>
          <w:rFonts w:asciiTheme="minorHAnsi" w:hAnsiTheme="minorHAnsi" w:cstheme="minorHAnsi"/>
        </w:rPr>
        <w:t xml:space="preserve">to </w:t>
      </w:r>
      <w:r w:rsidR="00C8003C" w:rsidRPr="00793A87">
        <w:rPr>
          <w:rFonts w:asciiTheme="minorHAnsi" w:hAnsiTheme="minorHAnsi" w:cstheme="minorHAnsi"/>
        </w:rPr>
        <w:t>forestall the ‘delicate issue’</w:t>
      </w:r>
      <w:r w:rsidR="0071612F" w:rsidRPr="00793A87">
        <w:rPr>
          <w:rFonts w:asciiTheme="minorHAnsi" w:hAnsiTheme="minorHAnsi" w:cstheme="minorHAnsi"/>
        </w:rPr>
        <w:t xml:space="preserve"> of post-mortem privacy rights</w:t>
      </w:r>
      <w:r w:rsidR="00C8003C" w:rsidRPr="00793A87">
        <w:rPr>
          <w:rFonts w:asciiTheme="minorHAnsi" w:hAnsiTheme="minorHAnsi" w:cstheme="minorHAnsi"/>
        </w:rPr>
        <w:t xml:space="preserve"> until the main trial (para 47). </w:t>
      </w:r>
    </w:p>
  </w:footnote>
  <w:footnote w:id="40">
    <w:p w14:paraId="6A776DE0" w14:textId="58D8E339" w:rsidR="006E0684" w:rsidRPr="00793A87" w:rsidRDefault="006E068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In </w:t>
      </w:r>
      <w:r w:rsidR="004805B2" w:rsidRPr="00793A87">
        <w:rPr>
          <w:rFonts w:asciiTheme="minorHAnsi" w:hAnsiTheme="minorHAnsi" w:cstheme="minorHAnsi"/>
          <w:i/>
          <w:iCs/>
        </w:rPr>
        <w:t>Plon (Société)</w:t>
      </w:r>
      <w:r w:rsidR="004805B2" w:rsidRPr="00793A87">
        <w:rPr>
          <w:rStyle w:val="font0"/>
          <w:rFonts w:asciiTheme="minorHAnsi" w:hAnsiTheme="minorHAnsi" w:cstheme="minorHAnsi"/>
          <w:i/>
          <w:iCs/>
        </w:rPr>
        <w:t xml:space="preserve"> </w:t>
      </w:r>
      <w:r w:rsidR="00D84B60" w:rsidRPr="00793A87">
        <w:rPr>
          <w:rFonts w:asciiTheme="minorHAnsi" w:hAnsiTheme="minorHAnsi" w:cstheme="minorHAnsi"/>
        </w:rPr>
        <w:t xml:space="preserve">above n 32, </w:t>
      </w:r>
      <w:r w:rsidRPr="00793A87">
        <w:rPr>
          <w:rFonts w:asciiTheme="minorHAnsi" w:hAnsiTheme="minorHAnsi" w:cstheme="minorHAnsi"/>
        </w:rPr>
        <w:t>par</w:t>
      </w:r>
      <w:r w:rsidR="00621BC3" w:rsidRPr="00793A87">
        <w:rPr>
          <w:rFonts w:asciiTheme="minorHAnsi" w:hAnsiTheme="minorHAnsi" w:cstheme="minorHAnsi"/>
        </w:rPr>
        <w:t>a 40 and 53, on</w:t>
      </w:r>
      <w:r w:rsidR="004E47C6" w:rsidRPr="00793A87">
        <w:rPr>
          <w:rFonts w:asciiTheme="minorHAnsi" w:hAnsiTheme="minorHAnsi" w:cstheme="minorHAnsi"/>
        </w:rPr>
        <w:t xml:space="preserve"> the confidential nature of the book and</w:t>
      </w:r>
      <w:r w:rsidR="00621BC3" w:rsidRPr="00793A87">
        <w:rPr>
          <w:rFonts w:asciiTheme="minorHAnsi" w:hAnsiTheme="minorHAnsi" w:cstheme="minorHAnsi"/>
        </w:rPr>
        <w:t xml:space="preserve"> the proportionality of the ban</w:t>
      </w:r>
      <w:r w:rsidR="004E47C6" w:rsidRPr="00793A87">
        <w:rPr>
          <w:rFonts w:asciiTheme="minorHAnsi" w:hAnsiTheme="minorHAnsi" w:cstheme="minorHAnsi"/>
        </w:rPr>
        <w:t xml:space="preserve">, considering that the book had already been published online. </w:t>
      </w:r>
    </w:p>
  </w:footnote>
  <w:footnote w:id="41">
    <w:p w14:paraId="29CF382E" w14:textId="3D9211AF" w:rsidR="003355EF" w:rsidRPr="00793A87" w:rsidRDefault="003355E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D6308E" w:rsidRPr="00793A87">
        <w:rPr>
          <w:rFonts w:asciiTheme="minorHAnsi" w:hAnsiTheme="minorHAnsi" w:cstheme="minorHAnsi"/>
        </w:rPr>
        <w:t>For a systematic overview of the</w:t>
      </w:r>
      <w:r w:rsidR="006B4431" w:rsidRPr="00793A87">
        <w:rPr>
          <w:rFonts w:asciiTheme="minorHAnsi" w:hAnsiTheme="minorHAnsi" w:cstheme="minorHAnsi"/>
        </w:rPr>
        <w:t xml:space="preserve"> numerous</w:t>
      </w:r>
      <w:r w:rsidR="00D6308E" w:rsidRPr="00793A87">
        <w:rPr>
          <w:rFonts w:asciiTheme="minorHAnsi" w:hAnsiTheme="minorHAnsi" w:cstheme="minorHAnsi"/>
        </w:rPr>
        <w:t xml:space="preserve"> </w:t>
      </w:r>
      <w:r w:rsidR="006B4431" w:rsidRPr="00793A87">
        <w:rPr>
          <w:rFonts w:asciiTheme="minorHAnsi" w:hAnsiTheme="minorHAnsi" w:cstheme="minorHAnsi"/>
        </w:rPr>
        <w:t xml:space="preserve">data collections systems and practices in place, see Nissenbaum above n 19, Chapters 1-2. </w:t>
      </w:r>
    </w:p>
  </w:footnote>
  <w:footnote w:id="42">
    <w:p w14:paraId="11F6CC27" w14:textId="7566BE1D" w:rsidR="007215BF" w:rsidRPr="00793A87" w:rsidRDefault="007215B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2E64C8" w:rsidRPr="00793A87">
        <w:rPr>
          <w:rFonts w:asciiTheme="minorHAnsi" w:hAnsiTheme="minorHAnsi" w:cstheme="minorHAnsi"/>
        </w:rPr>
        <w:t xml:space="preserve"> </w:t>
      </w:r>
      <w:r w:rsidR="00E3404E" w:rsidRPr="00793A87">
        <w:rPr>
          <w:rFonts w:asciiTheme="minorHAnsi" w:hAnsiTheme="minorHAnsi" w:cstheme="minorHAnsi"/>
        </w:rPr>
        <w:t>Data Protection Directive</w:t>
      </w:r>
      <w:r w:rsidR="00E3404E" w:rsidRPr="00793A87">
        <w:rPr>
          <w:rStyle w:val="Strong"/>
          <w:rFonts w:asciiTheme="minorHAnsi" w:hAnsiTheme="minorHAnsi" w:cstheme="minorHAnsi"/>
          <w:b w:val="0"/>
          <w:bCs w:val="0"/>
        </w:rPr>
        <w:t xml:space="preserve"> 95/46/EC; for </w:t>
      </w:r>
      <w:r w:rsidR="00EB63F4" w:rsidRPr="00793A87">
        <w:rPr>
          <w:rStyle w:val="Strong"/>
          <w:rFonts w:asciiTheme="minorHAnsi" w:hAnsiTheme="minorHAnsi" w:cstheme="minorHAnsi"/>
          <w:b w:val="0"/>
          <w:bCs w:val="0"/>
        </w:rPr>
        <w:t>the regulated disclosure of</w:t>
      </w:r>
      <w:r w:rsidR="00E3404E" w:rsidRPr="00793A87">
        <w:rPr>
          <w:rStyle w:val="Strong"/>
          <w:rFonts w:asciiTheme="minorHAnsi" w:hAnsiTheme="minorHAnsi" w:cstheme="minorHAnsi"/>
          <w:b w:val="0"/>
          <w:bCs w:val="0"/>
        </w:rPr>
        <w:t xml:space="preserve"> patient information in the UK see</w:t>
      </w:r>
      <w:r w:rsidR="00D84B60" w:rsidRPr="00793A87">
        <w:rPr>
          <w:rStyle w:val="Strong"/>
          <w:rFonts w:asciiTheme="minorHAnsi" w:hAnsiTheme="minorHAnsi" w:cstheme="minorHAnsi"/>
          <w:b w:val="0"/>
          <w:bCs w:val="0"/>
        </w:rPr>
        <w:t>:</w:t>
      </w:r>
      <w:r w:rsidR="007102FF" w:rsidRPr="00793A87">
        <w:rPr>
          <w:rStyle w:val="Strong"/>
          <w:rFonts w:asciiTheme="minorHAnsi" w:hAnsiTheme="minorHAnsi" w:cstheme="minorHAnsi"/>
          <w:b w:val="0"/>
          <w:bCs w:val="0"/>
        </w:rPr>
        <w:t xml:space="preserve"> s.3(1) of the Access to Medical Reports Act 1988</w:t>
      </w:r>
      <w:r w:rsidR="00B86D93" w:rsidRPr="00793A87">
        <w:rPr>
          <w:rStyle w:val="Strong"/>
          <w:rFonts w:asciiTheme="minorHAnsi" w:hAnsiTheme="minorHAnsi" w:cstheme="minorHAnsi"/>
          <w:b w:val="0"/>
          <w:bCs w:val="0"/>
        </w:rPr>
        <w:t xml:space="preserve">; </w:t>
      </w:r>
      <w:r w:rsidR="00E3404E" w:rsidRPr="00793A87">
        <w:rPr>
          <w:rStyle w:val="Strong"/>
          <w:rFonts w:asciiTheme="minorHAnsi" w:hAnsiTheme="minorHAnsi" w:cstheme="minorHAnsi"/>
          <w:b w:val="0"/>
          <w:bCs w:val="0"/>
        </w:rPr>
        <w:t>s.251 of the NHS Act 2006</w:t>
      </w:r>
      <w:r w:rsidR="00D84B60" w:rsidRPr="00793A87">
        <w:rPr>
          <w:rStyle w:val="Strong"/>
          <w:rFonts w:asciiTheme="minorHAnsi" w:hAnsiTheme="minorHAnsi" w:cstheme="minorHAnsi"/>
          <w:b w:val="0"/>
          <w:bCs w:val="0"/>
        </w:rPr>
        <w:t>;</w:t>
      </w:r>
      <w:r w:rsidR="006B4431" w:rsidRPr="00793A87">
        <w:rPr>
          <w:rStyle w:val="Strong"/>
          <w:rFonts w:asciiTheme="minorHAnsi" w:hAnsiTheme="minorHAnsi" w:cstheme="minorHAnsi"/>
          <w:b w:val="0"/>
          <w:bCs w:val="0"/>
        </w:rPr>
        <w:t xml:space="preserve"> and</w:t>
      </w:r>
      <w:r w:rsidR="00AE1207" w:rsidRPr="00793A87">
        <w:rPr>
          <w:rStyle w:val="Strong"/>
          <w:rFonts w:asciiTheme="minorHAnsi" w:hAnsiTheme="minorHAnsi" w:cstheme="minorHAnsi"/>
          <w:b w:val="0"/>
          <w:bCs w:val="0"/>
        </w:rPr>
        <w:t xml:space="preserve"> </w:t>
      </w:r>
      <w:r w:rsidR="00E3404E" w:rsidRPr="00793A87">
        <w:rPr>
          <w:rFonts w:asciiTheme="minorHAnsi" w:hAnsiTheme="minorHAnsi" w:cstheme="minorHAnsi"/>
        </w:rPr>
        <w:t>The Health Service (Control of Patient Information) Regulations 2002.</w:t>
      </w:r>
    </w:p>
  </w:footnote>
  <w:footnote w:id="43">
    <w:p w14:paraId="5C5E25C3" w14:textId="6AED5C3B" w:rsidR="005278BC" w:rsidRPr="00793A87" w:rsidRDefault="005278B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215BF" w:rsidRPr="00793A87">
        <w:rPr>
          <w:rFonts w:asciiTheme="minorHAnsi" w:hAnsiTheme="minorHAnsi" w:cstheme="minorHAnsi"/>
        </w:rPr>
        <w:t>Freedom of Information Act 2000, s.41 and 42 for</w:t>
      </w:r>
      <w:r w:rsidR="00BC49C1" w:rsidRPr="00793A87">
        <w:rPr>
          <w:rFonts w:asciiTheme="minorHAnsi" w:hAnsiTheme="minorHAnsi" w:cstheme="minorHAnsi"/>
        </w:rPr>
        <w:t xml:space="preserve"> the</w:t>
      </w:r>
      <w:r w:rsidR="007215BF" w:rsidRPr="00793A87">
        <w:rPr>
          <w:rFonts w:asciiTheme="minorHAnsi" w:hAnsiTheme="minorHAnsi" w:cstheme="minorHAnsi"/>
        </w:rPr>
        <w:t xml:space="preserve"> </w:t>
      </w:r>
      <w:r w:rsidR="006339F5" w:rsidRPr="00793A87">
        <w:rPr>
          <w:rFonts w:asciiTheme="minorHAnsi" w:hAnsiTheme="minorHAnsi" w:cstheme="minorHAnsi"/>
        </w:rPr>
        <w:t xml:space="preserve">confidentiality </w:t>
      </w:r>
      <w:r w:rsidR="00557092" w:rsidRPr="00793A87">
        <w:rPr>
          <w:rFonts w:asciiTheme="minorHAnsi" w:hAnsiTheme="minorHAnsi" w:cstheme="minorHAnsi"/>
        </w:rPr>
        <w:t>exceptions</w:t>
      </w:r>
      <w:r w:rsidR="007215BF" w:rsidRPr="00793A87">
        <w:rPr>
          <w:rFonts w:asciiTheme="minorHAnsi" w:hAnsiTheme="minorHAnsi" w:cstheme="minorHAnsi"/>
        </w:rPr>
        <w:t xml:space="preserve">. </w:t>
      </w:r>
    </w:p>
  </w:footnote>
  <w:footnote w:id="44">
    <w:p w14:paraId="54C92AD9" w14:textId="2C618565" w:rsidR="001F4EDD" w:rsidRPr="00793A87" w:rsidRDefault="001F4ED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A14FD" w:rsidRPr="00793A87">
        <w:rPr>
          <w:rFonts w:asciiTheme="minorHAnsi" w:hAnsiTheme="minorHAnsi" w:cstheme="minorHAnsi"/>
        </w:rPr>
        <w:t xml:space="preserve">Ian E Thompson, ‘The nature of confidentiality’ (1979) 5 </w:t>
      </w:r>
      <w:r w:rsidR="002A14FD" w:rsidRPr="00793A87">
        <w:rPr>
          <w:rFonts w:asciiTheme="minorHAnsi" w:hAnsiTheme="minorHAnsi" w:cstheme="minorHAnsi"/>
          <w:i/>
          <w:iCs/>
        </w:rPr>
        <w:t>Journal of Medical Ethics</w:t>
      </w:r>
      <w:r w:rsidR="002A14FD" w:rsidRPr="00793A87">
        <w:rPr>
          <w:rFonts w:asciiTheme="minorHAnsi" w:hAnsiTheme="minorHAnsi" w:cstheme="minorHAnsi"/>
        </w:rPr>
        <w:t xml:space="preserve"> 57, 57.  </w:t>
      </w:r>
    </w:p>
  </w:footnote>
  <w:footnote w:id="45">
    <w:p w14:paraId="6658E2D2" w14:textId="7DBE8535" w:rsidR="007B1BEE" w:rsidRPr="00793A87" w:rsidRDefault="007B1BE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Lewis v Secretary of State for Health &amp; Anor</w:t>
      </w:r>
      <w:r w:rsidRPr="00793A87">
        <w:rPr>
          <w:rFonts w:asciiTheme="minorHAnsi" w:hAnsiTheme="minorHAnsi" w:cstheme="minorHAnsi"/>
        </w:rPr>
        <w:t xml:space="preserve"> [2008] EWHC 2196; </w:t>
      </w:r>
      <w:r w:rsidRPr="00793A87">
        <w:rPr>
          <w:rFonts w:asciiTheme="minorHAnsi" w:hAnsiTheme="minorHAnsi" w:cstheme="minorHAnsi"/>
          <w:i/>
          <w:iCs/>
        </w:rPr>
        <w:t>M v IC and Medicines and Health Products Regulatory Authority</w:t>
      </w:r>
      <w:r w:rsidRPr="00793A87">
        <w:rPr>
          <w:rFonts w:asciiTheme="minorHAnsi" w:hAnsiTheme="minorHAnsi" w:cstheme="minorHAnsi"/>
        </w:rPr>
        <w:t xml:space="preserve"> [2010] GIA/3017/2010; </w:t>
      </w:r>
      <w:r w:rsidRPr="00793A87">
        <w:rPr>
          <w:rFonts w:asciiTheme="minorHAnsi" w:hAnsiTheme="minorHAnsi" w:cstheme="minorHAnsi"/>
          <w:i/>
          <w:iCs/>
          <w:color w:val="000000"/>
        </w:rPr>
        <w:t xml:space="preserve">Webber v IC and Nottinghamshire Healthcare NHS Trust </w:t>
      </w:r>
      <w:r w:rsidRPr="00793A87">
        <w:rPr>
          <w:rFonts w:asciiTheme="minorHAnsi" w:hAnsiTheme="minorHAnsi" w:cstheme="minorHAnsi"/>
          <w:color w:val="000000"/>
        </w:rPr>
        <w:t>[2012] FIA/4090/2012;</w:t>
      </w:r>
      <w:r w:rsidRPr="00793A87">
        <w:rPr>
          <w:rFonts w:asciiTheme="minorHAnsi" w:hAnsiTheme="minorHAnsi" w:cstheme="minorHAnsi"/>
          <w:color w:val="0000FF"/>
        </w:rPr>
        <w:t xml:space="preserve"> </w:t>
      </w:r>
      <w:r w:rsidRPr="00793A87">
        <w:rPr>
          <w:rFonts w:asciiTheme="minorHAnsi" w:hAnsiTheme="minorHAnsi" w:cstheme="minorHAnsi"/>
          <w:i/>
          <w:iCs/>
        </w:rPr>
        <w:t>Re Meek</w:t>
      </w:r>
      <w:r w:rsidRPr="00793A87">
        <w:rPr>
          <w:rFonts w:asciiTheme="minorHAnsi" w:hAnsiTheme="minorHAnsi" w:cstheme="minorHAnsi"/>
        </w:rPr>
        <w:t xml:space="preserve"> [2014] EWCOP 1; </w:t>
      </w:r>
      <w:r w:rsidRPr="00793A87">
        <w:rPr>
          <w:rFonts w:asciiTheme="minorHAnsi" w:hAnsiTheme="minorHAnsi" w:cstheme="minorHAnsi"/>
          <w:i/>
          <w:iCs/>
        </w:rPr>
        <w:t>The Press Association v Newcastle Upon Tyne Hospitals Foundation Trust</w:t>
      </w:r>
      <w:r w:rsidRPr="00793A87">
        <w:rPr>
          <w:rFonts w:asciiTheme="minorHAnsi" w:hAnsiTheme="minorHAnsi" w:cstheme="minorHAnsi"/>
        </w:rPr>
        <w:t xml:space="preserve"> [2014] EWCOP 6; </w:t>
      </w:r>
      <w:r w:rsidRPr="00793A87">
        <w:rPr>
          <w:rFonts w:asciiTheme="minorHAnsi" w:hAnsiTheme="minorHAnsi" w:cstheme="minorHAnsi"/>
          <w:i/>
          <w:iCs/>
        </w:rPr>
        <w:t>V v Associated Newspapers Ltd &amp; Ors</w:t>
      </w:r>
      <w:r w:rsidRPr="00793A87">
        <w:rPr>
          <w:rFonts w:asciiTheme="minorHAnsi" w:hAnsiTheme="minorHAnsi" w:cstheme="minorHAnsi"/>
        </w:rPr>
        <w:t xml:space="preserve"> [2016] EWCOP 21. </w:t>
      </w:r>
    </w:p>
  </w:footnote>
  <w:footnote w:id="46">
    <w:p w14:paraId="2D78B961" w14:textId="54DFDF0C" w:rsidR="00581C60" w:rsidRPr="00793A87" w:rsidRDefault="00581C60"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Bluck </w:t>
      </w:r>
      <w:r w:rsidR="002A14FD" w:rsidRPr="00793A87">
        <w:rPr>
          <w:rFonts w:asciiTheme="minorHAnsi" w:hAnsiTheme="minorHAnsi" w:cstheme="minorHAnsi"/>
        </w:rPr>
        <w:t>above n 15</w:t>
      </w:r>
      <w:r w:rsidR="002A14FD" w:rsidRPr="00793A87">
        <w:rPr>
          <w:rFonts w:asciiTheme="minorHAnsi" w:hAnsiTheme="minorHAnsi" w:cstheme="minorHAnsi"/>
          <w:i/>
          <w:iCs/>
        </w:rPr>
        <w:t xml:space="preserve">. </w:t>
      </w:r>
    </w:p>
  </w:footnote>
  <w:footnote w:id="47">
    <w:p w14:paraId="6293D339" w14:textId="602D3EF4" w:rsidR="002F55E0" w:rsidRPr="00793A87" w:rsidRDefault="002F55E0"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A14FD" w:rsidRPr="00793A87">
        <w:rPr>
          <w:rFonts w:asciiTheme="minorHAnsi" w:hAnsiTheme="minorHAnsi" w:cstheme="minorHAnsi"/>
          <w:i/>
          <w:iCs/>
        </w:rPr>
        <w:t xml:space="preserve">Bluck </w:t>
      </w:r>
      <w:r w:rsidR="002A14FD" w:rsidRPr="00793A87">
        <w:rPr>
          <w:rFonts w:asciiTheme="minorHAnsi" w:hAnsiTheme="minorHAnsi" w:cstheme="minorHAnsi"/>
        </w:rPr>
        <w:t xml:space="preserve">above n 15, </w:t>
      </w:r>
      <w:r w:rsidRPr="00793A87">
        <w:rPr>
          <w:rFonts w:asciiTheme="minorHAnsi" w:hAnsiTheme="minorHAnsi" w:cstheme="minorHAnsi"/>
        </w:rPr>
        <w:t xml:space="preserve">para 1: Five years after </w:t>
      </w:r>
      <w:r w:rsidR="002A14FD" w:rsidRPr="00793A87">
        <w:rPr>
          <w:rFonts w:asciiTheme="minorHAnsi" w:hAnsiTheme="minorHAnsi" w:cstheme="minorHAnsi"/>
        </w:rPr>
        <w:t xml:space="preserve">the daughter’s </w:t>
      </w:r>
      <w:r w:rsidRPr="00793A87">
        <w:rPr>
          <w:rFonts w:asciiTheme="minorHAnsi" w:hAnsiTheme="minorHAnsi" w:cstheme="minorHAnsi"/>
        </w:rPr>
        <w:t>death the mother ‘</w:t>
      </w:r>
      <w:r w:rsidRPr="00793A87">
        <w:rPr>
          <w:rStyle w:val="font0"/>
          <w:rFonts w:asciiTheme="minorHAnsi" w:hAnsiTheme="minorHAnsi" w:cstheme="minorHAnsi"/>
        </w:rPr>
        <w:t>discovered that the Hospital's treatment of her daughter had not been</w:t>
      </w:r>
      <w:r w:rsidRPr="00793A87">
        <w:rPr>
          <w:rFonts w:asciiTheme="minorHAnsi" w:hAnsiTheme="minorHAnsi" w:cstheme="minorHAnsi"/>
        </w:rPr>
        <w:t xml:space="preserve"> </w:t>
      </w:r>
      <w:r w:rsidRPr="00793A87">
        <w:rPr>
          <w:rStyle w:val="font0"/>
          <w:rFonts w:asciiTheme="minorHAnsi" w:hAnsiTheme="minorHAnsi" w:cstheme="minorHAnsi"/>
        </w:rPr>
        <w:t>satisfactory, that it had admitted liability for her daughter’s death and</w:t>
      </w:r>
      <w:r w:rsidRPr="00793A87">
        <w:rPr>
          <w:rFonts w:asciiTheme="minorHAnsi" w:hAnsiTheme="minorHAnsi" w:cstheme="minorHAnsi"/>
        </w:rPr>
        <w:t xml:space="preserve"> </w:t>
      </w:r>
      <w:r w:rsidRPr="00793A87">
        <w:rPr>
          <w:rStyle w:val="font0"/>
          <w:rFonts w:asciiTheme="minorHAnsi" w:hAnsiTheme="minorHAnsi" w:cstheme="minorHAnsi"/>
        </w:rPr>
        <w:t>had reached a settlement with her widower, on behalf of himself and</w:t>
      </w:r>
      <w:r w:rsidRPr="00793A87">
        <w:rPr>
          <w:rFonts w:asciiTheme="minorHAnsi" w:hAnsiTheme="minorHAnsi" w:cstheme="minorHAnsi"/>
        </w:rPr>
        <w:t xml:space="preserve"> </w:t>
      </w:r>
      <w:r w:rsidRPr="00793A87">
        <w:rPr>
          <w:rStyle w:val="font0"/>
          <w:rFonts w:asciiTheme="minorHAnsi" w:hAnsiTheme="minorHAnsi" w:cstheme="minorHAnsi"/>
        </w:rPr>
        <w:t>two children of the marriage, under which a substantial compensation</w:t>
      </w:r>
      <w:r w:rsidRPr="00793A87">
        <w:rPr>
          <w:rFonts w:asciiTheme="minorHAnsi" w:hAnsiTheme="minorHAnsi" w:cstheme="minorHAnsi"/>
        </w:rPr>
        <w:t xml:space="preserve"> </w:t>
      </w:r>
      <w:r w:rsidRPr="00793A87">
        <w:rPr>
          <w:rStyle w:val="font0"/>
          <w:rFonts w:asciiTheme="minorHAnsi" w:hAnsiTheme="minorHAnsi" w:cstheme="minorHAnsi"/>
        </w:rPr>
        <w:t>payment had been made.’</w:t>
      </w:r>
    </w:p>
  </w:footnote>
  <w:footnote w:id="48">
    <w:p w14:paraId="1EB9E20E" w14:textId="75D9C2E9" w:rsidR="00B663AD" w:rsidRPr="00793A87" w:rsidRDefault="00B663A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A14FD" w:rsidRPr="00793A87">
        <w:rPr>
          <w:rFonts w:asciiTheme="minorHAnsi" w:hAnsiTheme="minorHAnsi" w:cstheme="minorHAnsi"/>
          <w:i/>
          <w:iCs/>
        </w:rPr>
        <w:t xml:space="preserve">Bluck </w:t>
      </w:r>
      <w:r w:rsidR="002A14FD" w:rsidRPr="00793A87">
        <w:rPr>
          <w:rFonts w:asciiTheme="minorHAnsi" w:hAnsiTheme="minorHAnsi" w:cstheme="minorHAnsi"/>
        </w:rPr>
        <w:t xml:space="preserve">above n 15, </w:t>
      </w:r>
      <w:r w:rsidRPr="00793A87">
        <w:rPr>
          <w:rFonts w:asciiTheme="minorHAnsi" w:hAnsiTheme="minorHAnsi" w:cstheme="minorHAnsi"/>
        </w:rPr>
        <w:t>para 11</w:t>
      </w:r>
      <w:r w:rsidR="00A44CCB" w:rsidRPr="00793A87">
        <w:rPr>
          <w:rFonts w:asciiTheme="minorHAnsi" w:hAnsiTheme="minorHAnsi" w:cstheme="minorHAnsi"/>
        </w:rPr>
        <w:t xml:space="preserve"> [emphasis added].</w:t>
      </w:r>
    </w:p>
  </w:footnote>
  <w:footnote w:id="49">
    <w:p w14:paraId="18323D28" w14:textId="77777777" w:rsidR="00BF53D2" w:rsidRPr="00793A87" w:rsidRDefault="0030559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A14FD" w:rsidRPr="00793A87">
        <w:rPr>
          <w:rFonts w:asciiTheme="minorHAnsi" w:hAnsiTheme="minorHAnsi" w:cstheme="minorHAnsi"/>
          <w:i/>
          <w:iCs/>
        </w:rPr>
        <w:t xml:space="preserve">Bluck </w:t>
      </w:r>
      <w:r w:rsidR="002A14FD" w:rsidRPr="00793A87">
        <w:rPr>
          <w:rFonts w:asciiTheme="minorHAnsi" w:hAnsiTheme="minorHAnsi" w:cstheme="minorHAnsi"/>
        </w:rPr>
        <w:t xml:space="preserve">above n 15, </w:t>
      </w:r>
      <w:r w:rsidRPr="00793A87">
        <w:rPr>
          <w:rFonts w:asciiTheme="minorHAnsi" w:hAnsiTheme="minorHAnsi" w:cstheme="minorHAnsi"/>
        </w:rPr>
        <w:t>para 24-28</w:t>
      </w:r>
      <w:r w:rsidR="00EB1A5C" w:rsidRPr="00793A87">
        <w:rPr>
          <w:rFonts w:asciiTheme="minorHAnsi" w:hAnsiTheme="minorHAnsi" w:cstheme="minorHAnsi"/>
        </w:rPr>
        <w:t xml:space="preserve">; this </w:t>
      </w:r>
      <w:r w:rsidR="00D6308E" w:rsidRPr="00793A87">
        <w:rPr>
          <w:rFonts w:asciiTheme="minorHAnsi" w:hAnsiTheme="minorHAnsi" w:cstheme="minorHAnsi"/>
        </w:rPr>
        <w:t xml:space="preserve">rather </w:t>
      </w:r>
      <w:r w:rsidR="00EB1A5C" w:rsidRPr="00793A87">
        <w:rPr>
          <w:rFonts w:asciiTheme="minorHAnsi" w:hAnsiTheme="minorHAnsi" w:cstheme="minorHAnsi"/>
        </w:rPr>
        <w:t xml:space="preserve">overstates the effect of </w:t>
      </w:r>
      <w:r w:rsidR="00EB1A5C" w:rsidRPr="00793A87">
        <w:rPr>
          <w:rFonts w:asciiTheme="minorHAnsi" w:hAnsiTheme="minorHAnsi" w:cstheme="minorHAnsi"/>
          <w:i/>
          <w:iCs/>
        </w:rPr>
        <w:t>Plon (Société)</w:t>
      </w:r>
      <w:r w:rsidR="00EB1A5C" w:rsidRPr="00793A87">
        <w:rPr>
          <w:rStyle w:val="font0"/>
          <w:rFonts w:asciiTheme="minorHAnsi" w:hAnsiTheme="minorHAnsi" w:cstheme="minorHAnsi"/>
          <w:i/>
          <w:iCs/>
        </w:rPr>
        <w:t xml:space="preserve"> </w:t>
      </w:r>
      <w:r w:rsidR="002A14FD" w:rsidRPr="00793A87">
        <w:rPr>
          <w:rFonts w:asciiTheme="minorHAnsi" w:hAnsiTheme="minorHAnsi" w:cstheme="minorHAnsi"/>
        </w:rPr>
        <w:t>above 32</w:t>
      </w:r>
      <w:r w:rsidR="00EB1A5C" w:rsidRPr="00793A87">
        <w:rPr>
          <w:rFonts w:asciiTheme="minorHAnsi" w:hAnsiTheme="minorHAnsi" w:cstheme="minorHAnsi"/>
        </w:rPr>
        <w:t>, para 29</w:t>
      </w:r>
      <w:r w:rsidR="00F64504" w:rsidRPr="00793A87">
        <w:rPr>
          <w:rFonts w:asciiTheme="minorHAnsi" w:hAnsiTheme="minorHAnsi" w:cstheme="minorHAnsi"/>
        </w:rPr>
        <w:t xml:space="preserve">, </w:t>
      </w:r>
      <w:r w:rsidR="002A14FD" w:rsidRPr="00793A87">
        <w:rPr>
          <w:rFonts w:asciiTheme="minorHAnsi" w:hAnsiTheme="minorHAnsi" w:cstheme="minorHAnsi"/>
        </w:rPr>
        <w:t>where</w:t>
      </w:r>
      <w:r w:rsidR="00F64504" w:rsidRPr="00793A87">
        <w:rPr>
          <w:rFonts w:asciiTheme="minorHAnsi" w:hAnsiTheme="minorHAnsi" w:cstheme="minorHAnsi"/>
        </w:rPr>
        <w:t xml:space="preserve"> the cause of action vested in the deceased before death i.e. book contract was signed before Mitterrand had died.</w:t>
      </w:r>
    </w:p>
    <w:p w14:paraId="3F4E5F42" w14:textId="179BB61B" w:rsidR="0030559A" w:rsidRPr="00793A87" w:rsidRDefault="00BF53D2" w:rsidP="00214FA3">
      <w:pPr>
        <w:pStyle w:val="FootnoteText"/>
        <w:spacing w:afterAutospacing="0"/>
        <w:ind w:left="0"/>
        <w:rPr>
          <w:rFonts w:asciiTheme="minorHAnsi" w:hAnsiTheme="minorHAnsi" w:cstheme="minorHAnsi"/>
        </w:rPr>
      </w:pPr>
      <w:r w:rsidRPr="00793A87">
        <w:rPr>
          <w:rFonts w:asciiTheme="minorHAnsi" w:hAnsiTheme="minorHAnsi" w:cstheme="minorHAnsi"/>
        </w:rPr>
        <w:t>Under Art 1382 of the French Civil Code actions vested in the victim whilst alive are, on death, transferred to the deceased’s estate..</w:t>
      </w:r>
      <w:r w:rsidR="00F64504" w:rsidRPr="00793A87">
        <w:rPr>
          <w:rFonts w:asciiTheme="minorHAnsi" w:hAnsiTheme="minorHAnsi" w:cstheme="minorHAnsi"/>
        </w:rPr>
        <w:t xml:space="preserve"> </w:t>
      </w:r>
      <w:r w:rsidR="00EB1A5C" w:rsidRPr="00793A87">
        <w:rPr>
          <w:rStyle w:val="font0"/>
          <w:rFonts w:asciiTheme="minorHAnsi" w:hAnsiTheme="minorHAnsi" w:cstheme="minorHAnsi"/>
          <w:i/>
          <w:iCs/>
        </w:rPr>
        <w:t xml:space="preserve"> </w:t>
      </w:r>
    </w:p>
  </w:footnote>
  <w:footnote w:id="50">
    <w:p w14:paraId="032378E1" w14:textId="275FAECF" w:rsidR="005A6F52" w:rsidRPr="00793A87" w:rsidRDefault="005A6F52"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Access to Health Records Act 1990 (largely supplanted by the Freedom of Information Act 2000, albeit not for deceased persons.)</w:t>
      </w:r>
    </w:p>
  </w:footnote>
  <w:footnote w:id="51">
    <w:p w14:paraId="20B5903B" w14:textId="4A554E6A" w:rsidR="005B4D75" w:rsidRPr="00793A87" w:rsidRDefault="005B4D7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A14FD" w:rsidRPr="00793A87">
        <w:rPr>
          <w:rFonts w:asciiTheme="minorHAnsi" w:hAnsiTheme="minorHAnsi" w:cstheme="minorHAnsi"/>
        </w:rPr>
        <w:t>As reflected in causes of actions</w:t>
      </w:r>
      <w:r w:rsidR="00D84B60" w:rsidRPr="00793A87">
        <w:rPr>
          <w:rFonts w:asciiTheme="minorHAnsi" w:hAnsiTheme="minorHAnsi" w:cstheme="minorHAnsi"/>
        </w:rPr>
        <w:t>,</w:t>
      </w:r>
      <w:r w:rsidR="002A14FD" w:rsidRPr="00793A87">
        <w:rPr>
          <w:rFonts w:asciiTheme="minorHAnsi" w:hAnsiTheme="minorHAnsi" w:cstheme="minorHAnsi"/>
        </w:rPr>
        <w:t xml:space="preserve"> such as the duty of confidentiality or data protection law.  </w:t>
      </w:r>
      <w:r w:rsidRPr="00793A87">
        <w:rPr>
          <w:rFonts w:asciiTheme="minorHAnsi" w:hAnsiTheme="minorHAnsi" w:cstheme="minorHAnsi"/>
        </w:rPr>
        <w:t xml:space="preserve"> </w:t>
      </w:r>
    </w:p>
  </w:footnote>
  <w:footnote w:id="52">
    <w:p w14:paraId="5279B85C" w14:textId="67C0C52F" w:rsidR="00AD2A77" w:rsidRPr="00793A87" w:rsidRDefault="00AD2A77" w:rsidP="00214FA3">
      <w:pPr>
        <w:spacing w:after="0" w:line="240" w:lineRule="auto"/>
        <w:jc w:val="both"/>
        <w:rPr>
          <w:rFonts w:cstheme="minorHAnsi"/>
          <w:sz w:val="20"/>
          <w:szCs w:val="20"/>
        </w:rPr>
      </w:pPr>
      <w:r w:rsidRPr="00793A87">
        <w:rPr>
          <w:rStyle w:val="FootnoteReference"/>
          <w:rFonts w:cstheme="minorHAnsi"/>
          <w:sz w:val="20"/>
          <w:szCs w:val="20"/>
        </w:rPr>
        <w:footnoteRef/>
      </w:r>
      <w:r w:rsidR="006A488C" w:rsidRPr="00793A87">
        <w:rPr>
          <w:rFonts w:cstheme="minorHAnsi"/>
          <w:sz w:val="20"/>
          <w:szCs w:val="20"/>
        </w:rPr>
        <w:t xml:space="preserve"> </w:t>
      </w:r>
      <w:r w:rsidR="00ED6348" w:rsidRPr="00793A87">
        <w:rPr>
          <w:rFonts w:cstheme="minorHAnsi"/>
          <w:sz w:val="20"/>
          <w:szCs w:val="20"/>
        </w:rPr>
        <w:t xml:space="preserve">See </w:t>
      </w:r>
      <w:r w:rsidR="006A488C" w:rsidRPr="00793A87">
        <w:rPr>
          <w:rFonts w:cstheme="minorHAnsi"/>
          <w:sz w:val="20"/>
          <w:szCs w:val="20"/>
        </w:rPr>
        <w:t xml:space="preserve">particularly </w:t>
      </w:r>
      <w:r w:rsidR="00ED6348" w:rsidRPr="00793A87">
        <w:rPr>
          <w:rFonts w:cstheme="minorHAnsi"/>
          <w:sz w:val="20"/>
          <w:szCs w:val="20"/>
        </w:rPr>
        <w:t>those commentator</w:t>
      </w:r>
      <w:r w:rsidR="00D4269E" w:rsidRPr="00793A87">
        <w:rPr>
          <w:rFonts w:cstheme="minorHAnsi"/>
          <w:sz w:val="20"/>
          <w:szCs w:val="20"/>
        </w:rPr>
        <w:t>s</w:t>
      </w:r>
      <w:r w:rsidR="00ED6348" w:rsidRPr="00793A87">
        <w:rPr>
          <w:rFonts w:cstheme="minorHAnsi"/>
          <w:sz w:val="20"/>
          <w:szCs w:val="20"/>
        </w:rPr>
        <w:t xml:space="preserve"> who construct privacy as informational self-determination</w:t>
      </w:r>
      <w:r w:rsidR="00451237" w:rsidRPr="00793A87">
        <w:rPr>
          <w:rFonts w:cstheme="minorHAnsi"/>
          <w:sz w:val="20"/>
          <w:szCs w:val="20"/>
        </w:rPr>
        <w:t xml:space="preserve">, that is </w:t>
      </w:r>
      <w:r w:rsidR="00BC49C1" w:rsidRPr="00793A87">
        <w:rPr>
          <w:rFonts w:cstheme="minorHAnsi"/>
          <w:sz w:val="20"/>
          <w:szCs w:val="20"/>
        </w:rPr>
        <w:t>as</w:t>
      </w:r>
      <w:r w:rsidR="00451237" w:rsidRPr="00793A87">
        <w:rPr>
          <w:rFonts w:cstheme="minorHAnsi"/>
          <w:sz w:val="20"/>
          <w:szCs w:val="20"/>
        </w:rPr>
        <w:t xml:space="preserve"> control over who has access to information about oneself, </w:t>
      </w:r>
      <w:r w:rsidR="00ED6348" w:rsidRPr="00793A87">
        <w:rPr>
          <w:rFonts w:cstheme="minorHAnsi"/>
          <w:sz w:val="20"/>
          <w:szCs w:val="20"/>
        </w:rPr>
        <w:t xml:space="preserve">e.g. </w:t>
      </w:r>
      <w:r w:rsidRPr="00793A87">
        <w:rPr>
          <w:rFonts w:cstheme="minorHAnsi"/>
          <w:sz w:val="20"/>
          <w:szCs w:val="20"/>
        </w:rPr>
        <w:t xml:space="preserve"> </w:t>
      </w:r>
      <w:r w:rsidR="00C45F30" w:rsidRPr="00793A87">
        <w:rPr>
          <w:rFonts w:cstheme="minorHAnsi"/>
          <w:sz w:val="20"/>
          <w:szCs w:val="20"/>
        </w:rPr>
        <w:t xml:space="preserve">Alan </w:t>
      </w:r>
      <w:r w:rsidRPr="00793A87">
        <w:rPr>
          <w:rFonts w:cstheme="minorHAnsi"/>
          <w:sz w:val="20"/>
          <w:szCs w:val="20"/>
        </w:rPr>
        <w:t xml:space="preserve">Westin, </w:t>
      </w:r>
      <w:r w:rsidR="00C45F30" w:rsidRPr="00793A87">
        <w:rPr>
          <w:rFonts w:cstheme="minorHAnsi"/>
          <w:i/>
          <w:iCs/>
          <w:sz w:val="20"/>
          <w:szCs w:val="20"/>
        </w:rPr>
        <w:t>Privacy and Freedom</w:t>
      </w:r>
      <w:r w:rsidR="00C45F30" w:rsidRPr="00793A87">
        <w:rPr>
          <w:rFonts w:cstheme="minorHAnsi"/>
          <w:sz w:val="20"/>
          <w:szCs w:val="20"/>
        </w:rPr>
        <w:t xml:space="preserve"> (</w:t>
      </w:r>
      <w:r w:rsidR="00ED6348" w:rsidRPr="00793A87">
        <w:rPr>
          <w:rFonts w:cstheme="minorHAnsi"/>
          <w:sz w:val="20"/>
          <w:szCs w:val="20"/>
        </w:rPr>
        <w:t>New York: Atheneum Press, 1967)</w:t>
      </w:r>
      <w:r w:rsidR="00066BCA" w:rsidRPr="00793A87">
        <w:rPr>
          <w:rFonts w:cstheme="minorHAnsi"/>
          <w:sz w:val="20"/>
          <w:szCs w:val="20"/>
        </w:rPr>
        <w:t xml:space="preserve">; </w:t>
      </w:r>
      <w:r w:rsidR="00451237" w:rsidRPr="00793A87">
        <w:rPr>
          <w:rFonts w:cstheme="minorHAnsi"/>
          <w:sz w:val="20"/>
          <w:szCs w:val="20"/>
        </w:rPr>
        <w:t xml:space="preserve">Charles Fried, ‘Privacy’ (1968) 77 </w:t>
      </w:r>
      <w:r w:rsidR="00451237" w:rsidRPr="00793A87">
        <w:rPr>
          <w:rFonts w:cstheme="minorHAnsi"/>
          <w:i/>
          <w:iCs/>
          <w:sz w:val="20"/>
          <w:szCs w:val="20"/>
        </w:rPr>
        <w:t xml:space="preserve">Yale Law Journal </w:t>
      </w:r>
      <w:r w:rsidR="00451237" w:rsidRPr="00793A87">
        <w:rPr>
          <w:rFonts w:cstheme="minorHAnsi"/>
          <w:sz w:val="20"/>
          <w:szCs w:val="20"/>
        </w:rPr>
        <w:t xml:space="preserve">475. </w:t>
      </w:r>
    </w:p>
  </w:footnote>
  <w:footnote w:id="53">
    <w:p w14:paraId="4015E23E" w14:textId="55171F9C" w:rsidR="0077085B" w:rsidRPr="00793A87" w:rsidRDefault="0077085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Daniel J Solove, Neil M Richards, ‘Privacy’s Other Path: Recovering the Law of Confidentiality’ (2007) 96 </w:t>
      </w:r>
      <w:r w:rsidRPr="00793A87">
        <w:rPr>
          <w:rFonts w:asciiTheme="minorHAnsi" w:hAnsiTheme="minorHAnsi" w:cstheme="minorHAnsi"/>
          <w:i/>
          <w:iCs/>
        </w:rPr>
        <w:t>Georgetown Law Journal</w:t>
      </w:r>
      <w:r w:rsidRPr="00793A87">
        <w:rPr>
          <w:rFonts w:asciiTheme="minorHAnsi" w:hAnsiTheme="minorHAnsi" w:cstheme="minorHAnsi"/>
        </w:rPr>
        <w:t xml:space="preserve"> 123, 186</w:t>
      </w:r>
      <w:r w:rsidR="00B60038" w:rsidRPr="00793A87">
        <w:rPr>
          <w:rFonts w:asciiTheme="minorHAnsi" w:hAnsiTheme="minorHAnsi" w:cstheme="minorHAnsi"/>
        </w:rPr>
        <w:t xml:space="preserve">; </w:t>
      </w:r>
      <w:r w:rsidR="00E03458" w:rsidRPr="00793A87">
        <w:rPr>
          <w:rFonts w:asciiTheme="minorHAnsi" w:hAnsiTheme="minorHAnsi" w:cstheme="minorHAnsi"/>
        </w:rPr>
        <w:t xml:space="preserve">Joel Feinberg, </w:t>
      </w:r>
      <w:r w:rsidR="00E03458" w:rsidRPr="00793A87">
        <w:rPr>
          <w:rFonts w:asciiTheme="minorHAnsi" w:hAnsiTheme="minorHAnsi" w:cstheme="minorHAnsi"/>
          <w:i/>
          <w:iCs/>
        </w:rPr>
        <w:t>The Moral s Limits of the Criminal Law, Vol 1: Harm to Others (</w:t>
      </w:r>
      <w:r w:rsidR="00E03458" w:rsidRPr="00793A87">
        <w:rPr>
          <w:rFonts w:asciiTheme="minorHAnsi" w:hAnsiTheme="minorHAnsi" w:cstheme="minorHAnsi"/>
        </w:rPr>
        <w:t>Oxford: OUP, 1984)54 (‘My right to determine by my own choices what enters my public field of experience is one of the various things that meant by the “right to privacy”. My personal space, however, diminishes to the vanishing point where I enter the public world.’) For</w:t>
      </w:r>
      <w:r w:rsidR="000948DE" w:rsidRPr="00793A87">
        <w:rPr>
          <w:rFonts w:asciiTheme="minorHAnsi" w:hAnsiTheme="minorHAnsi" w:cstheme="minorHAnsi"/>
        </w:rPr>
        <w:t xml:space="preserve"> limited contrary US authority </w:t>
      </w:r>
      <w:r w:rsidR="00E03458" w:rsidRPr="00793A87">
        <w:rPr>
          <w:rFonts w:asciiTheme="minorHAnsi" w:hAnsiTheme="minorHAnsi" w:cstheme="minorHAnsi"/>
        </w:rPr>
        <w:t xml:space="preserve">of ‘privacy in pubic’ </w:t>
      </w:r>
      <w:r w:rsidR="00B60038" w:rsidRPr="00793A87">
        <w:rPr>
          <w:rFonts w:asciiTheme="minorHAnsi" w:hAnsiTheme="minorHAnsi" w:cstheme="minorHAnsi"/>
        </w:rPr>
        <w:t xml:space="preserve">e.g. </w:t>
      </w:r>
      <w:r w:rsidR="00B60038" w:rsidRPr="00793A87">
        <w:rPr>
          <w:rFonts w:asciiTheme="minorHAnsi" w:hAnsiTheme="minorHAnsi" w:cstheme="minorHAnsi"/>
          <w:i/>
          <w:iCs/>
        </w:rPr>
        <w:t>Briscoe v Reader's Digest Association</w:t>
      </w:r>
      <w:r w:rsidR="00B60038" w:rsidRPr="00793A87">
        <w:rPr>
          <w:rFonts w:asciiTheme="minorHAnsi" w:hAnsiTheme="minorHAnsi" w:cstheme="minorHAnsi"/>
        </w:rPr>
        <w:t xml:space="preserve"> 4 Cal 3d 532,</w:t>
      </w:r>
      <w:r w:rsidR="00D62805" w:rsidRPr="00793A87">
        <w:rPr>
          <w:rFonts w:asciiTheme="minorHAnsi" w:hAnsiTheme="minorHAnsi" w:cstheme="minorHAnsi"/>
        </w:rPr>
        <w:t xml:space="preserve"> </w:t>
      </w:r>
      <w:r w:rsidR="00B60038" w:rsidRPr="00793A87">
        <w:rPr>
          <w:rFonts w:asciiTheme="minorHAnsi" w:hAnsiTheme="minorHAnsi" w:cstheme="minorHAnsi"/>
        </w:rPr>
        <w:t>534 (Cal 1971):</w:t>
      </w:r>
      <w:r w:rsidR="000948DE" w:rsidRPr="00793A87">
        <w:rPr>
          <w:rFonts w:asciiTheme="minorHAnsi" w:hAnsiTheme="minorHAnsi" w:cstheme="minorHAnsi"/>
        </w:rPr>
        <w:t xml:space="preserve"> </w:t>
      </w:r>
      <w:r w:rsidR="00B60038" w:rsidRPr="00793A87">
        <w:rPr>
          <w:rFonts w:asciiTheme="minorHAnsi" w:hAnsiTheme="minorHAnsi" w:cstheme="minorHAnsi"/>
        </w:rPr>
        <w:t>‘The claim is not so much one of total secrecy as it is of the right to define one's circle of intimacy--to choose who shall see beneath the quotidian mask. Loss of control over which "face" one puts on may result in literal loss of self-identity.’</w:t>
      </w:r>
    </w:p>
  </w:footnote>
  <w:footnote w:id="54">
    <w:p w14:paraId="40ADAFAE" w14:textId="7E307F3F" w:rsidR="00087B73" w:rsidRPr="00793A87" w:rsidRDefault="00087B7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D84B60" w:rsidRPr="00793A87">
        <w:rPr>
          <w:rFonts w:asciiTheme="minorHAnsi" w:hAnsiTheme="minorHAnsi" w:cstheme="minorHAnsi"/>
        </w:rPr>
        <w:t xml:space="preserve">Human rights are vested in individuals as an antidote to the power entrusted to the State </w:t>
      </w:r>
      <w:r w:rsidR="00EB12F9" w:rsidRPr="00793A87">
        <w:rPr>
          <w:rFonts w:asciiTheme="minorHAnsi" w:hAnsiTheme="minorHAnsi" w:cstheme="minorHAnsi"/>
        </w:rPr>
        <w:t xml:space="preserve">to ensure internal and external security backed by a </w:t>
      </w:r>
      <w:r w:rsidR="00D62805" w:rsidRPr="00793A87">
        <w:rPr>
          <w:rFonts w:asciiTheme="minorHAnsi" w:hAnsiTheme="minorHAnsi" w:cstheme="minorHAnsi"/>
        </w:rPr>
        <w:t>monopoly of legitimate violence</w:t>
      </w:r>
      <w:r w:rsidR="000461F6" w:rsidRPr="00793A87">
        <w:rPr>
          <w:rFonts w:asciiTheme="minorHAnsi" w:hAnsiTheme="minorHAnsi" w:cstheme="minorHAnsi"/>
        </w:rPr>
        <w:t xml:space="preserve">. </w:t>
      </w:r>
    </w:p>
  </w:footnote>
  <w:footnote w:id="55">
    <w:p w14:paraId="6EF00E27" w14:textId="56A72893" w:rsidR="00BA4410" w:rsidRPr="00793A87" w:rsidRDefault="00BA4410"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Danuta Mendelson, ‘The Medical Duty of Confidentiality in the Hippocratic Tradition and Jewish </w:t>
      </w:r>
      <w:r w:rsidR="00394A02" w:rsidRPr="00793A87">
        <w:rPr>
          <w:rFonts w:asciiTheme="minorHAnsi" w:hAnsiTheme="minorHAnsi" w:cstheme="minorHAnsi"/>
        </w:rPr>
        <w:t>M</w:t>
      </w:r>
      <w:r w:rsidRPr="00793A87">
        <w:rPr>
          <w:rFonts w:asciiTheme="minorHAnsi" w:hAnsiTheme="minorHAnsi" w:cstheme="minorHAnsi"/>
        </w:rPr>
        <w:t xml:space="preserve">edical Ethics’ </w:t>
      </w:r>
      <w:r w:rsidR="00492D85" w:rsidRPr="00793A87">
        <w:rPr>
          <w:rFonts w:asciiTheme="minorHAnsi" w:hAnsiTheme="minorHAnsi" w:cstheme="minorHAnsi"/>
        </w:rPr>
        <w:t xml:space="preserve">(1998) 5 </w:t>
      </w:r>
      <w:r w:rsidR="00492D85" w:rsidRPr="00793A87">
        <w:rPr>
          <w:rFonts w:asciiTheme="minorHAnsi" w:hAnsiTheme="minorHAnsi" w:cstheme="minorHAnsi"/>
          <w:i/>
          <w:iCs/>
        </w:rPr>
        <w:t>Journal of Law and Medicine</w:t>
      </w:r>
      <w:r w:rsidR="00492D85" w:rsidRPr="00793A87">
        <w:rPr>
          <w:rFonts w:asciiTheme="minorHAnsi" w:hAnsiTheme="minorHAnsi" w:cstheme="minorHAnsi"/>
        </w:rPr>
        <w:t xml:space="preserve"> 227,227</w:t>
      </w:r>
      <w:r w:rsidR="001E42B6" w:rsidRPr="00793A87">
        <w:rPr>
          <w:rFonts w:asciiTheme="minorHAnsi" w:hAnsiTheme="minorHAnsi" w:cstheme="minorHAnsi"/>
        </w:rPr>
        <w:t>; for the checkered history of the Oath, see also Thompson above n</w:t>
      </w:r>
      <w:r w:rsidR="00B60038" w:rsidRPr="00793A87">
        <w:rPr>
          <w:rFonts w:asciiTheme="minorHAnsi" w:hAnsiTheme="minorHAnsi" w:cstheme="minorHAnsi"/>
        </w:rPr>
        <w:t xml:space="preserve"> 44.</w:t>
      </w:r>
    </w:p>
  </w:footnote>
  <w:footnote w:id="56">
    <w:p w14:paraId="3A771CD5" w14:textId="4AD4921A" w:rsidR="007D6C12" w:rsidRPr="00793A87" w:rsidRDefault="007D6C12"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E42B6" w:rsidRPr="00793A87">
        <w:rPr>
          <w:rFonts w:asciiTheme="minorHAnsi" w:hAnsiTheme="minorHAnsi" w:cstheme="minorHAnsi"/>
        </w:rPr>
        <w:t>Mendelson i</w:t>
      </w:r>
      <w:r w:rsidRPr="00793A87">
        <w:rPr>
          <w:rFonts w:asciiTheme="minorHAnsi" w:hAnsiTheme="minorHAnsi" w:cstheme="minorHAnsi"/>
        </w:rPr>
        <w:t xml:space="preserve">bid 229. </w:t>
      </w:r>
    </w:p>
  </w:footnote>
  <w:footnote w:id="57">
    <w:p w14:paraId="5CFAA4B7" w14:textId="1A56F8E5" w:rsidR="003C706C" w:rsidRPr="00793A87" w:rsidRDefault="003C706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E42B6" w:rsidRPr="00793A87">
        <w:rPr>
          <w:rFonts w:asciiTheme="minorHAnsi" w:hAnsiTheme="minorHAnsi" w:cstheme="minorHAnsi"/>
        </w:rPr>
        <w:t>Mendelson ibid</w:t>
      </w:r>
      <w:r w:rsidR="005302C3" w:rsidRPr="00793A87">
        <w:rPr>
          <w:rFonts w:asciiTheme="minorHAnsi" w:hAnsiTheme="minorHAnsi" w:cstheme="minorHAnsi"/>
        </w:rPr>
        <w:t>.</w:t>
      </w:r>
    </w:p>
  </w:footnote>
  <w:footnote w:id="58">
    <w:p w14:paraId="41EA3F70" w14:textId="7271DB5C" w:rsidR="00386447" w:rsidRPr="00793A87" w:rsidRDefault="0038644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E42B6" w:rsidRPr="00793A87">
        <w:rPr>
          <w:rFonts w:asciiTheme="minorHAnsi" w:hAnsiTheme="minorHAnsi" w:cstheme="minorHAnsi"/>
        </w:rPr>
        <w:t>Mendelson ibid</w:t>
      </w:r>
      <w:r w:rsidR="00283CBD" w:rsidRPr="00793A87">
        <w:rPr>
          <w:rFonts w:asciiTheme="minorHAnsi" w:hAnsiTheme="minorHAnsi" w:cstheme="minorHAnsi"/>
        </w:rPr>
        <w:t xml:space="preserve"> </w:t>
      </w:r>
      <w:r w:rsidRPr="00793A87">
        <w:rPr>
          <w:rFonts w:asciiTheme="minorHAnsi" w:hAnsiTheme="minorHAnsi" w:cstheme="minorHAnsi"/>
        </w:rPr>
        <w:t>228</w:t>
      </w:r>
      <w:r w:rsidR="00D62805" w:rsidRPr="00793A87">
        <w:rPr>
          <w:rFonts w:asciiTheme="minorHAnsi" w:hAnsiTheme="minorHAnsi" w:cstheme="minorHAnsi"/>
        </w:rPr>
        <w:t>.</w:t>
      </w:r>
    </w:p>
  </w:footnote>
  <w:footnote w:id="59">
    <w:p w14:paraId="7E3E153F" w14:textId="564F383A" w:rsidR="00386447" w:rsidRPr="00793A87" w:rsidRDefault="0038644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E42B6" w:rsidRPr="00793A87">
        <w:rPr>
          <w:rFonts w:asciiTheme="minorHAnsi" w:hAnsiTheme="minorHAnsi" w:cstheme="minorHAnsi"/>
        </w:rPr>
        <w:t>Mendelson ibid</w:t>
      </w:r>
      <w:r w:rsidR="00283CBD" w:rsidRPr="00793A87">
        <w:rPr>
          <w:rFonts w:asciiTheme="minorHAnsi" w:hAnsiTheme="minorHAnsi" w:cstheme="minorHAnsi"/>
        </w:rPr>
        <w:t xml:space="preserve"> 229. </w:t>
      </w:r>
    </w:p>
  </w:footnote>
  <w:footnote w:id="60">
    <w:p w14:paraId="0AE818EF" w14:textId="130F3A9E" w:rsidR="0017489B" w:rsidRPr="00793A87" w:rsidRDefault="007D6C12" w:rsidP="00214FA3">
      <w:pPr>
        <w:spacing w:after="0" w:line="240" w:lineRule="auto"/>
        <w:jc w:val="both"/>
        <w:rPr>
          <w:rFonts w:eastAsia="Times New Roman" w:cstheme="minorHAnsi"/>
          <w:iCs/>
          <w:sz w:val="20"/>
          <w:szCs w:val="20"/>
          <w:lang w:eastAsia="en-GB"/>
        </w:rPr>
      </w:pPr>
      <w:r w:rsidRPr="00793A87">
        <w:rPr>
          <w:rStyle w:val="FootnoteReference"/>
          <w:rFonts w:cstheme="minorHAnsi"/>
          <w:sz w:val="20"/>
          <w:szCs w:val="20"/>
        </w:rPr>
        <w:footnoteRef/>
      </w:r>
      <w:r w:rsidRPr="00793A87">
        <w:rPr>
          <w:rFonts w:cstheme="minorHAnsi"/>
          <w:sz w:val="20"/>
          <w:szCs w:val="20"/>
        </w:rPr>
        <w:t xml:space="preserve"> </w:t>
      </w:r>
      <w:r w:rsidR="000461F6" w:rsidRPr="00793A87">
        <w:rPr>
          <w:rFonts w:cstheme="minorHAnsi"/>
          <w:sz w:val="20"/>
          <w:szCs w:val="20"/>
        </w:rPr>
        <w:t>Mendelson i</w:t>
      </w:r>
      <w:r w:rsidRPr="00793A87">
        <w:rPr>
          <w:rFonts w:cstheme="minorHAnsi"/>
          <w:sz w:val="20"/>
          <w:szCs w:val="20"/>
        </w:rPr>
        <w:t>bid.</w:t>
      </w:r>
      <w:r w:rsidR="0017489B" w:rsidRPr="00793A87">
        <w:rPr>
          <w:rFonts w:cstheme="minorHAnsi"/>
          <w:sz w:val="20"/>
          <w:szCs w:val="20"/>
        </w:rPr>
        <w:t xml:space="preserve"> </w:t>
      </w:r>
      <w:r w:rsidR="000461F6" w:rsidRPr="00793A87">
        <w:rPr>
          <w:rFonts w:cstheme="minorHAnsi"/>
          <w:sz w:val="20"/>
          <w:szCs w:val="20"/>
        </w:rPr>
        <w:t xml:space="preserve">See also </w:t>
      </w:r>
      <w:r w:rsidR="0017489B" w:rsidRPr="00793A87">
        <w:rPr>
          <w:rFonts w:cstheme="minorHAnsi"/>
          <w:i/>
          <w:iCs/>
          <w:sz w:val="20"/>
          <w:szCs w:val="20"/>
        </w:rPr>
        <w:t>Z v</w:t>
      </w:r>
      <w:r w:rsidR="000461F6" w:rsidRPr="00793A87">
        <w:rPr>
          <w:rFonts w:cstheme="minorHAnsi"/>
          <w:i/>
          <w:iCs/>
          <w:sz w:val="20"/>
          <w:szCs w:val="20"/>
        </w:rPr>
        <w:t xml:space="preserve"> </w:t>
      </w:r>
      <w:r w:rsidR="0017489B" w:rsidRPr="00793A87">
        <w:rPr>
          <w:rFonts w:cstheme="minorHAnsi"/>
          <w:i/>
          <w:iCs/>
          <w:sz w:val="20"/>
          <w:szCs w:val="20"/>
        </w:rPr>
        <w:t>F</w:t>
      </w:r>
      <w:r w:rsidR="000461F6" w:rsidRPr="00793A87">
        <w:rPr>
          <w:rFonts w:cstheme="minorHAnsi"/>
          <w:i/>
          <w:iCs/>
          <w:sz w:val="20"/>
          <w:szCs w:val="20"/>
        </w:rPr>
        <w:t>inland</w:t>
      </w:r>
      <w:r w:rsidR="0017489B" w:rsidRPr="00793A87">
        <w:rPr>
          <w:rFonts w:cstheme="minorHAnsi"/>
          <w:i/>
          <w:iCs/>
          <w:sz w:val="20"/>
          <w:szCs w:val="20"/>
        </w:rPr>
        <w:t xml:space="preserve"> 22009/93</w:t>
      </w:r>
      <w:r w:rsidR="0017489B" w:rsidRPr="00793A87">
        <w:rPr>
          <w:rFonts w:cstheme="minorHAnsi"/>
          <w:sz w:val="20"/>
          <w:szCs w:val="20"/>
        </w:rPr>
        <w:t xml:space="preserve"> [1997] ECHR 10</w:t>
      </w:r>
      <w:r w:rsidR="000461F6" w:rsidRPr="00793A87">
        <w:rPr>
          <w:rFonts w:cstheme="minorHAnsi"/>
          <w:sz w:val="20"/>
          <w:szCs w:val="20"/>
        </w:rPr>
        <w:t>, para 95: ‘</w:t>
      </w:r>
      <w:r w:rsidR="0017489B" w:rsidRPr="00793A87">
        <w:rPr>
          <w:rFonts w:cstheme="minorHAnsi"/>
          <w:sz w:val="20"/>
          <w:szCs w:val="20"/>
        </w:rPr>
        <w:t>Without such protection, those in need of medical assistance may be deterred from revealing such information of a personal and intimate nature as may be necessary in order to receive appropriate treatment and, even, from seeking such assistance, thereby endangering their own health and, in the case of transmissible diseases, that of the community.</w:t>
      </w:r>
      <w:r w:rsidR="000461F6" w:rsidRPr="00793A87">
        <w:rPr>
          <w:rFonts w:cstheme="minorHAnsi"/>
          <w:sz w:val="20"/>
          <w:szCs w:val="20"/>
        </w:rPr>
        <w:t>’</w:t>
      </w:r>
      <w:r w:rsidR="0017489B" w:rsidRPr="00793A87">
        <w:rPr>
          <w:rFonts w:cstheme="minorHAnsi"/>
          <w:sz w:val="20"/>
          <w:szCs w:val="20"/>
        </w:rPr>
        <w:t xml:space="preserve"> </w:t>
      </w:r>
    </w:p>
  </w:footnote>
  <w:footnote w:id="61">
    <w:p w14:paraId="7A1EB448" w14:textId="79D115F7" w:rsidR="007D6C12" w:rsidRPr="00793A87" w:rsidRDefault="007D6C12"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0461F6" w:rsidRPr="00793A87">
        <w:rPr>
          <w:rFonts w:asciiTheme="minorHAnsi" w:hAnsiTheme="minorHAnsi" w:cstheme="minorHAnsi"/>
        </w:rPr>
        <w:t>Mendelson ibid.</w:t>
      </w:r>
    </w:p>
  </w:footnote>
  <w:footnote w:id="62">
    <w:p w14:paraId="0AF8B7DD" w14:textId="295AEBAF" w:rsidR="00E9366E" w:rsidRPr="00793A87" w:rsidRDefault="00E9366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D62805" w:rsidRPr="00793A87">
        <w:rPr>
          <w:rFonts w:asciiTheme="minorHAnsi" w:hAnsiTheme="minorHAnsi" w:cstheme="minorHAnsi"/>
          <w:i/>
          <w:iCs/>
        </w:rPr>
        <w:t>Plon (Société)</w:t>
      </w:r>
      <w:r w:rsidR="00D62805" w:rsidRPr="00793A87">
        <w:rPr>
          <w:rFonts w:asciiTheme="minorHAnsi" w:hAnsiTheme="minorHAnsi" w:cstheme="minorHAnsi"/>
        </w:rPr>
        <w:t xml:space="preserve"> above n 32</w:t>
      </w:r>
      <w:r w:rsidRPr="00793A87">
        <w:rPr>
          <w:rFonts w:asciiTheme="minorHAnsi" w:hAnsiTheme="minorHAnsi" w:cstheme="minorHAnsi"/>
        </w:rPr>
        <w:t>. See also Eric Barendt</w:t>
      </w:r>
      <w:r w:rsidR="00294A8C" w:rsidRPr="00793A87">
        <w:rPr>
          <w:rFonts w:asciiTheme="minorHAnsi" w:hAnsiTheme="minorHAnsi" w:cstheme="minorHAnsi"/>
        </w:rPr>
        <w:t>,</w:t>
      </w:r>
      <w:r w:rsidR="00BC49C1" w:rsidRPr="00793A87">
        <w:rPr>
          <w:rFonts w:asciiTheme="minorHAnsi" w:hAnsiTheme="minorHAnsi" w:cstheme="minorHAnsi"/>
        </w:rPr>
        <w:t xml:space="preserve"> </w:t>
      </w:r>
      <w:r w:rsidR="00294A8C" w:rsidRPr="00793A87">
        <w:rPr>
          <w:rFonts w:asciiTheme="minorHAnsi" w:hAnsiTheme="minorHAnsi" w:cstheme="minorHAnsi"/>
        </w:rPr>
        <w:t>‘</w:t>
      </w:r>
      <w:r w:rsidR="00451237" w:rsidRPr="00793A87">
        <w:rPr>
          <w:rFonts w:asciiTheme="minorHAnsi" w:hAnsiTheme="minorHAnsi" w:cstheme="minorHAnsi"/>
        </w:rPr>
        <w:t>”</w:t>
      </w:r>
      <w:r w:rsidR="00294A8C" w:rsidRPr="00793A87">
        <w:rPr>
          <w:rFonts w:asciiTheme="minorHAnsi" w:hAnsiTheme="minorHAnsi" w:cstheme="minorHAnsi"/>
        </w:rPr>
        <w:t>A reasonable expectation of privacy</w:t>
      </w:r>
      <w:r w:rsidR="00451237" w:rsidRPr="00793A87">
        <w:rPr>
          <w:rFonts w:asciiTheme="minorHAnsi" w:hAnsiTheme="minorHAnsi" w:cstheme="minorHAnsi"/>
        </w:rPr>
        <w:t>”</w:t>
      </w:r>
      <w:r w:rsidR="00294A8C" w:rsidRPr="00793A87">
        <w:rPr>
          <w:rFonts w:asciiTheme="minorHAnsi" w:hAnsiTheme="minorHAnsi" w:cstheme="minorHAnsi"/>
        </w:rPr>
        <w:t xml:space="preserve">: a coherent or redundant concept?’ in </w:t>
      </w:r>
      <w:r w:rsidR="00B55EA8" w:rsidRPr="00793A87">
        <w:rPr>
          <w:rFonts w:asciiTheme="minorHAnsi" w:hAnsiTheme="minorHAnsi" w:cstheme="minorHAnsi"/>
        </w:rPr>
        <w:t xml:space="preserve">Andrew T Kenyon (ed), </w:t>
      </w:r>
      <w:r w:rsidR="00B55EA8" w:rsidRPr="00793A87">
        <w:rPr>
          <w:rFonts w:asciiTheme="minorHAnsi" w:hAnsiTheme="minorHAnsi" w:cstheme="minorHAnsi"/>
          <w:i/>
          <w:iCs/>
        </w:rPr>
        <w:t>Comparative Defamation and Privacy Law</w:t>
      </w:r>
      <w:r w:rsidR="00B55EA8" w:rsidRPr="00793A87">
        <w:rPr>
          <w:rFonts w:asciiTheme="minorHAnsi" w:hAnsiTheme="minorHAnsi" w:cstheme="minorHAnsi"/>
        </w:rPr>
        <w:t xml:space="preserve"> (Cambridge: CUP, 2016) 96</w:t>
      </w:r>
      <w:r w:rsidR="008A30D7" w:rsidRPr="00793A87">
        <w:rPr>
          <w:rFonts w:asciiTheme="minorHAnsi" w:hAnsiTheme="minorHAnsi" w:cstheme="minorHAnsi"/>
        </w:rPr>
        <w:t xml:space="preserve"> (</w:t>
      </w:r>
      <w:r w:rsidR="00020F62" w:rsidRPr="00793A87">
        <w:rPr>
          <w:rFonts w:asciiTheme="minorHAnsi" w:hAnsiTheme="minorHAnsi" w:cstheme="minorHAnsi"/>
        </w:rPr>
        <w:t>argu</w:t>
      </w:r>
      <w:r w:rsidR="008A30D7" w:rsidRPr="00793A87">
        <w:rPr>
          <w:rFonts w:asciiTheme="minorHAnsi" w:hAnsiTheme="minorHAnsi" w:cstheme="minorHAnsi"/>
        </w:rPr>
        <w:t>ing that</w:t>
      </w:r>
      <w:r w:rsidR="00B55EA8" w:rsidRPr="00793A87">
        <w:rPr>
          <w:rFonts w:asciiTheme="minorHAnsi" w:hAnsiTheme="minorHAnsi" w:cstheme="minorHAnsi"/>
        </w:rPr>
        <w:t xml:space="preserve"> </w:t>
      </w:r>
      <w:r w:rsidRPr="00793A87">
        <w:rPr>
          <w:rFonts w:asciiTheme="minorHAnsi" w:hAnsiTheme="minorHAnsi" w:cstheme="minorHAnsi"/>
        </w:rPr>
        <w:t xml:space="preserve">the </w:t>
      </w:r>
      <w:r w:rsidR="00020F62" w:rsidRPr="00793A87">
        <w:rPr>
          <w:rFonts w:asciiTheme="minorHAnsi" w:hAnsiTheme="minorHAnsi" w:cstheme="minorHAnsi"/>
        </w:rPr>
        <w:t xml:space="preserve">test of </w:t>
      </w:r>
      <w:r w:rsidR="008A30D7" w:rsidRPr="00793A87">
        <w:rPr>
          <w:rFonts w:asciiTheme="minorHAnsi" w:hAnsiTheme="minorHAnsi" w:cstheme="minorHAnsi"/>
        </w:rPr>
        <w:t>‘</w:t>
      </w:r>
      <w:r w:rsidR="00020F62" w:rsidRPr="00793A87">
        <w:rPr>
          <w:rFonts w:asciiTheme="minorHAnsi" w:hAnsiTheme="minorHAnsi" w:cstheme="minorHAnsi"/>
        </w:rPr>
        <w:t>r</w:t>
      </w:r>
      <w:r w:rsidRPr="00793A87">
        <w:rPr>
          <w:rFonts w:asciiTheme="minorHAnsi" w:hAnsiTheme="minorHAnsi" w:cstheme="minorHAnsi"/>
        </w:rPr>
        <w:t xml:space="preserve">easonable expectation of </w:t>
      </w:r>
      <w:r w:rsidR="00020F62" w:rsidRPr="00793A87">
        <w:rPr>
          <w:rFonts w:asciiTheme="minorHAnsi" w:hAnsiTheme="minorHAnsi" w:cstheme="minorHAnsi"/>
        </w:rPr>
        <w:t>privacy</w:t>
      </w:r>
      <w:r w:rsidR="008A30D7" w:rsidRPr="00793A87">
        <w:rPr>
          <w:rFonts w:asciiTheme="minorHAnsi" w:hAnsiTheme="minorHAnsi" w:cstheme="minorHAnsi"/>
        </w:rPr>
        <w:t>’</w:t>
      </w:r>
      <w:r w:rsidR="00020F62" w:rsidRPr="00793A87">
        <w:rPr>
          <w:rFonts w:asciiTheme="minorHAnsi" w:hAnsiTheme="minorHAnsi" w:cstheme="minorHAnsi"/>
        </w:rPr>
        <w:t xml:space="preserve"> is redundant</w:t>
      </w:r>
      <w:r w:rsidR="008A30D7" w:rsidRPr="00793A87">
        <w:rPr>
          <w:rFonts w:asciiTheme="minorHAnsi" w:hAnsiTheme="minorHAnsi" w:cstheme="minorHAnsi"/>
        </w:rPr>
        <w:t xml:space="preserve">). </w:t>
      </w:r>
      <w:r w:rsidR="00380163" w:rsidRPr="00793A87">
        <w:rPr>
          <w:rFonts w:asciiTheme="minorHAnsi" w:hAnsiTheme="minorHAnsi" w:cstheme="minorHAnsi"/>
        </w:rPr>
        <w:t xml:space="preserve">Mark A Hall, ‘Law, Medicine, and Trust’ (2002) 55 </w:t>
      </w:r>
      <w:r w:rsidR="00380163" w:rsidRPr="00793A87">
        <w:rPr>
          <w:rFonts w:asciiTheme="minorHAnsi" w:hAnsiTheme="minorHAnsi" w:cstheme="minorHAnsi"/>
          <w:i/>
          <w:iCs/>
        </w:rPr>
        <w:t>Stanford Law Review</w:t>
      </w:r>
      <w:r w:rsidR="00380163" w:rsidRPr="00793A87">
        <w:rPr>
          <w:rFonts w:asciiTheme="minorHAnsi" w:hAnsiTheme="minorHAnsi" w:cstheme="minorHAnsi"/>
        </w:rPr>
        <w:t xml:space="preserve"> 463, 469 (</w:t>
      </w:r>
      <w:r w:rsidR="00380163" w:rsidRPr="00793A87">
        <w:rPr>
          <w:rFonts w:asciiTheme="minorHAnsi" w:hAnsiTheme="minorHAnsi" w:cstheme="minorHAnsi"/>
          <w:i/>
          <w:iCs/>
        </w:rPr>
        <w:t>inter alia</w:t>
      </w:r>
      <w:r w:rsidR="00380163" w:rsidRPr="00793A87">
        <w:rPr>
          <w:rFonts w:asciiTheme="minorHAnsi" w:hAnsiTheme="minorHAnsi" w:cstheme="minorHAnsi"/>
        </w:rPr>
        <w:t xml:space="preserve"> noting that patient </w:t>
      </w:r>
      <w:r w:rsidR="00380163" w:rsidRPr="00793A87">
        <w:rPr>
          <w:rFonts w:asciiTheme="minorHAnsi" w:hAnsiTheme="minorHAnsi" w:cstheme="minorHAnsi"/>
          <w:i/>
          <w:iCs/>
        </w:rPr>
        <w:t>rights</w:t>
      </w:r>
      <w:r w:rsidR="00380163" w:rsidRPr="00793A87">
        <w:rPr>
          <w:rFonts w:asciiTheme="minorHAnsi" w:hAnsiTheme="minorHAnsi" w:cstheme="minorHAnsi"/>
        </w:rPr>
        <w:t xml:space="preserve"> are based on a</w:t>
      </w:r>
      <w:r w:rsidR="00020F62" w:rsidRPr="00793A87">
        <w:rPr>
          <w:rFonts w:asciiTheme="minorHAnsi" w:hAnsiTheme="minorHAnsi" w:cstheme="minorHAnsi"/>
        </w:rPr>
        <w:t xml:space="preserve"> </w:t>
      </w:r>
      <w:r w:rsidR="00020F62" w:rsidRPr="00793A87">
        <w:rPr>
          <w:rFonts w:asciiTheme="minorHAnsi" w:hAnsiTheme="minorHAnsi" w:cstheme="minorHAnsi"/>
          <w:i/>
          <w:iCs/>
        </w:rPr>
        <w:t>prima facie</w:t>
      </w:r>
      <w:r w:rsidR="00380163" w:rsidRPr="00793A87">
        <w:rPr>
          <w:rFonts w:asciiTheme="minorHAnsi" w:hAnsiTheme="minorHAnsi" w:cstheme="minorHAnsi"/>
        </w:rPr>
        <w:t xml:space="preserve"> lack of trustworthiness of the physician). </w:t>
      </w:r>
    </w:p>
  </w:footnote>
  <w:footnote w:id="63">
    <w:p w14:paraId="78DAB89E" w14:textId="3EA63EE0" w:rsidR="005603E7" w:rsidRPr="00793A87" w:rsidRDefault="005603E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D119B" w:rsidRPr="00793A87">
        <w:rPr>
          <w:rFonts w:asciiTheme="minorHAnsi" w:hAnsiTheme="minorHAnsi" w:cstheme="minorHAnsi"/>
        </w:rPr>
        <w:t>Thompso</w:t>
      </w:r>
      <w:r w:rsidR="000461F6" w:rsidRPr="00793A87">
        <w:rPr>
          <w:rFonts w:asciiTheme="minorHAnsi" w:hAnsiTheme="minorHAnsi" w:cstheme="minorHAnsi"/>
        </w:rPr>
        <w:t>n above n 44,</w:t>
      </w:r>
      <w:r w:rsidR="004D119B" w:rsidRPr="00793A87">
        <w:rPr>
          <w:rFonts w:asciiTheme="minorHAnsi" w:hAnsiTheme="minorHAnsi" w:cstheme="minorHAnsi"/>
        </w:rPr>
        <w:t xml:space="preserve"> 57. </w:t>
      </w:r>
      <w:r w:rsidRPr="00793A87">
        <w:rPr>
          <w:rFonts w:asciiTheme="minorHAnsi" w:hAnsiTheme="minorHAnsi" w:cstheme="minorHAnsi"/>
        </w:rPr>
        <w:t xml:space="preserve"> </w:t>
      </w:r>
    </w:p>
  </w:footnote>
  <w:footnote w:id="64">
    <w:p w14:paraId="4B05ED59" w14:textId="31841182" w:rsidR="00EB033F" w:rsidRPr="00793A87" w:rsidRDefault="00B84BDA"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D62805" w:rsidRPr="00793A87">
        <w:rPr>
          <w:rFonts w:cstheme="minorHAnsi"/>
          <w:sz w:val="20"/>
          <w:szCs w:val="20"/>
        </w:rPr>
        <w:t>Thompson above n</w:t>
      </w:r>
      <w:r w:rsidR="009B0D56" w:rsidRPr="00793A87">
        <w:rPr>
          <w:rFonts w:cstheme="minorHAnsi"/>
          <w:sz w:val="20"/>
          <w:szCs w:val="20"/>
        </w:rPr>
        <w:t xml:space="preserve"> </w:t>
      </w:r>
      <w:r w:rsidR="00D62805" w:rsidRPr="00793A87">
        <w:rPr>
          <w:rFonts w:cstheme="minorHAnsi"/>
          <w:sz w:val="20"/>
          <w:szCs w:val="20"/>
        </w:rPr>
        <w:t>44</w:t>
      </w:r>
      <w:r w:rsidR="00020F62" w:rsidRPr="00793A87">
        <w:rPr>
          <w:rFonts w:cstheme="minorHAnsi"/>
          <w:sz w:val="20"/>
          <w:szCs w:val="20"/>
        </w:rPr>
        <w:t>, 63</w:t>
      </w:r>
      <w:r w:rsidR="009B0D56" w:rsidRPr="00793A87">
        <w:rPr>
          <w:rFonts w:cstheme="minorHAnsi"/>
          <w:sz w:val="20"/>
          <w:szCs w:val="20"/>
        </w:rPr>
        <w:t xml:space="preserve">, </w:t>
      </w:r>
      <w:r w:rsidR="00020F62" w:rsidRPr="00793A87">
        <w:rPr>
          <w:rFonts w:cstheme="minorHAnsi"/>
          <w:sz w:val="20"/>
          <w:szCs w:val="20"/>
        </w:rPr>
        <w:t xml:space="preserve">noting that medical secrecy facilitates the </w:t>
      </w:r>
      <w:r w:rsidR="009B0D56" w:rsidRPr="00793A87">
        <w:rPr>
          <w:rFonts w:cstheme="minorHAnsi"/>
          <w:sz w:val="20"/>
          <w:szCs w:val="20"/>
        </w:rPr>
        <w:t>d</w:t>
      </w:r>
      <w:r w:rsidR="00020F62" w:rsidRPr="00793A87">
        <w:rPr>
          <w:rFonts w:cstheme="minorHAnsi"/>
          <w:sz w:val="20"/>
          <w:szCs w:val="20"/>
        </w:rPr>
        <w:t>octor’s independent</w:t>
      </w:r>
      <w:r w:rsidRPr="00793A87">
        <w:rPr>
          <w:rFonts w:cstheme="minorHAnsi"/>
          <w:sz w:val="20"/>
          <w:szCs w:val="20"/>
        </w:rPr>
        <w:t xml:space="preserve"> clinical judgement</w:t>
      </w:r>
      <w:r w:rsidR="009B0D56" w:rsidRPr="00793A87">
        <w:rPr>
          <w:rFonts w:cstheme="minorHAnsi"/>
          <w:sz w:val="20"/>
          <w:szCs w:val="20"/>
        </w:rPr>
        <w:t>: ‘Secrecy is not the enemy of truthfulness but the companion and guardian of truthfulness as we explore the possibilities for truthfulness in a given situation.’</w:t>
      </w:r>
    </w:p>
  </w:footnote>
  <w:footnote w:id="65">
    <w:p w14:paraId="0CD15BF9" w14:textId="1268D3F7" w:rsidR="009B0D56" w:rsidRPr="00793A87" w:rsidRDefault="009B0D5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Most prominently data protection law.  </w:t>
      </w:r>
    </w:p>
  </w:footnote>
  <w:footnote w:id="66">
    <w:p w14:paraId="282EBC22" w14:textId="433EAB3A" w:rsidR="00657530" w:rsidRPr="00793A87" w:rsidRDefault="00657530" w:rsidP="00214FA3">
      <w:pPr>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D60C7D" w:rsidRPr="00793A87">
        <w:rPr>
          <w:rFonts w:cstheme="minorHAnsi"/>
          <w:i/>
          <w:iCs/>
          <w:sz w:val="20"/>
          <w:szCs w:val="20"/>
          <w:lang w:eastAsia="en-GB"/>
        </w:rPr>
        <w:t>Digital Inheritance</w:t>
      </w:r>
      <w:r w:rsidR="00D60C7D" w:rsidRPr="00793A87">
        <w:rPr>
          <w:rFonts w:cstheme="minorHAnsi"/>
          <w:iCs/>
          <w:sz w:val="20"/>
          <w:szCs w:val="20"/>
        </w:rPr>
        <w:t xml:space="preserve"> </w:t>
      </w:r>
      <w:r w:rsidR="00144B9F" w:rsidRPr="00793A87">
        <w:rPr>
          <w:rFonts w:cstheme="minorHAnsi"/>
          <w:iCs/>
          <w:sz w:val="20"/>
          <w:szCs w:val="20"/>
        </w:rPr>
        <w:t>above n 5</w:t>
      </w:r>
      <w:r w:rsidR="00D60C7D" w:rsidRPr="00793A87">
        <w:rPr>
          <w:rFonts w:cstheme="minorHAnsi"/>
          <w:iCs/>
          <w:sz w:val="20"/>
          <w:szCs w:val="20"/>
        </w:rPr>
        <w:t xml:space="preserve">. </w:t>
      </w:r>
      <w:r w:rsidR="00A220E9" w:rsidRPr="00793A87">
        <w:rPr>
          <w:rFonts w:cstheme="minorHAnsi"/>
          <w:sz w:val="20"/>
          <w:szCs w:val="20"/>
        </w:rPr>
        <w:t xml:space="preserve">For similar US </w:t>
      </w:r>
      <w:r w:rsidR="009B0D56" w:rsidRPr="00793A87">
        <w:rPr>
          <w:rFonts w:cstheme="minorHAnsi"/>
          <w:sz w:val="20"/>
          <w:szCs w:val="20"/>
        </w:rPr>
        <w:t>cases</w:t>
      </w:r>
      <w:r w:rsidR="00A220E9" w:rsidRPr="00793A87">
        <w:rPr>
          <w:rFonts w:cstheme="minorHAnsi"/>
          <w:sz w:val="20"/>
          <w:szCs w:val="20"/>
        </w:rPr>
        <w:t xml:space="preserve">, see Fredrick Kunke, ‘Virgian family, seeking clues to son’s suicide, wants easier access to Facebook’ (17 February 2013) </w:t>
      </w:r>
      <w:r w:rsidR="00A61BCC" w:rsidRPr="00793A87">
        <w:rPr>
          <w:rFonts w:cstheme="minorHAnsi"/>
          <w:i/>
          <w:iCs/>
          <w:sz w:val="20"/>
          <w:szCs w:val="20"/>
        </w:rPr>
        <w:t>Washington Post</w:t>
      </w:r>
      <w:r w:rsidR="00A61BCC" w:rsidRPr="00793A87">
        <w:rPr>
          <w:rFonts w:cstheme="minorHAnsi"/>
          <w:sz w:val="20"/>
          <w:szCs w:val="20"/>
        </w:rPr>
        <w:t xml:space="preserve">; </w:t>
      </w:r>
      <w:r w:rsidR="00A220E9" w:rsidRPr="00793A87">
        <w:rPr>
          <w:rFonts w:cstheme="minorHAnsi"/>
          <w:i/>
          <w:iCs/>
          <w:sz w:val="20"/>
          <w:szCs w:val="20"/>
        </w:rPr>
        <w:t>In re Request for Order Requiring Facebook, Inc. to Produce Documents and Things</w:t>
      </w:r>
      <w:r w:rsidR="00A220E9" w:rsidRPr="00793A87">
        <w:rPr>
          <w:rFonts w:cstheme="minorHAnsi"/>
          <w:sz w:val="20"/>
          <w:szCs w:val="20"/>
        </w:rPr>
        <w:t xml:space="preserve"> 923 F Supp 2d 1204 (ND Cal 2012); </w:t>
      </w:r>
      <w:r w:rsidR="00A220E9" w:rsidRPr="00793A87">
        <w:rPr>
          <w:rFonts w:cstheme="minorHAnsi"/>
          <w:i/>
          <w:iCs/>
          <w:sz w:val="20"/>
          <w:szCs w:val="20"/>
        </w:rPr>
        <w:t xml:space="preserve">In re Ellsworth </w:t>
      </w:r>
      <w:r w:rsidR="00A220E9" w:rsidRPr="00793A87">
        <w:rPr>
          <w:rFonts w:cstheme="minorHAnsi"/>
          <w:sz w:val="20"/>
          <w:szCs w:val="20"/>
        </w:rPr>
        <w:t>No 2005-296, 651-DE (Mich Prob Ct 2005).</w:t>
      </w:r>
    </w:p>
  </w:footnote>
  <w:footnote w:id="67">
    <w:p w14:paraId="6B4A512F" w14:textId="50687AA1" w:rsidR="006C42E7" w:rsidRPr="00793A87" w:rsidRDefault="006C42E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6D1153" w:rsidRPr="00793A87">
        <w:rPr>
          <w:rFonts w:asciiTheme="minorHAnsi" w:hAnsiTheme="minorHAnsi" w:cstheme="minorHAnsi"/>
        </w:rPr>
        <w:t xml:space="preserve"> For example,</w:t>
      </w:r>
      <w:r w:rsidRPr="00793A87">
        <w:rPr>
          <w:rFonts w:asciiTheme="minorHAnsi" w:hAnsiTheme="minorHAnsi" w:cstheme="minorHAnsi"/>
        </w:rPr>
        <w:t xml:space="preserve"> </w:t>
      </w:r>
      <w:r w:rsidR="006D1153" w:rsidRPr="00793A87">
        <w:rPr>
          <w:rFonts w:asciiTheme="minorHAnsi" w:hAnsiTheme="minorHAnsi" w:cstheme="minorHAnsi"/>
        </w:rPr>
        <w:t>Jim Waterson, Dan Milmo, ‘Facebook whistleblower Frances Haugen call</w:t>
      </w:r>
      <w:r w:rsidR="00AF4CEB" w:rsidRPr="00793A87">
        <w:rPr>
          <w:rFonts w:asciiTheme="minorHAnsi" w:hAnsiTheme="minorHAnsi" w:cstheme="minorHAnsi"/>
        </w:rPr>
        <w:t xml:space="preserve">s </w:t>
      </w:r>
      <w:r w:rsidR="006D1153" w:rsidRPr="00793A87">
        <w:rPr>
          <w:rFonts w:asciiTheme="minorHAnsi" w:hAnsiTheme="minorHAnsi" w:cstheme="minorHAnsi"/>
        </w:rPr>
        <w:t xml:space="preserve">for urgent external regulation’ </w:t>
      </w:r>
      <w:r w:rsidR="00AF4CEB" w:rsidRPr="00793A87">
        <w:rPr>
          <w:rFonts w:asciiTheme="minorHAnsi" w:hAnsiTheme="minorHAnsi" w:cstheme="minorHAnsi"/>
        </w:rPr>
        <w:t xml:space="preserve">(25 October 2021) </w:t>
      </w:r>
      <w:r w:rsidR="00AF4CEB" w:rsidRPr="00793A87">
        <w:rPr>
          <w:rFonts w:asciiTheme="minorHAnsi" w:hAnsiTheme="minorHAnsi" w:cstheme="minorHAnsi"/>
          <w:i/>
          <w:iCs/>
        </w:rPr>
        <w:t xml:space="preserve">The Guardian </w:t>
      </w:r>
    </w:p>
  </w:footnote>
  <w:footnote w:id="68">
    <w:p w14:paraId="047BDCCE" w14:textId="30A98D95" w:rsidR="00D10FF8" w:rsidRPr="00793A87" w:rsidRDefault="00D10FF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7368E" w:rsidRPr="00793A87">
        <w:rPr>
          <w:rFonts w:asciiTheme="minorHAnsi" w:hAnsiTheme="minorHAnsi" w:cstheme="minorHAnsi"/>
          <w:i/>
          <w:iCs/>
          <w:lang w:eastAsia="en-GB"/>
        </w:rPr>
        <w:t>Digital Inheritance</w:t>
      </w:r>
      <w:r w:rsidR="0017368E"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Pr="00793A87">
        <w:rPr>
          <w:rStyle w:val="Strong"/>
          <w:rFonts w:asciiTheme="minorHAnsi" w:hAnsiTheme="minorHAnsi" w:cstheme="minorHAnsi"/>
          <w:b w:val="0"/>
          <w:bCs w:val="0"/>
        </w:rPr>
        <w:t>, para 47- 51</w:t>
      </w:r>
      <w:r w:rsidR="0017368E" w:rsidRPr="00793A87">
        <w:rPr>
          <w:rStyle w:val="Strong"/>
          <w:rFonts w:asciiTheme="minorHAnsi" w:hAnsiTheme="minorHAnsi" w:cstheme="minorHAnsi"/>
          <w:b w:val="0"/>
          <w:bCs w:val="0"/>
        </w:rPr>
        <w:t xml:space="preserve">; note </w:t>
      </w:r>
      <w:r w:rsidR="000832C7" w:rsidRPr="00793A87">
        <w:rPr>
          <w:rStyle w:val="Strong"/>
          <w:rFonts w:asciiTheme="minorHAnsi" w:hAnsiTheme="minorHAnsi" w:cstheme="minorHAnsi"/>
          <w:b w:val="0"/>
          <w:bCs w:val="0"/>
        </w:rPr>
        <w:t xml:space="preserve">the </w:t>
      </w:r>
      <w:r w:rsidR="00401B47" w:rsidRPr="00793A87">
        <w:rPr>
          <w:rStyle w:val="Strong"/>
          <w:rFonts w:asciiTheme="minorHAnsi" w:hAnsiTheme="minorHAnsi" w:cstheme="minorHAnsi"/>
          <w:b w:val="0"/>
          <w:bCs w:val="0"/>
        </w:rPr>
        <w:t>co</w:t>
      </w:r>
      <w:r w:rsidR="000832C7" w:rsidRPr="00793A87">
        <w:rPr>
          <w:rStyle w:val="Strong"/>
          <w:rFonts w:asciiTheme="minorHAnsi" w:hAnsiTheme="minorHAnsi" w:cstheme="minorHAnsi"/>
          <w:b w:val="0"/>
          <w:bCs w:val="0"/>
        </w:rPr>
        <w:t>urt contrast</w:t>
      </w:r>
      <w:r w:rsidR="0017368E" w:rsidRPr="00793A87">
        <w:rPr>
          <w:rStyle w:val="Strong"/>
          <w:rFonts w:asciiTheme="minorHAnsi" w:hAnsiTheme="minorHAnsi" w:cstheme="minorHAnsi"/>
          <w:b w:val="0"/>
          <w:bCs w:val="0"/>
        </w:rPr>
        <w:t xml:space="preserve">s </w:t>
      </w:r>
      <w:r w:rsidR="000832C7" w:rsidRPr="00793A87">
        <w:rPr>
          <w:rStyle w:val="Strong"/>
          <w:rFonts w:asciiTheme="minorHAnsi" w:hAnsiTheme="minorHAnsi" w:cstheme="minorHAnsi"/>
          <w:b w:val="0"/>
          <w:bCs w:val="0"/>
        </w:rPr>
        <w:t>th</w:t>
      </w:r>
      <w:r w:rsidR="0017368E" w:rsidRPr="00793A87">
        <w:rPr>
          <w:rStyle w:val="Strong"/>
          <w:rFonts w:asciiTheme="minorHAnsi" w:hAnsiTheme="minorHAnsi" w:cstheme="minorHAnsi"/>
          <w:b w:val="0"/>
          <w:bCs w:val="0"/>
        </w:rPr>
        <w:t>e inheritance of a</w:t>
      </w:r>
      <w:r w:rsidR="00AF4CEB" w:rsidRPr="00793A87">
        <w:rPr>
          <w:rStyle w:val="Strong"/>
          <w:rFonts w:asciiTheme="minorHAnsi" w:hAnsiTheme="minorHAnsi" w:cstheme="minorHAnsi"/>
          <w:b w:val="0"/>
          <w:bCs w:val="0"/>
        </w:rPr>
        <w:t xml:space="preserve"> social media</w:t>
      </w:r>
      <w:r w:rsidR="0017368E" w:rsidRPr="00793A87">
        <w:rPr>
          <w:rStyle w:val="Strong"/>
          <w:rFonts w:asciiTheme="minorHAnsi" w:hAnsiTheme="minorHAnsi" w:cstheme="minorHAnsi"/>
          <w:b w:val="0"/>
          <w:bCs w:val="0"/>
        </w:rPr>
        <w:t xml:space="preserve"> account</w:t>
      </w:r>
      <w:r w:rsidR="00AF4CEB" w:rsidRPr="00793A87">
        <w:rPr>
          <w:rStyle w:val="Strong"/>
          <w:rFonts w:asciiTheme="minorHAnsi" w:hAnsiTheme="minorHAnsi" w:cstheme="minorHAnsi"/>
          <w:b w:val="0"/>
          <w:bCs w:val="0"/>
        </w:rPr>
        <w:t xml:space="preserve"> to </w:t>
      </w:r>
      <w:r w:rsidR="0017368E" w:rsidRPr="00793A87">
        <w:rPr>
          <w:rStyle w:val="Strong"/>
          <w:rFonts w:asciiTheme="minorHAnsi" w:hAnsiTheme="minorHAnsi" w:cstheme="minorHAnsi"/>
          <w:b w:val="0"/>
          <w:bCs w:val="0"/>
        </w:rPr>
        <w:t xml:space="preserve">a more personal contract, such as one for medical </w:t>
      </w:r>
      <w:r w:rsidR="000832C7" w:rsidRPr="00793A87">
        <w:rPr>
          <w:rStyle w:val="Strong"/>
          <w:rFonts w:asciiTheme="minorHAnsi" w:hAnsiTheme="minorHAnsi" w:cstheme="minorHAnsi"/>
          <w:b w:val="0"/>
          <w:bCs w:val="0"/>
        </w:rPr>
        <w:t>treatment</w:t>
      </w:r>
      <w:r w:rsidR="0017368E" w:rsidRPr="00793A87">
        <w:rPr>
          <w:rStyle w:val="Strong"/>
          <w:rFonts w:asciiTheme="minorHAnsi" w:hAnsiTheme="minorHAnsi" w:cstheme="minorHAnsi"/>
          <w:b w:val="0"/>
          <w:bCs w:val="0"/>
        </w:rPr>
        <w:t xml:space="preserve"> [para 35] but in each case the inheritance would be limited to a passive right of access. </w:t>
      </w:r>
      <w:r w:rsidR="0080057B" w:rsidRPr="00793A87">
        <w:rPr>
          <w:rStyle w:val="Strong"/>
          <w:rFonts w:asciiTheme="minorHAnsi" w:hAnsiTheme="minorHAnsi" w:cstheme="minorHAnsi"/>
          <w:b w:val="0"/>
          <w:bCs w:val="0"/>
        </w:rPr>
        <w:t xml:space="preserve">In the subsequent decision in </w:t>
      </w:r>
      <w:r w:rsidR="00D60C7D" w:rsidRPr="00793A87">
        <w:rPr>
          <w:rFonts w:asciiTheme="minorHAnsi" w:hAnsiTheme="minorHAnsi" w:cstheme="minorHAnsi"/>
          <w:i/>
          <w:iCs/>
          <w:lang w:eastAsia="en-GB"/>
        </w:rPr>
        <w:t>Digital Inheritance</w:t>
      </w:r>
      <w:r w:rsidR="00D60C7D" w:rsidRPr="00793A87">
        <w:rPr>
          <w:rFonts w:asciiTheme="minorHAnsi" w:hAnsiTheme="minorHAnsi" w:cstheme="minorHAnsi"/>
        </w:rPr>
        <w:t xml:space="preserve"> </w:t>
      </w:r>
      <w:r w:rsidR="0080057B" w:rsidRPr="00793A87">
        <w:rPr>
          <w:rFonts w:asciiTheme="minorHAnsi" w:hAnsiTheme="minorHAnsi" w:cstheme="minorHAnsi"/>
        </w:rPr>
        <w:t>III ZB 30/20</w:t>
      </w:r>
      <w:r w:rsidR="00D60C7D" w:rsidRPr="00793A87">
        <w:rPr>
          <w:rFonts w:asciiTheme="minorHAnsi" w:hAnsiTheme="minorHAnsi" w:cstheme="minorHAnsi"/>
        </w:rPr>
        <w:t xml:space="preserve"> (27 August 2020) </w:t>
      </w:r>
      <w:r w:rsidR="0080057B" w:rsidRPr="00793A87">
        <w:rPr>
          <w:rFonts w:asciiTheme="minorHAnsi" w:hAnsiTheme="minorHAnsi" w:cstheme="minorHAnsi"/>
        </w:rPr>
        <w:t>BGH</w:t>
      </w:r>
      <w:r w:rsidR="0017368E" w:rsidRPr="00793A87">
        <w:rPr>
          <w:rFonts w:asciiTheme="minorHAnsi" w:hAnsiTheme="minorHAnsi" w:cstheme="minorHAnsi"/>
        </w:rPr>
        <w:t xml:space="preserve">, </w:t>
      </w:r>
      <w:r w:rsidR="0080057B" w:rsidRPr="00793A87">
        <w:rPr>
          <w:rFonts w:asciiTheme="minorHAnsi" w:hAnsiTheme="minorHAnsi" w:cstheme="minorHAnsi"/>
        </w:rPr>
        <w:t xml:space="preserve">the court held that Facebook had to give the parents full access to the account, and not simply a pdf document with the relevant content. </w:t>
      </w:r>
    </w:p>
  </w:footnote>
  <w:footnote w:id="69">
    <w:p w14:paraId="344E2D56" w14:textId="453925C2" w:rsidR="00940644" w:rsidRPr="00793A87" w:rsidRDefault="0094064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17368E" w:rsidRPr="00793A87">
        <w:rPr>
          <w:rFonts w:asciiTheme="minorHAnsi" w:hAnsiTheme="minorHAnsi" w:cstheme="minorHAnsi"/>
          <w:i/>
          <w:iCs/>
          <w:lang w:eastAsia="en-GB"/>
        </w:rPr>
        <w:t>Digital Inheritance</w:t>
      </w:r>
      <w:r w:rsidR="0017368E"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17368E" w:rsidRPr="00793A87">
        <w:rPr>
          <w:rStyle w:val="Strong"/>
          <w:rFonts w:asciiTheme="minorHAnsi" w:hAnsiTheme="minorHAnsi" w:cstheme="minorHAnsi"/>
          <w:b w:val="0"/>
          <w:bCs w:val="0"/>
        </w:rPr>
        <w:t>, para 64-9</w:t>
      </w:r>
      <w:r w:rsidR="00B47FB7" w:rsidRPr="00793A87">
        <w:rPr>
          <w:rStyle w:val="Strong"/>
          <w:rFonts w:asciiTheme="minorHAnsi" w:hAnsiTheme="minorHAnsi" w:cstheme="minorHAnsi"/>
          <w:b w:val="0"/>
          <w:bCs w:val="0"/>
        </w:rPr>
        <w:t xml:space="preserve">5. </w:t>
      </w:r>
    </w:p>
  </w:footnote>
  <w:footnote w:id="70">
    <w:p w14:paraId="20BC871A" w14:textId="16FC1719" w:rsidR="006E7A8E" w:rsidRPr="00793A87" w:rsidRDefault="006E7A8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B47FB7" w:rsidRPr="00793A87">
        <w:rPr>
          <w:rFonts w:asciiTheme="minorHAnsi" w:hAnsiTheme="minorHAnsi" w:cstheme="minorHAnsi"/>
          <w:i/>
          <w:iCs/>
          <w:lang w:eastAsia="en-GB"/>
        </w:rPr>
        <w:t>Digital Inheritance</w:t>
      </w:r>
      <w:r w:rsidR="00B47FB7"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B47FB7" w:rsidRPr="00793A87">
        <w:rPr>
          <w:rStyle w:val="Strong"/>
          <w:rFonts w:asciiTheme="minorHAnsi" w:hAnsiTheme="minorHAnsi" w:cstheme="minorHAnsi"/>
          <w:b w:val="0"/>
          <w:bCs w:val="0"/>
        </w:rPr>
        <w:t xml:space="preserve">, esp para 74-81; consistent with the family-centred paradigm of inheritance law in Western </w:t>
      </w:r>
      <w:r w:rsidR="00401B47" w:rsidRPr="00793A87">
        <w:rPr>
          <w:rStyle w:val="Strong"/>
          <w:rFonts w:asciiTheme="minorHAnsi" w:hAnsiTheme="minorHAnsi" w:cstheme="minorHAnsi"/>
          <w:b w:val="0"/>
          <w:bCs w:val="0"/>
        </w:rPr>
        <w:t>societies</w:t>
      </w:r>
      <w:r w:rsidR="008A30D7" w:rsidRPr="00793A87">
        <w:rPr>
          <w:rStyle w:val="Strong"/>
          <w:rFonts w:asciiTheme="minorHAnsi" w:hAnsiTheme="minorHAnsi" w:cstheme="minorHAnsi"/>
          <w:b w:val="0"/>
          <w:bCs w:val="0"/>
        </w:rPr>
        <w:t>;</w:t>
      </w:r>
      <w:r w:rsidR="00B47FB7" w:rsidRPr="00793A87">
        <w:rPr>
          <w:rStyle w:val="Strong"/>
          <w:rFonts w:asciiTheme="minorHAnsi" w:hAnsiTheme="minorHAnsi" w:cstheme="minorHAnsi"/>
          <w:b w:val="0"/>
          <w:bCs w:val="0"/>
        </w:rPr>
        <w:t xml:space="preserve"> see </w:t>
      </w:r>
      <w:r w:rsidR="00B47FB7" w:rsidRPr="00793A87">
        <w:rPr>
          <w:rFonts w:asciiTheme="minorHAnsi" w:hAnsiTheme="minorHAnsi" w:cstheme="minorHAnsi"/>
        </w:rPr>
        <w:t xml:space="preserve">Natalie M Banta, ‘Death and Privacy in the Digital Age’ (2016) 94 </w:t>
      </w:r>
      <w:r w:rsidR="00B47FB7" w:rsidRPr="00793A87">
        <w:rPr>
          <w:rFonts w:asciiTheme="minorHAnsi" w:hAnsiTheme="minorHAnsi" w:cstheme="minorHAnsi"/>
          <w:i/>
          <w:iCs/>
        </w:rPr>
        <w:t>North California Law Review</w:t>
      </w:r>
      <w:r w:rsidR="00B47FB7" w:rsidRPr="00793A87">
        <w:rPr>
          <w:rFonts w:asciiTheme="minorHAnsi" w:hAnsiTheme="minorHAnsi" w:cstheme="minorHAnsi"/>
        </w:rPr>
        <w:t xml:space="preserve"> 927</w:t>
      </w:r>
      <w:r w:rsidR="00401B47" w:rsidRPr="00793A87">
        <w:rPr>
          <w:rFonts w:asciiTheme="minorHAnsi" w:hAnsiTheme="minorHAnsi" w:cstheme="minorHAnsi"/>
        </w:rPr>
        <w:t>.</w:t>
      </w:r>
    </w:p>
  </w:footnote>
  <w:footnote w:id="71">
    <w:p w14:paraId="7D3C520B" w14:textId="3720E862" w:rsidR="00BF4534" w:rsidRPr="00793A87" w:rsidRDefault="00BF453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01B47" w:rsidRPr="00793A87">
        <w:rPr>
          <w:rFonts w:asciiTheme="minorHAnsi" w:hAnsiTheme="minorHAnsi" w:cstheme="minorHAnsi"/>
          <w:i/>
          <w:iCs/>
          <w:lang w:eastAsia="en-GB"/>
        </w:rPr>
        <w:t>Digital Inheritance</w:t>
      </w:r>
      <w:r w:rsidR="00401B47"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401B47" w:rsidRPr="00793A87">
        <w:rPr>
          <w:rStyle w:val="Strong"/>
          <w:rFonts w:asciiTheme="minorHAnsi" w:hAnsiTheme="minorHAnsi" w:cstheme="minorHAnsi"/>
          <w:b w:val="0"/>
          <w:bCs w:val="0"/>
        </w:rPr>
        <w:t xml:space="preserve">, </w:t>
      </w:r>
      <w:r w:rsidR="003A27D2" w:rsidRPr="00793A87">
        <w:rPr>
          <w:rFonts w:asciiTheme="minorHAnsi" w:hAnsiTheme="minorHAnsi" w:cstheme="minorHAnsi"/>
        </w:rPr>
        <w:t>p</w:t>
      </w:r>
      <w:r w:rsidRPr="00793A87">
        <w:rPr>
          <w:rFonts w:asciiTheme="minorHAnsi" w:hAnsiTheme="minorHAnsi" w:cstheme="minorHAnsi"/>
        </w:rPr>
        <w:t>ara 87, 91</w:t>
      </w:r>
      <w:r w:rsidR="00401B47" w:rsidRPr="00793A87">
        <w:rPr>
          <w:rFonts w:asciiTheme="minorHAnsi" w:hAnsiTheme="minorHAnsi" w:cstheme="minorHAnsi"/>
        </w:rPr>
        <w:t>;</w:t>
      </w:r>
      <w:r w:rsidR="003A27D2" w:rsidRPr="00793A87">
        <w:rPr>
          <w:rFonts w:asciiTheme="minorHAnsi" w:hAnsiTheme="minorHAnsi" w:cstheme="minorHAnsi"/>
        </w:rPr>
        <w:t xml:space="preserve"> the court relied on Art</w:t>
      </w:r>
      <w:r w:rsidR="00401B47" w:rsidRPr="00793A87">
        <w:rPr>
          <w:rFonts w:asciiTheme="minorHAnsi" w:hAnsiTheme="minorHAnsi" w:cstheme="minorHAnsi"/>
        </w:rPr>
        <w:t xml:space="preserve"> </w:t>
      </w:r>
      <w:r w:rsidR="003A27D2" w:rsidRPr="00793A87">
        <w:rPr>
          <w:rFonts w:asciiTheme="minorHAnsi" w:hAnsiTheme="minorHAnsi" w:cstheme="minorHAnsi"/>
        </w:rPr>
        <w:t xml:space="preserve">6(1) (a) and (f) and Recital 47 of the GDPR (i.e. ‘necessary for contractual performance’ and ‘legitimate interest’ respectively) but the real controversy </w:t>
      </w:r>
      <w:r w:rsidR="00401B47" w:rsidRPr="00793A87">
        <w:rPr>
          <w:rFonts w:asciiTheme="minorHAnsi" w:hAnsiTheme="minorHAnsi" w:cstheme="minorHAnsi"/>
        </w:rPr>
        <w:t xml:space="preserve">was </w:t>
      </w:r>
      <w:r w:rsidR="008A30D7" w:rsidRPr="00793A87">
        <w:rPr>
          <w:rFonts w:asciiTheme="minorHAnsi" w:hAnsiTheme="minorHAnsi" w:cstheme="minorHAnsi"/>
        </w:rPr>
        <w:t>centred around</w:t>
      </w:r>
      <w:r w:rsidR="003A27D2" w:rsidRPr="00793A87">
        <w:rPr>
          <w:rFonts w:asciiTheme="minorHAnsi" w:hAnsiTheme="minorHAnsi" w:cstheme="minorHAnsi"/>
        </w:rPr>
        <w:t xml:space="preserve"> the ‘legitimate interest’ ground</w:t>
      </w:r>
      <w:r w:rsidR="008A30D7" w:rsidRPr="00793A87">
        <w:rPr>
          <w:rFonts w:asciiTheme="minorHAnsi" w:hAnsiTheme="minorHAnsi" w:cstheme="minorHAnsi"/>
        </w:rPr>
        <w:t>,</w:t>
      </w:r>
      <w:r w:rsidR="003A27D2" w:rsidRPr="00793A87">
        <w:rPr>
          <w:rFonts w:asciiTheme="minorHAnsi" w:hAnsiTheme="minorHAnsi" w:cstheme="minorHAnsi"/>
        </w:rPr>
        <w:t xml:space="preserve"> </w:t>
      </w:r>
      <w:r w:rsidR="00401B47" w:rsidRPr="00793A87">
        <w:rPr>
          <w:rFonts w:asciiTheme="minorHAnsi" w:hAnsiTheme="minorHAnsi" w:cstheme="minorHAnsi"/>
        </w:rPr>
        <w:t xml:space="preserve">given that </w:t>
      </w:r>
      <w:r w:rsidR="003A27D2" w:rsidRPr="00793A87">
        <w:rPr>
          <w:rFonts w:asciiTheme="minorHAnsi" w:hAnsiTheme="minorHAnsi" w:cstheme="minorHAnsi"/>
        </w:rPr>
        <w:t xml:space="preserve">the granting the parent access could not easily be justified as a </w:t>
      </w:r>
      <w:r w:rsidR="00401B47" w:rsidRPr="00793A87">
        <w:rPr>
          <w:rFonts w:asciiTheme="minorHAnsi" w:hAnsiTheme="minorHAnsi" w:cstheme="minorHAnsi"/>
        </w:rPr>
        <w:t>‘</w:t>
      </w:r>
      <w:r w:rsidR="003A27D2" w:rsidRPr="00793A87">
        <w:rPr>
          <w:rFonts w:asciiTheme="minorHAnsi" w:hAnsiTheme="minorHAnsi" w:cstheme="minorHAnsi"/>
        </w:rPr>
        <w:t>necessary</w:t>
      </w:r>
      <w:r w:rsidR="00401B47" w:rsidRPr="00793A87">
        <w:rPr>
          <w:rFonts w:asciiTheme="minorHAnsi" w:hAnsiTheme="minorHAnsi" w:cstheme="minorHAnsi"/>
        </w:rPr>
        <w:t>’</w:t>
      </w:r>
      <w:r w:rsidR="003A27D2" w:rsidRPr="00793A87">
        <w:rPr>
          <w:rFonts w:asciiTheme="minorHAnsi" w:hAnsiTheme="minorHAnsi" w:cstheme="minorHAnsi"/>
        </w:rPr>
        <w:t xml:space="preserve"> adjunct of the</w:t>
      </w:r>
      <w:r w:rsidR="00401B47" w:rsidRPr="00793A87">
        <w:rPr>
          <w:rFonts w:asciiTheme="minorHAnsi" w:hAnsiTheme="minorHAnsi" w:cstheme="minorHAnsi"/>
        </w:rPr>
        <w:t xml:space="preserve"> performance of the</w:t>
      </w:r>
      <w:r w:rsidR="003A27D2" w:rsidRPr="00793A87">
        <w:rPr>
          <w:rFonts w:asciiTheme="minorHAnsi" w:hAnsiTheme="minorHAnsi" w:cstheme="minorHAnsi"/>
        </w:rPr>
        <w:t xml:space="preserve"> user contract. </w:t>
      </w:r>
    </w:p>
  </w:footnote>
  <w:footnote w:id="72">
    <w:p w14:paraId="32220D37" w14:textId="312EB7EB" w:rsidR="00BA6C33" w:rsidRPr="00793A87" w:rsidRDefault="00BA6C3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01B47" w:rsidRPr="00793A87">
        <w:rPr>
          <w:rFonts w:asciiTheme="minorHAnsi" w:hAnsiTheme="minorHAnsi" w:cstheme="minorHAnsi"/>
        </w:rPr>
        <w:t xml:space="preserve">Revised Uniform Fiduciary Access to Digital Assets Act (2015) of the Uniform Law Commission; see also prior version Uniform Fiduciary Access to Digital Assets Act (2014). </w:t>
      </w:r>
    </w:p>
  </w:footnote>
  <w:footnote w:id="73">
    <w:p w14:paraId="182840D8" w14:textId="34E34FF0" w:rsidR="004F0692" w:rsidRPr="00793A87" w:rsidRDefault="004F0692" w:rsidP="00214FA3">
      <w:pPr>
        <w:pStyle w:val="Default"/>
        <w:jc w:val="both"/>
        <w:rPr>
          <w:rFonts w:asciiTheme="minorHAnsi" w:hAnsiTheme="minorHAnsi" w:cstheme="minorHAnsi"/>
          <w:sz w:val="20"/>
          <w:szCs w:val="20"/>
        </w:rPr>
      </w:pPr>
      <w:r w:rsidRPr="00793A87">
        <w:rPr>
          <w:rStyle w:val="FootnoteReference"/>
          <w:rFonts w:asciiTheme="minorHAnsi" w:hAnsiTheme="minorHAnsi" w:cstheme="minorHAnsi"/>
          <w:sz w:val="20"/>
          <w:szCs w:val="20"/>
        </w:rPr>
        <w:footnoteRef/>
      </w:r>
      <w:r w:rsidRPr="00793A87">
        <w:rPr>
          <w:rFonts w:asciiTheme="minorHAnsi" w:hAnsiTheme="minorHAnsi" w:cstheme="minorHAnsi"/>
          <w:sz w:val="20"/>
          <w:szCs w:val="20"/>
        </w:rPr>
        <w:t xml:space="preserve">  </w:t>
      </w:r>
      <w:r w:rsidR="00A55DAE" w:rsidRPr="00793A87">
        <w:rPr>
          <w:rFonts w:asciiTheme="minorHAnsi" w:hAnsiTheme="minorHAnsi" w:cstheme="minorHAnsi"/>
          <w:sz w:val="20"/>
          <w:szCs w:val="20"/>
        </w:rPr>
        <w:t xml:space="preserve">Suzanne Brown Walsh, </w:t>
      </w:r>
      <w:r w:rsidR="00C41044" w:rsidRPr="00793A87">
        <w:rPr>
          <w:rFonts w:asciiTheme="minorHAnsi" w:hAnsiTheme="minorHAnsi" w:cstheme="minorHAnsi"/>
          <w:sz w:val="20"/>
          <w:szCs w:val="20"/>
        </w:rPr>
        <w:t xml:space="preserve">Benjamin Orzeske, Turney P Berry,’ You Can’t Always Get What You Want’ (Nov 2015) </w:t>
      </w:r>
      <w:r w:rsidR="00C41044" w:rsidRPr="00793A87">
        <w:rPr>
          <w:rFonts w:asciiTheme="minorHAnsi" w:hAnsiTheme="minorHAnsi" w:cstheme="minorHAnsi"/>
          <w:i/>
          <w:iCs/>
          <w:sz w:val="20"/>
          <w:szCs w:val="20"/>
        </w:rPr>
        <w:t xml:space="preserve">Trusts &amp; Estates </w:t>
      </w:r>
      <w:r w:rsidR="00C41044" w:rsidRPr="00793A87">
        <w:rPr>
          <w:rFonts w:asciiTheme="minorHAnsi" w:hAnsiTheme="minorHAnsi" w:cstheme="minorHAnsi"/>
          <w:sz w:val="20"/>
          <w:szCs w:val="20"/>
        </w:rPr>
        <w:t xml:space="preserve">2, 3. </w:t>
      </w:r>
    </w:p>
  </w:footnote>
  <w:footnote w:id="74">
    <w:p w14:paraId="7D5A9200" w14:textId="2F2A6E6C" w:rsidR="00A55DAE" w:rsidRPr="00793A87" w:rsidRDefault="00A55DA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F25B9" w:rsidRPr="00793A87">
        <w:rPr>
          <w:rFonts w:asciiTheme="minorHAnsi" w:hAnsiTheme="minorHAnsi" w:cstheme="minorHAnsi"/>
        </w:rPr>
        <w:t>See s.4-5 of the Revised</w:t>
      </w:r>
      <w:r w:rsidRPr="00793A87">
        <w:rPr>
          <w:rFonts w:asciiTheme="minorHAnsi" w:hAnsiTheme="minorHAnsi" w:cstheme="minorHAnsi"/>
        </w:rPr>
        <w:t xml:space="preserve"> Uniform Fiduciary Access to Digital Assets Act (2015)</w:t>
      </w:r>
      <w:r w:rsidR="006E5A5D" w:rsidRPr="00793A87">
        <w:rPr>
          <w:rFonts w:asciiTheme="minorHAnsi" w:hAnsiTheme="minorHAnsi" w:cstheme="minorHAnsi"/>
        </w:rPr>
        <w:t>.</w:t>
      </w:r>
    </w:p>
  </w:footnote>
  <w:footnote w:id="75">
    <w:p w14:paraId="189D329D" w14:textId="24AFD656" w:rsidR="00A55DAE" w:rsidRPr="00793A87" w:rsidRDefault="00A55DA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Brown Walsh above n</w:t>
      </w:r>
      <w:r w:rsidR="006E5A5D" w:rsidRPr="00793A87">
        <w:rPr>
          <w:rFonts w:asciiTheme="minorHAnsi" w:hAnsiTheme="minorHAnsi" w:cstheme="minorHAnsi"/>
        </w:rPr>
        <w:t xml:space="preserve"> 73</w:t>
      </w:r>
      <w:r w:rsidRPr="00793A87">
        <w:rPr>
          <w:rFonts w:asciiTheme="minorHAnsi" w:hAnsiTheme="minorHAnsi" w:cstheme="minorHAnsi"/>
        </w:rPr>
        <w:t xml:space="preserve">, </w:t>
      </w:r>
      <w:r w:rsidR="00C41044" w:rsidRPr="00793A87">
        <w:rPr>
          <w:rFonts w:asciiTheme="minorHAnsi" w:hAnsiTheme="minorHAnsi" w:cstheme="minorHAnsi"/>
        </w:rPr>
        <w:t>4</w:t>
      </w:r>
      <w:r w:rsidRPr="00793A87">
        <w:rPr>
          <w:rFonts w:asciiTheme="minorHAnsi" w:hAnsiTheme="minorHAnsi" w:cstheme="minorHAnsi"/>
        </w:rPr>
        <w:t xml:space="preserve">. </w:t>
      </w:r>
    </w:p>
  </w:footnote>
  <w:footnote w:id="76">
    <w:p w14:paraId="19FAC8B8" w14:textId="3BDDA76E" w:rsidR="004628EA" w:rsidRPr="00793A87" w:rsidRDefault="004628E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E5A5D" w:rsidRPr="00793A87">
        <w:rPr>
          <w:rStyle w:val="markedcontent"/>
          <w:rFonts w:asciiTheme="minorHAnsi" w:hAnsiTheme="minorHAnsi" w:cstheme="minorHAnsi"/>
        </w:rPr>
        <w:t xml:space="preserve">Frederick </w:t>
      </w:r>
      <w:r w:rsidR="006E5A5D" w:rsidRPr="00793A87">
        <w:rPr>
          <w:rStyle w:val="highlight"/>
          <w:rFonts w:asciiTheme="minorHAnsi" w:hAnsiTheme="minorHAnsi" w:cstheme="minorHAnsi"/>
        </w:rPr>
        <w:t>Schauer</w:t>
      </w:r>
      <w:r w:rsidR="006E5A5D" w:rsidRPr="00793A87">
        <w:rPr>
          <w:rStyle w:val="markedcontent"/>
          <w:rFonts w:asciiTheme="minorHAnsi" w:hAnsiTheme="minorHAnsi" w:cstheme="minorHAnsi"/>
        </w:rPr>
        <w:t xml:space="preserve">, ‘The Exceptional First Amendment’ (2005) </w:t>
      </w:r>
      <w:r w:rsidR="006E5A5D" w:rsidRPr="00793A87">
        <w:rPr>
          <w:rStyle w:val="markedcontent"/>
          <w:rFonts w:asciiTheme="minorHAnsi" w:hAnsiTheme="minorHAnsi" w:cstheme="minorHAnsi"/>
          <w:i/>
          <w:iCs/>
        </w:rPr>
        <w:t>Faculty Research Working Paper Series,</w:t>
      </w:r>
      <w:r w:rsidR="006E5A5D" w:rsidRPr="00793A87">
        <w:rPr>
          <w:rFonts w:asciiTheme="minorHAnsi" w:hAnsiTheme="minorHAnsi" w:cstheme="minorHAnsi"/>
          <w:i/>
          <w:iCs/>
        </w:rPr>
        <w:br/>
      </w:r>
      <w:r w:rsidR="006E5A5D" w:rsidRPr="00793A87">
        <w:rPr>
          <w:rStyle w:val="markedcontent"/>
          <w:rFonts w:asciiTheme="minorHAnsi" w:hAnsiTheme="minorHAnsi" w:cstheme="minorHAnsi"/>
          <w:i/>
          <w:iCs/>
        </w:rPr>
        <w:t>Harvard University, John F. Kennedy School of Government</w:t>
      </w:r>
      <w:r w:rsidR="006E5A5D" w:rsidRPr="00793A87">
        <w:rPr>
          <w:rFonts w:asciiTheme="minorHAnsi" w:hAnsiTheme="minorHAnsi" w:cstheme="minorHAnsi"/>
        </w:rPr>
        <w:t xml:space="preserve"> </w:t>
      </w:r>
      <w:r w:rsidRPr="00793A87">
        <w:rPr>
          <w:rFonts w:asciiTheme="minorHAnsi" w:hAnsiTheme="minorHAnsi" w:cstheme="minorHAnsi"/>
        </w:rPr>
        <w:t>22</w:t>
      </w:r>
      <w:r w:rsidR="006E5A5D" w:rsidRPr="00793A87">
        <w:rPr>
          <w:rFonts w:asciiTheme="minorHAnsi" w:hAnsiTheme="minorHAnsi" w:cstheme="minorHAnsi"/>
        </w:rPr>
        <w:t xml:space="preserve">; but see </w:t>
      </w:r>
      <w:r w:rsidR="00D10FF8" w:rsidRPr="00793A87">
        <w:rPr>
          <w:rFonts w:asciiTheme="minorHAnsi" w:hAnsiTheme="minorHAnsi" w:cstheme="minorHAnsi"/>
        </w:rPr>
        <w:t>Banta</w:t>
      </w:r>
      <w:r w:rsidR="006E5A5D" w:rsidRPr="00793A87">
        <w:rPr>
          <w:rFonts w:asciiTheme="minorHAnsi" w:hAnsiTheme="minorHAnsi" w:cstheme="minorHAnsi"/>
        </w:rPr>
        <w:t xml:space="preserve"> above n 70</w:t>
      </w:r>
      <w:r w:rsidR="00D10FF8" w:rsidRPr="00793A87">
        <w:rPr>
          <w:rFonts w:asciiTheme="minorHAnsi" w:hAnsiTheme="minorHAnsi" w:cstheme="minorHAnsi"/>
        </w:rPr>
        <w:t xml:space="preserve">, where the author argues </w:t>
      </w:r>
      <w:r w:rsidR="006E5A5D" w:rsidRPr="00793A87">
        <w:rPr>
          <w:rFonts w:asciiTheme="minorHAnsi" w:hAnsiTheme="minorHAnsi" w:cstheme="minorHAnsi"/>
        </w:rPr>
        <w:t xml:space="preserve">for the family orientation of US inheritance law and that this orientation should be reflected in </w:t>
      </w:r>
      <w:r w:rsidR="00D10FF8" w:rsidRPr="00793A87">
        <w:rPr>
          <w:rFonts w:asciiTheme="minorHAnsi" w:hAnsiTheme="minorHAnsi" w:cstheme="minorHAnsi"/>
        </w:rPr>
        <w:t>the default rules of digital asset succession</w:t>
      </w:r>
      <w:r w:rsidR="00D60C7D" w:rsidRPr="00793A87">
        <w:rPr>
          <w:rFonts w:asciiTheme="minorHAnsi" w:hAnsiTheme="minorHAnsi" w:cstheme="minorHAnsi"/>
        </w:rPr>
        <w:t xml:space="preserve"> (as it is in some US </w:t>
      </w:r>
      <w:r w:rsidR="008A30D7" w:rsidRPr="00793A87">
        <w:rPr>
          <w:rFonts w:asciiTheme="minorHAnsi" w:hAnsiTheme="minorHAnsi" w:cstheme="minorHAnsi"/>
        </w:rPr>
        <w:t>jurisdictions</w:t>
      </w:r>
      <w:r w:rsidR="00D60C7D" w:rsidRPr="00793A87">
        <w:rPr>
          <w:rFonts w:asciiTheme="minorHAnsi" w:hAnsiTheme="minorHAnsi" w:cstheme="minorHAnsi"/>
        </w:rPr>
        <w:t>)</w:t>
      </w:r>
      <w:r w:rsidR="006E5A5D" w:rsidRPr="00793A87">
        <w:rPr>
          <w:rFonts w:asciiTheme="minorHAnsi" w:hAnsiTheme="minorHAnsi" w:cstheme="minorHAnsi"/>
        </w:rPr>
        <w:t>.</w:t>
      </w:r>
    </w:p>
  </w:footnote>
  <w:footnote w:id="77">
    <w:p w14:paraId="575117A2" w14:textId="761FE9E9" w:rsidR="00CD2809" w:rsidRPr="00793A87" w:rsidRDefault="00CD2809"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Contrast Mazzone above n 3, 1683, for </w:t>
      </w:r>
      <w:r w:rsidR="006514F6" w:rsidRPr="00793A87">
        <w:rPr>
          <w:rFonts w:asciiTheme="minorHAnsi" w:hAnsiTheme="minorHAnsi" w:cstheme="minorHAnsi"/>
        </w:rPr>
        <w:t xml:space="preserve">arguably important </w:t>
      </w:r>
      <w:r w:rsidRPr="00793A87">
        <w:rPr>
          <w:rFonts w:asciiTheme="minorHAnsi" w:hAnsiTheme="minorHAnsi" w:cstheme="minorHAnsi"/>
        </w:rPr>
        <w:t xml:space="preserve">distinctions between health records and social media data. </w:t>
      </w:r>
    </w:p>
  </w:footnote>
  <w:footnote w:id="78">
    <w:p w14:paraId="118B6D55" w14:textId="1FC93830" w:rsidR="004F79ED" w:rsidRPr="00793A87" w:rsidRDefault="004F79ED" w:rsidP="00214FA3">
      <w:pPr>
        <w:spacing w:after="0" w:line="240" w:lineRule="auto"/>
        <w:jc w:val="both"/>
        <w:rPr>
          <w:rFonts w:eastAsia="Times New Roman" w:cstheme="minorHAnsi"/>
          <w:i/>
          <w:sz w:val="20"/>
          <w:szCs w:val="20"/>
          <w:lang w:eastAsia="en-GB"/>
        </w:rPr>
      </w:pPr>
      <w:r w:rsidRPr="00793A87">
        <w:rPr>
          <w:rStyle w:val="FootnoteReference"/>
          <w:rFonts w:cstheme="minorHAnsi"/>
          <w:sz w:val="20"/>
          <w:szCs w:val="20"/>
        </w:rPr>
        <w:footnoteRef/>
      </w:r>
      <w:r w:rsidRPr="00793A87">
        <w:rPr>
          <w:rFonts w:cstheme="minorHAnsi"/>
          <w:sz w:val="20"/>
          <w:szCs w:val="20"/>
        </w:rPr>
        <w:t xml:space="preserve"> </w:t>
      </w:r>
      <w:r w:rsidR="006514F6" w:rsidRPr="00793A87">
        <w:rPr>
          <w:rFonts w:cstheme="minorHAnsi"/>
          <w:sz w:val="20"/>
          <w:szCs w:val="20"/>
        </w:rPr>
        <w:t xml:space="preserve">Huw Beverley-Smith, </w:t>
      </w:r>
      <w:r w:rsidR="006514F6" w:rsidRPr="00793A87">
        <w:rPr>
          <w:rFonts w:cstheme="minorHAnsi"/>
          <w:i/>
          <w:iCs/>
          <w:sz w:val="20"/>
          <w:szCs w:val="20"/>
        </w:rPr>
        <w:t xml:space="preserve">The Commercial Appropriation of Personality </w:t>
      </w:r>
      <w:r w:rsidR="006514F6" w:rsidRPr="00793A87">
        <w:rPr>
          <w:rFonts w:cstheme="minorHAnsi"/>
          <w:sz w:val="20"/>
          <w:szCs w:val="20"/>
        </w:rPr>
        <w:t xml:space="preserve">(Cambridge: CUP, 2002); Zittrain, Jonathan, ‘What the Publisher Can Teach the Patient: Intellectual Property and Privacy in an Era of Trusted Privication’ (2000) 52 </w:t>
      </w:r>
      <w:r w:rsidR="006514F6" w:rsidRPr="00793A87">
        <w:rPr>
          <w:rFonts w:cstheme="minorHAnsi"/>
          <w:i/>
          <w:iCs/>
          <w:sz w:val="20"/>
          <w:szCs w:val="20"/>
        </w:rPr>
        <w:t>Stanford Law Review</w:t>
      </w:r>
      <w:r w:rsidR="006514F6" w:rsidRPr="00793A87">
        <w:rPr>
          <w:rFonts w:cstheme="minorHAnsi"/>
          <w:sz w:val="20"/>
          <w:szCs w:val="20"/>
        </w:rPr>
        <w:t xml:space="preserve"> 1201; Lawrence Lessig, ‘Privacy as Property’ (2002) 69(1) </w:t>
      </w:r>
      <w:r w:rsidR="006514F6" w:rsidRPr="00793A87">
        <w:rPr>
          <w:rFonts w:cstheme="minorHAnsi"/>
          <w:i/>
          <w:sz w:val="20"/>
          <w:szCs w:val="20"/>
        </w:rPr>
        <w:t>Social Research</w:t>
      </w:r>
      <w:r w:rsidR="006514F6" w:rsidRPr="00793A87">
        <w:rPr>
          <w:rFonts w:cstheme="minorHAnsi"/>
          <w:sz w:val="20"/>
          <w:szCs w:val="20"/>
        </w:rPr>
        <w:t xml:space="preserve"> 247. </w:t>
      </w:r>
      <w:r w:rsidRPr="00793A87">
        <w:rPr>
          <w:rFonts w:cstheme="minorHAnsi"/>
          <w:sz w:val="20"/>
          <w:szCs w:val="20"/>
        </w:rPr>
        <w:t xml:space="preserve"> </w:t>
      </w:r>
      <w:r w:rsidR="00214FA3" w:rsidRPr="00793A87">
        <w:rPr>
          <w:rFonts w:cstheme="minorHAnsi"/>
          <w:sz w:val="20"/>
          <w:szCs w:val="20"/>
        </w:rPr>
        <w:t xml:space="preserve">For </w:t>
      </w:r>
      <w:r w:rsidR="00800648" w:rsidRPr="00793A87">
        <w:rPr>
          <w:rFonts w:cstheme="minorHAnsi"/>
          <w:sz w:val="20"/>
          <w:szCs w:val="20"/>
        </w:rPr>
        <w:t xml:space="preserve">resistance to privacy construction as self-ownership, see </w:t>
      </w:r>
      <w:r w:rsidR="00214FA3" w:rsidRPr="00793A87">
        <w:rPr>
          <w:rFonts w:cstheme="minorHAnsi"/>
          <w:sz w:val="20"/>
          <w:szCs w:val="20"/>
        </w:rPr>
        <w:t xml:space="preserve">Julie Cohen, ‘Examined Lives: Informational Privacy and the Subject as Object’ (2000) 52 </w:t>
      </w:r>
      <w:r w:rsidR="00214FA3" w:rsidRPr="00793A87">
        <w:rPr>
          <w:rFonts w:cstheme="minorHAnsi"/>
          <w:i/>
          <w:iCs/>
          <w:sz w:val="20"/>
          <w:szCs w:val="20"/>
        </w:rPr>
        <w:t>Stanford Law Review</w:t>
      </w:r>
      <w:r w:rsidR="00214FA3" w:rsidRPr="00793A87">
        <w:rPr>
          <w:rFonts w:cstheme="minorHAnsi"/>
          <w:sz w:val="20"/>
          <w:szCs w:val="20"/>
        </w:rPr>
        <w:t xml:space="preserve"> 1373. </w:t>
      </w:r>
    </w:p>
  </w:footnote>
  <w:footnote w:id="79">
    <w:p w14:paraId="4796BA14" w14:textId="4A2B2EA0" w:rsidR="00A913C5" w:rsidRPr="00793A87" w:rsidRDefault="00A913C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800648" w:rsidRPr="00793A87">
        <w:rPr>
          <w:rFonts w:asciiTheme="minorHAnsi" w:hAnsiTheme="minorHAnsi" w:cstheme="minorHAnsi"/>
        </w:rPr>
        <w:t>Whitman above n 21.</w:t>
      </w:r>
    </w:p>
  </w:footnote>
  <w:footnote w:id="80">
    <w:p w14:paraId="4A4F9967" w14:textId="40F9B529" w:rsidR="009A7005" w:rsidRPr="00793A87" w:rsidRDefault="009A700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800648" w:rsidRPr="00793A87">
        <w:rPr>
          <w:rFonts w:asciiTheme="minorHAnsi" w:hAnsiTheme="minorHAnsi" w:cstheme="minorHAnsi"/>
        </w:rPr>
        <w:t xml:space="preserve">In England, the action for misuse of private information has its roots in the equitable duty of confidentiality as applied to a quasi-medical case in </w:t>
      </w:r>
      <w:r w:rsidR="00800648" w:rsidRPr="00793A87">
        <w:rPr>
          <w:rFonts w:asciiTheme="minorHAnsi" w:hAnsiTheme="minorHAnsi" w:cstheme="minorHAnsi"/>
          <w:i/>
          <w:iCs/>
        </w:rPr>
        <w:t>Campbell v MGN Ltd</w:t>
      </w:r>
      <w:r w:rsidR="00800648" w:rsidRPr="00793A87">
        <w:rPr>
          <w:rFonts w:asciiTheme="minorHAnsi" w:hAnsiTheme="minorHAnsi" w:cstheme="minorHAnsi"/>
        </w:rPr>
        <w:t xml:space="preserve"> [2004] UKHL 22.</w:t>
      </w:r>
      <w:r w:rsidRPr="00793A87">
        <w:rPr>
          <w:rFonts w:asciiTheme="minorHAnsi" w:hAnsiTheme="minorHAnsi" w:cstheme="minorHAnsi"/>
        </w:rPr>
        <w:t xml:space="preserve"> </w:t>
      </w:r>
      <w:r w:rsidR="002C0892" w:rsidRPr="00793A87">
        <w:rPr>
          <w:rFonts w:asciiTheme="minorHAnsi" w:hAnsiTheme="minorHAnsi" w:cstheme="minorHAnsi"/>
        </w:rPr>
        <w:t xml:space="preserve">Note, in </w:t>
      </w:r>
      <w:r w:rsidR="002C0892" w:rsidRPr="00793A87">
        <w:rPr>
          <w:rFonts w:asciiTheme="minorHAnsi" w:hAnsiTheme="minorHAnsi" w:cstheme="minorHAnsi"/>
          <w:i/>
          <w:iCs/>
        </w:rPr>
        <w:t>Boardman v Phipps</w:t>
      </w:r>
      <w:r w:rsidR="002C0892" w:rsidRPr="00793A87">
        <w:rPr>
          <w:rFonts w:asciiTheme="minorHAnsi" w:hAnsiTheme="minorHAnsi" w:cstheme="minorHAnsi"/>
        </w:rPr>
        <w:t xml:space="preserve"> [1966] UKHL 2., the House of Lords rejected the idea that confidential information was or could be property in the narrow meaning.</w:t>
      </w:r>
    </w:p>
  </w:footnote>
  <w:footnote w:id="81">
    <w:p w14:paraId="2FC7FE28" w14:textId="23F61447" w:rsidR="007A6EE5" w:rsidRPr="00793A87" w:rsidRDefault="007A6EE5" w:rsidP="00214FA3">
      <w:pPr>
        <w:pStyle w:val="FootnoteText"/>
        <w:spacing w:afterAutospacing="0"/>
        <w:ind w:left="0"/>
        <w:rPr>
          <w:rFonts w:asciiTheme="minorHAnsi" w:eastAsia="Times New Roman" w:hAnsiTheme="minorHAnsi" w:cstheme="minorHAnsi"/>
          <w:lang w:eastAsia="en-GB"/>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eastAsia="Times New Roman" w:hAnsiTheme="minorHAnsi" w:cstheme="minorHAnsi"/>
          <w:i/>
          <w:iCs/>
          <w:lang w:eastAsia="en-GB"/>
        </w:rPr>
        <w:t>Toulson</w:t>
      </w:r>
      <w:r w:rsidRPr="00793A87">
        <w:rPr>
          <w:rFonts w:asciiTheme="minorHAnsi" w:eastAsia="Times New Roman" w:hAnsiTheme="minorHAnsi" w:cstheme="minorHAnsi"/>
          <w:lang w:eastAsia="en-GB"/>
        </w:rPr>
        <w:t xml:space="preserve"> </w:t>
      </w:r>
      <w:r w:rsidRPr="00793A87">
        <w:rPr>
          <w:rFonts w:asciiTheme="minorHAnsi" w:eastAsia="Times New Roman" w:hAnsiTheme="minorHAnsi" w:cstheme="minorHAnsi"/>
          <w:i/>
          <w:iCs/>
          <w:lang w:eastAsia="en-GB"/>
        </w:rPr>
        <w:t>&amp;</w:t>
      </w:r>
      <w:r w:rsidRPr="00793A87">
        <w:rPr>
          <w:rFonts w:asciiTheme="minorHAnsi" w:eastAsia="Times New Roman" w:hAnsiTheme="minorHAnsi" w:cstheme="minorHAnsi"/>
          <w:lang w:eastAsia="en-GB"/>
        </w:rPr>
        <w:t xml:space="preserve"> </w:t>
      </w:r>
      <w:r w:rsidRPr="00793A87">
        <w:rPr>
          <w:rFonts w:asciiTheme="minorHAnsi" w:eastAsia="Times New Roman" w:hAnsiTheme="minorHAnsi" w:cstheme="minorHAnsi"/>
          <w:i/>
          <w:iCs/>
          <w:lang w:eastAsia="en-GB"/>
        </w:rPr>
        <w:t>Phipps</w:t>
      </w:r>
      <w:r w:rsidRPr="00793A87">
        <w:rPr>
          <w:rFonts w:asciiTheme="minorHAnsi" w:eastAsia="Times New Roman" w:hAnsiTheme="minorHAnsi" w:cstheme="minorHAnsi"/>
          <w:lang w:eastAsia="en-GB"/>
        </w:rPr>
        <w:t xml:space="preserve"> </w:t>
      </w:r>
      <w:r w:rsidR="0010768B" w:rsidRPr="00793A87">
        <w:rPr>
          <w:rFonts w:asciiTheme="minorHAnsi" w:eastAsia="Times New Roman" w:hAnsiTheme="minorHAnsi" w:cstheme="minorHAnsi"/>
          <w:lang w:eastAsia="en-GB"/>
        </w:rPr>
        <w:t>above n 2</w:t>
      </w:r>
      <w:r w:rsidR="00800648" w:rsidRPr="00793A87">
        <w:rPr>
          <w:rFonts w:asciiTheme="minorHAnsi" w:eastAsia="Times New Roman" w:hAnsiTheme="minorHAnsi" w:cstheme="minorHAnsi"/>
          <w:lang w:eastAsia="en-GB"/>
        </w:rPr>
        <w:t>9</w:t>
      </w:r>
      <w:r w:rsidR="0010768B" w:rsidRPr="00793A87">
        <w:rPr>
          <w:rFonts w:asciiTheme="minorHAnsi" w:eastAsia="Times New Roman" w:hAnsiTheme="minorHAnsi" w:cstheme="minorHAnsi"/>
          <w:lang w:eastAsia="en-GB"/>
        </w:rPr>
        <w:t xml:space="preserve">, </w:t>
      </w:r>
      <w:r w:rsidRPr="00793A87">
        <w:rPr>
          <w:rFonts w:asciiTheme="minorHAnsi" w:eastAsia="Times New Roman" w:hAnsiTheme="minorHAnsi" w:cstheme="minorHAnsi"/>
          <w:lang w:eastAsia="en-GB"/>
        </w:rPr>
        <w:t>para</w:t>
      </w:r>
      <w:r w:rsidR="0010768B" w:rsidRPr="00793A87">
        <w:rPr>
          <w:rFonts w:asciiTheme="minorHAnsi" w:eastAsia="Times New Roman" w:hAnsiTheme="minorHAnsi" w:cstheme="minorHAnsi"/>
          <w:lang w:eastAsia="en-GB"/>
        </w:rPr>
        <w:t xml:space="preserve"> </w:t>
      </w:r>
      <w:r w:rsidRPr="00793A87">
        <w:rPr>
          <w:rFonts w:asciiTheme="minorHAnsi" w:eastAsia="Times New Roman" w:hAnsiTheme="minorHAnsi" w:cstheme="minorHAnsi"/>
          <w:lang w:eastAsia="en-GB"/>
        </w:rPr>
        <w:t xml:space="preserve">11–053: </w:t>
      </w:r>
      <w:r w:rsidR="0010768B" w:rsidRPr="00793A87">
        <w:rPr>
          <w:rFonts w:asciiTheme="minorHAnsi" w:eastAsia="Times New Roman" w:hAnsiTheme="minorHAnsi" w:cstheme="minorHAnsi"/>
          <w:lang w:eastAsia="en-GB"/>
        </w:rPr>
        <w:t>'</w:t>
      </w:r>
      <w:r w:rsidRPr="00793A87">
        <w:rPr>
          <w:rFonts w:asciiTheme="minorHAnsi" w:eastAsia="Times New Roman" w:hAnsiTheme="minorHAnsi" w:cstheme="minorHAnsi"/>
          <w:lang w:eastAsia="en-GB"/>
        </w:rPr>
        <w:t>Equity may impose a duty of confidentiality towards another after the death of the original confider. The question is not one of property (whether a cause of action owned by the deceased has been assigned) but of conscience.</w:t>
      </w:r>
      <w:r w:rsidR="0010768B" w:rsidRPr="00793A87">
        <w:rPr>
          <w:rFonts w:asciiTheme="minorHAnsi" w:eastAsia="Times New Roman" w:hAnsiTheme="minorHAnsi" w:cstheme="minorHAnsi"/>
          <w:lang w:eastAsia="en-GB"/>
        </w:rPr>
        <w:t>’</w:t>
      </w:r>
      <w:r w:rsidRPr="00793A87">
        <w:rPr>
          <w:rFonts w:asciiTheme="minorHAnsi" w:eastAsia="Times New Roman" w:hAnsiTheme="minorHAnsi" w:cstheme="minorHAnsi"/>
          <w:lang w:eastAsia="en-GB"/>
        </w:rPr>
        <w:t xml:space="preserve"> </w:t>
      </w:r>
      <w:r w:rsidR="005302C3" w:rsidRPr="00793A87">
        <w:rPr>
          <w:rFonts w:asciiTheme="minorHAnsi" w:eastAsia="Times New Roman" w:hAnsiTheme="minorHAnsi" w:cstheme="minorHAnsi"/>
          <w:lang w:eastAsia="en-GB"/>
        </w:rPr>
        <w:t>See also</w:t>
      </w:r>
      <w:r w:rsidRPr="00793A87">
        <w:rPr>
          <w:rFonts w:asciiTheme="minorHAnsi" w:eastAsia="Times New Roman" w:hAnsiTheme="minorHAnsi" w:cstheme="minorHAnsi"/>
          <w:lang w:eastAsia="en-GB"/>
        </w:rPr>
        <w:t xml:space="preserve"> </w:t>
      </w:r>
      <w:r w:rsidRPr="00793A87">
        <w:rPr>
          <w:rStyle w:val="markedcontent"/>
          <w:rFonts w:asciiTheme="minorHAnsi" w:hAnsiTheme="minorHAnsi" w:cstheme="minorHAnsi"/>
          <w:i/>
          <w:iCs/>
        </w:rPr>
        <w:t xml:space="preserve">Coco v Clark </w:t>
      </w:r>
      <w:r w:rsidR="0010768B" w:rsidRPr="00793A87">
        <w:rPr>
          <w:rStyle w:val="markedcontent"/>
          <w:rFonts w:asciiTheme="minorHAnsi" w:hAnsiTheme="minorHAnsi" w:cstheme="minorHAnsi"/>
          <w:i/>
          <w:iCs/>
        </w:rPr>
        <w:t>AN Clark (Engineers) Ltd</w:t>
      </w:r>
      <w:r w:rsidR="0010768B" w:rsidRPr="00793A87">
        <w:rPr>
          <w:rStyle w:val="markedcontent"/>
          <w:rFonts w:asciiTheme="minorHAnsi" w:hAnsiTheme="minorHAnsi" w:cstheme="minorHAnsi"/>
        </w:rPr>
        <w:t xml:space="preserve"> [1968] FSR 415</w:t>
      </w:r>
      <w:r w:rsidR="005302C3" w:rsidRPr="00793A87">
        <w:rPr>
          <w:rStyle w:val="markedcontent"/>
          <w:rFonts w:asciiTheme="minorHAnsi" w:hAnsiTheme="minorHAnsi" w:cstheme="minorHAnsi"/>
        </w:rPr>
        <w:t>, 419</w:t>
      </w:r>
      <w:r w:rsidRPr="00793A87">
        <w:rPr>
          <w:rStyle w:val="markedcontent"/>
          <w:rFonts w:asciiTheme="minorHAnsi" w:hAnsiTheme="minorHAnsi" w:cstheme="minorHAnsi"/>
        </w:rPr>
        <w:t xml:space="preserve">: </w:t>
      </w:r>
      <w:r w:rsidR="005302C3" w:rsidRPr="00793A87">
        <w:rPr>
          <w:rStyle w:val="markedcontent"/>
          <w:rFonts w:asciiTheme="minorHAnsi" w:hAnsiTheme="minorHAnsi" w:cstheme="minorHAnsi"/>
        </w:rPr>
        <w:t>‘</w:t>
      </w:r>
      <w:r w:rsidRPr="00793A87">
        <w:rPr>
          <w:rStyle w:val="markedcontent"/>
          <w:rFonts w:asciiTheme="minorHAnsi" w:hAnsiTheme="minorHAnsi" w:cstheme="minorHAnsi"/>
        </w:rPr>
        <w:t>The equitable jurisdiction in cases of breach of confidence is ancient; confidence is the cousin of trust. The Statute of Uses, 1535, is framed in terms of “use, confidence or trust”; and a couplet, attributed to Sir Thomas More, Lord Chancellor avers</w:t>
      </w:r>
      <w:r w:rsidRPr="00793A87">
        <w:rPr>
          <w:rFonts w:asciiTheme="minorHAnsi" w:hAnsiTheme="minorHAnsi" w:cstheme="minorHAnsi"/>
        </w:rPr>
        <w:t xml:space="preserve"> </w:t>
      </w:r>
      <w:r w:rsidRPr="00793A87">
        <w:rPr>
          <w:rStyle w:val="markedcontent"/>
          <w:rFonts w:asciiTheme="minorHAnsi" w:hAnsiTheme="minorHAnsi" w:cstheme="minorHAnsi"/>
        </w:rPr>
        <w:t>that</w:t>
      </w:r>
      <w:r w:rsidRPr="00793A87">
        <w:rPr>
          <w:rFonts w:asciiTheme="minorHAnsi" w:hAnsiTheme="minorHAnsi" w:cstheme="minorHAnsi"/>
        </w:rPr>
        <w:t xml:space="preserve"> </w:t>
      </w:r>
      <w:r w:rsidRPr="00793A87">
        <w:rPr>
          <w:rStyle w:val="markedcontent"/>
          <w:rFonts w:asciiTheme="minorHAnsi" w:hAnsiTheme="minorHAnsi" w:cstheme="minorHAnsi"/>
        </w:rPr>
        <w:t>‘Three things are to be held in Conscience;</w:t>
      </w:r>
      <w:r w:rsidRPr="00793A87">
        <w:rPr>
          <w:rFonts w:asciiTheme="minorHAnsi" w:hAnsiTheme="minorHAnsi" w:cstheme="minorHAnsi"/>
        </w:rPr>
        <w:t xml:space="preserve"> </w:t>
      </w:r>
      <w:r w:rsidRPr="00793A87">
        <w:rPr>
          <w:rStyle w:val="markedcontent"/>
          <w:rFonts w:asciiTheme="minorHAnsi" w:hAnsiTheme="minorHAnsi" w:cstheme="minorHAnsi"/>
        </w:rPr>
        <w:t>Fraud, Accident and things of Confidence.’’</w:t>
      </w:r>
      <w:r w:rsidR="00673EEC">
        <w:rPr>
          <w:rStyle w:val="markedcontent"/>
          <w:rFonts w:asciiTheme="minorHAnsi" w:hAnsiTheme="minorHAnsi" w:cstheme="minorHAnsi"/>
        </w:rPr>
        <w:t xml:space="preserve"> </w:t>
      </w:r>
      <w:r w:rsidR="00673EEC" w:rsidRPr="00673EEC">
        <w:rPr>
          <w:rFonts w:cstheme="minorHAnsi"/>
          <w:i/>
          <w:iCs/>
          <w:color w:val="auto"/>
        </w:rPr>
        <w:t>Imerman v Tchenguiz</w:t>
      </w:r>
      <w:r w:rsidR="00673EEC" w:rsidRPr="00673EEC">
        <w:rPr>
          <w:rFonts w:cstheme="minorHAnsi"/>
          <w:color w:val="auto"/>
        </w:rPr>
        <w:t xml:space="preserve"> [2010] EWCA Civ 908, para 54</w:t>
      </w:r>
      <w:r w:rsidR="00673EEC">
        <w:rPr>
          <w:rFonts w:cstheme="minorHAnsi"/>
          <w:color w:val="auto"/>
        </w:rPr>
        <w:t xml:space="preserve">ff. </w:t>
      </w:r>
    </w:p>
  </w:footnote>
  <w:footnote w:id="82">
    <w:p w14:paraId="336C279B" w14:textId="2FB1055B" w:rsidR="00294A8C" w:rsidRPr="00793A87" w:rsidRDefault="00294A8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 xml:space="preserve"> Marriage </w:t>
      </w:r>
      <w:r w:rsidRPr="00793A87">
        <w:rPr>
          <w:rFonts w:asciiTheme="minorHAnsi" w:hAnsiTheme="minorHAnsi" w:cstheme="minorHAnsi"/>
        </w:rPr>
        <w:t>was</w:t>
      </w:r>
      <w:r w:rsidR="005302C3" w:rsidRPr="00793A87">
        <w:rPr>
          <w:rFonts w:asciiTheme="minorHAnsi" w:hAnsiTheme="minorHAnsi" w:cstheme="minorHAnsi"/>
        </w:rPr>
        <w:t>, of course,</w:t>
      </w:r>
      <w:r w:rsidRPr="00793A87">
        <w:rPr>
          <w:rFonts w:asciiTheme="minorHAnsi" w:hAnsiTheme="minorHAnsi" w:cstheme="minorHAnsi"/>
        </w:rPr>
        <w:t xml:space="preserve"> traditionally a business </w:t>
      </w:r>
      <w:r w:rsidR="002C0892" w:rsidRPr="00793A87">
        <w:rPr>
          <w:rFonts w:asciiTheme="minorHAnsi" w:hAnsiTheme="minorHAnsi" w:cstheme="minorHAnsi"/>
        </w:rPr>
        <w:t>transaction</w:t>
      </w:r>
      <w:r w:rsidRPr="00793A87">
        <w:rPr>
          <w:rFonts w:asciiTheme="minorHAnsi" w:hAnsiTheme="minorHAnsi" w:cstheme="minorHAnsi"/>
        </w:rPr>
        <w:t xml:space="preserve"> and </w:t>
      </w:r>
      <w:r w:rsidR="005302C3" w:rsidRPr="00793A87">
        <w:rPr>
          <w:rFonts w:asciiTheme="minorHAnsi" w:hAnsiTheme="minorHAnsi" w:cstheme="minorHAnsi"/>
        </w:rPr>
        <w:t xml:space="preserve">so </w:t>
      </w:r>
      <w:r w:rsidRPr="00793A87">
        <w:rPr>
          <w:rFonts w:asciiTheme="minorHAnsi" w:hAnsiTheme="minorHAnsi" w:cstheme="minorHAnsi"/>
        </w:rPr>
        <w:t>strongly underpinned by property interest</w:t>
      </w:r>
      <w:r w:rsidR="005302C3" w:rsidRPr="00793A87">
        <w:rPr>
          <w:rFonts w:asciiTheme="minorHAnsi" w:hAnsiTheme="minorHAnsi" w:cstheme="minorHAnsi"/>
        </w:rPr>
        <w:t xml:space="preserve">s. </w:t>
      </w:r>
    </w:p>
  </w:footnote>
  <w:footnote w:id="83">
    <w:p w14:paraId="5D561FFA" w14:textId="01425AD4" w:rsidR="009D30D0" w:rsidRPr="00793A87" w:rsidRDefault="009D30D0" w:rsidP="00214FA3">
      <w:pPr>
        <w:pStyle w:val="FootnoteText"/>
        <w:spacing w:afterAutospacing="0"/>
        <w:ind w:left="0"/>
        <w:rPr>
          <w:rFonts w:asciiTheme="minorHAnsi" w:hAnsiTheme="minorHAnsi" w:cstheme="minorHAnsi"/>
          <w:color w:val="auto"/>
        </w:rPr>
      </w:pPr>
      <w:r w:rsidRPr="00793A87">
        <w:rPr>
          <w:rStyle w:val="FootnoteReference"/>
          <w:rFonts w:asciiTheme="minorHAnsi" w:hAnsiTheme="minorHAnsi" w:cstheme="minorHAnsi"/>
          <w:color w:val="auto"/>
        </w:rPr>
        <w:footnoteRef/>
      </w:r>
      <w:r w:rsidRPr="00793A87">
        <w:rPr>
          <w:rFonts w:asciiTheme="minorHAnsi" w:hAnsiTheme="minorHAnsi" w:cstheme="minorHAnsi"/>
          <w:color w:val="auto"/>
        </w:rPr>
        <w:t xml:space="preserve"> </w:t>
      </w:r>
      <w:r w:rsidR="000A34FD" w:rsidRPr="00793A87">
        <w:rPr>
          <w:rFonts w:asciiTheme="minorHAnsi" w:hAnsiTheme="minorHAnsi" w:cstheme="minorHAnsi"/>
          <w:i/>
          <w:iCs/>
          <w:color w:val="auto"/>
        </w:rPr>
        <w:t>Duchess of Argyll v Duke of Argyll</w:t>
      </w:r>
      <w:r w:rsidR="000A34FD" w:rsidRPr="00793A87">
        <w:rPr>
          <w:rFonts w:asciiTheme="minorHAnsi" w:hAnsiTheme="minorHAnsi" w:cstheme="minorHAnsi"/>
          <w:color w:val="auto"/>
        </w:rPr>
        <w:t xml:space="preserve"> [1967] Ch 302</w:t>
      </w:r>
      <w:r w:rsidR="009A7005" w:rsidRPr="00793A87">
        <w:rPr>
          <w:rFonts w:asciiTheme="minorHAnsi" w:hAnsiTheme="minorHAnsi" w:cstheme="minorHAnsi"/>
          <w:color w:val="auto"/>
        </w:rPr>
        <w:t>.</w:t>
      </w:r>
      <w:r w:rsidR="000A34FD" w:rsidRPr="00793A87">
        <w:rPr>
          <w:rFonts w:asciiTheme="minorHAnsi" w:hAnsiTheme="minorHAnsi" w:cstheme="minorHAnsi"/>
          <w:color w:val="auto"/>
        </w:rPr>
        <w:t xml:space="preserve"> </w:t>
      </w:r>
    </w:p>
  </w:footnote>
  <w:footnote w:id="84">
    <w:p w14:paraId="2455D9A7" w14:textId="18F5084C" w:rsidR="009D30D0" w:rsidRPr="00793A87" w:rsidRDefault="009D30D0"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color w:val="auto"/>
        </w:rPr>
        <w:footnoteRef/>
      </w:r>
      <w:r w:rsidRPr="00793A87">
        <w:rPr>
          <w:rFonts w:asciiTheme="minorHAnsi" w:hAnsiTheme="minorHAnsi" w:cstheme="minorHAnsi"/>
          <w:color w:val="auto"/>
        </w:rPr>
        <w:t xml:space="preserve"> </w:t>
      </w:r>
      <w:r w:rsidR="000A34FD" w:rsidRPr="00793A87">
        <w:rPr>
          <w:rFonts w:asciiTheme="minorHAnsi" w:hAnsiTheme="minorHAnsi" w:cstheme="minorHAnsi"/>
          <w:i/>
          <w:iCs/>
          <w:color w:val="auto"/>
        </w:rPr>
        <w:t xml:space="preserve">Wyatt v Wilson </w:t>
      </w:r>
      <w:r w:rsidR="000A34FD" w:rsidRPr="00793A87">
        <w:rPr>
          <w:rFonts w:asciiTheme="minorHAnsi" w:hAnsiTheme="minorHAnsi" w:cstheme="minorHAnsi"/>
          <w:color w:val="auto"/>
        </w:rPr>
        <w:t xml:space="preserve">1820 </w:t>
      </w:r>
      <w:r w:rsidR="000A34FD" w:rsidRPr="00793A87">
        <w:rPr>
          <w:rFonts w:asciiTheme="minorHAnsi" w:hAnsiTheme="minorHAnsi" w:cstheme="minorHAnsi"/>
        </w:rPr>
        <w:t xml:space="preserve">(unreported), discussed in </w:t>
      </w:r>
      <w:r w:rsidRPr="00793A87">
        <w:rPr>
          <w:rFonts w:asciiTheme="minorHAnsi" w:hAnsiTheme="minorHAnsi" w:cstheme="minorHAnsi"/>
          <w:i/>
          <w:iCs/>
        </w:rPr>
        <w:t>Prince Albert v</w:t>
      </w:r>
      <w:r w:rsidR="000A34FD" w:rsidRPr="00793A87">
        <w:rPr>
          <w:rFonts w:asciiTheme="minorHAnsi" w:hAnsiTheme="minorHAnsi" w:cstheme="minorHAnsi"/>
          <w:i/>
          <w:iCs/>
        </w:rPr>
        <w:t xml:space="preserve"> </w:t>
      </w:r>
      <w:r w:rsidRPr="00793A87">
        <w:rPr>
          <w:rFonts w:asciiTheme="minorHAnsi" w:hAnsiTheme="minorHAnsi" w:cstheme="minorHAnsi"/>
          <w:i/>
          <w:iCs/>
        </w:rPr>
        <w:t xml:space="preserve">Strange </w:t>
      </w:r>
      <w:r w:rsidR="000A34FD" w:rsidRPr="00793A87">
        <w:rPr>
          <w:rFonts w:asciiTheme="minorHAnsi" w:hAnsiTheme="minorHAnsi" w:cstheme="minorHAnsi"/>
        </w:rPr>
        <w:t xml:space="preserve">(1849) </w:t>
      </w:r>
      <w:r w:rsidRPr="00793A87">
        <w:rPr>
          <w:rFonts w:asciiTheme="minorHAnsi" w:hAnsiTheme="minorHAnsi" w:cstheme="minorHAnsi"/>
        </w:rPr>
        <w:t>1 H &amp; T 1, 2</w:t>
      </w:r>
      <w:r w:rsidR="000A34FD" w:rsidRPr="00793A87">
        <w:rPr>
          <w:rFonts w:asciiTheme="minorHAnsi" w:hAnsiTheme="minorHAnsi" w:cstheme="minorHAnsi"/>
        </w:rPr>
        <w:t>5.</w:t>
      </w:r>
    </w:p>
  </w:footnote>
  <w:footnote w:id="85">
    <w:p w14:paraId="2CB619AB" w14:textId="3AD8DCCB" w:rsidR="000A34FD" w:rsidRPr="00793A87" w:rsidRDefault="000A34F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color w:val="auto"/>
        </w:rPr>
        <w:t>Argyll v Argyll</w:t>
      </w:r>
      <w:r w:rsidRPr="00793A87">
        <w:rPr>
          <w:rFonts w:asciiTheme="minorHAnsi" w:hAnsiTheme="minorHAnsi" w:cstheme="minorHAnsi"/>
          <w:color w:val="auto"/>
        </w:rPr>
        <w:t xml:space="preserve"> </w:t>
      </w:r>
      <w:r w:rsidR="00800648" w:rsidRPr="00793A87">
        <w:rPr>
          <w:rFonts w:asciiTheme="minorHAnsi" w:hAnsiTheme="minorHAnsi" w:cstheme="minorHAnsi"/>
          <w:color w:val="auto"/>
        </w:rPr>
        <w:t xml:space="preserve">above n 83, </w:t>
      </w:r>
      <w:r w:rsidR="009A7005" w:rsidRPr="00793A87">
        <w:rPr>
          <w:rFonts w:asciiTheme="minorHAnsi" w:hAnsiTheme="minorHAnsi" w:cstheme="minorHAnsi"/>
          <w:color w:val="auto"/>
        </w:rPr>
        <w:t xml:space="preserve">320. </w:t>
      </w:r>
    </w:p>
  </w:footnote>
  <w:footnote w:id="86">
    <w:p w14:paraId="00DC4EF6" w14:textId="2DED02E5" w:rsidR="00161201" w:rsidRPr="00793A87" w:rsidRDefault="0016120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306416" w:rsidRPr="00793A87">
        <w:rPr>
          <w:rFonts w:asciiTheme="minorHAnsi" w:hAnsiTheme="minorHAnsi" w:cstheme="minorHAnsi"/>
        </w:rPr>
        <w:t xml:space="preserve">Samuel D Warren, Louis D Brandeis, ‘The Right to Privacy’ (1890) 4 </w:t>
      </w:r>
      <w:r w:rsidR="00306416" w:rsidRPr="00793A87">
        <w:rPr>
          <w:rFonts w:asciiTheme="minorHAnsi" w:hAnsiTheme="minorHAnsi" w:cstheme="minorHAnsi"/>
          <w:i/>
        </w:rPr>
        <w:t xml:space="preserve">Harvard Law Review </w:t>
      </w:r>
      <w:r w:rsidR="00306416" w:rsidRPr="00793A87">
        <w:rPr>
          <w:rFonts w:asciiTheme="minorHAnsi" w:hAnsiTheme="minorHAnsi" w:cstheme="minorHAnsi"/>
        </w:rPr>
        <w:t>193</w:t>
      </w:r>
      <w:r w:rsidR="003A1452" w:rsidRPr="00793A87">
        <w:rPr>
          <w:rFonts w:asciiTheme="minorHAnsi" w:hAnsiTheme="minorHAnsi" w:cstheme="minorHAnsi"/>
        </w:rPr>
        <w:t xml:space="preserve">; developed into a four-part taxonomy by William L Prosser, ‘Privacy’ (1960) 48 </w:t>
      </w:r>
      <w:r w:rsidR="003A1452" w:rsidRPr="00793A87">
        <w:rPr>
          <w:rFonts w:asciiTheme="minorHAnsi" w:hAnsiTheme="minorHAnsi" w:cstheme="minorHAnsi"/>
          <w:i/>
          <w:iCs/>
        </w:rPr>
        <w:t>California Law Review</w:t>
      </w:r>
      <w:r w:rsidR="003A1452" w:rsidRPr="00793A87">
        <w:rPr>
          <w:rFonts w:asciiTheme="minorHAnsi" w:hAnsiTheme="minorHAnsi" w:cstheme="minorHAnsi"/>
        </w:rPr>
        <w:t xml:space="preserve"> 383. On the latter’s influence on American privacy, see Neil M Richards, Daniel J Solove, ‘Prosser’s Privacy Law: A Mixed Legacy’ (2010) 98 </w:t>
      </w:r>
      <w:r w:rsidR="003A1452" w:rsidRPr="00793A87">
        <w:rPr>
          <w:rFonts w:asciiTheme="minorHAnsi" w:hAnsiTheme="minorHAnsi" w:cstheme="minorHAnsi"/>
          <w:i/>
          <w:iCs/>
        </w:rPr>
        <w:t>California Law Review</w:t>
      </w:r>
      <w:r w:rsidR="003A1452" w:rsidRPr="00793A87">
        <w:rPr>
          <w:rFonts w:asciiTheme="minorHAnsi" w:hAnsiTheme="minorHAnsi" w:cstheme="minorHAnsi"/>
        </w:rPr>
        <w:t xml:space="preserve"> 1887.</w:t>
      </w:r>
      <w:r w:rsidR="00ED6348" w:rsidRPr="00793A87">
        <w:rPr>
          <w:rFonts w:asciiTheme="minorHAnsi" w:hAnsiTheme="minorHAnsi" w:cstheme="minorHAnsi"/>
        </w:rPr>
        <w:t xml:space="preserve"> See generally, Ferdinand D Schoeman (ed), </w:t>
      </w:r>
      <w:r w:rsidR="00ED6348" w:rsidRPr="00793A87">
        <w:rPr>
          <w:rFonts w:asciiTheme="minorHAnsi" w:hAnsiTheme="minorHAnsi" w:cstheme="minorHAnsi"/>
          <w:i/>
          <w:iCs/>
        </w:rPr>
        <w:t>Philosophical Dimensions of Privacy – An Anthology</w:t>
      </w:r>
      <w:r w:rsidR="00ED6348" w:rsidRPr="00793A87">
        <w:rPr>
          <w:rFonts w:asciiTheme="minorHAnsi" w:hAnsiTheme="minorHAnsi" w:cstheme="minorHAnsi"/>
        </w:rPr>
        <w:t xml:space="preserve"> (Cambridge, CUP, 1984, reissued 2007).</w:t>
      </w:r>
    </w:p>
  </w:footnote>
  <w:footnote w:id="87">
    <w:p w14:paraId="532DAAE3" w14:textId="588AA5AF" w:rsidR="00161201" w:rsidRPr="00793A87" w:rsidRDefault="0016120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Warren and Brandeis i</w:t>
      </w:r>
      <w:r w:rsidRPr="00793A87">
        <w:rPr>
          <w:rFonts w:asciiTheme="minorHAnsi" w:hAnsiTheme="minorHAnsi" w:cstheme="minorHAnsi"/>
        </w:rPr>
        <w:t>bid</w:t>
      </w:r>
      <w:r w:rsidR="005302C3" w:rsidRPr="00793A87">
        <w:rPr>
          <w:rFonts w:asciiTheme="minorHAnsi" w:hAnsiTheme="minorHAnsi" w:cstheme="minorHAnsi"/>
        </w:rPr>
        <w:t>,</w:t>
      </w:r>
      <w:r w:rsidRPr="00793A87">
        <w:rPr>
          <w:rFonts w:asciiTheme="minorHAnsi" w:hAnsiTheme="minorHAnsi" w:cstheme="minorHAnsi"/>
        </w:rPr>
        <w:t xml:space="preserve"> </w:t>
      </w:r>
      <w:r w:rsidR="007333FF" w:rsidRPr="00793A87">
        <w:rPr>
          <w:rFonts w:asciiTheme="minorHAnsi" w:hAnsiTheme="minorHAnsi" w:cstheme="minorHAnsi"/>
        </w:rPr>
        <w:t xml:space="preserve">198, </w:t>
      </w:r>
      <w:r w:rsidRPr="00793A87">
        <w:rPr>
          <w:rFonts w:asciiTheme="minorHAnsi" w:hAnsiTheme="minorHAnsi" w:cstheme="minorHAnsi"/>
        </w:rPr>
        <w:t>214.</w:t>
      </w:r>
    </w:p>
  </w:footnote>
  <w:footnote w:id="88">
    <w:p w14:paraId="4F0CDCC3" w14:textId="4F22BE00" w:rsidR="00161201" w:rsidRPr="00793A87" w:rsidRDefault="0016120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 xml:space="preserve">Warren and Brandeis ibid, </w:t>
      </w:r>
      <w:r w:rsidRPr="00793A87">
        <w:rPr>
          <w:rFonts w:asciiTheme="minorHAnsi" w:hAnsiTheme="minorHAnsi" w:cstheme="minorHAnsi"/>
        </w:rPr>
        <w:t>207, 205</w:t>
      </w:r>
      <w:r w:rsidR="00306416" w:rsidRPr="00793A87">
        <w:rPr>
          <w:rFonts w:asciiTheme="minorHAnsi" w:hAnsiTheme="minorHAnsi" w:cstheme="minorHAnsi"/>
        </w:rPr>
        <w:t xml:space="preserve"> (</w:t>
      </w:r>
      <w:r w:rsidR="00D660DD" w:rsidRPr="00793A87">
        <w:rPr>
          <w:rFonts w:asciiTheme="minorHAnsi" w:hAnsiTheme="minorHAnsi" w:cstheme="minorHAnsi"/>
        </w:rPr>
        <w:t>‘</w:t>
      </w:r>
      <w:r w:rsidR="00854067" w:rsidRPr="00793A87">
        <w:rPr>
          <w:rFonts w:asciiTheme="minorHAnsi" w:hAnsiTheme="minorHAnsi" w:cstheme="minorHAnsi"/>
        </w:rPr>
        <w:t>inviolate</w:t>
      </w:r>
      <w:r w:rsidR="00306416" w:rsidRPr="00793A87">
        <w:rPr>
          <w:rFonts w:asciiTheme="minorHAnsi" w:hAnsiTheme="minorHAnsi" w:cstheme="minorHAnsi"/>
        </w:rPr>
        <w:t xml:space="preserve"> personality’).</w:t>
      </w:r>
    </w:p>
  </w:footnote>
  <w:footnote w:id="89">
    <w:p w14:paraId="78AA1746" w14:textId="689BD190" w:rsidR="00161201" w:rsidRPr="00793A87" w:rsidRDefault="0016120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 xml:space="preserve">Warren and Brandeis ibid, </w:t>
      </w:r>
      <w:r w:rsidRPr="00793A87">
        <w:rPr>
          <w:rFonts w:asciiTheme="minorHAnsi" w:hAnsiTheme="minorHAnsi" w:cstheme="minorHAnsi"/>
        </w:rPr>
        <w:t>204.</w:t>
      </w:r>
    </w:p>
  </w:footnote>
  <w:footnote w:id="90">
    <w:p w14:paraId="2E138478" w14:textId="35102BA9" w:rsidR="00DF214E" w:rsidRPr="00793A87" w:rsidRDefault="00DF214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Warren and Brandeis ibid,</w:t>
      </w:r>
      <w:r w:rsidRPr="00793A87">
        <w:rPr>
          <w:rFonts w:asciiTheme="minorHAnsi" w:hAnsiTheme="minorHAnsi" w:cstheme="minorHAnsi"/>
        </w:rPr>
        <w:t xml:space="preserve"> 204. </w:t>
      </w:r>
    </w:p>
  </w:footnote>
  <w:footnote w:id="91">
    <w:p w14:paraId="6FC1EA61" w14:textId="46A7CFEB" w:rsidR="00FC1438" w:rsidRPr="00793A87" w:rsidRDefault="00580B0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302C3" w:rsidRPr="00793A87">
        <w:rPr>
          <w:rFonts w:asciiTheme="minorHAnsi" w:hAnsiTheme="minorHAnsi" w:cstheme="minorHAnsi"/>
        </w:rPr>
        <w:t>Warren and Brandeis ibid,</w:t>
      </w:r>
      <w:r w:rsidRPr="00793A87">
        <w:rPr>
          <w:rFonts w:asciiTheme="minorHAnsi" w:hAnsiTheme="minorHAnsi" w:cstheme="minorHAnsi"/>
        </w:rPr>
        <w:t xml:space="preserve"> 213. </w:t>
      </w:r>
      <w:r w:rsidR="00AA7C50" w:rsidRPr="00793A87">
        <w:rPr>
          <w:rFonts w:asciiTheme="minorHAnsi" w:hAnsiTheme="minorHAnsi" w:cstheme="minorHAnsi"/>
        </w:rPr>
        <w:t>For the divergent paths taken by America and England and Wales to</w:t>
      </w:r>
      <w:r w:rsidR="002C0892" w:rsidRPr="00793A87">
        <w:rPr>
          <w:rFonts w:asciiTheme="minorHAnsi" w:hAnsiTheme="minorHAnsi" w:cstheme="minorHAnsi"/>
        </w:rPr>
        <w:t xml:space="preserve"> action for</w:t>
      </w:r>
      <w:r w:rsidR="00AA7C50" w:rsidRPr="00793A87">
        <w:rPr>
          <w:rFonts w:asciiTheme="minorHAnsi" w:hAnsiTheme="minorHAnsi" w:cstheme="minorHAnsi"/>
        </w:rPr>
        <w:t xml:space="preserve"> breach of confidence as a source of privacy, see Richards and Solove above n</w:t>
      </w:r>
      <w:r w:rsidR="00FC1438" w:rsidRPr="00793A87">
        <w:rPr>
          <w:rFonts w:asciiTheme="minorHAnsi" w:hAnsiTheme="minorHAnsi" w:cstheme="minorHAnsi"/>
        </w:rPr>
        <w:t xml:space="preserve"> </w:t>
      </w:r>
      <w:r w:rsidR="005302C3" w:rsidRPr="00793A87">
        <w:rPr>
          <w:rFonts w:asciiTheme="minorHAnsi" w:hAnsiTheme="minorHAnsi" w:cstheme="minorHAnsi"/>
        </w:rPr>
        <w:t>5</w:t>
      </w:r>
      <w:r w:rsidR="002C0892" w:rsidRPr="00793A87">
        <w:rPr>
          <w:rFonts w:asciiTheme="minorHAnsi" w:hAnsiTheme="minorHAnsi" w:cstheme="minorHAnsi"/>
        </w:rPr>
        <w:t>3</w:t>
      </w:r>
      <w:r w:rsidR="005302C3" w:rsidRPr="00793A87">
        <w:rPr>
          <w:rFonts w:asciiTheme="minorHAnsi" w:hAnsiTheme="minorHAnsi" w:cstheme="minorHAnsi"/>
        </w:rPr>
        <w:t xml:space="preserve">. </w:t>
      </w:r>
    </w:p>
  </w:footnote>
  <w:footnote w:id="92">
    <w:p w14:paraId="0C5FF356" w14:textId="71A3C874" w:rsidR="00603F38" w:rsidRPr="00793A87" w:rsidRDefault="00603F3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2C0892" w:rsidRPr="00793A87">
        <w:rPr>
          <w:rFonts w:asciiTheme="minorHAnsi" w:hAnsiTheme="minorHAnsi" w:cstheme="minorHAnsi"/>
        </w:rPr>
        <w:t xml:space="preserve"> Thomas</w:t>
      </w:r>
      <w:r w:rsidRPr="00793A87">
        <w:rPr>
          <w:rFonts w:asciiTheme="minorHAnsi" w:hAnsiTheme="minorHAnsi" w:cstheme="minorHAnsi"/>
        </w:rPr>
        <w:t xml:space="preserve"> </w:t>
      </w:r>
      <w:r w:rsidR="0006404A" w:rsidRPr="00793A87">
        <w:rPr>
          <w:rFonts w:asciiTheme="minorHAnsi" w:hAnsiTheme="minorHAnsi" w:cstheme="minorHAnsi"/>
        </w:rPr>
        <w:t>Mert</w:t>
      </w:r>
      <w:r w:rsidR="00FF6E24" w:rsidRPr="00793A87">
        <w:rPr>
          <w:rFonts w:asciiTheme="minorHAnsi" w:hAnsiTheme="minorHAnsi" w:cstheme="minorHAnsi"/>
        </w:rPr>
        <w:t>ens</w:t>
      </w:r>
      <w:r w:rsidR="002C0892" w:rsidRPr="00793A87">
        <w:rPr>
          <w:rFonts w:asciiTheme="minorHAnsi" w:hAnsiTheme="minorHAnsi" w:cstheme="minorHAnsi"/>
        </w:rPr>
        <w:t xml:space="preserve">, ‘Bona Fama Defuncti in Kant’s Rechtslehre: Some Perspectives’ (2019) 24(4) </w:t>
      </w:r>
      <w:r w:rsidR="00FF6E24" w:rsidRPr="00793A87">
        <w:rPr>
          <w:rFonts w:asciiTheme="minorHAnsi" w:hAnsiTheme="minorHAnsi" w:cstheme="minorHAnsi"/>
          <w:i/>
          <w:iCs/>
        </w:rPr>
        <w:t>Kantian</w:t>
      </w:r>
      <w:r w:rsidR="002C0892" w:rsidRPr="00793A87">
        <w:rPr>
          <w:rFonts w:asciiTheme="minorHAnsi" w:hAnsiTheme="minorHAnsi" w:cstheme="minorHAnsi"/>
          <w:i/>
          <w:iCs/>
        </w:rPr>
        <w:t xml:space="preserve"> Review</w:t>
      </w:r>
      <w:r w:rsidR="002C0892" w:rsidRPr="00793A87">
        <w:rPr>
          <w:rFonts w:asciiTheme="minorHAnsi" w:hAnsiTheme="minorHAnsi" w:cstheme="minorHAnsi"/>
        </w:rPr>
        <w:t xml:space="preserve"> 513,</w:t>
      </w:r>
      <w:r w:rsidR="00FF6E24" w:rsidRPr="00793A87">
        <w:rPr>
          <w:rFonts w:asciiTheme="minorHAnsi" w:hAnsiTheme="minorHAnsi" w:cstheme="minorHAnsi"/>
        </w:rPr>
        <w:t xml:space="preserve"> </w:t>
      </w:r>
      <w:r w:rsidR="0006404A" w:rsidRPr="00793A87">
        <w:rPr>
          <w:rFonts w:asciiTheme="minorHAnsi" w:hAnsiTheme="minorHAnsi" w:cstheme="minorHAnsi"/>
        </w:rPr>
        <w:t>514 on Kant’s</w:t>
      </w:r>
      <w:r w:rsidR="00FF6E24" w:rsidRPr="00793A87">
        <w:rPr>
          <w:rFonts w:asciiTheme="minorHAnsi" w:hAnsiTheme="minorHAnsi" w:cstheme="minorHAnsi"/>
        </w:rPr>
        <w:t xml:space="preserve"> proprietary construction of one’s reputation (and thus post-mortem personality rights) </w:t>
      </w:r>
      <w:r w:rsidR="0006404A" w:rsidRPr="00793A87">
        <w:rPr>
          <w:rFonts w:asciiTheme="minorHAnsi" w:hAnsiTheme="minorHAnsi" w:cstheme="minorHAnsi"/>
        </w:rPr>
        <w:t xml:space="preserve">: ‘But if a person acquires a good name by means of such an irreproachable life, it continues to belong to him even if he is no longer among the living. Because this person </w:t>
      </w:r>
      <w:r w:rsidR="0006404A" w:rsidRPr="00793A87">
        <w:rPr>
          <w:rFonts w:asciiTheme="minorHAnsi" w:hAnsiTheme="minorHAnsi" w:cstheme="minorHAnsi"/>
          <w:i/>
          <w:iCs/>
        </w:rPr>
        <w:t xml:space="preserve">owns </w:t>
      </w:r>
      <w:r w:rsidR="0006404A" w:rsidRPr="00793A87">
        <w:rPr>
          <w:rFonts w:asciiTheme="minorHAnsi" w:hAnsiTheme="minorHAnsi" w:cstheme="minorHAnsi"/>
        </w:rPr>
        <w:t xml:space="preserve">this good </w:t>
      </w:r>
      <w:r w:rsidR="002C0892" w:rsidRPr="00793A87">
        <w:rPr>
          <w:rFonts w:asciiTheme="minorHAnsi" w:hAnsiTheme="minorHAnsi" w:cstheme="minorHAnsi"/>
        </w:rPr>
        <w:t>name</w:t>
      </w:r>
      <w:r w:rsidR="0006404A" w:rsidRPr="00793A87">
        <w:rPr>
          <w:rFonts w:asciiTheme="minorHAnsi" w:hAnsiTheme="minorHAnsi" w:cstheme="minorHAnsi"/>
        </w:rPr>
        <w:t>.’</w:t>
      </w:r>
      <w:r w:rsidR="00940FAF" w:rsidRPr="00793A87">
        <w:rPr>
          <w:rFonts w:asciiTheme="minorHAnsi" w:hAnsiTheme="minorHAnsi" w:cstheme="minorHAnsi"/>
        </w:rPr>
        <w:t xml:space="preserve"> [emphasis added]</w:t>
      </w:r>
      <w:r w:rsidR="00FF6E24" w:rsidRPr="00793A87">
        <w:rPr>
          <w:rFonts w:asciiTheme="minorHAnsi" w:hAnsiTheme="minorHAnsi" w:cstheme="minorHAnsi"/>
        </w:rPr>
        <w:t xml:space="preserve"> Generally, </w:t>
      </w:r>
      <w:r w:rsidR="00380C0F" w:rsidRPr="00793A87">
        <w:rPr>
          <w:rFonts w:asciiTheme="minorHAnsi" w:hAnsiTheme="minorHAnsi" w:cstheme="minorHAnsi"/>
        </w:rPr>
        <w:t xml:space="preserve">Margaret Jane Radin, </w:t>
      </w:r>
      <w:r w:rsidR="00380C0F" w:rsidRPr="00793A87">
        <w:rPr>
          <w:rFonts w:asciiTheme="minorHAnsi" w:hAnsiTheme="minorHAnsi" w:cstheme="minorHAnsi"/>
          <w:i/>
          <w:iCs/>
        </w:rPr>
        <w:t>Contested Commodities (</w:t>
      </w:r>
      <w:r w:rsidR="00380C0F" w:rsidRPr="00793A87">
        <w:rPr>
          <w:rFonts w:asciiTheme="minorHAnsi" w:hAnsiTheme="minorHAnsi" w:cstheme="minorHAnsi"/>
        </w:rPr>
        <w:t>Cambridge, MA: Harvard University Press, 1996)</w:t>
      </w:r>
      <w:r w:rsidR="00FF6E24" w:rsidRPr="00793A87">
        <w:rPr>
          <w:rFonts w:asciiTheme="minorHAnsi" w:hAnsiTheme="minorHAnsi" w:cstheme="minorHAnsi"/>
        </w:rPr>
        <w:t>.</w:t>
      </w:r>
    </w:p>
  </w:footnote>
  <w:footnote w:id="93">
    <w:p w14:paraId="44DBEE77" w14:textId="3AA637BC" w:rsidR="00E00F9E" w:rsidRPr="00793A87" w:rsidRDefault="007524D8" w:rsidP="00214FA3">
      <w:pPr>
        <w:pStyle w:val="FootnoteText"/>
        <w:spacing w:afterAutospacing="0"/>
        <w:ind w:left="0"/>
        <w:rPr>
          <w:rFonts w:asciiTheme="minorHAnsi" w:hAnsiTheme="minorHAnsi" w:cstheme="minorHAnsi"/>
          <w:color w:val="373636"/>
        </w:rPr>
      </w:pPr>
      <w:r w:rsidRPr="00793A87">
        <w:rPr>
          <w:rStyle w:val="FootnoteReference"/>
          <w:rFonts w:asciiTheme="minorHAnsi" w:hAnsiTheme="minorHAnsi" w:cstheme="minorHAnsi"/>
          <w:color w:val="auto"/>
        </w:rPr>
        <w:footnoteRef/>
      </w:r>
      <w:r w:rsidRPr="00793A87">
        <w:rPr>
          <w:rFonts w:asciiTheme="minorHAnsi" w:hAnsiTheme="minorHAnsi" w:cstheme="minorHAnsi"/>
          <w:color w:val="auto"/>
        </w:rPr>
        <w:t xml:space="preserve"> </w:t>
      </w:r>
      <w:r w:rsidR="00FF6E24" w:rsidRPr="00793A87">
        <w:rPr>
          <w:rFonts w:asciiTheme="minorHAnsi" w:hAnsiTheme="minorHAnsi" w:cstheme="minorHAnsi"/>
          <w:i/>
          <w:iCs/>
        </w:rPr>
        <w:t xml:space="preserve">Plon (Société) </w:t>
      </w:r>
      <w:r w:rsidR="00FF6E24" w:rsidRPr="00793A87">
        <w:rPr>
          <w:rFonts w:asciiTheme="minorHAnsi" w:hAnsiTheme="minorHAnsi" w:cstheme="minorHAnsi"/>
        </w:rPr>
        <w:t xml:space="preserve">above n 32, </w:t>
      </w:r>
      <w:r w:rsidR="004805B2" w:rsidRPr="00793A87">
        <w:rPr>
          <w:rFonts w:asciiTheme="minorHAnsi" w:hAnsiTheme="minorHAnsi" w:cstheme="minorHAnsi"/>
        </w:rPr>
        <w:t>para 39</w:t>
      </w:r>
      <w:r w:rsidR="00FF6E24" w:rsidRPr="00793A87">
        <w:rPr>
          <w:rFonts w:asciiTheme="minorHAnsi" w:hAnsiTheme="minorHAnsi" w:cstheme="minorHAnsi"/>
          <w:color w:val="auto"/>
        </w:rPr>
        <w:t>.</w:t>
      </w:r>
    </w:p>
  </w:footnote>
  <w:footnote w:id="94">
    <w:p w14:paraId="4C76980C" w14:textId="6FA9ECF8" w:rsidR="00EC1B1F" w:rsidRPr="00793A87" w:rsidRDefault="00EC1B1F"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00FF6E24" w:rsidRPr="00793A87">
        <w:rPr>
          <w:rFonts w:cstheme="minorHAnsi"/>
          <w:sz w:val="20"/>
          <w:szCs w:val="20"/>
        </w:rPr>
        <w:t xml:space="preserve"> </w:t>
      </w:r>
      <w:r w:rsidR="005C01D3" w:rsidRPr="00793A87">
        <w:rPr>
          <w:rFonts w:cstheme="minorHAnsi"/>
          <w:sz w:val="20"/>
          <w:szCs w:val="20"/>
        </w:rPr>
        <w:t>See</w:t>
      </w:r>
      <w:r w:rsidR="001B2696" w:rsidRPr="00793A87">
        <w:rPr>
          <w:rFonts w:cstheme="minorHAnsi"/>
          <w:sz w:val="20"/>
          <w:szCs w:val="20"/>
        </w:rPr>
        <w:t xml:space="preserve"> e.g. </w:t>
      </w:r>
      <w:r w:rsidR="00EF6BB8" w:rsidRPr="00793A87">
        <w:rPr>
          <w:rFonts w:cstheme="minorHAnsi"/>
          <w:i/>
          <w:iCs/>
          <w:sz w:val="20"/>
          <w:szCs w:val="20"/>
        </w:rPr>
        <w:t>The Press Association v Newcastle Upon Tyne Hospitals Foundation Trust</w:t>
      </w:r>
      <w:r w:rsidR="00EF6BB8" w:rsidRPr="00793A87">
        <w:rPr>
          <w:rFonts w:cstheme="minorHAnsi"/>
          <w:sz w:val="20"/>
          <w:szCs w:val="20"/>
        </w:rPr>
        <w:t xml:space="preserve"> </w:t>
      </w:r>
      <w:r w:rsidR="001B2696" w:rsidRPr="00793A87">
        <w:rPr>
          <w:rFonts w:cstheme="minorHAnsi"/>
          <w:sz w:val="20"/>
          <w:szCs w:val="20"/>
        </w:rPr>
        <w:t xml:space="preserve">above n 45, </w:t>
      </w:r>
      <w:r w:rsidR="00283066" w:rsidRPr="00793A87">
        <w:rPr>
          <w:rFonts w:cstheme="minorHAnsi"/>
          <w:sz w:val="20"/>
          <w:szCs w:val="20"/>
        </w:rPr>
        <w:t>para 45-47</w:t>
      </w:r>
      <w:r w:rsidR="00F83BA2" w:rsidRPr="00793A87">
        <w:rPr>
          <w:rFonts w:cstheme="minorHAnsi"/>
          <w:sz w:val="20"/>
          <w:szCs w:val="20"/>
        </w:rPr>
        <w:t>.</w:t>
      </w:r>
    </w:p>
  </w:footnote>
  <w:footnote w:id="95">
    <w:p w14:paraId="6BBF6E1C" w14:textId="6BD27F30" w:rsidR="001B29D3" w:rsidRPr="00793A87" w:rsidRDefault="001B29D3" w:rsidP="00214FA3">
      <w:pPr>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FF6E24" w:rsidRPr="00793A87">
        <w:rPr>
          <w:rFonts w:cstheme="minorHAnsi"/>
          <w:sz w:val="20"/>
          <w:szCs w:val="20"/>
        </w:rPr>
        <w:t xml:space="preserve">Unless the acquired proprietary interest is understood as a form of stewardship.  </w:t>
      </w:r>
    </w:p>
  </w:footnote>
  <w:footnote w:id="96">
    <w:p w14:paraId="10BF49AA" w14:textId="03068A72" w:rsidR="00F84D42" w:rsidRPr="00793A87" w:rsidRDefault="00F84D42"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Radin above n </w:t>
      </w:r>
      <w:r w:rsidR="00FF6E24" w:rsidRPr="00793A87">
        <w:rPr>
          <w:rFonts w:asciiTheme="minorHAnsi" w:hAnsiTheme="minorHAnsi" w:cstheme="minorHAnsi"/>
        </w:rPr>
        <w:t>92, ? .</w:t>
      </w:r>
    </w:p>
  </w:footnote>
  <w:footnote w:id="97">
    <w:p w14:paraId="06C3559B" w14:textId="0479FC87" w:rsidR="00350452" w:rsidRPr="00793A87" w:rsidRDefault="00350452"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rPr>
        <w:t>Lewis v Secretary of State for Health &amp; Anor</w:t>
      </w:r>
      <w:r w:rsidR="00226750" w:rsidRPr="00793A87">
        <w:rPr>
          <w:rFonts w:asciiTheme="minorHAnsi" w:hAnsiTheme="minorHAnsi" w:cstheme="minorHAnsi"/>
        </w:rPr>
        <w:t xml:space="preserve"> </w:t>
      </w:r>
      <w:r w:rsidR="001B2696" w:rsidRPr="00793A87">
        <w:rPr>
          <w:rFonts w:asciiTheme="minorHAnsi" w:hAnsiTheme="minorHAnsi" w:cstheme="minorHAnsi"/>
        </w:rPr>
        <w:t>above n 45</w:t>
      </w:r>
      <w:r w:rsidR="00226750" w:rsidRPr="00793A87">
        <w:rPr>
          <w:rFonts w:asciiTheme="minorHAnsi" w:hAnsiTheme="minorHAnsi" w:cstheme="minorHAnsi"/>
        </w:rPr>
        <w:t>,</w:t>
      </w:r>
      <w:r w:rsidR="0010768B" w:rsidRPr="00793A87">
        <w:rPr>
          <w:rFonts w:asciiTheme="minorHAnsi" w:hAnsiTheme="minorHAnsi" w:cstheme="minorHAnsi"/>
        </w:rPr>
        <w:t xml:space="preserve"> </w:t>
      </w:r>
      <w:r w:rsidRPr="00793A87">
        <w:rPr>
          <w:rFonts w:asciiTheme="minorHAnsi" w:hAnsiTheme="minorHAnsi" w:cstheme="minorHAnsi"/>
        </w:rPr>
        <w:t>para 23, citing</w:t>
      </w:r>
      <w:r w:rsidR="007D61EE" w:rsidRPr="00793A87">
        <w:rPr>
          <w:rFonts w:asciiTheme="minorHAnsi" w:hAnsiTheme="minorHAnsi" w:cstheme="minorHAnsi"/>
        </w:rPr>
        <w:t xml:space="preserve"> with approval</w:t>
      </w:r>
      <w:r w:rsidRPr="00793A87">
        <w:rPr>
          <w:rFonts w:asciiTheme="minorHAnsi" w:hAnsiTheme="minorHAnsi" w:cstheme="minorHAnsi"/>
        </w:rPr>
        <w:t xml:space="preserve"> </w:t>
      </w:r>
      <w:r w:rsidR="00226750" w:rsidRPr="00793A87">
        <w:rPr>
          <w:rFonts w:asciiTheme="minorHAnsi" w:hAnsiTheme="minorHAnsi" w:cstheme="minorHAnsi"/>
        </w:rPr>
        <w:t xml:space="preserve">Toulson and Phipps above n 29, </w:t>
      </w:r>
      <w:r w:rsidRPr="00793A87">
        <w:rPr>
          <w:rFonts w:asciiTheme="minorHAnsi" w:eastAsia="Times New Roman" w:hAnsiTheme="minorHAnsi" w:cstheme="minorHAnsi"/>
          <w:lang w:eastAsia="en-GB"/>
        </w:rPr>
        <w:t>para 3-191</w:t>
      </w:r>
    </w:p>
  </w:footnote>
  <w:footnote w:id="98">
    <w:p w14:paraId="64205CDA" w14:textId="361CD307" w:rsidR="003A5094" w:rsidRPr="00793A87" w:rsidRDefault="003A509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lang w:eastAsia="en-GB"/>
        </w:rPr>
        <w:t>Digital Inheritance</w:t>
      </w:r>
      <w:r w:rsidR="00226750"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226750" w:rsidRPr="00793A87">
        <w:rPr>
          <w:rStyle w:val="Strong"/>
          <w:rFonts w:asciiTheme="minorHAnsi" w:hAnsiTheme="minorHAnsi" w:cstheme="minorHAnsi"/>
          <w:b w:val="0"/>
          <w:bCs w:val="0"/>
        </w:rPr>
        <w:t xml:space="preserve">, para </w:t>
      </w:r>
      <w:r w:rsidR="00E03458" w:rsidRPr="00793A87">
        <w:rPr>
          <w:rStyle w:val="Strong"/>
          <w:rFonts w:asciiTheme="minorHAnsi" w:hAnsiTheme="minorHAnsi" w:cstheme="minorHAnsi"/>
          <w:b w:val="0"/>
          <w:bCs w:val="0"/>
        </w:rPr>
        <w:t>18-51,</w:t>
      </w:r>
      <w:r w:rsidRPr="00793A87">
        <w:rPr>
          <w:rStyle w:val="Strong"/>
          <w:rFonts w:asciiTheme="minorHAnsi" w:hAnsiTheme="minorHAnsi" w:cstheme="minorHAnsi"/>
          <w:b w:val="0"/>
          <w:bCs w:val="0"/>
        </w:rPr>
        <w:t xml:space="preserve"> </w:t>
      </w:r>
      <w:r w:rsidRPr="00793A87">
        <w:rPr>
          <w:rFonts w:asciiTheme="minorHAnsi" w:hAnsiTheme="minorHAnsi" w:cstheme="minorHAnsi"/>
        </w:rPr>
        <w:t>§ 2047(2) of the German Civil Code</w:t>
      </w:r>
      <w:r w:rsidR="00EF3637" w:rsidRPr="00793A87">
        <w:rPr>
          <w:rFonts w:asciiTheme="minorHAnsi" w:hAnsiTheme="minorHAnsi" w:cstheme="minorHAnsi"/>
        </w:rPr>
        <w:t xml:space="preserve"> (and </w:t>
      </w:r>
      <w:r w:rsidRPr="00793A87">
        <w:rPr>
          <w:rFonts w:asciiTheme="minorHAnsi" w:hAnsiTheme="minorHAnsi" w:cstheme="minorHAnsi"/>
        </w:rPr>
        <w:t>§ 2373 on family photos and documents</w:t>
      </w:r>
      <w:r w:rsidR="00EF3637" w:rsidRPr="00793A87">
        <w:rPr>
          <w:rFonts w:asciiTheme="minorHAnsi" w:hAnsiTheme="minorHAnsi" w:cstheme="minorHAnsi"/>
        </w:rPr>
        <w:t>)</w:t>
      </w:r>
      <w:r w:rsidRPr="00793A87">
        <w:rPr>
          <w:rFonts w:asciiTheme="minorHAnsi" w:hAnsiTheme="minorHAnsi" w:cstheme="minorHAnsi"/>
        </w:rPr>
        <w:t xml:space="preserve">.  </w:t>
      </w:r>
    </w:p>
  </w:footnote>
  <w:footnote w:id="99">
    <w:p w14:paraId="4A7DDFAC" w14:textId="0FC0FBC4" w:rsidR="009F2407" w:rsidRPr="00793A87" w:rsidRDefault="009F240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F07718" w:rsidRPr="00793A87">
        <w:rPr>
          <w:rFonts w:asciiTheme="minorHAnsi" w:hAnsiTheme="minorHAnsi" w:cstheme="minorHAnsi"/>
          <w:color w:val="auto"/>
        </w:rPr>
        <w:t>See</w:t>
      </w:r>
      <w:r w:rsidR="00E03458" w:rsidRPr="00793A87">
        <w:rPr>
          <w:rFonts w:asciiTheme="minorHAnsi" w:hAnsiTheme="minorHAnsi" w:cstheme="minorHAnsi"/>
          <w:color w:val="auto"/>
        </w:rPr>
        <w:t xml:space="preserve"> also</w:t>
      </w:r>
      <w:r w:rsidR="00F07718" w:rsidRPr="00793A87">
        <w:rPr>
          <w:rFonts w:asciiTheme="minorHAnsi" w:hAnsiTheme="minorHAnsi" w:cstheme="minorHAnsi"/>
          <w:color w:val="auto"/>
        </w:rPr>
        <w:t xml:space="preserve"> </w:t>
      </w:r>
      <w:r w:rsidR="00E03458" w:rsidRPr="00793A87">
        <w:rPr>
          <w:rFonts w:asciiTheme="minorHAnsi" w:hAnsiTheme="minorHAnsi" w:cstheme="minorHAnsi"/>
          <w:color w:val="auto"/>
        </w:rPr>
        <w:t xml:space="preserve">US </w:t>
      </w:r>
      <w:r w:rsidR="00F07718" w:rsidRPr="00793A87">
        <w:rPr>
          <w:rFonts w:asciiTheme="minorHAnsi" w:hAnsiTheme="minorHAnsi" w:cstheme="minorHAnsi"/>
          <w:color w:val="auto"/>
        </w:rPr>
        <w:t xml:space="preserve">statutes that treat digital assets as an ordinary part of the deceased’s estate e.g. Connecticut General Statutes Ann. § 45a-334a (2012); Delaware Code Ann Title 12 § 5004 (2016); Idaho Code Ann § 15-3-715(28); Indiana Code § 29-1-13-1.1. (2018). See also </w:t>
      </w:r>
      <w:r w:rsidR="00F07718" w:rsidRPr="00793A87">
        <w:rPr>
          <w:rFonts w:asciiTheme="minorHAnsi" w:hAnsiTheme="minorHAnsi" w:cstheme="minorHAnsi"/>
          <w:i/>
          <w:iCs/>
          <w:color w:val="auto"/>
          <w:lang w:eastAsia="en-GB"/>
        </w:rPr>
        <w:t>Estate of Maria Cecilia Quadri v Parisi</w:t>
      </w:r>
      <w:r w:rsidR="00F07718" w:rsidRPr="00793A87">
        <w:rPr>
          <w:rFonts w:asciiTheme="minorHAnsi" w:hAnsiTheme="minorHAnsi" w:cstheme="minorHAnsi"/>
          <w:color w:val="auto"/>
          <w:lang w:eastAsia="en-GB"/>
        </w:rPr>
        <w:t xml:space="preserve"> (2021) </w:t>
      </w:r>
      <w:r w:rsidR="00F07718" w:rsidRPr="00793A87">
        <w:rPr>
          <w:rFonts w:asciiTheme="minorHAnsi" w:hAnsiTheme="minorHAnsi" w:cstheme="minorHAnsi"/>
          <w:color w:val="auto"/>
        </w:rPr>
        <w:t xml:space="preserve">WL 3544783 (Fla Cir Ct) </w:t>
      </w:r>
      <w:r w:rsidR="00E03458" w:rsidRPr="00793A87">
        <w:rPr>
          <w:rFonts w:asciiTheme="minorHAnsi" w:hAnsiTheme="minorHAnsi" w:cstheme="minorHAnsi"/>
          <w:color w:val="auto"/>
        </w:rPr>
        <w:t>(</w:t>
      </w:r>
      <w:r w:rsidR="00F07718" w:rsidRPr="00793A87">
        <w:rPr>
          <w:rFonts w:asciiTheme="minorHAnsi" w:hAnsiTheme="minorHAnsi" w:cstheme="minorHAnsi"/>
          <w:color w:val="auto"/>
          <w:lang w:eastAsia="en-GB"/>
        </w:rPr>
        <w:t xml:space="preserve">where the </w:t>
      </w:r>
      <w:r w:rsidR="00E03458" w:rsidRPr="00793A87">
        <w:rPr>
          <w:rFonts w:asciiTheme="minorHAnsi" w:hAnsiTheme="minorHAnsi" w:cstheme="minorHAnsi"/>
          <w:color w:val="auto"/>
          <w:lang w:eastAsia="en-GB"/>
        </w:rPr>
        <w:t>claimant</w:t>
      </w:r>
      <w:r w:rsidR="00F07718" w:rsidRPr="00793A87">
        <w:rPr>
          <w:rFonts w:asciiTheme="minorHAnsi" w:hAnsiTheme="minorHAnsi" w:cstheme="minorHAnsi"/>
          <w:color w:val="auto"/>
          <w:lang w:eastAsia="en-GB"/>
        </w:rPr>
        <w:t xml:space="preserve"> was granted </w:t>
      </w:r>
      <w:r w:rsidR="00F07718" w:rsidRPr="00793A87">
        <w:rPr>
          <w:rFonts w:asciiTheme="minorHAnsi" w:hAnsiTheme="minorHAnsi" w:cstheme="minorHAnsi"/>
          <w:color w:val="auto"/>
        </w:rPr>
        <w:t>custody of her late sister’s email accounts, pursuant to Florida's Fiduciary Access to Digital</w:t>
      </w:r>
      <w:r w:rsidR="00F07718" w:rsidRPr="00793A87">
        <w:rPr>
          <w:rFonts w:asciiTheme="minorHAnsi" w:hAnsiTheme="minorHAnsi" w:cstheme="minorHAnsi"/>
          <w:color w:val="auto"/>
          <w:lang w:eastAsia="en-GB"/>
        </w:rPr>
        <w:t xml:space="preserve"> </w:t>
      </w:r>
      <w:r w:rsidR="00F07718" w:rsidRPr="00793A87">
        <w:rPr>
          <w:rFonts w:asciiTheme="minorHAnsi" w:hAnsiTheme="minorHAnsi" w:cstheme="minorHAnsi"/>
          <w:color w:val="auto"/>
        </w:rPr>
        <w:t>Assets Act</w:t>
      </w:r>
      <w:r w:rsidR="00A30E44" w:rsidRPr="00793A87">
        <w:rPr>
          <w:rFonts w:asciiTheme="minorHAnsi" w:hAnsiTheme="minorHAnsi" w:cstheme="minorHAnsi"/>
          <w:color w:val="auto"/>
        </w:rPr>
        <w:t xml:space="preserve">. </w:t>
      </w:r>
    </w:p>
  </w:footnote>
  <w:footnote w:id="100">
    <w:p w14:paraId="0BFE59A8" w14:textId="2D36C27F" w:rsidR="00D10FF8" w:rsidRPr="00793A87" w:rsidRDefault="00D10FF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lang w:eastAsia="en-GB"/>
        </w:rPr>
        <w:t>Digital Inheritance</w:t>
      </w:r>
      <w:r w:rsidR="00226750"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226750" w:rsidRPr="00793A87">
        <w:rPr>
          <w:rStyle w:val="Strong"/>
          <w:rFonts w:asciiTheme="minorHAnsi" w:hAnsiTheme="minorHAnsi" w:cstheme="minorHAnsi"/>
          <w:b w:val="0"/>
          <w:bCs w:val="0"/>
        </w:rPr>
        <w:t xml:space="preserve">, </w:t>
      </w:r>
      <w:r w:rsidRPr="00793A87">
        <w:rPr>
          <w:rStyle w:val="Strong"/>
          <w:rFonts w:asciiTheme="minorHAnsi" w:hAnsiTheme="minorHAnsi" w:cstheme="minorHAnsi"/>
          <w:b w:val="0"/>
          <w:bCs w:val="0"/>
        </w:rPr>
        <w:t xml:space="preserve">para 52-53. </w:t>
      </w:r>
    </w:p>
  </w:footnote>
  <w:footnote w:id="101">
    <w:p w14:paraId="139A254E" w14:textId="58ED1F74" w:rsidR="00BA6C33" w:rsidRPr="00793A87" w:rsidRDefault="00BA6C3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lang w:eastAsia="en-GB"/>
        </w:rPr>
        <w:t>Digital Inheritance</w:t>
      </w:r>
      <w:r w:rsidR="00226750"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226750" w:rsidRPr="00793A87">
        <w:rPr>
          <w:rStyle w:val="Strong"/>
          <w:rFonts w:asciiTheme="minorHAnsi" w:hAnsiTheme="minorHAnsi" w:cstheme="minorHAnsi"/>
          <w:b w:val="0"/>
          <w:bCs w:val="0"/>
        </w:rPr>
        <w:t xml:space="preserve">, </w:t>
      </w:r>
      <w:r w:rsidR="008B1DD4" w:rsidRPr="00793A87">
        <w:rPr>
          <w:rStyle w:val="Strong"/>
          <w:rFonts w:asciiTheme="minorHAnsi" w:hAnsiTheme="minorHAnsi" w:cstheme="minorHAnsi"/>
          <w:b w:val="0"/>
          <w:bCs w:val="0"/>
        </w:rPr>
        <w:t>para 30 and 51.</w:t>
      </w:r>
    </w:p>
  </w:footnote>
  <w:footnote w:id="102">
    <w:p w14:paraId="37D31C64" w14:textId="760B88D3" w:rsidR="000832C7" w:rsidRPr="00793A87" w:rsidRDefault="000832C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lang w:eastAsia="en-GB"/>
        </w:rPr>
        <w:t>Digital Inheritance</w:t>
      </w:r>
      <w:r w:rsidR="00226750"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226750" w:rsidRPr="00793A87">
        <w:rPr>
          <w:rStyle w:val="Strong"/>
          <w:rFonts w:asciiTheme="minorHAnsi" w:hAnsiTheme="minorHAnsi" w:cstheme="minorHAnsi"/>
          <w:b w:val="0"/>
          <w:bCs w:val="0"/>
        </w:rPr>
        <w:t xml:space="preserve">, </w:t>
      </w:r>
      <w:r w:rsidRPr="00793A87">
        <w:rPr>
          <w:rStyle w:val="Strong"/>
          <w:rFonts w:asciiTheme="minorHAnsi" w:hAnsiTheme="minorHAnsi" w:cstheme="minorHAnsi"/>
          <w:b w:val="0"/>
          <w:bCs w:val="0"/>
        </w:rPr>
        <w:t>para 36</w:t>
      </w:r>
      <w:r w:rsidR="00226750" w:rsidRPr="00793A87">
        <w:rPr>
          <w:rStyle w:val="Strong"/>
          <w:rFonts w:asciiTheme="minorHAnsi" w:hAnsiTheme="minorHAnsi" w:cstheme="minorHAnsi"/>
          <w:b w:val="0"/>
          <w:bCs w:val="0"/>
        </w:rPr>
        <w:t>,</w:t>
      </w:r>
      <w:r w:rsidR="00A02E19" w:rsidRPr="00793A87">
        <w:rPr>
          <w:rStyle w:val="Strong"/>
          <w:rFonts w:asciiTheme="minorHAnsi" w:hAnsiTheme="minorHAnsi" w:cstheme="minorHAnsi"/>
          <w:b w:val="0"/>
          <w:bCs w:val="0"/>
        </w:rPr>
        <w:t xml:space="preserve"> and </w:t>
      </w:r>
      <w:r w:rsidR="00226750" w:rsidRPr="00793A87">
        <w:rPr>
          <w:rStyle w:val="Strong"/>
          <w:rFonts w:asciiTheme="minorHAnsi" w:hAnsiTheme="minorHAnsi" w:cstheme="minorHAnsi"/>
          <w:b w:val="0"/>
          <w:bCs w:val="0"/>
        </w:rPr>
        <w:t xml:space="preserve">para </w:t>
      </w:r>
      <w:r w:rsidR="00A02E19" w:rsidRPr="00793A87">
        <w:rPr>
          <w:rStyle w:val="Strong"/>
          <w:rFonts w:asciiTheme="minorHAnsi" w:hAnsiTheme="minorHAnsi" w:cstheme="minorHAnsi"/>
          <w:b w:val="0"/>
          <w:bCs w:val="0"/>
        </w:rPr>
        <w:t xml:space="preserve">38 on Facebook’s IP interests. </w:t>
      </w:r>
    </w:p>
  </w:footnote>
  <w:footnote w:id="103">
    <w:p w14:paraId="533F8AF6" w14:textId="4449F182" w:rsidR="000832C7" w:rsidRPr="00793A87" w:rsidRDefault="000832C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i/>
          <w:iCs/>
          <w:lang w:eastAsia="en-GB"/>
        </w:rPr>
        <w:t>Digital Inheritance</w:t>
      </w:r>
      <w:r w:rsidR="00226750"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226750" w:rsidRPr="00793A87">
        <w:rPr>
          <w:rStyle w:val="Strong"/>
          <w:rFonts w:asciiTheme="minorHAnsi" w:hAnsiTheme="minorHAnsi" w:cstheme="minorHAnsi"/>
          <w:b w:val="0"/>
          <w:bCs w:val="0"/>
        </w:rPr>
        <w:t>, p</w:t>
      </w:r>
      <w:r w:rsidRPr="00793A87">
        <w:rPr>
          <w:rFonts w:asciiTheme="minorHAnsi" w:hAnsiTheme="minorHAnsi" w:cstheme="minorHAnsi"/>
        </w:rPr>
        <w:t>ara 92</w:t>
      </w:r>
    </w:p>
  </w:footnote>
  <w:footnote w:id="104">
    <w:p w14:paraId="15F39E3C" w14:textId="76E7029C" w:rsidR="00A47215" w:rsidRPr="00793A87" w:rsidRDefault="00A4721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26750" w:rsidRPr="00793A87">
        <w:rPr>
          <w:rFonts w:asciiTheme="minorHAnsi" w:hAnsiTheme="minorHAnsi" w:cstheme="minorHAnsi"/>
        </w:rPr>
        <w:t>For p</w:t>
      </w:r>
      <w:r w:rsidR="006A488C" w:rsidRPr="00793A87">
        <w:rPr>
          <w:rFonts w:asciiTheme="minorHAnsi" w:hAnsiTheme="minorHAnsi" w:cstheme="minorHAnsi"/>
        </w:rPr>
        <w:t>rivacy</w:t>
      </w:r>
      <w:r w:rsidR="00226750" w:rsidRPr="00793A87">
        <w:rPr>
          <w:rFonts w:asciiTheme="minorHAnsi" w:hAnsiTheme="minorHAnsi" w:cstheme="minorHAnsi"/>
        </w:rPr>
        <w:t xml:space="preserve"> as enabling concept for </w:t>
      </w:r>
      <w:r w:rsidR="006A488C" w:rsidRPr="00793A87">
        <w:rPr>
          <w:rFonts w:asciiTheme="minorHAnsi" w:hAnsiTheme="minorHAnsi" w:cstheme="minorHAnsi"/>
        </w:rPr>
        <w:t>relationships</w:t>
      </w:r>
      <w:r w:rsidR="00226750" w:rsidRPr="00793A87">
        <w:rPr>
          <w:rFonts w:asciiTheme="minorHAnsi" w:hAnsiTheme="minorHAnsi" w:cstheme="minorHAnsi"/>
        </w:rPr>
        <w:t xml:space="preserve">, see </w:t>
      </w:r>
      <w:r w:rsidR="00066BCA" w:rsidRPr="00793A87">
        <w:rPr>
          <w:rFonts w:asciiTheme="minorHAnsi" w:hAnsiTheme="minorHAnsi" w:cstheme="minorHAnsi"/>
        </w:rPr>
        <w:t xml:space="preserve">Robert Murphy, ‘Social Distance and the Veil’ (1964) 66 </w:t>
      </w:r>
      <w:r w:rsidR="00066BCA" w:rsidRPr="00793A87">
        <w:rPr>
          <w:rFonts w:asciiTheme="minorHAnsi" w:hAnsiTheme="minorHAnsi" w:cstheme="minorHAnsi"/>
          <w:i/>
          <w:iCs/>
        </w:rPr>
        <w:t>American Anthropologist</w:t>
      </w:r>
      <w:r w:rsidR="00066BCA" w:rsidRPr="00793A87">
        <w:rPr>
          <w:rFonts w:asciiTheme="minorHAnsi" w:hAnsiTheme="minorHAnsi" w:cstheme="minorHAnsi"/>
        </w:rPr>
        <w:t xml:space="preserve"> 1257; </w:t>
      </w:r>
      <w:r w:rsidR="006A488C" w:rsidRPr="00793A87">
        <w:rPr>
          <w:rFonts w:asciiTheme="minorHAnsi" w:hAnsiTheme="minorHAnsi" w:cstheme="minorHAnsi"/>
        </w:rPr>
        <w:t xml:space="preserve">James Rachels,’ Why Privacy is Important’ (1975) 4(4) </w:t>
      </w:r>
      <w:r w:rsidR="006A488C" w:rsidRPr="00793A87">
        <w:rPr>
          <w:rFonts w:asciiTheme="minorHAnsi" w:hAnsiTheme="minorHAnsi" w:cstheme="minorHAnsi"/>
          <w:i/>
          <w:iCs/>
        </w:rPr>
        <w:t xml:space="preserve">Philosophy </w:t>
      </w:r>
      <w:r w:rsidR="006A488C" w:rsidRPr="00793A87">
        <w:rPr>
          <w:rFonts w:asciiTheme="minorHAnsi" w:hAnsiTheme="minorHAnsi" w:cstheme="minorHAnsi"/>
        </w:rPr>
        <w:t xml:space="preserve">&amp; </w:t>
      </w:r>
      <w:r w:rsidR="006A488C" w:rsidRPr="00793A87">
        <w:rPr>
          <w:rFonts w:asciiTheme="minorHAnsi" w:hAnsiTheme="minorHAnsi" w:cstheme="minorHAnsi"/>
          <w:i/>
          <w:iCs/>
        </w:rPr>
        <w:t xml:space="preserve">Public Affairs </w:t>
      </w:r>
      <w:r w:rsidR="006A488C" w:rsidRPr="00793A87">
        <w:rPr>
          <w:rFonts w:asciiTheme="minorHAnsi" w:hAnsiTheme="minorHAnsi" w:cstheme="minorHAnsi"/>
        </w:rPr>
        <w:t>323</w:t>
      </w:r>
      <w:r w:rsidR="00D4269E" w:rsidRPr="00793A87">
        <w:rPr>
          <w:rFonts w:asciiTheme="minorHAnsi" w:hAnsiTheme="minorHAnsi" w:cstheme="minorHAnsi"/>
        </w:rPr>
        <w:t xml:space="preserve">;  </w:t>
      </w:r>
      <w:r w:rsidR="00D4269E" w:rsidRPr="00793A87">
        <w:rPr>
          <w:rFonts w:asciiTheme="minorHAnsi" w:hAnsiTheme="minorHAnsi" w:cstheme="minorHAnsi"/>
          <w:color w:val="auto"/>
        </w:rPr>
        <w:t>Stanley I Benn, Gerald F Gaus,</w:t>
      </w:r>
      <w:r w:rsidR="00066BCA" w:rsidRPr="00793A87">
        <w:rPr>
          <w:rFonts w:asciiTheme="minorHAnsi" w:hAnsiTheme="minorHAnsi" w:cstheme="minorHAnsi"/>
          <w:color w:val="auto"/>
        </w:rPr>
        <w:t xml:space="preserve"> </w:t>
      </w:r>
      <w:r w:rsidR="00D4269E" w:rsidRPr="00793A87">
        <w:rPr>
          <w:rFonts w:asciiTheme="minorHAnsi" w:hAnsiTheme="minorHAnsi" w:cstheme="minorHAnsi"/>
          <w:color w:val="auto"/>
        </w:rPr>
        <w:t xml:space="preserve">‘Stanley I Benn, Gerald F Gaus (eds) </w:t>
      </w:r>
      <w:r w:rsidR="00D4269E" w:rsidRPr="00793A87">
        <w:rPr>
          <w:rFonts w:asciiTheme="minorHAnsi" w:hAnsiTheme="minorHAnsi" w:cstheme="minorHAnsi"/>
          <w:i/>
          <w:iCs/>
          <w:color w:val="auto"/>
        </w:rPr>
        <w:t>The Public and the Private in Social Policy</w:t>
      </w:r>
      <w:r w:rsidR="00D4269E" w:rsidRPr="00793A87">
        <w:rPr>
          <w:rFonts w:asciiTheme="minorHAnsi" w:hAnsiTheme="minorHAnsi" w:cstheme="minorHAnsi"/>
          <w:color w:val="auto"/>
        </w:rPr>
        <w:t xml:space="preserve"> (London: Croom Helm and St. Martin's Press, 1983) 3</w:t>
      </w:r>
      <w:r w:rsidR="006A488C" w:rsidRPr="00793A87">
        <w:rPr>
          <w:rFonts w:asciiTheme="minorHAnsi" w:hAnsiTheme="minorHAnsi" w:cstheme="minorHAnsi"/>
        </w:rPr>
        <w:t>;</w:t>
      </w:r>
      <w:r w:rsidR="00226750" w:rsidRPr="00793A87">
        <w:rPr>
          <w:rFonts w:asciiTheme="minorHAnsi" w:hAnsiTheme="minorHAnsi" w:cstheme="minorHAnsi"/>
        </w:rPr>
        <w:t xml:space="preserve"> and</w:t>
      </w:r>
      <w:r w:rsidR="006A488C" w:rsidRPr="00793A87">
        <w:rPr>
          <w:rFonts w:asciiTheme="minorHAnsi" w:hAnsiTheme="minorHAnsi" w:cstheme="minorHAnsi"/>
        </w:rPr>
        <w:t xml:space="preserve"> </w:t>
      </w:r>
      <w:r w:rsidR="00ED6348" w:rsidRPr="00793A87">
        <w:rPr>
          <w:rFonts w:asciiTheme="minorHAnsi" w:hAnsiTheme="minorHAnsi" w:cstheme="minorHAnsi"/>
        </w:rPr>
        <w:t>Ferdinand D</w:t>
      </w:r>
      <w:r w:rsidR="006A488C" w:rsidRPr="00793A87">
        <w:rPr>
          <w:rFonts w:asciiTheme="minorHAnsi" w:hAnsiTheme="minorHAnsi" w:cstheme="minorHAnsi"/>
        </w:rPr>
        <w:t xml:space="preserve"> Schoenman</w:t>
      </w:r>
      <w:r w:rsidR="00ED6348" w:rsidRPr="00793A87">
        <w:rPr>
          <w:rFonts w:asciiTheme="minorHAnsi" w:hAnsiTheme="minorHAnsi" w:cstheme="minorHAnsi"/>
        </w:rPr>
        <w:t xml:space="preserve">, ‘Privacy: philosophical dimensions of the literature’ in Schoeman </w:t>
      </w:r>
      <w:r w:rsidR="006A488C" w:rsidRPr="00793A87">
        <w:rPr>
          <w:rFonts w:asciiTheme="minorHAnsi" w:hAnsiTheme="minorHAnsi" w:cstheme="minorHAnsi"/>
        </w:rPr>
        <w:t>above n</w:t>
      </w:r>
      <w:r w:rsidR="00D4269E" w:rsidRPr="00793A87">
        <w:rPr>
          <w:rFonts w:asciiTheme="minorHAnsi" w:hAnsiTheme="minorHAnsi" w:cstheme="minorHAnsi"/>
        </w:rPr>
        <w:t xml:space="preserve"> 86</w:t>
      </w:r>
      <w:r w:rsidR="006A488C" w:rsidRPr="00793A87">
        <w:rPr>
          <w:rFonts w:asciiTheme="minorHAnsi" w:hAnsiTheme="minorHAnsi" w:cstheme="minorHAnsi"/>
        </w:rPr>
        <w:t xml:space="preserve">, </w:t>
      </w:r>
      <w:r w:rsidR="00ED6348" w:rsidRPr="00793A87">
        <w:rPr>
          <w:rFonts w:asciiTheme="minorHAnsi" w:hAnsiTheme="minorHAnsi" w:cstheme="minorHAnsi"/>
        </w:rPr>
        <w:t>1, 22ff.</w:t>
      </w:r>
      <w:r w:rsidR="00D4269E" w:rsidRPr="00793A87">
        <w:rPr>
          <w:rFonts w:asciiTheme="minorHAnsi" w:hAnsiTheme="minorHAnsi" w:cstheme="minorHAnsi"/>
        </w:rPr>
        <w:t xml:space="preserve"> </w:t>
      </w:r>
      <w:r w:rsidR="00357667" w:rsidRPr="00793A87">
        <w:rPr>
          <w:rFonts w:asciiTheme="minorHAnsi" w:hAnsiTheme="minorHAnsi" w:cstheme="minorHAnsi"/>
        </w:rPr>
        <w:t xml:space="preserve">This is also increasingly apparent in data protection law; see e.g. Lilian Edwards, Michèle Finck, Michael Veale, Nicolo Zingales, ‘Data subjects as data controllers: a Fashion(able) concept?’ (2019) </w:t>
      </w:r>
      <w:r w:rsidR="00357667" w:rsidRPr="00793A87">
        <w:rPr>
          <w:rFonts w:asciiTheme="minorHAnsi" w:hAnsiTheme="minorHAnsi" w:cstheme="minorHAnsi"/>
          <w:i/>
          <w:iCs/>
        </w:rPr>
        <w:t xml:space="preserve">Internet Policy Review </w:t>
      </w:r>
      <w:hyperlink r:id="rId2" w:history="1">
        <w:r w:rsidR="00357667" w:rsidRPr="00793A87">
          <w:rPr>
            <w:rStyle w:val="Hyperlink"/>
            <w:rFonts w:asciiTheme="minorHAnsi" w:hAnsiTheme="minorHAnsi" w:cstheme="minorHAnsi"/>
          </w:rPr>
          <w:t>https://policyreview.info/articles/news/data-subjects-data-controllers-fashionable-concept/1400</w:t>
        </w:r>
      </w:hyperlink>
      <w:r w:rsidR="00357667" w:rsidRPr="00793A87">
        <w:rPr>
          <w:rFonts w:asciiTheme="minorHAnsi" w:hAnsiTheme="minorHAnsi" w:cstheme="minorHAnsi"/>
        </w:rPr>
        <w:t xml:space="preserve"> </w:t>
      </w:r>
    </w:p>
  </w:footnote>
  <w:footnote w:id="105">
    <w:p w14:paraId="72148ECE" w14:textId="77777777" w:rsidR="001C2053" w:rsidRPr="00793A87" w:rsidRDefault="001C205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Section 17 imposes on fiduciaries the ‘normal’ fiduciary duties. </w:t>
      </w:r>
    </w:p>
  </w:footnote>
  <w:footnote w:id="106">
    <w:p w14:paraId="7A5DA2C2" w14:textId="7B371708" w:rsidR="00826313" w:rsidRPr="00793A87" w:rsidRDefault="0082631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Whitman</w:t>
      </w:r>
      <w:r w:rsidR="00E03458" w:rsidRPr="00793A87">
        <w:rPr>
          <w:rFonts w:asciiTheme="minorHAnsi" w:hAnsiTheme="minorHAnsi" w:cstheme="minorHAnsi"/>
        </w:rPr>
        <w:t xml:space="preserve"> above n 21, </w:t>
      </w:r>
      <w:r w:rsidRPr="00793A87">
        <w:rPr>
          <w:rFonts w:asciiTheme="minorHAnsi" w:hAnsiTheme="minorHAnsi" w:cstheme="minorHAnsi"/>
        </w:rPr>
        <w:t xml:space="preserve">1164; see also Robert C Post, ‘Three Concepts of Privacy’ (2001) 89 </w:t>
      </w:r>
      <w:r w:rsidRPr="00793A87">
        <w:rPr>
          <w:rFonts w:asciiTheme="minorHAnsi" w:hAnsiTheme="minorHAnsi" w:cstheme="minorHAnsi"/>
          <w:i/>
        </w:rPr>
        <w:t xml:space="preserve">The Georgetown Law Journal </w:t>
      </w:r>
      <w:r w:rsidRPr="00793A87">
        <w:rPr>
          <w:rFonts w:asciiTheme="minorHAnsi" w:hAnsiTheme="minorHAnsi" w:cstheme="minorHAnsi"/>
        </w:rPr>
        <w:t xml:space="preserve">2087. </w:t>
      </w:r>
    </w:p>
  </w:footnote>
  <w:footnote w:id="107">
    <w:p w14:paraId="753D4A3D" w14:textId="2FDD1BC7" w:rsidR="006F1B3F" w:rsidRPr="00793A87" w:rsidRDefault="006F1B3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365EF0" w:rsidRPr="00793A87">
        <w:rPr>
          <w:rFonts w:asciiTheme="minorHAnsi" w:hAnsiTheme="minorHAnsi" w:cstheme="minorHAnsi"/>
        </w:rPr>
        <w:t>‘Public exposure’ is differently constructed in American and European privacy jurisprudence with the former fearing governmental interference, whilst the latter is more concerned about societal instructions. Whitman above n 21.</w:t>
      </w:r>
    </w:p>
  </w:footnote>
  <w:footnote w:id="108">
    <w:p w14:paraId="679C4C83" w14:textId="7FCD0965" w:rsidR="00A75ED4" w:rsidRPr="00793A87" w:rsidRDefault="00A75ED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Bryan S Turner, </w:t>
      </w:r>
      <w:r w:rsidRPr="00793A87">
        <w:rPr>
          <w:rFonts w:asciiTheme="minorHAnsi" w:hAnsiTheme="minorHAnsi" w:cstheme="minorHAnsi"/>
          <w:i/>
          <w:iCs/>
        </w:rPr>
        <w:t>Vulnerability and Human Rights</w:t>
      </w:r>
      <w:r w:rsidRPr="00793A87">
        <w:rPr>
          <w:rFonts w:asciiTheme="minorHAnsi" w:hAnsiTheme="minorHAnsi" w:cstheme="minorHAnsi"/>
        </w:rPr>
        <w:t xml:space="preserve"> (Pennsylvania State University Press, 2006).</w:t>
      </w:r>
    </w:p>
  </w:footnote>
  <w:footnote w:id="109">
    <w:p w14:paraId="17E0AC6B" w14:textId="793F498A" w:rsidR="008E306F" w:rsidRPr="00793A87" w:rsidRDefault="008E306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A75ED4" w:rsidRPr="00793A87">
        <w:rPr>
          <w:rFonts w:asciiTheme="minorHAnsi" w:hAnsiTheme="minorHAnsi" w:cstheme="minorHAnsi"/>
        </w:rPr>
        <w:t xml:space="preserve">Ibid </w:t>
      </w:r>
      <w:r w:rsidR="00B74921" w:rsidRPr="00793A87">
        <w:rPr>
          <w:rFonts w:asciiTheme="minorHAnsi" w:hAnsiTheme="minorHAnsi" w:cstheme="minorHAnsi"/>
        </w:rPr>
        <w:t>9.</w:t>
      </w:r>
    </w:p>
  </w:footnote>
  <w:footnote w:id="110">
    <w:p w14:paraId="4052D753" w14:textId="66328BD8" w:rsidR="00B74921" w:rsidRPr="00793A87" w:rsidRDefault="00B7492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27</w:t>
      </w:r>
      <w:r w:rsidR="009C26D0" w:rsidRPr="00793A87">
        <w:rPr>
          <w:rFonts w:asciiTheme="minorHAnsi" w:hAnsiTheme="minorHAnsi" w:cstheme="minorHAnsi"/>
        </w:rPr>
        <w:t xml:space="preserve"> [emphasis added]</w:t>
      </w:r>
      <w:r w:rsidRPr="00793A87">
        <w:rPr>
          <w:rFonts w:asciiTheme="minorHAnsi" w:hAnsiTheme="minorHAnsi" w:cstheme="minorHAnsi"/>
        </w:rPr>
        <w:t xml:space="preserve">. </w:t>
      </w:r>
    </w:p>
  </w:footnote>
  <w:footnote w:id="111">
    <w:p w14:paraId="5F756AFB" w14:textId="0FB125B8" w:rsidR="00B74921" w:rsidRPr="00793A87" w:rsidRDefault="00B7492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w:t>
      </w:r>
    </w:p>
  </w:footnote>
  <w:footnote w:id="112">
    <w:p w14:paraId="438855C1" w14:textId="4392A38E" w:rsidR="00033EA5" w:rsidRPr="00793A87" w:rsidRDefault="00033EA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Martha A Fineman, ‘The Vulnerable Subject: Anchoring Equality in the Human Condition’ (2008) 20 </w:t>
      </w:r>
      <w:r w:rsidRPr="00793A87">
        <w:rPr>
          <w:rFonts w:asciiTheme="minorHAnsi" w:hAnsiTheme="minorHAnsi" w:cstheme="minorHAnsi"/>
          <w:i/>
          <w:iCs/>
        </w:rPr>
        <w:t>Yale Journal of Law and Feminism</w:t>
      </w:r>
      <w:r w:rsidRPr="00793A87">
        <w:rPr>
          <w:rFonts w:asciiTheme="minorHAnsi" w:hAnsiTheme="minorHAnsi" w:cstheme="minorHAnsi"/>
        </w:rPr>
        <w:t xml:space="preserve"> 1, 8</w:t>
      </w:r>
      <w:r w:rsidR="00365EF0" w:rsidRPr="00793A87">
        <w:rPr>
          <w:rFonts w:asciiTheme="minorHAnsi" w:hAnsiTheme="minorHAnsi" w:cstheme="minorHAnsi"/>
        </w:rPr>
        <w:t>.</w:t>
      </w:r>
    </w:p>
  </w:footnote>
  <w:footnote w:id="113">
    <w:p w14:paraId="0ABD4AE9" w14:textId="11676896" w:rsidR="00607F23" w:rsidRPr="00793A87" w:rsidRDefault="00607F2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9</w:t>
      </w:r>
      <w:r w:rsidR="00F71DF1" w:rsidRPr="00793A87">
        <w:rPr>
          <w:rFonts w:asciiTheme="minorHAnsi" w:hAnsiTheme="minorHAnsi" w:cstheme="minorHAnsi"/>
        </w:rPr>
        <w:t xml:space="preserve"> [emphasis added].</w:t>
      </w:r>
    </w:p>
  </w:footnote>
  <w:footnote w:id="114">
    <w:p w14:paraId="2F010E9C" w14:textId="0085D5B5" w:rsidR="00607F23" w:rsidRPr="00793A87" w:rsidRDefault="00607F2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10. </w:t>
      </w:r>
    </w:p>
  </w:footnote>
  <w:footnote w:id="115">
    <w:p w14:paraId="07F168AE" w14:textId="726AFD8A" w:rsidR="00673EEC" w:rsidRPr="00673EEC" w:rsidRDefault="00A439FA" w:rsidP="00215EF2">
      <w:pPr>
        <w:autoSpaceDE w:val="0"/>
        <w:autoSpaceDN w:val="0"/>
        <w:adjustRightInd w:val="0"/>
        <w:spacing w:after="0" w:line="240" w:lineRule="auto"/>
        <w:jc w:val="both"/>
        <w:rPr>
          <w:rFonts w:cstheme="minorHAnsi"/>
          <w:color w:val="FF0000"/>
        </w:rPr>
      </w:pPr>
      <w:r w:rsidRPr="00793A87">
        <w:rPr>
          <w:rStyle w:val="FootnoteReference"/>
          <w:rFonts w:cstheme="minorHAnsi"/>
          <w:sz w:val="20"/>
          <w:szCs w:val="20"/>
        </w:rPr>
        <w:footnoteRef/>
      </w:r>
      <w:r w:rsidRPr="00793A87">
        <w:rPr>
          <w:rFonts w:cstheme="minorHAnsi"/>
          <w:sz w:val="20"/>
          <w:szCs w:val="20"/>
        </w:rPr>
        <w:t xml:space="preserve"> </w:t>
      </w:r>
      <w:r w:rsidR="00BC49C1" w:rsidRPr="00793A87">
        <w:rPr>
          <w:rFonts w:cstheme="minorHAnsi"/>
          <w:sz w:val="20"/>
          <w:szCs w:val="20"/>
        </w:rPr>
        <w:t xml:space="preserve">Ibid 8, </w:t>
      </w:r>
      <w:r w:rsidRPr="00793A87">
        <w:rPr>
          <w:rFonts w:cstheme="minorHAnsi"/>
          <w:sz w:val="20"/>
          <w:szCs w:val="20"/>
        </w:rPr>
        <w:t>Fineman</w:t>
      </w:r>
      <w:r w:rsidR="00710447" w:rsidRPr="00793A87">
        <w:rPr>
          <w:rFonts w:cstheme="minorHAnsi"/>
          <w:sz w:val="20"/>
          <w:szCs w:val="20"/>
        </w:rPr>
        <w:t xml:space="preserve"> </w:t>
      </w:r>
      <w:r w:rsidR="00215EF2" w:rsidRPr="00793A87">
        <w:rPr>
          <w:rFonts w:cstheme="minorHAnsi"/>
          <w:sz w:val="20"/>
          <w:szCs w:val="20"/>
        </w:rPr>
        <w:t xml:space="preserve">constructs the </w:t>
      </w:r>
      <w:r w:rsidR="00D62805" w:rsidRPr="00793A87">
        <w:rPr>
          <w:rFonts w:cstheme="minorHAnsi"/>
          <w:sz w:val="20"/>
          <w:szCs w:val="20"/>
        </w:rPr>
        <w:t xml:space="preserve">vulnerability </w:t>
      </w:r>
      <w:r w:rsidR="00710447" w:rsidRPr="00793A87">
        <w:rPr>
          <w:rFonts w:cstheme="minorHAnsi"/>
          <w:sz w:val="20"/>
          <w:szCs w:val="20"/>
        </w:rPr>
        <w:t>thesis of human rights</w:t>
      </w:r>
      <w:r w:rsidR="00215EF2" w:rsidRPr="00793A87">
        <w:rPr>
          <w:rFonts w:cstheme="minorHAnsi"/>
          <w:sz w:val="20"/>
          <w:szCs w:val="20"/>
        </w:rPr>
        <w:t xml:space="preserve"> principally in physical (or medical) terms: ‘Our embodied humanity carries with it the ever-constant possibility of dependency as a result of disease, epidemics, resistant viruses, or other biologically-based catastrophes’. </w:t>
      </w:r>
      <w:r w:rsidR="00714874" w:rsidRPr="00673EEC">
        <w:rPr>
          <w:rFonts w:cstheme="minorHAnsi"/>
          <w:sz w:val="20"/>
          <w:szCs w:val="20"/>
        </w:rPr>
        <w:t>Note</w:t>
      </w:r>
      <w:r w:rsidR="00714874" w:rsidRPr="00673EEC">
        <w:rPr>
          <w:rFonts w:cstheme="minorHAnsi"/>
          <w:color w:val="000000" w:themeColor="text1"/>
          <w:sz w:val="20"/>
          <w:szCs w:val="20"/>
        </w:rPr>
        <w:t xml:space="preserve">, in </w:t>
      </w:r>
      <w:r w:rsidR="00714874" w:rsidRPr="00673EEC">
        <w:rPr>
          <w:rFonts w:cstheme="minorHAnsi"/>
          <w:i/>
          <w:iCs/>
          <w:color w:val="000000" w:themeColor="text1"/>
          <w:sz w:val="20"/>
          <w:szCs w:val="20"/>
        </w:rPr>
        <w:t>Imerman v Tchenguiz</w:t>
      </w:r>
      <w:r w:rsidR="00714874" w:rsidRPr="00673EEC">
        <w:rPr>
          <w:rFonts w:cstheme="minorHAnsi"/>
          <w:color w:val="000000" w:themeColor="text1"/>
          <w:sz w:val="20"/>
          <w:szCs w:val="20"/>
        </w:rPr>
        <w:t xml:space="preserve"> [2010] EWCA Civ 908,</w:t>
      </w:r>
      <w:r w:rsidR="00673EEC">
        <w:rPr>
          <w:rFonts w:cstheme="minorHAnsi"/>
          <w:color w:val="000000" w:themeColor="text1"/>
          <w:sz w:val="20"/>
          <w:szCs w:val="20"/>
        </w:rPr>
        <w:t xml:space="preserve"> para 67,</w:t>
      </w:r>
      <w:r w:rsidR="00714874" w:rsidRPr="00673EEC">
        <w:rPr>
          <w:rFonts w:cstheme="minorHAnsi"/>
          <w:color w:val="000000" w:themeColor="text1"/>
          <w:sz w:val="20"/>
          <w:szCs w:val="20"/>
        </w:rPr>
        <w:t xml:space="preserve"> where Lord Neuberger M.R.</w:t>
      </w:r>
      <w:r w:rsidR="00673EEC">
        <w:rPr>
          <w:rFonts w:cstheme="minorHAnsi"/>
          <w:color w:val="000000" w:themeColor="text1"/>
          <w:sz w:val="20"/>
          <w:szCs w:val="20"/>
        </w:rPr>
        <w:t xml:space="preserve"> </w:t>
      </w:r>
      <w:r w:rsidR="00673EEC" w:rsidRPr="00673EEC">
        <w:rPr>
          <w:rFonts w:cstheme="minorHAnsi"/>
          <w:color w:val="000000" w:themeColor="text1"/>
          <w:sz w:val="20"/>
          <w:szCs w:val="20"/>
        </w:rPr>
        <w:t xml:space="preserve">observed that ‘privacy is still classified as part of the confidentiality </w:t>
      </w:r>
      <w:r w:rsidR="00673EEC" w:rsidRPr="00673EEC">
        <w:rPr>
          <w:rFonts w:cstheme="minorHAnsi"/>
          <w:i/>
          <w:iCs/>
          <w:color w:val="000000" w:themeColor="text1"/>
          <w:sz w:val="20"/>
          <w:szCs w:val="20"/>
        </w:rPr>
        <w:t>genus</w:t>
      </w:r>
      <w:r w:rsidR="00673EEC" w:rsidRPr="00673EEC">
        <w:rPr>
          <w:rFonts w:cstheme="minorHAnsi"/>
          <w:color w:val="000000" w:themeColor="text1"/>
          <w:sz w:val="20"/>
          <w:szCs w:val="20"/>
        </w:rPr>
        <w:t xml:space="preserve">, the law should be developed </w:t>
      </w:r>
      <w:r w:rsidR="00673EEC" w:rsidRPr="00673EEC">
        <w:rPr>
          <w:color w:val="000000" w:themeColor="text1"/>
          <w:sz w:val="20"/>
          <w:szCs w:val="20"/>
        </w:rPr>
        <w:t>and applied consistently and coherently in both privacy and “old fashioned confidence” cases, even if they sometimes may have different features.’</w:t>
      </w:r>
    </w:p>
  </w:footnote>
  <w:footnote w:id="116">
    <w:p w14:paraId="2DE96142" w14:textId="40C156D9" w:rsidR="001047D8" w:rsidRPr="00793A87" w:rsidRDefault="001047D8" w:rsidP="00215EF2">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In the case of American privacy with</w:t>
      </w:r>
      <w:r w:rsidR="00215EF2" w:rsidRPr="00793A87">
        <w:rPr>
          <w:rFonts w:asciiTheme="minorHAnsi" w:hAnsiTheme="minorHAnsi" w:cstheme="minorHAnsi"/>
        </w:rPr>
        <w:t xml:space="preserve"> its f</w:t>
      </w:r>
      <w:r w:rsidRPr="00793A87">
        <w:rPr>
          <w:rFonts w:asciiTheme="minorHAnsi" w:hAnsiTheme="minorHAnsi" w:cstheme="minorHAnsi"/>
        </w:rPr>
        <w:t xml:space="preserve">ocus on governmental intrusion, </w:t>
      </w:r>
      <w:r w:rsidR="00215EF2" w:rsidRPr="00793A87">
        <w:rPr>
          <w:rFonts w:asciiTheme="minorHAnsi" w:hAnsiTheme="minorHAnsi" w:cstheme="minorHAnsi"/>
        </w:rPr>
        <w:t>‘</w:t>
      </w:r>
      <w:r w:rsidR="00A439FA" w:rsidRPr="00793A87">
        <w:rPr>
          <w:rFonts w:asciiTheme="minorHAnsi" w:hAnsiTheme="minorHAnsi" w:cstheme="minorHAnsi"/>
        </w:rPr>
        <w:t xml:space="preserve">public </w:t>
      </w:r>
      <w:r w:rsidRPr="00793A87">
        <w:rPr>
          <w:rFonts w:asciiTheme="minorHAnsi" w:hAnsiTheme="minorHAnsi" w:cstheme="minorHAnsi"/>
        </w:rPr>
        <w:t>cen</w:t>
      </w:r>
      <w:r w:rsidR="00A439FA" w:rsidRPr="00793A87">
        <w:rPr>
          <w:rFonts w:asciiTheme="minorHAnsi" w:hAnsiTheme="minorHAnsi" w:cstheme="minorHAnsi"/>
        </w:rPr>
        <w:t>sure</w:t>
      </w:r>
      <w:r w:rsidR="00215EF2" w:rsidRPr="00793A87">
        <w:rPr>
          <w:rFonts w:asciiTheme="minorHAnsi" w:hAnsiTheme="minorHAnsi" w:cstheme="minorHAnsi"/>
        </w:rPr>
        <w:t>’</w:t>
      </w:r>
      <w:r w:rsidR="00A439FA" w:rsidRPr="00793A87">
        <w:rPr>
          <w:rFonts w:asciiTheme="minorHAnsi" w:hAnsiTheme="minorHAnsi" w:cstheme="minorHAnsi"/>
        </w:rPr>
        <w:t xml:space="preserve"> </w:t>
      </w:r>
      <w:r w:rsidR="00215EF2" w:rsidRPr="00793A87">
        <w:rPr>
          <w:rFonts w:asciiTheme="minorHAnsi" w:hAnsiTheme="minorHAnsi" w:cstheme="minorHAnsi"/>
        </w:rPr>
        <w:t xml:space="preserve">must be understood as </w:t>
      </w:r>
      <w:r w:rsidR="0061050D">
        <w:rPr>
          <w:rFonts w:asciiTheme="minorHAnsi" w:hAnsiTheme="minorHAnsi" w:cstheme="minorHAnsi"/>
        </w:rPr>
        <w:t xml:space="preserve">‘official’ or governmental </w:t>
      </w:r>
      <w:r w:rsidR="00215EF2" w:rsidRPr="00793A87">
        <w:rPr>
          <w:rFonts w:asciiTheme="minorHAnsi" w:hAnsiTheme="minorHAnsi" w:cstheme="minorHAnsi"/>
        </w:rPr>
        <w:t>intrusions</w:t>
      </w:r>
      <w:r w:rsidR="0061050D">
        <w:rPr>
          <w:rFonts w:asciiTheme="minorHAnsi" w:hAnsiTheme="minorHAnsi" w:cstheme="minorHAnsi"/>
        </w:rPr>
        <w:t>.</w:t>
      </w:r>
    </w:p>
  </w:footnote>
  <w:footnote w:id="117">
    <w:p w14:paraId="04820EFE" w14:textId="31C944AD" w:rsidR="00405DCA" w:rsidRPr="00793A87" w:rsidRDefault="00405DC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Turner above n</w:t>
      </w:r>
      <w:r w:rsidR="00215EF2" w:rsidRPr="00793A87">
        <w:rPr>
          <w:rFonts w:asciiTheme="minorHAnsi" w:hAnsiTheme="minorHAnsi" w:cstheme="minorHAnsi"/>
        </w:rPr>
        <w:t xml:space="preserve"> 108</w:t>
      </w:r>
      <w:r w:rsidR="001E3DFD" w:rsidRPr="00793A87">
        <w:rPr>
          <w:rFonts w:asciiTheme="minorHAnsi" w:hAnsiTheme="minorHAnsi" w:cstheme="minorHAnsi"/>
        </w:rPr>
        <w:t xml:space="preserve">, </w:t>
      </w:r>
      <w:r w:rsidRPr="00793A87">
        <w:rPr>
          <w:rFonts w:asciiTheme="minorHAnsi" w:hAnsiTheme="minorHAnsi" w:cstheme="minorHAnsi"/>
        </w:rPr>
        <w:t>27.</w:t>
      </w:r>
      <w:r w:rsidR="001E3DFD" w:rsidRPr="00793A87">
        <w:rPr>
          <w:rFonts w:asciiTheme="minorHAnsi" w:hAnsiTheme="minorHAnsi" w:cstheme="minorHAnsi"/>
        </w:rPr>
        <w:t xml:space="preserve"> </w:t>
      </w:r>
      <w:r w:rsidR="00DA57E0" w:rsidRPr="00793A87">
        <w:rPr>
          <w:rFonts w:asciiTheme="minorHAnsi" w:hAnsiTheme="minorHAnsi" w:cstheme="minorHAnsi"/>
        </w:rPr>
        <w:t xml:space="preserve">See also Julie Cohen, ‘What Privacy Is For’ (2013) 126 </w:t>
      </w:r>
      <w:r w:rsidR="00DA57E0" w:rsidRPr="00793A87">
        <w:rPr>
          <w:rFonts w:asciiTheme="minorHAnsi" w:hAnsiTheme="minorHAnsi" w:cstheme="minorHAnsi"/>
          <w:i/>
          <w:iCs/>
        </w:rPr>
        <w:t>Harvard Law Review</w:t>
      </w:r>
      <w:r w:rsidR="00DA57E0" w:rsidRPr="00793A87">
        <w:rPr>
          <w:rFonts w:asciiTheme="minorHAnsi" w:hAnsiTheme="minorHAnsi" w:cstheme="minorHAnsi"/>
        </w:rPr>
        <w:t xml:space="preserve"> 1904, 19</w:t>
      </w:r>
      <w:r w:rsidR="00372259" w:rsidRPr="00793A87">
        <w:rPr>
          <w:rFonts w:asciiTheme="minorHAnsi" w:hAnsiTheme="minorHAnsi" w:cstheme="minorHAnsi"/>
        </w:rPr>
        <w:t>11</w:t>
      </w:r>
      <w:r w:rsidR="007D0D60" w:rsidRPr="00793A87">
        <w:rPr>
          <w:rFonts w:asciiTheme="minorHAnsi" w:hAnsiTheme="minorHAnsi" w:cstheme="minorHAnsi"/>
        </w:rPr>
        <w:t>f:</w:t>
      </w:r>
      <w:r w:rsidR="00372259" w:rsidRPr="00793A87">
        <w:rPr>
          <w:rFonts w:asciiTheme="minorHAnsi" w:hAnsiTheme="minorHAnsi" w:cstheme="minorHAnsi"/>
        </w:rPr>
        <w:t xml:space="preserve"> ‘</w:t>
      </w:r>
      <w:r w:rsidR="007D0D60" w:rsidRPr="00793A87">
        <w:rPr>
          <w:rFonts w:asciiTheme="minorHAnsi" w:hAnsiTheme="minorHAnsi" w:cstheme="minorHAnsi"/>
        </w:rPr>
        <w:t>Certain features of liberal selfhood have been roundly and justifiably critiqued, most notably its abstraction from embodied reality and its independence from relational ties.’</w:t>
      </w:r>
    </w:p>
  </w:footnote>
  <w:footnote w:id="118">
    <w:p w14:paraId="564CB2A1" w14:textId="722244F0" w:rsidR="0067310A" w:rsidRPr="00793A87" w:rsidRDefault="0067310A"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The Press Association v Newcastle Upon Tyne Hospitals Foundation Trust</w:t>
      </w:r>
      <w:r w:rsidRPr="00793A87">
        <w:rPr>
          <w:rFonts w:asciiTheme="minorHAnsi" w:hAnsiTheme="minorHAnsi" w:cstheme="minorHAnsi"/>
        </w:rPr>
        <w:t xml:space="preserve"> </w:t>
      </w:r>
      <w:r w:rsidR="007D0D60" w:rsidRPr="00793A87">
        <w:rPr>
          <w:rFonts w:asciiTheme="minorHAnsi" w:hAnsiTheme="minorHAnsi" w:cstheme="minorHAnsi"/>
        </w:rPr>
        <w:t xml:space="preserve">above n 45, </w:t>
      </w:r>
      <w:r w:rsidRPr="00793A87">
        <w:rPr>
          <w:rFonts w:asciiTheme="minorHAnsi" w:hAnsiTheme="minorHAnsi" w:cstheme="minorHAnsi"/>
        </w:rPr>
        <w:t>para 45</w:t>
      </w:r>
      <w:r w:rsidR="007D0D60" w:rsidRPr="00793A87">
        <w:rPr>
          <w:rFonts w:asciiTheme="minorHAnsi" w:hAnsiTheme="minorHAnsi" w:cstheme="minorHAnsi"/>
        </w:rPr>
        <w:t>.</w:t>
      </w:r>
    </w:p>
  </w:footnote>
  <w:footnote w:id="119">
    <w:p w14:paraId="55372D8E" w14:textId="78DE3C3B" w:rsidR="002D77D1" w:rsidRPr="00793A87" w:rsidRDefault="002D77D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62E53" w:rsidRPr="00793A87">
        <w:rPr>
          <w:rFonts w:asciiTheme="minorHAnsi" w:hAnsiTheme="minorHAnsi" w:cstheme="minorHAnsi"/>
          <w:i/>
          <w:iCs/>
        </w:rPr>
        <w:t xml:space="preserve">Z v Finland </w:t>
      </w:r>
      <w:r w:rsidR="00662E53" w:rsidRPr="00793A87">
        <w:rPr>
          <w:rFonts w:asciiTheme="minorHAnsi" w:hAnsiTheme="minorHAnsi" w:cstheme="minorHAnsi"/>
        </w:rPr>
        <w:t>above n 60,</w:t>
      </w:r>
      <w:r w:rsidRPr="00793A87">
        <w:rPr>
          <w:rFonts w:asciiTheme="minorHAnsi" w:hAnsiTheme="minorHAnsi" w:cstheme="minorHAnsi"/>
        </w:rPr>
        <w:t xml:space="preserve"> para 96. </w:t>
      </w:r>
    </w:p>
  </w:footnote>
  <w:footnote w:id="120">
    <w:p w14:paraId="3E1AD05A" w14:textId="08B14613" w:rsidR="00622588" w:rsidRPr="00793A87" w:rsidRDefault="0062258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Sim v Stretch</w:t>
      </w:r>
      <w:r w:rsidRPr="00793A87">
        <w:rPr>
          <w:rFonts w:asciiTheme="minorHAnsi" w:hAnsiTheme="minorHAnsi" w:cstheme="minorHAnsi"/>
        </w:rPr>
        <w:t xml:space="preserve"> [1936] 2 All ER 1237</w:t>
      </w:r>
      <w:r w:rsidR="00662E53" w:rsidRPr="00793A87">
        <w:rPr>
          <w:rFonts w:asciiTheme="minorHAnsi" w:hAnsiTheme="minorHAnsi" w:cstheme="minorHAnsi"/>
        </w:rPr>
        <w:t>.</w:t>
      </w:r>
    </w:p>
  </w:footnote>
  <w:footnote w:id="121">
    <w:p w14:paraId="48902E0B" w14:textId="0A426AC0" w:rsidR="00D4010F" w:rsidRPr="00793A87" w:rsidRDefault="00D4010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C18EB" w:rsidRPr="00793A87">
        <w:rPr>
          <w:rFonts w:asciiTheme="minorHAnsi" w:hAnsiTheme="minorHAnsi" w:cstheme="minorHAnsi"/>
        </w:rPr>
        <w:t>See</w:t>
      </w:r>
      <w:r w:rsidR="00E80D86" w:rsidRPr="00793A87">
        <w:rPr>
          <w:rFonts w:asciiTheme="minorHAnsi" w:hAnsiTheme="minorHAnsi" w:cstheme="minorHAnsi"/>
        </w:rPr>
        <w:t xml:space="preserve"> e.g. </w:t>
      </w:r>
      <w:r w:rsidR="007C18EB" w:rsidRPr="00793A87">
        <w:rPr>
          <w:rFonts w:asciiTheme="minorHAnsi" w:hAnsiTheme="minorHAnsi" w:cstheme="minorHAnsi"/>
          <w:i/>
          <w:iCs/>
        </w:rPr>
        <w:t>Morgen v Lingen</w:t>
      </w:r>
      <w:r w:rsidR="007C18EB" w:rsidRPr="00793A87">
        <w:rPr>
          <w:rFonts w:asciiTheme="minorHAnsi" w:hAnsiTheme="minorHAnsi" w:cstheme="minorHAnsi"/>
        </w:rPr>
        <w:t xml:space="preserve"> (1863) 3 LT 800 (insanity); </w:t>
      </w:r>
      <w:r w:rsidR="007C18EB" w:rsidRPr="00793A87">
        <w:rPr>
          <w:rFonts w:asciiTheme="minorHAnsi" w:hAnsiTheme="minorHAnsi" w:cstheme="minorHAnsi"/>
          <w:i/>
          <w:iCs/>
        </w:rPr>
        <w:t>Youssoupoff v M-G-M</w:t>
      </w:r>
      <w:r w:rsidR="007C18EB" w:rsidRPr="00793A87">
        <w:rPr>
          <w:rFonts w:asciiTheme="minorHAnsi" w:hAnsiTheme="minorHAnsi" w:cstheme="minorHAnsi"/>
        </w:rPr>
        <w:t xml:space="preserve"> (1934) 50 TLR 581</w:t>
      </w:r>
      <w:r w:rsidR="00F83BA2" w:rsidRPr="00793A87">
        <w:rPr>
          <w:rFonts w:asciiTheme="minorHAnsi" w:hAnsiTheme="minorHAnsi" w:cstheme="minorHAnsi"/>
        </w:rPr>
        <w:t xml:space="preserve"> </w:t>
      </w:r>
      <w:r w:rsidR="007C18EB" w:rsidRPr="00793A87">
        <w:rPr>
          <w:rFonts w:asciiTheme="minorHAnsi" w:hAnsiTheme="minorHAnsi" w:cstheme="minorHAnsi"/>
        </w:rPr>
        <w:t xml:space="preserve">(rape); </w:t>
      </w:r>
      <w:r w:rsidR="00F83BA2" w:rsidRPr="00793A87">
        <w:rPr>
          <w:rFonts w:asciiTheme="minorHAnsi" w:hAnsiTheme="minorHAnsi" w:cstheme="minorHAnsi"/>
        </w:rPr>
        <w:t>see also Sexual Offences (Amendment) Acts 1976 and 1992 (</w:t>
      </w:r>
      <w:r w:rsidR="007C18EB" w:rsidRPr="00793A87">
        <w:rPr>
          <w:rFonts w:asciiTheme="minorHAnsi" w:hAnsiTheme="minorHAnsi" w:cstheme="minorHAnsi"/>
        </w:rPr>
        <w:t>confidentiality of rape victim</w:t>
      </w:r>
      <w:r w:rsidR="00F83BA2" w:rsidRPr="00793A87">
        <w:rPr>
          <w:rFonts w:asciiTheme="minorHAnsi" w:hAnsiTheme="minorHAnsi" w:cstheme="minorHAnsi"/>
        </w:rPr>
        <w:t xml:space="preserve"> ‘during that person’s lifetime’)</w:t>
      </w:r>
      <w:r w:rsidR="00495E97" w:rsidRPr="00793A87">
        <w:rPr>
          <w:rFonts w:asciiTheme="minorHAnsi" w:hAnsiTheme="minorHAnsi" w:cstheme="minorHAnsi"/>
        </w:rPr>
        <w:t xml:space="preserve"> See also, </w:t>
      </w:r>
      <w:r w:rsidR="00495E97" w:rsidRPr="00793A87">
        <w:rPr>
          <w:rFonts w:asciiTheme="minorHAnsi" w:hAnsiTheme="minorHAnsi" w:cstheme="minorHAnsi"/>
          <w:i/>
          <w:iCs/>
        </w:rPr>
        <w:t>Barrymore v News Group Newspaper Ltd</w:t>
      </w:r>
      <w:r w:rsidR="00495E97" w:rsidRPr="00793A87">
        <w:rPr>
          <w:rFonts w:asciiTheme="minorHAnsi" w:hAnsiTheme="minorHAnsi" w:cstheme="minorHAnsi"/>
        </w:rPr>
        <w:t xml:space="preserve"> [1997] FSR 600 (where the disclosure of a homosexual affair was held to be a breach of confidence).</w:t>
      </w:r>
    </w:p>
  </w:footnote>
  <w:footnote w:id="122">
    <w:p w14:paraId="338E3E40" w14:textId="161EEB58" w:rsidR="007767EC" w:rsidRPr="00793A87" w:rsidRDefault="007767E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7D0D60" w:rsidRPr="00793A87">
        <w:rPr>
          <w:rFonts w:asciiTheme="minorHAnsi" w:hAnsiTheme="minorHAnsi" w:cstheme="minorHAnsi"/>
        </w:rPr>
        <w:t>Nissenbaum above n</w:t>
      </w:r>
      <w:r w:rsidR="001B2696" w:rsidRPr="00793A87">
        <w:rPr>
          <w:rFonts w:asciiTheme="minorHAnsi" w:hAnsiTheme="minorHAnsi" w:cstheme="minorHAnsi"/>
        </w:rPr>
        <w:t xml:space="preserve"> 19,</w:t>
      </w:r>
      <w:r w:rsidR="007D0D60" w:rsidRPr="00793A87">
        <w:rPr>
          <w:rFonts w:asciiTheme="minorHAnsi" w:hAnsiTheme="minorHAnsi" w:cstheme="minorHAnsi"/>
        </w:rPr>
        <w:t xml:space="preserve"> 85ff, on </w:t>
      </w:r>
      <w:r w:rsidR="003D037C" w:rsidRPr="00793A87">
        <w:rPr>
          <w:rFonts w:asciiTheme="minorHAnsi" w:hAnsiTheme="minorHAnsi" w:cstheme="minorHAnsi"/>
        </w:rPr>
        <w:t>the difference between</w:t>
      </w:r>
      <w:r w:rsidR="007D0D60" w:rsidRPr="00793A87">
        <w:rPr>
          <w:rFonts w:asciiTheme="minorHAnsi" w:hAnsiTheme="minorHAnsi" w:cstheme="minorHAnsi"/>
        </w:rPr>
        <w:t xml:space="preserve"> ‘common value’, ‘public value’ and ‘collective value’.</w:t>
      </w:r>
    </w:p>
  </w:footnote>
  <w:footnote w:id="123">
    <w:p w14:paraId="07820B9A" w14:textId="0BE70893" w:rsidR="00A06D46" w:rsidRPr="00793A87" w:rsidRDefault="00A06D46"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Buitelaar above n</w:t>
      </w:r>
      <w:r w:rsidR="001B2696" w:rsidRPr="00793A87">
        <w:rPr>
          <w:rFonts w:cstheme="minorHAnsi"/>
          <w:sz w:val="20"/>
          <w:szCs w:val="20"/>
        </w:rPr>
        <w:t xml:space="preserve"> 25,</w:t>
      </w:r>
      <w:r w:rsidRPr="00793A87">
        <w:rPr>
          <w:rFonts w:cstheme="minorHAnsi"/>
          <w:sz w:val="20"/>
          <w:szCs w:val="20"/>
        </w:rPr>
        <w:t xml:space="preserve"> 133</w:t>
      </w:r>
      <w:r w:rsidR="0077227D" w:rsidRPr="00793A87">
        <w:rPr>
          <w:rFonts w:cstheme="minorHAnsi"/>
          <w:sz w:val="20"/>
          <w:szCs w:val="20"/>
        </w:rPr>
        <w:t xml:space="preserve">; </w:t>
      </w:r>
      <w:r w:rsidR="001B2696" w:rsidRPr="00793A87">
        <w:rPr>
          <w:rFonts w:cstheme="minorHAnsi"/>
          <w:sz w:val="20"/>
          <w:szCs w:val="20"/>
        </w:rPr>
        <w:t xml:space="preserve">see also </w:t>
      </w:r>
      <w:r w:rsidR="0077227D" w:rsidRPr="00793A87">
        <w:rPr>
          <w:rFonts w:cstheme="minorHAnsi"/>
          <w:sz w:val="20"/>
          <w:szCs w:val="20"/>
        </w:rPr>
        <w:t xml:space="preserve">George Pitcher, ‘The Misfortunes of the Dead’ (1984) 2 </w:t>
      </w:r>
      <w:r w:rsidR="0077227D" w:rsidRPr="00793A87">
        <w:rPr>
          <w:rFonts w:cstheme="minorHAnsi"/>
          <w:i/>
          <w:iCs/>
          <w:sz w:val="20"/>
          <w:szCs w:val="20"/>
        </w:rPr>
        <w:t>American Philosophical Quarterly</w:t>
      </w:r>
      <w:r w:rsidR="0077227D" w:rsidRPr="00793A87">
        <w:rPr>
          <w:rFonts w:cstheme="minorHAnsi"/>
          <w:sz w:val="20"/>
          <w:szCs w:val="20"/>
        </w:rPr>
        <w:t xml:space="preserve"> 183</w:t>
      </w:r>
      <w:r w:rsidR="007D0D60" w:rsidRPr="00793A87">
        <w:rPr>
          <w:rFonts w:cstheme="minorHAnsi"/>
          <w:sz w:val="20"/>
          <w:szCs w:val="20"/>
        </w:rPr>
        <w:t>.</w:t>
      </w:r>
    </w:p>
  </w:footnote>
  <w:footnote w:id="124">
    <w:p w14:paraId="7AA1B022" w14:textId="4B91EE02" w:rsidR="006D4280" w:rsidRPr="00793A87" w:rsidRDefault="006D4280" w:rsidP="00214FA3">
      <w:pPr>
        <w:pStyle w:val="FootnoteText"/>
        <w:spacing w:afterAutospacing="0"/>
        <w:ind w:left="0"/>
        <w:rPr>
          <w:rFonts w:asciiTheme="minorHAnsi" w:hAnsiTheme="minorHAnsi" w:cstheme="minorHAnsi"/>
          <w:lang w:val="en-US"/>
        </w:rPr>
      </w:pPr>
      <w:r w:rsidRPr="00793A87">
        <w:rPr>
          <w:rStyle w:val="FootnoteReference"/>
          <w:rFonts w:asciiTheme="minorHAnsi" w:hAnsiTheme="minorHAnsi" w:cstheme="minorHAnsi"/>
        </w:rPr>
        <w:footnoteRef/>
      </w:r>
      <w:r w:rsidRPr="00793A87">
        <w:rPr>
          <w:rFonts w:asciiTheme="minorHAnsi" w:hAnsiTheme="minorHAnsi" w:cstheme="minorHAnsi"/>
        </w:rPr>
        <w:t xml:space="preserve"> Beverley-Smith</w:t>
      </w:r>
      <w:r w:rsidR="001B2696" w:rsidRPr="00793A87">
        <w:rPr>
          <w:rFonts w:asciiTheme="minorHAnsi" w:hAnsiTheme="minorHAnsi" w:cstheme="minorHAnsi"/>
        </w:rPr>
        <w:t xml:space="preserve"> above n 78, </w:t>
      </w:r>
      <w:r w:rsidRPr="00793A87">
        <w:rPr>
          <w:rFonts w:asciiTheme="minorHAnsi" w:hAnsiTheme="minorHAnsi" w:cstheme="minorHAnsi"/>
        </w:rPr>
        <w:t>124</w:t>
      </w:r>
      <w:r w:rsidR="00374DB8" w:rsidRPr="00793A87">
        <w:rPr>
          <w:rFonts w:asciiTheme="minorHAnsi" w:hAnsiTheme="minorHAnsi" w:cstheme="minorHAnsi"/>
        </w:rPr>
        <w:t xml:space="preserve"> (note the word ‘generally’)</w:t>
      </w:r>
      <w:r w:rsidR="001B2696" w:rsidRPr="00793A87">
        <w:rPr>
          <w:rFonts w:asciiTheme="minorHAnsi" w:hAnsiTheme="minorHAnsi" w:cstheme="minorHAnsi"/>
        </w:rPr>
        <w:t>.</w:t>
      </w:r>
    </w:p>
  </w:footnote>
  <w:footnote w:id="125">
    <w:p w14:paraId="511F890D" w14:textId="551948F5" w:rsidR="004C5EDE" w:rsidRPr="00793A87" w:rsidRDefault="004C5EDE"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Pitcher</w:t>
      </w:r>
      <w:r w:rsidR="001B2696" w:rsidRPr="00793A87">
        <w:rPr>
          <w:rFonts w:asciiTheme="minorHAnsi" w:hAnsiTheme="minorHAnsi" w:cstheme="minorHAnsi"/>
        </w:rPr>
        <w:t xml:space="preserve"> above n 123,</w:t>
      </w:r>
      <w:r w:rsidRPr="00793A87">
        <w:rPr>
          <w:rFonts w:asciiTheme="minorHAnsi" w:hAnsiTheme="minorHAnsi" w:cstheme="minorHAnsi"/>
        </w:rPr>
        <w:t xml:space="preserve">183. </w:t>
      </w:r>
    </w:p>
  </w:footnote>
  <w:footnote w:id="126">
    <w:p w14:paraId="2FBA68B9" w14:textId="030244FF" w:rsidR="00E828B6" w:rsidRPr="00793A87" w:rsidRDefault="00E828B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Bluch</w:t>
      </w:r>
      <w:r w:rsidRPr="00793A87">
        <w:rPr>
          <w:rFonts w:asciiTheme="minorHAnsi" w:hAnsiTheme="minorHAnsi" w:cstheme="minorHAnsi"/>
        </w:rPr>
        <w:t xml:space="preserve"> </w:t>
      </w:r>
      <w:r w:rsidR="001B2696" w:rsidRPr="00793A87">
        <w:rPr>
          <w:rFonts w:asciiTheme="minorHAnsi" w:hAnsiTheme="minorHAnsi" w:cstheme="minorHAnsi"/>
        </w:rPr>
        <w:t xml:space="preserve">above n 15, </w:t>
      </w:r>
      <w:r w:rsidRPr="00793A87">
        <w:rPr>
          <w:rFonts w:asciiTheme="minorHAnsi" w:hAnsiTheme="minorHAnsi" w:cstheme="minorHAnsi"/>
        </w:rPr>
        <w:t>para 13</w:t>
      </w:r>
      <w:r w:rsidR="001B2696" w:rsidRPr="00793A87">
        <w:rPr>
          <w:rFonts w:asciiTheme="minorHAnsi" w:hAnsiTheme="minorHAnsi" w:cstheme="minorHAnsi"/>
        </w:rPr>
        <w:t xml:space="preserve"> (note this consequentialist argument also applies to the patient: </w:t>
      </w:r>
      <w:r w:rsidRPr="00793A87">
        <w:rPr>
          <w:rFonts w:asciiTheme="minorHAnsi" w:hAnsiTheme="minorHAnsi" w:cstheme="minorHAnsi"/>
        </w:rPr>
        <w:t>‘</w:t>
      </w:r>
      <w:r w:rsidRPr="00793A87">
        <w:rPr>
          <w:rStyle w:val="font0"/>
          <w:rFonts w:asciiTheme="minorHAnsi" w:hAnsiTheme="minorHAnsi" w:cstheme="minorHAnsi"/>
        </w:rPr>
        <w:t>if a patient is aware that the information</w:t>
      </w:r>
      <w:r w:rsidRPr="00793A87">
        <w:rPr>
          <w:rFonts w:asciiTheme="minorHAnsi" w:hAnsiTheme="minorHAnsi" w:cstheme="minorHAnsi"/>
        </w:rPr>
        <w:t xml:space="preserve"> </w:t>
      </w:r>
      <w:r w:rsidRPr="00793A87">
        <w:rPr>
          <w:rStyle w:val="font0"/>
          <w:rFonts w:asciiTheme="minorHAnsi" w:hAnsiTheme="minorHAnsi" w:cstheme="minorHAnsi"/>
        </w:rPr>
        <w:t>he gives his doctor may be disclosed to the public after his death he</w:t>
      </w:r>
      <w:r w:rsidRPr="00793A87">
        <w:rPr>
          <w:rFonts w:asciiTheme="minorHAnsi" w:hAnsiTheme="minorHAnsi" w:cstheme="minorHAnsi"/>
        </w:rPr>
        <w:t xml:space="preserve"> </w:t>
      </w:r>
      <w:r w:rsidRPr="00793A87">
        <w:rPr>
          <w:rStyle w:val="font0"/>
          <w:rFonts w:asciiTheme="minorHAnsi" w:hAnsiTheme="minorHAnsi" w:cstheme="minorHAnsi"/>
        </w:rPr>
        <w:t>may not make full disclosure, with the result that medical staff may be</w:t>
      </w:r>
      <w:r w:rsidRPr="00793A87">
        <w:rPr>
          <w:rFonts w:asciiTheme="minorHAnsi" w:hAnsiTheme="minorHAnsi" w:cstheme="minorHAnsi"/>
        </w:rPr>
        <w:t xml:space="preserve"> </w:t>
      </w:r>
      <w:r w:rsidRPr="00793A87">
        <w:rPr>
          <w:rStyle w:val="font0"/>
          <w:rFonts w:asciiTheme="minorHAnsi" w:hAnsiTheme="minorHAnsi" w:cstheme="minorHAnsi"/>
        </w:rPr>
        <w:t>unable to make a correct diagnosis or provide appropriate treatment.’</w:t>
      </w:r>
      <w:r w:rsidR="001B2696" w:rsidRPr="00793A87">
        <w:rPr>
          <w:rStyle w:val="font0"/>
          <w:rFonts w:asciiTheme="minorHAnsi" w:hAnsiTheme="minorHAnsi" w:cstheme="minorHAnsi"/>
        </w:rPr>
        <w:t>)</w:t>
      </w:r>
    </w:p>
  </w:footnote>
  <w:footnote w:id="127">
    <w:p w14:paraId="785903D9" w14:textId="6C842443" w:rsidR="00186A83" w:rsidRPr="00793A87" w:rsidRDefault="00186A8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See also Thompson</w:t>
      </w:r>
      <w:r w:rsidR="001B2696" w:rsidRPr="00793A87">
        <w:rPr>
          <w:rFonts w:asciiTheme="minorHAnsi" w:hAnsiTheme="minorHAnsi" w:cstheme="minorHAnsi"/>
        </w:rPr>
        <w:t xml:space="preserve"> above n 44, </w:t>
      </w:r>
      <w:r w:rsidRPr="00793A87">
        <w:rPr>
          <w:rFonts w:asciiTheme="minorHAnsi" w:hAnsiTheme="minorHAnsi" w:cstheme="minorHAnsi"/>
        </w:rPr>
        <w:t>57</w:t>
      </w:r>
      <w:r w:rsidR="004D119B" w:rsidRPr="00793A87">
        <w:rPr>
          <w:rFonts w:asciiTheme="minorHAnsi" w:hAnsiTheme="minorHAnsi" w:cstheme="minorHAnsi"/>
        </w:rPr>
        <w:t xml:space="preserve">. </w:t>
      </w:r>
    </w:p>
  </w:footnote>
  <w:footnote w:id="128">
    <w:p w14:paraId="5B1174F0" w14:textId="36962DBE" w:rsidR="00BE4636" w:rsidRPr="00793A87" w:rsidRDefault="00BE463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Re C</w:t>
      </w:r>
      <w:r w:rsidR="001B2696" w:rsidRPr="00793A87">
        <w:rPr>
          <w:rFonts w:asciiTheme="minorHAnsi" w:hAnsiTheme="minorHAnsi" w:cstheme="minorHAnsi"/>
        </w:rPr>
        <w:t xml:space="preserve"> above n 23,</w:t>
      </w:r>
      <w:r w:rsidRPr="00793A87">
        <w:rPr>
          <w:rFonts w:asciiTheme="minorHAnsi" w:hAnsiTheme="minorHAnsi" w:cstheme="minorHAnsi"/>
        </w:rPr>
        <w:t xml:space="preserve"> 256; </w:t>
      </w:r>
      <w:r w:rsidRPr="00793A87">
        <w:rPr>
          <w:rFonts w:asciiTheme="minorHAnsi" w:hAnsiTheme="minorHAnsi" w:cstheme="minorHAnsi"/>
          <w:i/>
          <w:iCs/>
        </w:rPr>
        <w:t>The Press Association v Newcastle Upon Tyne Hospitals Foundation Trust</w:t>
      </w:r>
      <w:r w:rsidRPr="00793A87">
        <w:rPr>
          <w:rFonts w:asciiTheme="minorHAnsi" w:hAnsiTheme="minorHAnsi" w:cstheme="minorHAnsi"/>
        </w:rPr>
        <w:t xml:space="preserve"> </w:t>
      </w:r>
      <w:r w:rsidR="001B2696" w:rsidRPr="00793A87">
        <w:rPr>
          <w:rFonts w:asciiTheme="minorHAnsi" w:hAnsiTheme="minorHAnsi" w:cstheme="minorHAnsi"/>
        </w:rPr>
        <w:t xml:space="preserve">above n 45, </w:t>
      </w:r>
      <w:r w:rsidRPr="00793A87">
        <w:rPr>
          <w:rFonts w:asciiTheme="minorHAnsi" w:hAnsiTheme="minorHAnsi" w:cstheme="minorHAnsi"/>
        </w:rPr>
        <w:t xml:space="preserve">para 43; </w:t>
      </w:r>
      <w:r w:rsidRPr="00793A87">
        <w:rPr>
          <w:rFonts w:asciiTheme="minorHAnsi" w:hAnsiTheme="minorHAnsi" w:cstheme="minorHAnsi"/>
          <w:i/>
          <w:iCs/>
        </w:rPr>
        <w:t>Re Meek</w:t>
      </w:r>
      <w:r w:rsidRPr="00793A87">
        <w:rPr>
          <w:rFonts w:asciiTheme="minorHAnsi" w:hAnsiTheme="minorHAnsi" w:cstheme="minorHAnsi"/>
        </w:rPr>
        <w:t xml:space="preserve"> </w:t>
      </w:r>
      <w:r w:rsidR="003D037C" w:rsidRPr="00793A87">
        <w:rPr>
          <w:rFonts w:asciiTheme="minorHAnsi" w:hAnsiTheme="minorHAnsi" w:cstheme="minorHAnsi"/>
        </w:rPr>
        <w:t xml:space="preserve">above n 45, </w:t>
      </w:r>
      <w:r w:rsidRPr="00793A87">
        <w:rPr>
          <w:rFonts w:asciiTheme="minorHAnsi" w:hAnsiTheme="minorHAnsi" w:cstheme="minorHAnsi"/>
        </w:rPr>
        <w:t>104.</w:t>
      </w:r>
    </w:p>
  </w:footnote>
  <w:footnote w:id="129">
    <w:p w14:paraId="308C65FE" w14:textId="7C8CF89B" w:rsidR="00BE4636" w:rsidRPr="00793A87" w:rsidRDefault="00BE463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Re Meek </w:t>
      </w:r>
      <w:r w:rsidR="001B2696" w:rsidRPr="00793A87">
        <w:rPr>
          <w:rFonts w:asciiTheme="minorHAnsi" w:hAnsiTheme="minorHAnsi" w:cstheme="minorHAnsi"/>
        </w:rPr>
        <w:t xml:space="preserve">above n 45, </w:t>
      </w:r>
      <w:r w:rsidR="00D94224" w:rsidRPr="00793A87">
        <w:rPr>
          <w:rFonts w:asciiTheme="minorHAnsi" w:hAnsiTheme="minorHAnsi" w:cstheme="minorHAnsi"/>
        </w:rPr>
        <w:t xml:space="preserve">para </w:t>
      </w:r>
      <w:r w:rsidRPr="00793A87">
        <w:rPr>
          <w:rFonts w:asciiTheme="minorHAnsi" w:hAnsiTheme="minorHAnsi" w:cstheme="minorHAnsi"/>
        </w:rPr>
        <w:t>104.</w:t>
      </w:r>
    </w:p>
  </w:footnote>
  <w:footnote w:id="130">
    <w:p w14:paraId="23372381" w14:textId="0B6D3A15" w:rsidR="00E813AF" w:rsidRPr="00793A87" w:rsidRDefault="00E813A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5A562C" w:rsidRPr="00793A87">
        <w:rPr>
          <w:rFonts w:asciiTheme="minorHAnsi" w:hAnsiTheme="minorHAnsi" w:cstheme="minorHAnsi"/>
        </w:rPr>
        <w:t>Albeit not to the extent of allowing alleged serious improprieties to remain hidden; see, f</w:t>
      </w:r>
      <w:r w:rsidRPr="00793A87">
        <w:rPr>
          <w:rFonts w:asciiTheme="minorHAnsi" w:hAnsiTheme="minorHAnsi" w:cstheme="minorHAnsi"/>
        </w:rPr>
        <w:t xml:space="preserve">or example, </w:t>
      </w:r>
      <w:r w:rsidRPr="00793A87">
        <w:rPr>
          <w:rFonts w:asciiTheme="minorHAnsi" w:hAnsiTheme="minorHAnsi" w:cstheme="minorHAnsi"/>
          <w:i/>
          <w:iCs/>
        </w:rPr>
        <w:t xml:space="preserve">Re Meek </w:t>
      </w:r>
      <w:r w:rsidR="001B2696" w:rsidRPr="00793A87">
        <w:rPr>
          <w:rFonts w:asciiTheme="minorHAnsi" w:hAnsiTheme="minorHAnsi" w:cstheme="minorHAnsi"/>
        </w:rPr>
        <w:t>above n 45</w:t>
      </w:r>
      <w:r w:rsidRPr="00793A87">
        <w:rPr>
          <w:rFonts w:asciiTheme="minorHAnsi" w:hAnsiTheme="minorHAnsi" w:cstheme="minorHAnsi"/>
        </w:rPr>
        <w:t xml:space="preserve"> (</w:t>
      </w:r>
      <w:r w:rsidR="00177230" w:rsidRPr="00793A87">
        <w:rPr>
          <w:rFonts w:asciiTheme="minorHAnsi" w:hAnsiTheme="minorHAnsi" w:cstheme="minorHAnsi"/>
        </w:rPr>
        <w:t>misappropriation</w:t>
      </w:r>
      <w:r w:rsidRPr="00793A87">
        <w:rPr>
          <w:rFonts w:asciiTheme="minorHAnsi" w:hAnsiTheme="minorHAnsi" w:cstheme="minorHAnsi"/>
        </w:rPr>
        <w:t xml:space="preserve"> of funds)</w:t>
      </w:r>
      <w:r w:rsidR="00D94224" w:rsidRPr="00793A87">
        <w:rPr>
          <w:rFonts w:asciiTheme="minorHAnsi" w:hAnsiTheme="minorHAnsi" w:cstheme="minorHAnsi"/>
        </w:rPr>
        <w:t>;</w:t>
      </w:r>
      <w:r w:rsidRPr="00793A87">
        <w:rPr>
          <w:rFonts w:asciiTheme="minorHAnsi" w:hAnsiTheme="minorHAnsi" w:cstheme="minorHAnsi"/>
        </w:rPr>
        <w:t xml:space="preserve"> </w:t>
      </w:r>
      <w:r w:rsidRPr="00793A87">
        <w:rPr>
          <w:rFonts w:asciiTheme="minorHAnsi" w:hAnsiTheme="minorHAnsi" w:cstheme="minorHAnsi"/>
          <w:i/>
          <w:iCs/>
        </w:rPr>
        <w:t>Lewis v Secretary of State for Health &amp; Anor</w:t>
      </w:r>
      <w:r w:rsidRPr="00793A87">
        <w:rPr>
          <w:rFonts w:asciiTheme="minorHAnsi" w:hAnsiTheme="minorHAnsi" w:cstheme="minorHAnsi"/>
        </w:rPr>
        <w:t xml:space="preserve"> </w:t>
      </w:r>
      <w:r w:rsidR="003D037C" w:rsidRPr="00793A87">
        <w:rPr>
          <w:rFonts w:asciiTheme="minorHAnsi" w:hAnsiTheme="minorHAnsi" w:cstheme="minorHAnsi"/>
        </w:rPr>
        <w:t>above n 45</w:t>
      </w:r>
      <w:r w:rsidRPr="00793A87">
        <w:rPr>
          <w:rFonts w:asciiTheme="minorHAnsi" w:hAnsiTheme="minorHAnsi" w:cstheme="minorHAnsi"/>
        </w:rPr>
        <w:t xml:space="preserve"> (inquiry into the non-consensual removal of organs/tissue from at NHS and other facilities); </w:t>
      </w:r>
      <w:r w:rsidRPr="00793A87">
        <w:rPr>
          <w:rFonts w:asciiTheme="minorHAnsi" w:hAnsiTheme="minorHAnsi" w:cstheme="minorHAnsi"/>
          <w:i/>
          <w:iCs/>
        </w:rPr>
        <w:t>Bluck</w:t>
      </w:r>
      <w:r w:rsidR="001B2696" w:rsidRPr="00793A87">
        <w:rPr>
          <w:rFonts w:asciiTheme="minorHAnsi" w:hAnsiTheme="minorHAnsi" w:cstheme="minorHAnsi"/>
          <w:i/>
          <w:iCs/>
        </w:rPr>
        <w:t xml:space="preserve"> </w:t>
      </w:r>
      <w:r w:rsidR="001B2696" w:rsidRPr="00793A87">
        <w:rPr>
          <w:rFonts w:asciiTheme="minorHAnsi" w:hAnsiTheme="minorHAnsi" w:cstheme="minorHAnsi"/>
        </w:rPr>
        <w:t>above n 15</w:t>
      </w:r>
      <w:r w:rsidRPr="00793A87">
        <w:rPr>
          <w:rFonts w:asciiTheme="minorHAnsi" w:hAnsiTheme="minorHAnsi" w:cstheme="minorHAnsi"/>
        </w:rPr>
        <w:t xml:space="preserve"> </w:t>
      </w:r>
      <w:r w:rsidR="00D94224" w:rsidRPr="00793A87">
        <w:rPr>
          <w:rFonts w:asciiTheme="minorHAnsi" w:hAnsiTheme="minorHAnsi" w:cstheme="minorHAnsi"/>
        </w:rPr>
        <w:t xml:space="preserve">(the </w:t>
      </w:r>
      <w:r w:rsidRPr="00793A87">
        <w:rPr>
          <w:rFonts w:asciiTheme="minorHAnsi" w:hAnsiTheme="minorHAnsi" w:cstheme="minorHAnsi"/>
        </w:rPr>
        <w:t>NHS had already settled negligence with next-of-kin</w:t>
      </w:r>
      <w:r w:rsidR="00D94224" w:rsidRPr="00793A87">
        <w:rPr>
          <w:rFonts w:asciiTheme="minorHAnsi" w:hAnsiTheme="minorHAnsi" w:cstheme="minorHAnsi"/>
        </w:rPr>
        <w:t>).</w:t>
      </w:r>
    </w:p>
  </w:footnote>
  <w:footnote w:id="131">
    <w:p w14:paraId="258291AC" w14:textId="32E98697" w:rsidR="00086E67" w:rsidRPr="00793A87" w:rsidRDefault="00EE0483"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Pr="00793A87">
        <w:rPr>
          <w:rStyle w:val="sa2b98c15"/>
          <w:rFonts w:cstheme="minorHAnsi"/>
          <w:i/>
          <w:iCs/>
          <w:sz w:val="20"/>
          <w:szCs w:val="20"/>
        </w:rPr>
        <w:t xml:space="preserve">ML v Slovakia </w:t>
      </w:r>
      <w:r w:rsidRPr="00793A87">
        <w:rPr>
          <w:rStyle w:val="sa2b98c15"/>
          <w:rFonts w:cstheme="minorHAnsi"/>
          <w:sz w:val="20"/>
          <w:szCs w:val="20"/>
        </w:rPr>
        <w:t xml:space="preserve">34159/17 </w:t>
      </w:r>
      <w:r w:rsidRPr="00793A87">
        <w:rPr>
          <w:rFonts w:cstheme="minorHAnsi"/>
          <w:sz w:val="20"/>
          <w:szCs w:val="20"/>
        </w:rPr>
        <w:t>[2021] ECHR 821 (14 October 2021)</w:t>
      </w:r>
      <w:r w:rsidR="00750434" w:rsidRPr="00793A87">
        <w:rPr>
          <w:rFonts w:cstheme="minorHAnsi"/>
          <w:sz w:val="20"/>
          <w:szCs w:val="20"/>
        </w:rPr>
        <w:t xml:space="preserve">. </w:t>
      </w:r>
      <w:r w:rsidR="005D710D" w:rsidRPr="00793A87">
        <w:rPr>
          <w:rFonts w:cstheme="minorHAnsi"/>
          <w:sz w:val="20"/>
          <w:szCs w:val="20"/>
        </w:rPr>
        <w:t xml:space="preserve">On ‘family’s reputation’, see also, </w:t>
      </w:r>
      <w:r w:rsidR="005D710D" w:rsidRPr="00793A87">
        <w:rPr>
          <w:rFonts w:cstheme="minorHAnsi"/>
          <w:i/>
          <w:iCs/>
          <w:color w:val="000000"/>
          <w:sz w:val="20"/>
          <w:szCs w:val="20"/>
        </w:rPr>
        <w:t xml:space="preserve">Putistin v Ukraine </w:t>
      </w:r>
      <w:r w:rsidR="005D710D" w:rsidRPr="00793A87">
        <w:rPr>
          <w:rFonts w:cstheme="minorHAnsi"/>
          <w:i/>
          <w:iCs/>
          <w:sz w:val="20"/>
          <w:szCs w:val="20"/>
        </w:rPr>
        <w:t xml:space="preserve">(Football "Death Match") </w:t>
      </w:r>
      <w:r w:rsidR="005D710D" w:rsidRPr="00793A87">
        <w:rPr>
          <w:rFonts w:cstheme="minorHAnsi"/>
          <w:sz w:val="20"/>
          <w:szCs w:val="20"/>
        </w:rPr>
        <w:t xml:space="preserve">16882/03 [2013] ECHR 1154; </w:t>
      </w:r>
      <w:r w:rsidR="005D710D" w:rsidRPr="00793A87">
        <w:rPr>
          <w:rFonts w:cstheme="minorHAnsi"/>
          <w:i/>
          <w:iCs/>
          <w:sz w:val="20"/>
          <w:szCs w:val="20"/>
        </w:rPr>
        <w:t>Dzhugashvili v. Russia (dec.) (Joseph Stalin)</w:t>
      </w:r>
      <w:r w:rsidR="005D710D" w:rsidRPr="00793A87">
        <w:rPr>
          <w:rFonts w:cstheme="minorHAnsi"/>
          <w:sz w:val="20"/>
          <w:szCs w:val="20"/>
        </w:rPr>
        <w:t xml:space="preserve"> 41123/10 [2014] ECHR 1448</w:t>
      </w:r>
      <w:r w:rsidR="00F97BAC" w:rsidRPr="00793A87">
        <w:rPr>
          <w:rFonts w:cstheme="minorHAnsi"/>
          <w:sz w:val="20"/>
          <w:szCs w:val="20"/>
        </w:rPr>
        <w:t>. For</w:t>
      </w:r>
      <w:r w:rsidR="005A6F52" w:rsidRPr="00793A87">
        <w:rPr>
          <w:rFonts w:cstheme="minorHAnsi"/>
          <w:sz w:val="20"/>
          <w:szCs w:val="20"/>
        </w:rPr>
        <w:t xml:space="preserve"> England and Wales</w:t>
      </w:r>
      <w:r w:rsidR="00F97BAC" w:rsidRPr="00793A87">
        <w:rPr>
          <w:rFonts w:cstheme="minorHAnsi"/>
          <w:sz w:val="20"/>
          <w:szCs w:val="20"/>
        </w:rPr>
        <w:t>, see:</w:t>
      </w:r>
      <w:r w:rsidR="005A6F52" w:rsidRPr="00793A87">
        <w:rPr>
          <w:rFonts w:cstheme="minorHAnsi"/>
          <w:sz w:val="20"/>
          <w:szCs w:val="20"/>
        </w:rPr>
        <w:t xml:space="preserve"> </w:t>
      </w:r>
      <w:r w:rsidR="005A6F52" w:rsidRPr="00793A87">
        <w:rPr>
          <w:rStyle w:val="hgkelc"/>
          <w:rFonts w:cstheme="minorHAnsi"/>
          <w:i/>
          <w:iCs/>
          <w:sz w:val="20"/>
          <w:szCs w:val="20"/>
        </w:rPr>
        <w:t>OPO v MLA &amp; Anor</w:t>
      </w:r>
      <w:r w:rsidR="005A6F52" w:rsidRPr="00793A87">
        <w:rPr>
          <w:rStyle w:val="hgkelc"/>
          <w:rFonts w:cstheme="minorHAnsi"/>
          <w:sz w:val="20"/>
          <w:szCs w:val="20"/>
        </w:rPr>
        <w:t xml:space="preserve"> [2014] EWCA Civ 1277</w:t>
      </w:r>
      <w:r w:rsidR="00F97BAC" w:rsidRPr="00793A87">
        <w:rPr>
          <w:rStyle w:val="hgkelc"/>
          <w:rFonts w:cstheme="minorHAnsi"/>
          <w:sz w:val="20"/>
          <w:szCs w:val="20"/>
        </w:rPr>
        <w:t xml:space="preserve"> (where (relational) privacy failed but the </w:t>
      </w:r>
      <w:r w:rsidR="00F97BAC" w:rsidRPr="00793A87">
        <w:rPr>
          <w:rFonts w:cstheme="minorHAnsi"/>
          <w:sz w:val="20"/>
          <w:szCs w:val="20"/>
        </w:rPr>
        <w:t>the tort of intentionally inflicting mental suffering succeeded)</w:t>
      </w:r>
      <w:r w:rsidR="00F97BAC" w:rsidRPr="00793A87">
        <w:rPr>
          <w:rStyle w:val="hgkelc"/>
          <w:rFonts w:cstheme="minorHAnsi"/>
          <w:sz w:val="20"/>
          <w:szCs w:val="20"/>
        </w:rPr>
        <w:t>.</w:t>
      </w:r>
    </w:p>
  </w:footnote>
  <w:footnote w:id="132">
    <w:p w14:paraId="0224CDA9" w14:textId="61558CDC" w:rsidR="00EE0483" w:rsidRPr="00793A87" w:rsidRDefault="00EE048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F97BAC" w:rsidRPr="00793A87">
        <w:rPr>
          <w:rFonts w:asciiTheme="minorHAnsi" w:hAnsiTheme="minorHAnsi" w:cstheme="minorHAnsi"/>
        </w:rPr>
        <w:t xml:space="preserve"> </w:t>
      </w:r>
      <w:r w:rsidR="00F97BAC" w:rsidRPr="00793A87">
        <w:rPr>
          <w:rStyle w:val="sa2b98c15"/>
          <w:rFonts w:asciiTheme="minorHAnsi" w:hAnsiTheme="minorHAnsi" w:cstheme="minorHAnsi"/>
          <w:i/>
          <w:iCs/>
        </w:rPr>
        <w:t>ML v Slovakia</w:t>
      </w:r>
      <w:r w:rsidRPr="00793A87">
        <w:rPr>
          <w:rFonts w:asciiTheme="minorHAnsi" w:hAnsiTheme="minorHAnsi" w:cstheme="minorHAnsi"/>
        </w:rPr>
        <w:t xml:space="preserve"> </w:t>
      </w:r>
      <w:r w:rsidR="00F97BAC" w:rsidRPr="00793A87">
        <w:rPr>
          <w:rFonts w:asciiTheme="minorHAnsi" w:hAnsiTheme="minorHAnsi" w:cstheme="minorHAnsi"/>
        </w:rPr>
        <w:t>i</w:t>
      </w:r>
      <w:r w:rsidRPr="00793A87">
        <w:rPr>
          <w:rFonts w:asciiTheme="minorHAnsi" w:hAnsiTheme="minorHAnsi" w:cstheme="minorHAnsi"/>
        </w:rPr>
        <w:t>bid</w:t>
      </w:r>
      <w:r w:rsidR="003D037C" w:rsidRPr="00793A87">
        <w:rPr>
          <w:rFonts w:asciiTheme="minorHAnsi" w:hAnsiTheme="minorHAnsi" w:cstheme="minorHAnsi"/>
        </w:rPr>
        <w:t xml:space="preserve">, </w:t>
      </w:r>
      <w:r w:rsidRPr="00793A87">
        <w:rPr>
          <w:rFonts w:asciiTheme="minorHAnsi" w:hAnsiTheme="minorHAnsi" w:cstheme="minorHAnsi"/>
        </w:rPr>
        <w:t xml:space="preserve">para 28. </w:t>
      </w:r>
    </w:p>
  </w:footnote>
  <w:footnote w:id="133">
    <w:p w14:paraId="7955AE6A" w14:textId="31B69582" w:rsidR="00BE6559" w:rsidRPr="00793A87" w:rsidRDefault="00EE0483"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F97BAC" w:rsidRPr="00793A87">
        <w:rPr>
          <w:rStyle w:val="sa2b98c15"/>
          <w:rFonts w:cstheme="minorHAnsi"/>
          <w:i/>
          <w:iCs/>
          <w:sz w:val="20"/>
          <w:szCs w:val="20"/>
        </w:rPr>
        <w:t>ML v Slovakia</w:t>
      </w:r>
      <w:r w:rsidRPr="00793A87">
        <w:rPr>
          <w:rFonts w:cstheme="minorHAnsi"/>
          <w:sz w:val="20"/>
          <w:szCs w:val="20"/>
        </w:rPr>
        <w:t xml:space="preserve"> </w:t>
      </w:r>
      <w:r w:rsidR="00F97BAC" w:rsidRPr="00793A87">
        <w:rPr>
          <w:rFonts w:cstheme="minorHAnsi"/>
          <w:sz w:val="20"/>
          <w:szCs w:val="20"/>
        </w:rPr>
        <w:t>ibid</w:t>
      </w:r>
      <w:r w:rsidR="003D037C" w:rsidRPr="00793A87">
        <w:rPr>
          <w:rFonts w:cstheme="minorHAnsi"/>
          <w:sz w:val="20"/>
          <w:szCs w:val="20"/>
        </w:rPr>
        <w:t xml:space="preserve">, </w:t>
      </w:r>
      <w:r w:rsidRPr="00793A87">
        <w:rPr>
          <w:rFonts w:cstheme="minorHAnsi"/>
          <w:sz w:val="20"/>
          <w:szCs w:val="20"/>
        </w:rPr>
        <w:t>para 38, 39.</w:t>
      </w:r>
      <w:r w:rsidR="00BE6559" w:rsidRPr="00793A87">
        <w:rPr>
          <w:rFonts w:cstheme="minorHAnsi"/>
          <w:color w:val="000000"/>
          <w:sz w:val="20"/>
          <w:szCs w:val="20"/>
        </w:rPr>
        <w:t xml:space="preserve"> </w:t>
      </w:r>
      <w:r w:rsidR="007900A0" w:rsidRPr="00793A87">
        <w:rPr>
          <w:rFonts w:cstheme="minorHAnsi"/>
          <w:color w:val="000000"/>
          <w:sz w:val="20"/>
          <w:szCs w:val="20"/>
        </w:rPr>
        <w:t xml:space="preserve">J </w:t>
      </w:r>
      <w:r w:rsidR="00BE6559" w:rsidRPr="00793A87">
        <w:rPr>
          <w:rFonts w:cstheme="minorHAnsi"/>
          <w:sz w:val="20"/>
          <w:szCs w:val="20"/>
        </w:rPr>
        <w:t>Berg</w:t>
      </w:r>
      <w:r w:rsidR="007900A0" w:rsidRPr="00793A87">
        <w:rPr>
          <w:rFonts w:cstheme="minorHAnsi"/>
          <w:sz w:val="20"/>
          <w:szCs w:val="20"/>
        </w:rPr>
        <w:t>, ‘</w:t>
      </w:r>
      <w:r w:rsidR="00BE6559" w:rsidRPr="00793A87">
        <w:rPr>
          <w:rFonts w:cstheme="minorHAnsi"/>
          <w:sz w:val="20"/>
          <w:szCs w:val="20"/>
        </w:rPr>
        <w:t>Grave secrets: Legal and ethical analysis of postmortem</w:t>
      </w:r>
      <w:r w:rsidR="007900A0" w:rsidRPr="00793A87">
        <w:rPr>
          <w:rFonts w:cstheme="minorHAnsi"/>
          <w:sz w:val="20"/>
          <w:szCs w:val="20"/>
        </w:rPr>
        <w:t xml:space="preserve"> </w:t>
      </w:r>
      <w:r w:rsidR="00BE6559" w:rsidRPr="00793A87">
        <w:rPr>
          <w:rFonts w:cstheme="minorHAnsi"/>
          <w:sz w:val="20"/>
          <w:szCs w:val="20"/>
        </w:rPr>
        <w:t>confidentiality</w:t>
      </w:r>
      <w:r w:rsidR="007900A0" w:rsidRPr="00793A87">
        <w:rPr>
          <w:rFonts w:cstheme="minorHAnsi"/>
          <w:sz w:val="20"/>
          <w:szCs w:val="20"/>
        </w:rPr>
        <w:t xml:space="preserve">’ (2001) 34 </w:t>
      </w:r>
      <w:r w:rsidR="00BE6559" w:rsidRPr="00793A87">
        <w:rPr>
          <w:rFonts w:cstheme="minorHAnsi"/>
          <w:i/>
          <w:iCs/>
          <w:sz w:val="20"/>
          <w:szCs w:val="20"/>
        </w:rPr>
        <w:t>Connecticut Law Review</w:t>
      </w:r>
      <w:r w:rsidR="007900A0" w:rsidRPr="00793A87">
        <w:rPr>
          <w:rFonts w:cstheme="minorHAnsi"/>
          <w:i/>
          <w:iCs/>
          <w:sz w:val="20"/>
          <w:szCs w:val="20"/>
        </w:rPr>
        <w:t xml:space="preserve"> </w:t>
      </w:r>
      <w:r w:rsidR="00BE6559" w:rsidRPr="00793A87">
        <w:rPr>
          <w:rFonts w:cstheme="minorHAnsi"/>
          <w:sz w:val="20"/>
          <w:szCs w:val="20"/>
        </w:rPr>
        <w:t>81</w:t>
      </w:r>
      <w:r w:rsidR="007900A0" w:rsidRPr="00793A87">
        <w:rPr>
          <w:rFonts w:cstheme="minorHAnsi"/>
          <w:sz w:val="20"/>
          <w:szCs w:val="20"/>
        </w:rPr>
        <w:t xml:space="preserve">. </w:t>
      </w:r>
    </w:p>
  </w:footnote>
  <w:footnote w:id="134">
    <w:p w14:paraId="38673CDB" w14:textId="795A2B2E" w:rsidR="00825B29" w:rsidRPr="00793A87" w:rsidRDefault="00825B29"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0D0519" w:rsidRPr="00793A87">
        <w:rPr>
          <w:rFonts w:asciiTheme="minorHAnsi" w:hAnsiTheme="minorHAnsi" w:cstheme="minorHAnsi"/>
        </w:rPr>
        <w:t xml:space="preserve">Stephen Winter, ‘Against Posthumous Rights’ (2010) 27(2) </w:t>
      </w:r>
      <w:r w:rsidR="000D0519" w:rsidRPr="00793A87">
        <w:rPr>
          <w:rFonts w:asciiTheme="minorHAnsi" w:hAnsiTheme="minorHAnsi" w:cstheme="minorHAnsi"/>
          <w:i/>
          <w:iCs/>
        </w:rPr>
        <w:t>Journal of Applied Philosophy</w:t>
      </w:r>
      <w:r w:rsidR="000D0519" w:rsidRPr="00793A87">
        <w:rPr>
          <w:rFonts w:asciiTheme="minorHAnsi" w:hAnsiTheme="minorHAnsi" w:cstheme="minorHAnsi"/>
        </w:rPr>
        <w:t xml:space="preserve"> 186, </w:t>
      </w:r>
      <w:r w:rsidRPr="00793A87">
        <w:rPr>
          <w:rFonts w:asciiTheme="minorHAnsi" w:hAnsiTheme="minorHAnsi" w:cstheme="minorHAnsi"/>
        </w:rPr>
        <w:t>196 [emphasis added]</w:t>
      </w:r>
      <w:r w:rsidR="000D0519" w:rsidRPr="00793A87">
        <w:rPr>
          <w:rFonts w:asciiTheme="minorHAnsi" w:hAnsiTheme="minorHAnsi" w:cstheme="minorHAnsi"/>
        </w:rPr>
        <w:t>.</w:t>
      </w:r>
    </w:p>
  </w:footnote>
  <w:footnote w:id="135">
    <w:p w14:paraId="784FE678" w14:textId="490AF975" w:rsidR="00BC61E5" w:rsidRPr="00793A87" w:rsidRDefault="00BC61E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0D0519" w:rsidRPr="00793A87">
        <w:rPr>
          <w:rFonts w:asciiTheme="minorHAnsi" w:hAnsiTheme="minorHAnsi" w:cstheme="minorHAnsi"/>
          <w:i/>
          <w:iCs/>
          <w:lang w:eastAsia="en-GB"/>
        </w:rPr>
        <w:t>Digital Inheritance</w:t>
      </w:r>
      <w:r w:rsidR="000D0519" w:rsidRPr="00793A87">
        <w:rPr>
          <w:rFonts w:asciiTheme="minorHAnsi" w:hAnsiTheme="minorHAnsi" w:cstheme="minorHAnsi"/>
          <w:lang w:eastAsia="en-GB"/>
        </w:rPr>
        <w:t xml:space="preserve"> above </w:t>
      </w:r>
      <w:r w:rsidR="00144B9F" w:rsidRPr="00793A87">
        <w:rPr>
          <w:rStyle w:val="Strong"/>
          <w:rFonts w:asciiTheme="minorHAnsi" w:hAnsiTheme="minorHAnsi" w:cstheme="minorHAnsi"/>
          <w:b w:val="0"/>
          <w:bCs w:val="0"/>
        </w:rPr>
        <w:t>n 5</w:t>
      </w:r>
      <w:r w:rsidR="000D0519" w:rsidRPr="00793A87">
        <w:rPr>
          <w:rStyle w:val="Strong"/>
          <w:rFonts w:asciiTheme="minorHAnsi" w:hAnsiTheme="minorHAnsi" w:cstheme="minorHAnsi"/>
          <w:b w:val="0"/>
          <w:bCs w:val="0"/>
        </w:rPr>
        <w:t>,</w:t>
      </w:r>
      <w:r w:rsidR="00C343AB" w:rsidRPr="00793A87">
        <w:rPr>
          <w:rStyle w:val="Strong"/>
          <w:rFonts w:asciiTheme="minorHAnsi" w:hAnsiTheme="minorHAnsi" w:cstheme="minorHAnsi"/>
          <w:b w:val="0"/>
          <w:bCs w:val="0"/>
        </w:rPr>
        <w:t xml:space="preserve"> para 81 (recognising the non-material interests of the parents)</w:t>
      </w:r>
    </w:p>
  </w:footnote>
  <w:footnote w:id="136">
    <w:p w14:paraId="6B91D3A4" w14:textId="60A41DBD" w:rsidR="00CB51B8" w:rsidRPr="00793A87" w:rsidRDefault="00CB51B8"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A30E44" w:rsidRPr="00793A87">
        <w:rPr>
          <w:rFonts w:asciiTheme="minorHAnsi" w:hAnsiTheme="minorHAnsi" w:cstheme="minorHAnsi"/>
        </w:rPr>
        <w:t xml:space="preserve">Sections 4 and 5 of the </w:t>
      </w:r>
      <w:r w:rsidR="00A30E44" w:rsidRPr="00793A87">
        <w:rPr>
          <w:rFonts w:asciiTheme="minorHAnsi" w:hAnsiTheme="minorHAnsi" w:cstheme="minorHAnsi"/>
          <w:i/>
          <w:iCs/>
        </w:rPr>
        <w:t xml:space="preserve">Revised Uniform Fiduciary Access to Digital Assets Act </w:t>
      </w:r>
      <w:r w:rsidR="00A30E44" w:rsidRPr="00793A87">
        <w:rPr>
          <w:rFonts w:asciiTheme="minorHAnsi" w:hAnsiTheme="minorHAnsi" w:cstheme="minorHAnsi"/>
        </w:rPr>
        <w:t>(2015</w:t>
      </w:r>
      <w:r w:rsidR="00A30E44" w:rsidRPr="00793A87">
        <w:rPr>
          <w:rFonts w:cstheme="minorHAnsi"/>
        </w:rPr>
        <w:t>)</w:t>
      </w:r>
      <w:r w:rsidRPr="00793A87">
        <w:rPr>
          <w:rFonts w:asciiTheme="minorHAnsi" w:hAnsiTheme="minorHAnsi" w:cstheme="minorHAnsi"/>
        </w:rPr>
        <w:t xml:space="preserve"> </w:t>
      </w:r>
      <w:r w:rsidR="00A30E44" w:rsidRPr="00793A87">
        <w:rPr>
          <w:rFonts w:asciiTheme="minorHAnsi" w:hAnsiTheme="minorHAnsi" w:cstheme="minorHAnsi"/>
        </w:rPr>
        <w:t xml:space="preserve">essentially validate the service agreement of platforms, bar contrary pre-mortem directions by the user. </w:t>
      </w:r>
    </w:p>
  </w:footnote>
  <w:footnote w:id="137">
    <w:p w14:paraId="5D630C9B" w14:textId="0617F7E0" w:rsidR="00BE6AB2" w:rsidRPr="00793A87" w:rsidRDefault="00BE6AB2"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A30E44" w:rsidRPr="00793A87">
        <w:rPr>
          <w:rFonts w:cstheme="minorHAnsi"/>
          <w:sz w:val="20"/>
          <w:szCs w:val="20"/>
        </w:rPr>
        <w:t>For statutes, see above n 99.</w:t>
      </w:r>
      <w:r w:rsidRPr="00793A87">
        <w:rPr>
          <w:rStyle w:val="s68f5eaef"/>
          <w:rFonts w:cstheme="minorHAnsi"/>
          <w:sz w:val="20"/>
          <w:szCs w:val="20"/>
        </w:rPr>
        <w:t xml:space="preserve"> See also: </w:t>
      </w:r>
      <w:r w:rsidRPr="00793A87">
        <w:rPr>
          <w:rFonts w:cstheme="minorHAnsi"/>
          <w:i/>
          <w:iCs/>
          <w:sz w:val="20"/>
          <w:szCs w:val="20"/>
        </w:rPr>
        <w:t>Bazemore v Savannah Hosp</w:t>
      </w:r>
      <w:r w:rsidRPr="00793A87">
        <w:rPr>
          <w:rFonts w:cstheme="minorHAnsi"/>
          <w:sz w:val="20"/>
          <w:szCs w:val="20"/>
        </w:rPr>
        <w:t xml:space="preserve"> 155 SE 194 (1930), </w:t>
      </w:r>
      <w:r w:rsidRPr="00793A87">
        <w:rPr>
          <w:rFonts w:cstheme="minorHAnsi"/>
          <w:i/>
          <w:iCs/>
          <w:sz w:val="20"/>
          <w:szCs w:val="20"/>
        </w:rPr>
        <w:t>Loft v Fuller</w:t>
      </w:r>
      <w:r w:rsidRPr="00793A87">
        <w:rPr>
          <w:rFonts w:cstheme="minorHAnsi"/>
          <w:sz w:val="20"/>
          <w:szCs w:val="20"/>
        </w:rPr>
        <w:t xml:space="preserve"> 408 So 2d 619 (1981) and </w:t>
      </w:r>
      <w:r w:rsidRPr="00793A87">
        <w:rPr>
          <w:rFonts w:cstheme="minorHAnsi"/>
          <w:i/>
          <w:iCs/>
          <w:sz w:val="20"/>
          <w:szCs w:val="20"/>
        </w:rPr>
        <w:t>New York Times Co v. National Aeronautics &amp; Space Admin</w:t>
      </w:r>
      <w:r w:rsidRPr="00793A87">
        <w:rPr>
          <w:rFonts w:cstheme="minorHAnsi"/>
          <w:sz w:val="20"/>
          <w:szCs w:val="20"/>
        </w:rPr>
        <w:t xml:space="preserve"> 782 F Supp 628 (DDC 1991) (noting the familial privacy interest in audio recordings of astronauts immediately before the Challenger explosion). Family reputation was not recognised in: </w:t>
      </w:r>
      <w:r w:rsidRPr="00793A87">
        <w:rPr>
          <w:rFonts w:cstheme="minorHAnsi"/>
          <w:i/>
          <w:iCs/>
          <w:sz w:val="20"/>
          <w:szCs w:val="20"/>
        </w:rPr>
        <w:t>Flynn v Higham</w:t>
      </w:r>
      <w:r w:rsidRPr="00793A87">
        <w:rPr>
          <w:rFonts w:cstheme="minorHAnsi"/>
          <w:sz w:val="20"/>
          <w:szCs w:val="20"/>
        </w:rPr>
        <w:t xml:space="preserve"> 197 Cal Rptr 145 (1983) (a book claimed the claimants’ father was a homosexual and Nazi spy); </w:t>
      </w:r>
      <w:r w:rsidRPr="00793A87">
        <w:rPr>
          <w:rFonts w:cstheme="minorHAnsi"/>
          <w:i/>
          <w:iCs/>
          <w:sz w:val="20"/>
          <w:szCs w:val="20"/>
        </w:rPr>
        <w:t xml:space="preserve">Hendrickson v California Newspapers Inc </w:t>
      </w:r>
      <w:r w:rsidRPr="00793A87">
        <w:rPr>
          <w:rFonts w:cstheme="minorHAnsi"/>
          <w:sz w:val="20"/>
          <w:szCs w:val="20"/>
        </w:rPr>
        <w:t>48 Cal App 3d 59 (1975) (an obituary revealed that the claimants’ husband and father had criminal convictions).</w:t>
      </w:r>
      <w:r w:rsidRPr="00793A87">
        <w:rPr>
          <w:rFonts w:cstheme="minorHAnsi"/>
          <w:i/>
          <w:iCs/>
          <w:sz w:val="20"/>
          <w:szCs w:val="20"/>
        </w:rPr>
        <w:t xml:space="preserve"> </w:t>
      </w:r>
    </w:p>
  </w:footnote>
  <w:footnote w:id="138">
    <w:p w14:paraId="49A6C6FF" w14:textId="758E0459" w:rsidR="00B96219" w:rsidRPr="00793A87" w:rsidRDefault="00B96219"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E58A9" w:rsidRPr="00793A87">
        <w:rPr>
          <w:rFonts w:asciiTheme="minorHAnsi" w:hAnsiTheme="minorHAnsi" w:cstheme="minorHAnsi"/>
        </w:rPr>
        <w:t>Merten</w:t>
      </w:r>
      <w:r w:rsidR="003B6171" w:rsidRPr="00793A87">
        <w:rPr>
          <w:rFonts w:asciiTheme="minorHAnsi" w:hAnsiTheme="minorHAnsi" w:cstheme="minorHAnsi"/>
        </w:rPr>
        <w:t>s</w:t>
      </w:r>
      <w:r w:rsidR="002E58A9" w:rsidRPr="00793A87">
        <w:rPr>
          <w:rFonts w:asciiTheme="minorHAnsi" w:hAnsiTheme="minorHAnsi" w:cstheme="minorHAnsi"/>
        </w:rPr>
        <w:t xml:space="preserve"> above n</w:t>
      </w:r>
      <w:r w:rsidR="003B6171" w:rsidRPr="00793A87">
        <w:rPr>
          <w:rFonts w:asciiTheme="minorHAnsi" w:hAnsiTheme="minorHAnsi" w:cstheme="minorHAnsi"/>
        </w:rPr>
        <w:t xml:space="preserve"> 92</w:t>
      </w:r>
      <w:r w:rsidR="002E58A9" w:rsidRPr="00793A87">
        <w:rPr>
          <w:rFonts w:asciiTheme="minorHAnsi" w:hAnsiTheme="minorHAnsi" w:cstheme="minorHAnsi"/>
        </w:rPr>
        <w:t>,</w:t>
      </w:r>
      <w:r w:rsidR="003B6171" w:rsidRPr="00793A87">
        <w:rPr>
          <w:rFonts w:asciiTheme="minorHAnsi" w:hAnsiTheme="minorHAnsi" w:cstheme="minorHAnsi"/>
        </w:rPr>
        <w:t xml:space="preserve"> </w:t>
      </w:r>
      <w:r w:rsidR="002E58A9" w:rsidRPr="00793A87">
        <w:rPr>
          <w:rFonts w:asciiTheme="minorHAnsi" w:hAnsiTheme="minorHAnsi" w:cstheme="minorHAnsi"/>
        </w:rPr>
        <w:t xml:space="preserve">514f, </w:t>
      </w:r>
      <w:r w:rsidR="003B6171" w:rsidRPr="00793A87">
        <w:rPr>
          <w:rFonts w:asciiTheme="minorHAnsi" w:hAnsiTheme="minorHAnsi" w:cstheme="minorHAnsi"/>
        </w:rPr>
        <w:t xml:space="preserve">commenting </w:t>
      </w:r>
      <w:r w:rsidR="002E58A9" w:rsidRPr="00793A87">
        <w:rPr>
          <w:rFonts w:asciiTheme="minorHAnsi" w:hAnsiTheme="minorHAnsi" w:cstheme="minorHAnsi"/>
        </w:rPr>
        <w:t>on the Dutch Criminal Code, that only prosecutes libel of the deceased if a complaint is made by a close relative, and thus</w:t>
      </w:r>
      <w:r w:rsidR="003B6171" w:rsidRPr="00793A87">
        <w:rPr>
          <w:rFonts w:asciiTheme="minorHAnsi" w:hAnsiTheme="minorHAnsi" w:cstheme="minorHAnsi"/>
        </w:rPr>
        <w:t xml:space="preserve"> arguably</w:t>
      </w:r>
      <w:r w:rsidR="002E58A9" w:rsidRPr="00793A87">
        <w:rPr>
          <w:rFonts w:asciiTheme="minorHAnsi" w:hAnsiTheme="minorHAnsi" w:cstheme="minorHAnsi"/>
        </w:rPr>
        <w:t xml:space="preserve"> implicate</w:t>
      </w:r>
      <w:r w:rsidR="003B6171" w:rsidRPr="00793A87">
        <w:rPr>
          <w:rFonts w:asciiTheme="minorHAnsi" w:hAnsiTheme="minorHAnsi" w:cstheme="minorHAnsi"/>
        </w:rPr>
        <w:t>s</w:t>
      </w:r>
      <w:r w:rsidR="002E58A9" w:rsidRPr="00793A87">
        <w:rPr>
          <w:rFonts w:asciiTheme="minorHAnsi" w:hAnsiTheme="minorHAnsi" w:cstheme="minorHAnsi"/>
        </w:rPr>
        <w:t xml:space="preserve"> the</w:t>
      </w:r>
      <w:r w:rsidR="003B6171" w:rsidRPr="00793A87">
        <w:rPr>
          <w:rFonts w:asciiTheme="minorHAnsi" w:hAnsiTheme="minorHAnsi" w:cstheme="minorHAnsi"/>
        </w:rPr>
        <w:t>ir</w:t>
      </w:r>
      <w:r w:rsidR="002E58A9" w:rsidRPr="00793A87">
        <w:rPr>
          <w:rFonts w:asciiTheme="minorHAnsi" w:hAnsiTheme="minorHAnsi" w:cstheme="minorHAnsi"/>
        </w:rPr>
        <w:t xml:space="preserve"> reputation</w:t>
      </w:r>
      <w:r w:rsidR="003B6171" w:rsidRPr="00793A87">
        <w:rPr>
          <w:rFonts w:asciiTheme="minorHAnsi" w:hAnsiTheme="minorHAnsi" w:cstheme="minorHAnsi"/>
        </w:rPr>
        <w:t xml:space="preserve">. Se also Linnet Taylor, Luciano Floridi, Bart van der Sloot (eds), </w:t>
      </w:r>
      <w:r w:rsidR="003B6171" w:rsidRPr="00793A87">
        <w:rPr>
          <w:rFonts w:asciiTheme="minorHAnsi" w:hAnsiTheme="minorHAnsi" w:cstheme="minorHAnsi"/>
          <w:i/>
          <w:iCs/>
        </w:rPr>
        <w:t>Group Privacy – New Challenges of Data Technologies</w:t>
      </w:r>
      <w:r w:rsidR="003B6171" w:rsidRPr="00793A87">
        <w:rPr>
          <w:rFonts w:asciiTheme="minorHAnsi" w:hAnsiTheme="minorHAnsi" w:cstheme="minorHAnsi"/>
        </w:rPr>
        <w:t xml:space="preserve"> (Springer</w:t>
      </w:r>
      <w:r w:rsidR="00BF53D2" w:rsidRPr="00793A87">
        <w:rPr>
          <w:rFonts w:asciiTheme="minorHAnsi" w:hAnsiTheme="minorHAnsi" w:cstheme="minorHAnsi"/>
        </w:rPr>
        <w:t>,</w:t>
      </w:r>
      <w:r w:rsidR="003B6171" w:rsidRPr="00793A87">
        <w:rPr>
          <w:rFonts w:asciiTheme="minorHAnsi" w:hAnsiTheme="minorHAnsi" w:cstheme="minorHAnsi"/>
        </w:rPr>
        <w:t xml:space="preserve"> 2017). </w:t>
      </w:r>
    </w:p>
  </w:footnote>
  <w:footnote w:id="139">
    <w:p w14:paraId="77385848" w14:textId="4976C747" w:rsidR="00BC556F" w:rsidRPr="00793A87" w:rsidRDefault="00BC556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B4431" w:rsidRPr="00793A87">
        <w:rPr>
          <w:rFonts w:asciiTheme="minorHAnsi" w:hAnsiTheme="minorHAnsi" w:cstheme="minorHAnsi"/>
        </w:rPr>
        <w:t>For</w:t>
      </w:r>
      <w:r w:rsidR="003B6171" w:rsidRPr="00793A87">
        <w:rPr>
          <w:rFonts w:asciiTheme="minorHAnsi" w:hAnsiTheme="minorHAnsi" w:cstheme="minorHAnsi"/>
        </w:rPr>
        <w:t xml:space="preserve"> an example of</w:t>
      </w:r>
      <w:r w:rsidR="006B4431" w:rsidRPr="00793A87">
        <w:rPr>
          <w:rFonts w:asciiTheme="minorHAnsi" w:hAnsiTheme="minorHAnsi" w:cstheme="minorHAnsi"/>
        </w:rPr>
        <w:t xml:space="preserve"> the judicial unwillingness to recognise relational privacy see</w:t>
      </w:r>
      <w:r w:rsidR="003B6171" w:rsidRPr="00793A87">
        <w:rPr>
          <w:rFonts w:asciiTheme="minorHAnsi" w:hAnsiTheme="minorHAnsi" w:cstheme="minorHAnsi"/>
        </w:rPr>
        <w:t xml:space="preserve"> </w:t>
      </w:r>
      <w:r w:rsidR="006B4431" w:rsidRPr="00793A87">
        <w:rPr>
          <w:rStyle w:val="Emphasis"/>
          <w:rFonts w:asciiTheme="minorHAnsi" w:hAnsiTheme="minorHAnsi" w:cstheme="minorHAnsi"/>
        </w:rPr>
        <w:t xml:space="preserve">OPO v MLA </w:t>
      </w:r>
      <w:r w:rsidR="006B4431" w:rsidRPr="00793A87">
        <w:rPr>
          <w:rFonts w:asciiTheme="minorHAnsi" w:hAnsiTheme="minorHAnsi" w:cstheme="minorHAnsi"/>
        </w:rPr>
        <w:t xml:space="preserve">[2014] EWCA Civ 1277. </w:t>
      </w:r>
    </w:p>
  </w:footnote>
  <w:footnote w:id="140">
    <w:p w14:paraId="09A129ED" w14:textId="3682766A" w:rsidR="000C4C40" w:rsidRPr="00793A87" w:rsidRDefault="000C4C40"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BF53D2" w:rsidRPr="00793A87">
        <w:rPr>
          <w:rFonts w:asciiTheme="minorHAnsi" w:hAnsiTheme="minorHAnsi" w:cstheme="minorHAnsi"/>
          <w:i/>
          <w:iCs/>
        </w:rPr>
        <w:t>Plon (Société)</w:t>
      </w:r>
      <w:r w:rsidR="00BF53D2" w:rsidRPr="00793A87">
        <w:rPr>
          <w:rStyle w:val="font0"/>
          <w:rFonts w:asciiTheme="minorHAnsi" w:hAnsiTheme="minorHAnsi" w:cstheme="minorHAnsi"/>
          <w:i/>
          <w:iCs/>
        </w:rPr>
        <w:t xml:space="preserve"> </w:t>
      </w:r>
      <w:r w:rsidR="00BF53D2" w:rsidRPr="00793A87">
        <w:rPr>
          <w:rFonts w:asciiTheme="minorHAnsi" w:hAnsiTheme="minorHAnsi" w:cstheme="minorHAnsi"/>
        </w:rPr>
        <w:t xml:space="preserve">above n 32, </w:t>
      </w:r>
      <w:r w:rsidR="003C5D4E" w:rsidRPr="00793A87">
        <w:rPr>
          <w:rFonts w:asciiTheme="minorHAnsi" w:hAnsiTheme="minorHAnsi" w:cstheme="minorHAnsi"/>
        </w:rPr>
        <w:t>p</w:t>
      </w:r>
      <w:r w:rsidR="00952FC7" w:rsidRPr="00793A87">
        <w:rPr>
          <w:rFonts w:asciiTheme="minorHAnsi" w:hAnsiTheme="minorHAnsi" w:cstheme="minorHAnsi"/>
        </w:rPr>
        <w:t>ara 34</w:t>
      </w:r>
      <w:r w:rsidR="00BF53D2" w:rsidRPr="00793A87">
        <w:rPr>
          <w:rFonts w:asciiTheme="minorHAnsi" w:hAnsiTheme="minorHAnsi" w:cstheme="minorHAnsi"/>
        </w:rPr>
        <w:t>.</w:t>
      </w:r>
    </w:p>
  </w:footnote>
  <w:footnote w:id="141">
    <w:p w14:paraId="48E5D620" w14:textId="4B27049C" w:rsidR="003D4DAE" w:rsidRPr="00793A87" w:rsidRDefault="003D4DAE"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Warren and Brand</w:t>
      </w:r>
      <w:r w:rsidR="003B6171" w:rsidRPr="00793A87">
        <w:rPr>
          <w:rFonts w:cstheme="minorHAnsi"/>
          <w:sz w:val="20"/>
          <w:szCs w:val="20"/>
        </w:rPr>
        <w:t>e</w:t>
      </w:r>
      <w:r w:rsidRPr="00793A87">
        <w:rPr>
          <w:rFonts w:cstheme="minorHAnsi"/>
          <w:sz w:val="20"/>
          <w:szCs w:val="20"/>
        </w:rPr>
        <w:t xml:space="preserve">is </w:t>
      </w:r>
      <w:r w:rsidR="003B6171" w:rsidRPr="00793A87">
        <w:rPr>
          <w:rFonts w:cstheme="minorHAnsi"/>
          <w:sz w:val="20"/>
          <w:szCs w:val="20"/>
        </w:rPr>
        <w:t xml:space="preserve">above n 86, </w:t>
      </w:r>
      <w:r w:rsidRPr="00793A87">
        <w:rPr>
          <w:rFonts w:cstheme="minorHAnsi"/>
          <w:sz w:val="20"/>
          <w:szCs w:val="20"/>
        </w:rPr>
        <w:t>at 213</w:t>
      </w:r>
      <w:r w:rsidR="00CC3B97" w:rsidRPr="00793A87">
        <w:rPr>
          <w:rFonts w:cstheme="minorHAnsi"/>
          <w:sz w:val="20"/>
          <w:szCs w:val="20"/>
        </w:rPr>
        <w:t xml:space="preserve"> [emphasis added]</w:t>
      </w:r>
      <w:r w:rsidR="003B6171" w:rsidRPr="00793A87">
        <w:rPr>
          <w:rFonts w:cstheme="minorHAnsi"/>
          <w:sz w:val="20"/>
          <w:szCs w:val="20"/>
        </w:rPr>
        <w:t>.</w:t>
      </w:r>
    </w:p>
  </w:footnote>
  <w:footnote w:id="142">
    <w:p w14:paraId="54F1279D" w14:textId="39F02497" w:rsidR="00EA1006" w:rsidRPr="00793A87" w:rsidRDefault="00EA1006"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Bluck</w:t>
      </w:r>
      <w:r w:rsidR="00BF53D2" w:rsidRPr="00793A87">
        <w:rPr>
          <w:rFonts w:asciiTheme="minorHAnsi" w:hAnsiTheme="minorHAnsi" w:cstheme="minorHAnsi"/>
        </w:rPr>
        <w:t xml:space="preserve"> above n 15, para</w:t>
      </w:r>
      <w:r w:rsidRPr="00793A87">
        <w:rPr>
          <w:rFonts w:asciiTheme="minorHAnsi" w:hAnsiTheme="minorHAnsi" w:cstheme="minorHAnsi"/>
        </w:rPr>
        <w:t xml:space="preserve"> 15</w:t>
      </w:r>
      <w:r w:rsidR="00BF53D2" w:rsidRPr="00793A87">
        <w:rPr>
          <w:rFonts w:asciiTheme="minorHAnsi" w:hAnsiTheme="minorHAnsi" w:cstheme="minorHAnsi"/>
        </w:rPr>
        <w:t>,</w:t>
      </w:r>
      <w:r w:rsidRPr="00793A87">
        <w:rPr>
          <w:rStyle w:val="font0"/>
          <w:rFonts w:asciiTheme="minorHAnsi" w:hAnsiTheme="minorHAnsi" w:cstheme="minorHAnsi"/>
        </w:rPr>
        <w:t xml:space="preserve"> expressly approved that</w:t>
      </w:r>
      <w:r w:rsidR="00BF53D2" w:rsidRPr="00793A87">
        <w:rPr>
          <w:rStyle w:val="font0"/>
          <w:rFonts w:asciiTheme="minorHAnsi" w:hAnsiTheme="minorHAnsi" w:cstheme="minorHAnsi"/>
        </w:rPr>
        <w:t xml:space="preserve"> the lack of detriment did not defeat the claim.</w:t>
      </w:r>
    </w:p>
  </w:footnote>
  <w:footnote w:id="143">
    <w:p w14:paraId="2AF7C826" w14:textId="2019841F" w:rsidR="00191124" w:rsidRPr="00793A87" w:rsidRDefault="0009563B" w:rsidP="00214FA3">
      <w:pPr>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Pr="00793A87">
        <w:rPr>
          <w:rFonts w:cstheme="minorHAnsi"/>
          <w:i/>
          <w:iCs/>
          <w:sz w:val="20"/>
          <w:szCs w:val="20"/>
        </w:rPr>
        <w:t xml:space="preserve">Coco v A N Clark (Engineers) Limited </w:t>
      </w:r>
      <w:r w:rsidRPr="00793A87">
        <w:rPr>
          <w:rFonts w:cstheme="minorHAnsi"/>
          <w:sz w:val="20"/>
          <w:szCs w:val="20"/>
        </w:rPr>
        <w:t>[1968] FSR 415</w:t>
      </w:r>
      <w:r w:rsidR="004407CB" w:rsidRPr="00793A87">
        <w:rPr>
          <w:rFonts w:cstheme="minorHAnsi"/>
          <w:sz w:val="20"/>
          <w:szCs w:val="20"/>
        </w:rPr>
        <w:t>, 421</w:t>
      </w:r>
      <w:r w:rsidR="00191124" w:rsidRPr="00793A87">
        <w:rPr>
          <w:rFonts w:cstheme="minorHAnsi"/>
          <w:sz w:val="20"/>
          <w:szCs w:val="20"/>
        </w:rPr>
        <w:t xml:space="preserve">; </w:t>
      </w:r>
      <w:r w:rsidR="00191124" w:rsidRPr="00793A87">
        <w:rPr>
          <w:rFonts w:cstheme="minorHAnsi"/>
          <w:i/>
          <w:iCs/>
          <w:sz w:val="20"/>
          <w:szCs w:val="20"/>
        </w:rPr>
        <w:t>Attorney General v Guardian Newspapers Ltd (No 2</w:t>
      </w:r>
      <w:r w:rsidR="00191124" w:rsidRPr="00793A87">
        <w:rPr>
          <w:rFonts w:cstheme="minorHAnsi"/>
          <w:sz w:val="20"/>
          <w:szCs w:val="20"/>
        </w:rPr>
        <w:t>) [1988] UKHL 6, 2f: ‘</w:t>
      </w:r>
      <w:r w:rsidR="00191124" w:rsidRPr="00793A87">
        <w:rPr>
          <w:rFonts w:eastAsia="Times New Roman" w:cstheme="minorHAnsi"/>
          <w:sz w:val="20"/>
          <w:szCs w:val="20"/>
          <w:lang w:eastAsia="en-GB"/>
        </w:rPr>
        <w:t>[A]</w:t>
      </w:r>
      <w:r w:rsidRPr="00793A87">
        <w:rPr>
          <w:rFonts w:eastAsia="Times New Roman" w:cstheme="minorHAnsi"/>
          <w:sz w:val="20"/>
          <w:szCs w:val="20"/>
          <w:lang w:eastAsia="en-GB"/>
        </w:rPr>
        <w:t>s a general rule, it is in the public interest that confidences should be respected, and the encouragement of such respect may in itself constitute a sufficient ground for recognising and enforcing the obligation of confidence even when the confider can point to no specific detriment to himself</w:t>
      </w:r>
      <w:r w:rsidR="00191124" w:rsidRPr="00793A87">
        <w:rPr>
          <w:rFonts w:eastAsia="Times New Roman" w:cstheme="minorHAnsi"/>
          <w:sz w:val="20"/>
          <w:szCs w:val="20"/>
          <w:lang w:eastAsia="en-GB"/>
        </w:rPr>
        <w:t xml:space="preserve">… </w:t>
      </w:r>
      <w:r w:rsidR="00191124" w:rsidRPr="00793A87">
        <w:rPr>
          <w:rFonts w:cstheme="minorHAnsi"/>
          <w:color w:val="000000"/>
          <w:sz w:val="20"/>
          <w:szCs w:val="20"/>
        </w:rPr>
        <w:t>The anonymous donor of a very large sum to a very worthy cause has his own reasons for wishing to remain anonymous, which are unlikely to be discreditable.’</w:t>
      </w:r>
      <w:r w:rsidR="00FC1438" w:rsidRPr="00793A87">
        <w:rPr>
          <w:rFonts w:cstheme="minorHAnsi"/>
          <w:color w:val="000000"/>
          <w:sz w:val="20"/>
          <w:szCs w:val="20"/>
        </w:rPr>
        <w:t xml:space="preserve"> See also </w:t>
      </w:r>
      <w:r w:rsidR="004407CB" w:rsidRPr="00793A87">
        <w:rPr>
          <w:rFonts w:cstheme="minorHAnsi"/>
          <w:i/>
          <w:iCs/>
          <w:sz w:val="20"/>
          <w:szCs w:val="20"/>
        </w:rPr>
        <w:t>Gulati &amp; Ors v MGN Ltd</w:t>
      </w:r>
      <w:r w:rsidR="004407CB" w:rsidRPr="00793A87">
        <w:rPr>
          <w:rFonts w:cstheme="minorHAnsi"/>
          <w:sz w:val="20"/>
          <w:szCs w:val="20"/>
        </w:rPr>
        <w:t xml:space="preserve"> (un-redacted) [2015] EWHC 1482. </w:t>
      </w:r>
    </w:p>
  </w:footnote>
  <w:footnote w:id="144">
    <w:p w14:paraId="640177A1" w14:textId="2689E155" w:rsidR="004407CB" w:rsidRPr="00793A87" w:rsidRDefault="004407CB" w:rsidP="004407CB">
      <w:pPr>
        <w:pStyle w:val="FootnoteText"/>
        <w:spacing w:afterAutospacing="0"/>
        <w:ind w:left="0"/>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eastAsia="Times New Roman" w:hAnsiTheme="minorHAnsi" w:cstheme="minorHAnsi"/>
          <w:lang w:eastAsia="en-GB"/>
        </w:rPr>
        <w:t>Toulson and Phipps above n 29.</w:t>
      </w:r>
      <w:r w:rsidRPr="00793A87">
        <w:rPr>
          <w:rFonts w:eastAsia="Times New Roman" w:cstheme="minorHAnsi"/>
          <w:lang w:eastAsia="en-GB"/>
        </w:rPr>
        <w:t xml:space="preserve"> </w:t>
      </w:r>
    </w:p>
  </w:footnote>
  <w:footnote w:id="145">
    <w:p w14:paraId="35FB0733" w14:textId="42D65A95" w:rsidR="0094475B" w:rsidRPr="00793A87" w:rsidRDefault="0094475B" w:rsidP="00214FA3">
      <w:pPr>
        <w:spacing w:after="0" w:line="240" w:lineRule="auto"/>
        <w:jc w:val="both"/>
        <w:rPr>
          <w:rFonts w:eastAsia="Times New Roman" w:cstheme="minorHAnsi"/>
          <w:sz w:val="20"/>
          <w:szCs w:val="20"/>
          <w:lang w:eastAsia="en-GB"/>
        </w:rPr>
      </w:pPr>
      <w:r w:rsidRPr="00793A87">
        <w:rPr>
          <w:rStyle w:val="FootnoteReference"/>
          <w:rFonts w:cstheme="minorHAnsi"/>
          <w:sz w:val="20"/>
          <w:szCs w:val="20"/>
        </w:rPr>
        <w:footnoteRef/>
      </w:r>
      <w:r w:rsidR="009650FA" w:rsidRPr="00793A87">
        <w:rPr>
          <w:rFonts w:cstheme="minorHAnsi"/>
          <w:i/>
          <w:iCs/>
          <w:sz w:val="20"/>
          <w:szCs w:val="20"/>
        </w:rPr>
        <w:t xml:space="preserve"> </w:t>
      </w:r>
      <w:r w:rsidR="003D037C" w:rsidRPr="00793A87">
        <w:rPr>
          <w:rFonts w:cstheme="minorHAnsi"/>
          <w:i/>
          <w:iCs/>
          <w:sz w:val="20"/>
          <w:szCs w:val="20"/>
        </w:rPr>
        <w:t>Lewis v Secretary of State for Health &amp; Anor</w:t>
      </w:r>
      <w:r w:rsidR="003D037C" w:rsidRPr="00793A87">
        <w:rPr>
          <w:rFonts w:cstheme="minorHAnsi"/>
          <w:sz w:val="20"/>
          <w:szCs w:val="20"/>
        </w:rPr>
        <w:t xml:space="preserve"> </w:t>
      </w:r>
      <w:r w:rsidR="003D037C" w:rsidRPr="00793A87">
        <w:rPr>
          <w:rFonts w:eastAsia="Times New Roman" w:cstheme="minorHAnsi"/>
          <w:sz w:val="20"/>
          <w:szCs w:val="20"/>
          <w:lang w:eastAsia="en-GB"/>
        </w:rPr>
        <w:t xml:space="preserve">above n 45, </w:t>
      </w:r>
      <w:r w:rsidRPr="00793A87">
        <w:rPr>
          <w:rFonts w:eastAsia="Times New Roman" w:cstheme="minorHAnsi"/>
          <w:sz w:val="20"/>
          <w:szCs w:val="20"/>
          <w:lang w:eastAsia="en-GB"/>
        </w:rPr>
        <w:t>para 23</w:t>
      </w:r>
      <w:r w:rsidR="004407CB" w:rsidRPr="00793A87">
        <w:rPr>
          <w:rFonts w:eastAsia="Times New Roman" w:cstheme="minorHAnsi"/>
          <w:sz w:val="20"/>
          <w:szCs w:val="20"/>
          <w:lang w:eastAsia="en-GB"/>
        </w:rPr>
        <w:t>.</w:t>
      </w:r>
    </w:p>
  </w:footnote>
  <w:footnote w:id="146">
    <w:p w14:paraId="1B20D028" w14:textId="03E50BB9" w:rsidR="00C910B2" w:rsidRPr="00793A87" w:rsidRDefault="00C910B2"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104BD2" w:rsidRPr="00793A87">
        <w:rPr>
          <w:rStyle w:val="markedcontent"/>
          <w:rFonts w:cstheme="minorHAnsi"/>
          <w:sz w:val="20"/>
          <w:szCs w:val="20"/>
        </w:rPr>
        <w:t xml:space="preserve"> Joel Feinberg, </w:t>
      </w:r>
      <w:r w:rsidR="00104BD2" w:rsidRPr="00793A87">
        <w:rPr>
          <w:rStyle w:val="markedcontent"/>
          <w:rFonts w:cstheme="minorHAnsi"/>
          <w:i/>
          <w:iCs/>
          <w:sz w:val="20"/>
          <w:szCs w:val="20"/>
        </w:rPr>
        <w:t>Harm to Others</w:t>
      </w:r>
      <w:r w:rsidR="00104BD2" w:rsidRPr="00793A87">
        <w:rPr>
          <w:rStyle w:val="markedcontent"/>
          <w:rFonts w:cstheme="minorHAnsi"/>
          <w:sz w:val="20"/>
          <w:szCs w:val="20"/>
        </w:rPr>
        <w:t xml:space="preserve"> (Vol. 1) (Oxford: Oxford University Press, 1984) 7</w:t>
      </w:r>
      <w:r w:rsidR="004407CB" w:rsidRPr="00793A87">
        <w:rPr>
          <w:rStyle w:val="markedcontent"/>
          <w:rFonts w:cstheme="minorHAnsi"/>
          <w:sz w:val="20"/>
          <w:szCs w:val="20"/>
        </w:rPr>
        <w:t>.</w:t>
      </w:r>
      <w:r w:rsidR="00104BD2" w:rsidRPr="00793A87">
        <w:rPr>
          <w:rStyle w:val="markedcontent"/>
          <w:rFonts w:cstheme="minorHAnsi"/>
          <w:sz w:val="20"/>
          <w:szCs w:val="20"/>
        </w:rPr>
        <w:t>9</w:t>
      </w:r>
    </w:p>
  </w:footnote>
  <w:footnote w:id="147">
    <w:p w14:paraId="025FE53F" w14:textId="5D1DCCB5" w:rsidR="00104BD2" w:rsidRPr="00793A87" w:rsidRDefault="00104BD2"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Winter</w:t>
      </w:r>
      <w:r w:rsidR="004407CB" w:rsidRPr="00793A87">
        <w:rPr>
          <w:rFonts w:cstheme="minorHAnsi"/>
          <w:sz w:val="20"/>
          <w:szCs w:val="20"/>
        </w:rPr>
        <w:t xml:space="preserve"> above n 134, </w:t>
      </w:r>
      <w:r w:rsidRPr="00793A87">
        <w:rPr>
          <w:rFonts w:cstheme="minorHAnsi"/>
          <w:sz w:val="20"/>
          <w:szCs w:val="20"/>
        </w:rPr>
        <w:t xml:space="preserve">190. </w:t>
      </w:r>
      <w:r w:rsidR="00523709" w:rsidRPr="00793A87">
        <w:rPr>
          <w:rFonts w:cstheme="minorHAnsi"/>
          <w:sz w:val="20"/>
          <w:szCs w:val="20"/>
        </w:rPr>
        <w:t xml:space="preserve">See also </w:t>
      </w:r>
      <w:r w:rsidR="00523709" w:rsidRPr="00793A87">
        <w:rPr>
          <w:rFonts w:cstheme="minorHAnsi"/>
          <w:i/>
          <w:iCs/>
          <w:sz w:val="20"/>
          <w:szCs w:val="20"/>
        </w:rPr>
        <w:t>Smith v Dha</w:t>
      </w:r>
      <w:r w:rsidR="00523709" w:rsidRPr="00793A87">
        <w:rPr>
          <w:rFonts w:cstheme="minorHAnsi"/>
          <w:sz w:val="20"/>
          <w:szCs w:val="20"/>
        </w:rPr>
        <w:t xml:space="preserve"> [2013] EWHC 838: </w:t>
      </w:r>
      <w:r w:rsidR="004407CB" w:rsidRPr="00793A87">
        <w:rPr>
          <w:rFonts w:cstheme="minorHAnsi"/>
          <w:sz w:val="20"/>
          <w:szCs w:val="20"/>
        </w:rPr>
        <w:t>‘</w:t>
      </w:r>
      <w:r w:rsidR="00523709" w:rsidRPr="00793A87">
        <w:rPr>
          <w:rFonts w:cstheme="minorHAnsi"/>
          <w:sz w:val="20"/>
          <w:szCs w:val="20"/>
        </w:rPr>
        <w:t>[n]o one other than a claimant can give reliable evidence about his or her feelings or distress. No one other than a defendant—</w:t>
      </w:r>
      <w:r w:rsidR="004407CB" w:rsidRPr="00793A87">
        <w:rPr>
          <w:rFonts w:cstheme="minorHAnsi"/>
          <w:sz w:val="20"/>
          <w:szCs w:val="20"/>
        </w:rPr>
        <w:t xml:space="preserve"> </w:t>
      </w:r>
      <w:r w:rsidR="00523709" w:rsidRPr="00793A87">
        <w:rPr>
          <w:rFonts w:cstheme="minorHAnsi"/>
          <w:sz w:val="20"/>
          <w:szCs w:val="20"/>
        </w:rPr>
        <w:t>should a defendant die</w:t>
      </w:r>
      <w:r w:rsidR="004407CB" w:rsidRPr="00793A87">
        <w:rPr>
          <w:rFonts w:cstheme="minorHAnsi"/>
          <w:sz w:val="20"/>
          <w:szCs w:val="20"/>
        </w:rPr>
        <w:t xml:space="preserve"> </w:t>
      </w:r>
      <w:r w:rsidR="00523709" w:rsidRPr="00793A87">
        <w:rPr>
          <w:rFonts w:cstheme="minorHAnsi"/>
          <w:sz w:val="20"/>
          <w:szCs w:val="20"/>
        </w:rPr>
        <w:t>—can give reliable evidence to rebut a plea of malice.’</w:t>
      </w:r>
    </w:p>
  </w:footnote>
  <w:footnote w:id="148">
    <w:p w14:paraId="3237EF3E" w14:textId="3AB34AE8" w:rsidR="00547F00" w:rsidRPr="00793A87" w:rsidRDefault="00547F00" w:rsidP="00214FA3">
      <w:pPr>
        <w:autoSpaceDE w:val="0"/>
        <w:autoSpaceDN w:val="0"/>
        <w:adjustRightInd w:val="0"/>
        <w:spacing w:after="0" w:line="240" w:lineRule="auto"/>
        <w:jc w:val="both"/>
        <w:rPr>
          <w:rFonts w:cstheme="minorHAnsi"/>
          <w:i/>
          <w:iCs/>
          <w:sz w:val="20"/>
          <w:szCs w:val="20"/>
        </w:rPr>
      </w:pPr>
      <w:r w:rsidRPr="00793A87">
        <w:rPr>
          <w:rStyle w:val="FootnoteReference"/>
          <w:rFonts w:cstheme="minorHAnsi"/>
          <w:sz w:val="20"/>
          <w:szCs w:val="20"/>
        </w:rPr>
        <w:footnoteRef/>
      </w:r>
      <w:r w:rsidRPr="00793A87">
        <w:rPr>
          <w:rFonts w:cstheme="minorHAnsi"/>
          <w:sz w:val="20"/>
          <w:szCs w:val="20"/>
        </w:rPr>
        <w:t xml:space="preserve"> Buitelaar</w:t>
      </w:r>
      <w:r w:rsidR="004407CB" w:rsidRPr="00793A87">
        <w:rPr>
          <w:rFonts w:cstheme="minorHAnsi"/>
          <w:sz w:val="20"/>
          <w:szCs w:val="20"/>
        </w:rPr>
        <w:t xml:space="preserve"> above n 25,</w:t>
      </w:r>
      <w:r w:rsidRPr="00793A87">
        <w:rPr>
          <w:rFonts w:cstheme="minorHAnsi"/>
          <w:sz w:val="20"/>
          <w:szCs w:val="20"/>
        </w:rPr>
        <w:t xml:space="preserve"> 134</w:t>
      </w:r>
      <w:r w:rsidR="004407CB" w:rsidRPr="00793A87">
        <w:rPr>
          <w:rFonts w:cstheme="minorHAnsi"/>
          <w:sz w:val="20"/>
          <w:szCs w:val="20"/>
        </w:rPr>
        <w:t>.</w:t>
      </w:r>
    </w:p>
  </w:footnote>
  <w:footnote w:id="149">
    <w:p w14:paraId="5B725ECB" w14:textId="4D4120A8" w:rsidR="00BE6559" w:rsidRPr="00793A87" w:rsidRDefault="00BE6559" w:rsidP="00214FA3">
      <w:pPr>
        <w:autoSpaceDE w:val="0"/>
        <w:autoSpaceDN w:val="0"/>
        <w:adjustRightInd w:val="0"/>
        <w:spacing w:after="0" w:line="240" w:lineRule="auto"/>
        <w:jc w:val="both"/>
        <w:rPr>
          <w:rFonts w:cstheme="minorHAnsi"/>
          <w:i/>
          <w:iCs/>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DE0BCA" w:rsidRPr="00793A87">
        <w:rPr>
          <w:rFonts w:cstheme="minorHAnsi"/>
          <w:sz w:val="20"/>
          <w:szCs w:val="20"/>
        </w:rPr>
        <w:t xml:space="preserve">Buitelaar above n 25, </w:t>
      </w:r>
      <w:r w:rsidR="00FF66E6" w:rsidRPr="00793A87">
        <w:rPr>
          <w:rFonts w:cstheme="minorHAnsi"/>
          <w:sz w:val="20"/>
          <w:szCs w:val="20"/>
        </w:rPr>
        <w:t xml:space="preserve">134. </w:t>
      </w:r>
    </w:p>
  </w:footnote>
  <w:footnote w:id="150">
    <w:p w14:paraId="1AF602AC" w14:textId="4A66D43A" w:rsidR="00037054" w:rsidRPr="00793A87" w:rsidRDefault="0003705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BC5509" w:rsidRPr="00793A87">
        <w:rPr>
          <w:rFonts w:asciiTheme="minorHAnsi" w:hAnsiTheme="minorHAnsi" w:cstheme="minorHAnsi"/>
        </w:rPr>
        <w:t xml:space="preserve">Winter </w:t>
      </w:r>
      <w:r w:rsidR="004407CB" w:rsidRPr="00793A87">
        <w:rPr>
          <w:rFonts w:asciiTheme="minorHAnsi" w:hAnsiTheme="minorHAnsi" w:cstheme="minorHAnsi"/>
        </w:rPr>
        <w:t xml:space="preserve">above n 134, </w:t>
      </w:r>
      <w:r w:rsidR="00BC5509" w:rsidRPr="00793A87">
        <w:rPr>
          <w:rFonts w:asciiTheme="minorHAnsi" w:hAnsiTheme="minorHAnsi" w:cstheme="minorHAnsi"/>
        </w:rPr>
        <w:t>186</w:t>
      </w:r>
      <w:r w:rsidR="004407CB" w:rsidRPr="00793A87">
        <w:rPr>
          <w:rFonts w:asciiTheme="minorHAnsi" w:hAnsiTheme="minorHAnsi" w:cstheme="minorHAnsi"/>
        </w:rPr>
        <w:t>.</w:t>
      </w:r>
    </w:p>
  </w:footnote>
  <w:footnote w:id="151">
    <w:p w14:paraId="48702F4E" w14:textId="460FB1E7" w:rsidR="00862625" w:rsidRPr="00793A87" w:rsidRDefault="00862625"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407CB" w:rsidRPr="00793A87">
        <w:rPr>
          <w:rFonts w:asciiTheme="minorHAnsi" w:hAnsiTheme="minorHAnsi" w:cstheme="minorHAnsi"/>
        </w:rPr>
        <w:t>Winter above n 134</w:t>
      </w:r>
      <w:r w:rsidRPr="00793A87">
        <w:rPr>
          <w:rFonts w:asciiTheme="minorHAnsi" w:hAnsiTheme="minorHAnsi" w:cstheme="minorHAnsi"/>
        </w:rPr>
        <w:t xml:space="preserve"> 190</w:t>
      </w:r>
      <w:r w:rsidR="004407CB" w:rsidRPr="00793A87">
        <w:rPr>
          <w:rFonts w:asciiTheme="minorHAnsi" w:hAnsiTheme="minorHAnsi" w:cstheme="minorHAnsi"/>
        </w:rPr>
        <w:t>.</w:t>
      </w:r>
    </w:p>
  </w:footnote>
  <w:footnote w:id="152">
    <w:p w14:paraId="031ABC69" w14:textId="00FF3D53" w:rsidR="00F209D0" w:rsidRPr="00793A87" w:rsidRDefault="00F209D0"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2314C5" w:rsidRPr="00793A87">
        <w:rPr>
          <w:rFonts w:cstheme="minorHAnsi"/>
          <w:sz w:val="20"/>
          <w:szCs w:val="20"/>
        </w:rPr>
        <w:t xml:space="preserve">In particular, </w:t>
      </w:r>
      <w:r w:rsidR="00FF66E6" w:rsidRPr="00793A87">
        <w:rPr>
          <w:rFonts w:cstheme="minorHAnsi"/>
          <w:sz w:val="20"/>
          <w:szCs w:val="20"/>
        </w:rPr>
        <w:t>Pitcher above n 123</w:t>
      </w:r>
      <w:r w:rsidR="002314C5" w:rsidRPr="00793A87">
        <w:rPr>
          <w:rFonts w:cstheme="minorHAnsi"/>
          <w:sz w:val="20"/>
          <w:szCs w:val="20"/>
        </w:rPr>
        <w:t xml:space="preserve">, </w:t>
      </w:r>
      <w:r w:rsidR="00FF66E6" w:rsidRPr="00793A87">
        <w:rPr>
          <w:rFonts w:cstheme="minorHAnsi"/>
          <w:sz w:val="20"/>
          <w:szCs w:val="20"/>
        </w:rPr>
        <w:t xml:space="preserve">and </w:t>
      </w:r>
      <w:r w:rsidRPr="00793A87">
        <w:rPr>
          <w:rFonts w:cstheme="minorHAnsi"/>
          <w:sz w:val="20"/>
          <w:szCs w:val="20"/>
        </w:rPr>
        <w:t>Feinberg</w:t>
      </w:r>
      <w:r w:rsidR="00FF66E6" w:rsidRPr="00793A87">
        <w:rPr>
          <w:rFonts w:cstheme="minorHAnsi"/>
          <w:sz w:val="20"/>
          <w:szCs w:val="20"/>
        </w:rPr>
        <w:t xml:space="preserve"> above n 146</w:t>
      </w:r>
      <w:r w:rsidR="002314C5" w:rsidRPr="00793A87">
        <w:rPr>
          <w:rFonts w:cstheme="minorHAnsi"/>
          <w:sz w:val="20"/>
          <w:szCs w:val="20"/>
        </w:rPr>
        <w:t>, 93</w:t>
      </w:r>
      <w:r w:rsidR="00FF66E6" w:rsidRPr="00793A87">
        <w:rPr>
          <w:rFonts w:cstheme="minorHAnsi"/>
          <w:sz w:val="20"/>
          <w:szCs w:val="20"/>
        </w:rPr>
        <w:t xml:space="preserve"> (arguing</w:t>
      </w:r>
      <w:r w:rsidR="002314C5" w:rsidRPr="00793A87">
        <w:rPr>
          <w:rFonts w:cstheme="minorHAnsi"/>
          <w:sz w:val="20"/>
          <w:szCs w:val="20"/>
        </w:rPr>
        <w:t xml:space="preserve"> that the harm after death is the ante-mortem person whose transcendent interests are squelched</w:t>
      </w:r>
      <w:r w:rsidR="00291D96" w:rsidRPr="00793A87">
        <w:rPr>
          <w:rFonts w:cstheme="minorHAnsi"/>
          <w:sz w:val="20"/>
          <w:szCs w:val="20"/>
        </w:rPr>
        <w:t>)</w:t>
      </w:r>
      <w:r w:rsidR="00FF66E6" w:rsidRPr="00793A87">
        <w:rPr>
          <w:rFonts w:cstheme="minorHAnsi"/>
          <w:sz w:val="20"/>
          <w:szCs w:val="20"/>
        </w:rPr>
        <w:t xml:space="preserve">, </w:t>
      </w:r>
      <w:r w:rsidRPr="00793A87">
        <w:rPr>
          <w:rFonts w:cstheme="minorHAnsi"/>
          <w:sz w:val="20"/>
          <w:szCs w:val="20"/>
        </w:rPr>
        <w:t xml:space="preserve">criticised </w:t>
      </w:r>
      <w:r w:rsidR="00FF66E6" w:rsidRPr="00793A87">
        <w:rPr>
          <w:rFonts w:cstheme="minorHAnsi"/>
          <w:sz w:val="20"/>
          <w:szCs w:val="20"/>
        </w:rPr>
        <w:t>by</w:t>
      </w:r>
      <w:r w:rsidRPr="00793A87">
        <w:rPr>
          <w:rFonts w:cstheme="minorHAnsi"/>
          <w:sz w:val="20"/>
          <w:szCs w:val="20"/>
        </w:rPr>
        <w:t xml:space="preserve"> Joan Callahan, ‘On Harming the Dead’ (1987) 97(2)</w:t>
      </w:r>
      <w:r w:rsidRPr="00793A87">
        <w:rPr>
          <w:rFonts w:cstheme="minorHAnsi"/>
          <w:i/>
          <w:iCs/>
          <w:sz w:val="20"/>
          <w:szCs w:val="20"/>
        </w:rPr>
        <w:t xml:space="preserve"> Ethics</w:t>
      </w:r>
      <w:r w:rsidRPr="00793A87">
        <w:rPr>
          <w:rFonts w:cstheme="minorHAnsi"/>
          <w:sz w:val="20"/>
          <w:szCs w:val="20"/>
        </w:rPr>
        <w:t xml:space="preserve"> 341; </w:t>
      </w:r>
      <w:r w:rsidR="00FF66E6" w:rsidRPr="00793A87">
        <w:rPr>
          <w:rFonts w:cstheme="minorHAnsi"/>
          <w:sz w:val="20"/>
          <w:szCs w:val="20"/>
        </w:rPr>
        <w:t xml:space="preserve">and </w:t>
      </w:r>
      <w:r w:rsidR="00291D96" w:rsidRPr="00793A87">
        <w:rPr>
          <w:rFonts w:cstheme="minorHAnsi"/>
          <w:sz w:val="20"/>
          <w:szCs w:val="20"/>
        </w:rPr>
        <w:t xml:space="preserve">by </w:t>
      </w:r>
      <w:r w:rsidRPr="00793A87">
        <w:rPr>
          <w:rFonts w:cstheme="minorHAnsi"/>
          <w:sz w:val="20"/>
          <w:szCs w:val="20"/>
        </w:rPr>
        <w:t>Winter</w:t>
      </w:r>
      <w:r w:rsidR="00FF66E6" w:rsidRPr="00793A87">
        <w:rPr>
          <w:rFonts w:cstheme="minorHAnsi"/>
          <w:sz w:val="20"/>
          <w:szCs w:val="20"/>
        </w:rPr>
        <w:t xml:space="preserve"> above n 134. </w:t>
      </w:r>
      <w:r w:rsidR="00DA56DA" w:rsidRPr="00793A87">
        <w:rPr>
          <w:rFonts w:cstheme="minorHAnsi"/>
          <w:sz w:val="20"/>
          <w:szCs w:val="20"/>
        </w:rPr>
        <w:t xml:space="preserve">Note, Feinberg </w:t>
      </w:r>
      <w:r w:rsidR="0012360C" w:rsidRPr="00793A87">
        <w:rPr>
          <w:rFonts w:cstheme="minorHAnsi"/>
          <w:sz w:val="20"/>
          <w:szCs w:val="20"/>
        </w:rPr>
        <w:t>try</w:t>
      </w:r>
      <w:r w:rsidR="00DA56DA" w:rsidRPr="00793A87">
        <w:rPr>
          <w:rFonts w:cstheme="minorHAnsi"/>
          <w:sz w:val="20"/>
          <w:szCs w:val="20"/>
        </w:rPr>
        <w:t xml:space="preserve"> to get around the retrospectivity by arguing that the right is violated </w:t>
      </w:r>
      <w:r w:rsidR="0012360C" w:rsidRPr="00793A87">
        <w:rPr>
          <w:rFonts w:cstheme="minorHAnsi"/>
          <w:sz w:val="20"/>
          <w:szCs w:val="20"/>
        </w:rPr>
        <w:t xml:space="preserve">well before death, </w:t>
      </w:r>
      <w:r w:rsidR="00DA56DA" w:rsidRPr="00793A87">
        <w:rPr>
          <w:rFonts w:cstheme="minorHAnsi"/>
          <w:sz w:val="20"/>
          <w:szCs w:val="20"/>
        </w:rPr>
        <w:t>when the person first acquired the right (92)</w:t>
      </w:r>
      <w:r w:rsidR="0012360C" w:rsidRPr="00793A87">
        <w:rPr>
          <w:rFonts w:cstheme="minorHAnsi"/>
          <w:sz w:val="20"/>
          <w:szCs w:val="20"/>
        </w:rPr>
        <w:t>.</w:t>
      </w:r>
    </w:p>
  </w:footnote>
  <w:footnote w:id="153">
    <w:p w14:paraId="1A27952B" w14:textId="2E45FE54" w:rsidR="00AB6A66" w:rsidRPr="00793A87" w:rsidRDefault="00AB6A66"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12360C" w:rsidRPr="00793A87">
        <w:rPr>
          <w:rFonts w:cstheme="minorHAnsi"/>
          <w:sz w:val="20"/>
          <w:szCs w:val="20"/>
        </w:rPr>
        <w:t xml:space="preserve">Buitelaar above n 25, 132ff. </w:t>
      </w:r>
      <w:r w:rsidR="00291D96" w:rsidRPr="00793A87">
        <w:rPr>
          <w:rFonts w:cstheme="minorHAnsi"/>
          <w:sz w:val="20"/>
          <w:szCs w:val="20"/>
        </w:rPr>
        <w:t xml:space="preserve">Floris </w:t>
      </w:r>
      <w:r w:rsidR="004C4C81" w:rsidRPr="00793A87">
        <w:rPr>
          <w:rFonts w:cstheme="minorHAnsi"/>
          <w:sz w:val="20"/>
          <w:szCs w:val="20"/>
        </w:rPr>
        <w:t>T</w:t>
      </w:r>
      <w:r w:rsidR="00291D96" w:rsidRPr="00793A87">
        <w:rPr>
          <w:rFonts w:cstheme="minorHAnsi"/>
          <w:sz w:val="20"/>
          <w:szCs w:val="20"/>
        </w:rPr>
        <w:t xml:space="preserve">omasini, </w:t>
      </w:r>
      <w:r w:rsidR="00291D96" w:rsidRPr="00793A87">
        <w:rPr>
          <w:rFonts w:cstheme="minorHAnsi"/>
          <w:i/>
          <w:iCs/>
          <w:sz w:val="20"/>
          <w:szCs w:val="20"/>
        </w:rPr>
        <w:t>Remembering and Disremembering the Dead</w:t>
      </w:r>
      <w:r w:rsidR="00291D96" w:rsidRPr="00793A87">
        <w:rPr>
          <w:rFonts w:cstheme="minorHAnsi"/>
          <w:sz w:val="20"/>
          <w:szCs w:val="20"/>
        </w:rPr>
        <w:t xml:space="preserve"> (Springer, 2017)</w:t>
      </w:r>
      <w:r w:rsidR="002314C5" w:rsidRPr="00793A87">
        <w:rPr>
          <w:rFonts w:cstheme="minorHAnsi"/>
          <w:sz w:val="20"/>
          <w:szCs w:val="20"/>
        </w:rPr>
        <w:t xml:space="preserve"> 28</w:t>
      </w:r>
      <w:r w:rsidR="004C4C81" w:rsidRPr="00793A87">
        <w:rPr>
          <w:rFonts w:cstheme="minorHAnsi"/>
          <w:sz w:val="20"/>
          <w:szCs w:val="20"/>
        </w:rPr>
        <w:t xml:space="preserve">: </w:t>
      </w:r>
      <w:r w:rsidR="00291D96" w:rsidRPr="00793A87">
        <w:rPr>
          <w:rFonts w:cstheme="minorHAnsi"/>
          <w:sz w:val="20"/>
          <w:szCs w:val="20"/>
        </w:rPr>
        <w:t>‘</w:t>
      </w:r>
      <w:r w:rsidR="00291D96" w:rsidRPr="00793A87">
        <w:rPr>
          <w:rFonts w:cstheme="minorHAnsi"/>
          <w:sz w:val="20"/>
          <w:szCs w:val="20"/>
          <w:shd w:val="clear" w:color="auto" w:fill="FCFCFC"/>
        </w:rPr>
        <w:t>According to Feinberg–Pitcher we can only squelch transcendent interests of ante-mortem persons. This is unnecessarily restrictive, as it is possible to think of harms in relation to social death as well harms in relation to biological death. In the case of the latter, narrative or ipse identity survives in the form of memory and biography that is refigured by others who survive the deceased.’</w:t>
      </w:r>
    </w:p>
  </w:footnote>
  <w:footnote w:id="154">
    <w:p w14:paraId="39F7F448" w14:textId="3A9CDADD" w:rsidR="005A562C" w:rsidRPr="00793A87" w:rsidRDefault="005A562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407CB" w:rsidRPr="00793A87">
        <w:rPr>
          <w:rFonts w:asciiTheme="minorHAnsi" w:hAnsiTheme="minorHAnsi" w:cstheme="minorHAnsi"/>
        </w:rPr>
        <w:t>Winter above n 134,</w:t>
      </w:r>
      <w:r w:rsidRPr="00793A87">
        <w:rPr>
          <w:rFonts w:asciiTheme="minorHAnsi" w:hAnsiTheme="minorHAnsi" w:cstheme="minorHAnsi"/>
        </w:rPr>
        <w:t xml:space="preserve"> 187</w:t>
      </w:r>
      <w:r w:rsidR="004407CB" w:rsidRPr="00793A87">
        <w:rPr>
          <w:rFonts w:asciiTheme="minorHAnsi" w:hAnsiTheme="minorHAnsi" w:cstheme="minorHAnsi"/>
        </w:rPr>
        <w:t>.</w:t>
      </w:r>
    </w:p>
  </w:footnote>
  <w:footnote w:id="155">
    <w:p w14:paraId="19791345" w14:textId="179A5382" w:rsidR="00FF66E6" w:rsidRPr="00793A87" w:rsidRDefault="00FF66E6" w:rsidP="00FF66E6">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291D96" w:rsidRPr="00793A87">
        <w:rPr>
          <w:rFonts w:asciiTheme="minorHAnsi" w:hAnsiTheme="minorHAnsi" w:cstheme="minorHAnsi"/>
        </w:rPr>
        <w:t xml:space="preserve">Callahan above 152, 349ff. </w:t>
      </w:r>
    </w:p>
  </w:footnote>
  <w:footnote w:id="156">
    <w:p w14:paraId="2D580D34" w14:textId="2E852CAD" w:rsidR="00F412DC" w:rsidRPr="00793A87" w:rsidRDefault="00F412DC"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4407CB" w:rsidRPr="00793A87">
        <w:rPr>
          <w:rFonts w:asciiTheme="minorHAnsi" w:hAnsiTheme="minorHAnsi" w:cstheme="minorHAnsi"/>
          <w:i/>
          <w:iCs/>
        </w:rPr>
        <w:t>Plon (Société)</w:t>
      </w:r>
      <w:r w:rsidR="004407CB" w:rsidRPr="00793A87">
        <w:rPr>
          <w:rStyle w:val="font0"/>
          <w:rFonts w:asciiTheme="minorHAnsi" w:hAnsiTheme="minorHAnsi" w:cstheme="minorHAnsi"/>
          <w:i/>
          <w:iCs/>
        </w:rPr>
        <w:t xml:space="preserve"> </w:t>
      </w:r>
      <w:r w:rsidR="004407CB" w:rsidRPr="00793A87">
        <w:rPr>
          <w:rFonts w:asciiTheme="minorHAnsi" w:hAnsiTheme="minorHAnsi" w:cstheme="minorHAnsi"/>
        </w:rPr>
        <w:t xml:space="preserve">above n 32, para </w:t>
      </w:r>
      <w:r w:rsidRPr="00793A87">
        <w:rPr>
          <w:rFonts w:asciiTheme="minorHAnsi" w:hAnsiTheme="minorHAnsi" w:cstheme="minorHAnsi"/>
        </w:rPr>
        <w:t>24</w:t>
      </w:r>
      <w:r w:rsidR="004407CB" w:rsidRPr="00793A87">
        <w:rPr>
          <w:rFonts w:asciiTheme="minorHAnsi" w:hAnsiTheme="minorHAnsi" w:cstheme="minorHAnsi"/>
        </w:rPr>
        <w:t>.</w:t>
      </w:r>
    </w:p>
  </w:footnote>
  <w:footnote w:id="157">
    <w:p w14:paraId="71774FAC" w14:textId="6BE55DAE" w:rsidR="00AF3AF8" w:rsidRPr="00793A87" w:rsidRDefault="00AF3AF8" w:rsidP="00A71960">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002314C5" w:rsidRPr="00793A87">
        <w:rPr>
          <w:rFonts w:asciiTheme="minorHAnsi" w:hAnsiTheme="minorHAnsi" w:cstheme="minorHAnsi"/>
          <w:i/>
          <w:iCs/>
        </w:rPr>
        <w:t xml:space="preserve"> </w:t>
      </w:r>
      <w:r w:rsidR="00DE0BCA" w:rsidRPr="00793A87">
        <w:rPr>
          <w:rFonts w:asciiTheme="minorHAnsi" w:hAnsiTheme="minorHAnsi" w:cstheme="minorHAnsi"/>
          <w:i/>
          <w:iCs/>
        </w:rPr>
        <w:t>Plon (Société)</w:t>
      </w:r>
      <w:r w:rsidR="00DE0BCA" w:rsidRPr="00793A87">
        <w:rPr>
          <w:rStyle w:val="font0"/>
          <w:rFonts w:asciiTheme="minorHAnsi" w:hAnsiTheme="minorHAnsi" w:cstheme="minorHAnsi"/>
          <w:i/>
          <w:iCs/>
        </w:rPr>
        <w:t xml:space="preserve"> </w:t>
      </w:r>
      <w:r w:rsidR="00DE0BCA" w:rsidRPr="00793A87">
        <w:rPr>
          <w:rFonts w:asciiTheme="minorHAnsi" w:hAnsiTheme="minorHAnsi" w:cstheme="minorHAnsi"/>
        </w:rPr>
        <w:t xml:space="preserve">above n 32, para </w:t>
      </w:r>
      <w:r w:rsidRPr="00793A87">
        <w:rPr>
          <w:rFonts w:asciiTheme="minorHAnsi" w:hAnsiTheme="minorHAnsi" w:cstheme="minorHAnsi"/>
        </w:rPr>
        <w:t>28</w:t>
      </w:r>
      <w:r w:rsidR="005F45A4" w:rsidRPr="00793A87">
        <w:rPr>
          <w:rFonts w:asciiTheme="minorHAnsi" w:hAnsiTheme="minorHAnsi" w:cstheme="minorHAnsi"/>
        </w:rPr>
        <w:t>, 37 (government arguing that medical confidentiality protects the general interests of society).</w:t>
      </w:r>
      <w:r w:rsidR="001F4EDD" w:rsidRPr="00793A87">
        <w:rPr>
          <w:rFonts w:asciiTheme="minorHAnsi" w:hAnsiTheme="minorHAnsi" w:cstheme="minorHAnsi"/>
        </w:rPr>
        <w:t xml:space="preserve"> </w:t>
      </w:r>
      <w:r w:rsidR="00A71960" w:rsidRPr="00793A87">
        <w:rPr>
          <w:rFonts w:asciiTheme="minorHAnsi" w:hAnsiTheme="minorHAnsi" w:cstheme="minorHAnsi"/>
        </w:rPr>
        <w:t>Generally,</w:t>
      </w:r>
      <w:r w:rsidR="0012360C" w:rsidRPr="00793A87">
        <w:rPr>
          <w:rFonts w:asciiTheme="minorHAnsi" w:hAnsiTheme="minorHAnsi" w:cstheme="minorHAnsi"/>
        </w:rPr>
        <w:t xml:space="preserve"> </w:t>
      </w:r>
      <w:r w:rsidR="001F4EDD" w:rsidRPr="00793A87">
        <w:rPr>
          <w:rFonts w:asciiTheme="minorHAnsi" w:hAnsiTheme="minorHAnsi" w:cstheme="minorHAnsi"/>
        </w:rPr>
        <w:t xml:space="preserve">consent by the patient or </w:t>
      </w:r>
      <w:r w:rsidR="0012360C" w:rsidRPr="00793A87">
        <w:rPr>
          <w:rFonts w:asciiTheme="minorHAnsi" w:hAnsiTheme="minorHAnsi" w:cstheme="minorHAnsi"/>
        </w:rPr>
        <w:t>their</w:t>
      </w:r>
      <w:r w:rsidR="001F4EDD" w:rsidRPr="00793A87">
        <w:rPr>
          <w:rFonts w:asciiTheme="minorHAnsi" w:hAnsiTheme="minorHAnsi" w:cstheme="minorHAnsi"/>
        </w:rPr>
        <w:t xml:space="preserve"> legal advisers is an exception to the duty</w:t>
      </w:r>
      <w:r w:rsidR="0037481F" w:rsidRPr="00793A87">
        <w:rPr>
          <w:rFonts w:asciiTheme="minorHAnsi" w:hAnsiTheme="minorHAnsi" w:cstheme="minorHAnsi"/>
        </w:rPr>
        <w:t xml:space="preserve">, </w:t>
      </w:r>
      <w:r w:rsidR="001F4EDD" w:rsidRPr="00793A87">
        <w:rPr>
          <w:rFonts w:asciiTheme="minorHAnsi" w:hAnsiTheme="minorHAnsi" w:cstheme="minorHAnsi"/>
        </w:rPr>
        <w:t xml:space="preserve">see </w:t>
      </w:r>
      <w:r w:rsidR="0037481F" w:rsidRPr="00793A87">
        <w:rPr>
          <w:rFonts w:asciiTheme="minorHAnsi" w:hAnsiTheme="minorHAnsi" w:cstheme="minorHAnsi"/>
        </w:rPr>
        <w:t xml:space="preserve">e.g. </w:t>
      </w:r>
      <w:r w:rsidR="001F4EDD" w:rsidRPr="00793A87">
        <w:rPr>
          <w:rFonts w:asciiTheme="minorHAnsi" w:hAnsiTheme="minorHAnsi" w:cstheme="minorHAnsi"/>
        </w:rPr>
        <w:t>Thompson above n</w:t>
      </w:r>
      <w:r w:rsidR="0037481F" w:rsidRPr="00793A87">
        <w:rPr>
          <w:rFonts w:asciiTheme="minorHAnsi" w:hAnsiTheme="minorHAnsi" w:cstheme="minorHAnsi"/>
        </w:rPr>
        <w:t xml:space="preserve"> 44</w:t>
      </w:r>
      <w:r w:rsidR="001F4EDD" w:rsidRPr="00793A87">
        <w:rPr>
          <w:rFonts w:asciiTheme="minorHAnsi" w:hAnsiTheme="minorHAnsi" w:cstheme="minorHAnsi"/>
        </w:rPr>
        <w:t xml:space="preserve">, 58. </w:t>
      </w:r>
      <w:r w:rsidRPr="00793A87">
        <w:rPr>
          <w:rFonts w:asciiTheme="minorHAnsi" w:hAnsiTheme="minorHAnsi" w:cstheme="minorHAnsi"/>
        </w:rPr>
        <w:t xml:space="preserve"> </w:t>
      </w:r>
    </w:p>
  </w:footnote>
  <w:footnote w:id="158">
    <w:p w14:paraId="12260F8B" w14:textId="6F99EF88" w:rsidR="008569BD" w:rsidRPr="00793A87" w:rsidRDefault="008569BD" w:rsidP="00A71960">
      <w:pPr>
        <w:autoSpaceDE w:val="0"/>
        <w:autoSpaceDN w:val="0"/>
        <w:adjustRightInd w:val="0"/>
        <w:spacing w:after="0" w:line="240" w:lineRule="auto"/>
        <w:jc w:val="both"/>
        <w:rPr>
          <w:rFonts w:ascii="AdvOTbc475f09" w:hAnsi="AdvOTbc475f09" w:cs="AdvOTbc475f09"/>
          <w:sz w:val="19"/>
          <w:szCs w:val="19"/>
        </w:rPr>
      </w:pPr>
      <w:r w:rsidRPr="00793A87">
        <w:rPr>
          <w:rStyle w:val="FootnoteReference"/>
          <w:rFonts w:cstheme="minorHAnsi"/>
          <w:sz w:val="20"/>
          <w:szCs w:val="20"/>
        </w:rPr>
        <w:footnoteRef/>
      </w:r>
      <w:r w:rsidRPr="00793A87">
        <w:rPr>
          <w:rFonts w:cstheme="minorHAnsi"/>
          <w:sz w:val="20"/>
          <w:szCs w:val="20"/>
        </w:rPr>
        <w:t xml:space="preserve"> Buitelaar n</w:t>
      </w:r>
      <w:r w:rsidR="00435BC2" w:rsidRPr="00793A87">
        <w:rPr>
          <w:rFonts w:cstheme="minorHAnsi"/>
          <w:sz w:val="20"/>
          <w:szCs w:val="20"/>
        </w:rPr>
        <w:t xml:space="preserve"> 25</w:t>
      </w:r>
      <w:r w:rsidR="00A71960" w:rsidRPr="00793A87">
        <w:rPr>
          <w:rFonts w:cstheme="minorHAnsi"/>
          <w:sz w:val="20"/>
          <w:szCs w:val="20"/>
        </w:rPr>
        <w:t>,</w:t>
      </w:r>
      <w:r w:rsidR="0012360C" w:rsidRPr="00793A87">
        <w:rPr>
          <w:rFonts w:cstheme="minorHAnsi"/>
          <w:sz w:val="20"/>
          <w:szCs w:val="20"/>
        </w:rPr>
        <w:t xml:space="preserve"> 135</w:t>
      </w:r>
      <w:r w:rsidR="004C4C81" w:rsidRPr="00793A87">
        <w:rPr>
          <w:rFonts w:cstheme="minorHAnsi"/>
          <w:sz w:val="20"/>
          <w:szCs w:val="20"/>
        </w:rPr>
        <w:t>; Merten</w:t>
      </w:r>
      <w:r w:rsidR="0037481F" w:rsidRPr="00793A87">
        <w:rPr>
          <w:rFonts w:cstheme="minorHAnsi"/>
          <w:sz w:val="20"/>
          <w:szCs w:val="20"/>
        </w:rPr>
        <w:t>s</w:t>
      </w:r>
      <w:r w:rsidR="00DE0BCA" w:rsidRPr="00793A87">
        <w:rPr>
          <w:rFonts w:cstheme="minorHAnsi"/>
          <w:sz w:val="20"/>
          <w:szCs w:val="20"/>
        </w:rPr>
        <w:t xml:space="preserve"> above</w:t>
      </w:r>
      <w:r w:rsidR="0037481F" w:rsidRPr="00793A87">
        <w:rPr>
          <w:rFonts w:cstheme="minorHAnsi"/>
          <w:sz w:val="20"/>
          <w:szCs w:val="20"/>
        </w:rPr>
        <w:t xml:space="preserve"> 92</w:t>
      </w:r>
      <w:r w:rsidR="00A71960" w:rsidRPr="00793A87">
        <w:rPr>
          <w:rFonts w:cstheme="minorHAnsi"/>
          <w:sz w:val="20"/>
          <w:szCs w:val="20"/>
        </w:rPr>
        <w:t>, 516f, noting Kant ‘</w:t>
      </w:r>
      <w:r w:rsidR="00A71960" w:rsidRPr="00793A87">
        <w:rPr>
          <w:rFonts w:ascii="AdvOTbc475f09" w:hAnsi="AdvOTbc475f09" w:cs="AdvOTbc475f09"/>
          <w:sz w:val="19"/>
          <w:szCs w:val="19"/>
        </w:rPr>
        <w:t xml:space="preserve">does not accept limitations on who can bring a legal case against posthumous defamation and on when.’ </w:t>
      </w:r>
      <w:r w:rsidR="004C4C81" w:rsidRPr="00793A87">
        <w:rPr>
          <w:rFonts w:cstheme="minorHAnsi"/>
          <w:sz w:val="20"/>
          <w:szCs w:val="20"/>
        </w:rPr>
        <w:t xml:space="preserve"> </w:t>
      </w:r>
      <w:r w:rsidR="00DA56DA" w:rsidRPr="00793A87">
        <w:rPr>
          <w:rFonts w:cstheme="minorHAnsi"/>
          <w:sz w:val="20"/>
          <w:szCs w:val="20"/>
        </w:rPr>
        <w:t xml:space="preserve">But </w:t>
      </w:r>
      <w:r w:rsidR="004C4C81" w:rsidRPr="00793A87">
        <w:rPr>
          <w:rFonts w:cstheme="minorHAnsi"/>
          <w:color w:val="000000"/>
          <w:sz w:val="20"/>
          <w:szCs w:val="20"/>
        </w:rPr>
        <w:t xml:space="preserve">Feinberg </w:t>
      </w:r>
      <w:r w:rsidR="00DA56DA" w:rsidRPr="00793A87">
        <w:rPr>
          <w:rFonts w:cstheme="minorHAnsi"/>
          <w:color w:val="000000"/>
          <w:sz w:val="20"/>
          <w:szCs w:val="20"/>
        </w:rPr>
        <w:t xml:space="preserve">above n 146, </w:t>
      </w:r>
      <w:r w:rsidR="004C4C81" w:rsidRPr="00793A87">
        <w:rPr>
          <w:rFonts w:cstheme="minorHAnsi"/>
          <w:color w:val="000000"/>
          <w:sz w:val="20"/>
          <w:szCs w:val="20"/>
        </w:rPr>
        <w:t>95</w:t>
      </w:r>
      <w:r w:rsidR="00DA56DA" w:rsidRPr="00793A87">
        <w:rPr>
          <w:rFonts w:cstheme="minorHAnsi"/>
          <w:color w:val="000000"/>
          <w:sz w:val="20"/>
          <w:szCs w:val="20"/>
        </w:rPr>
        <w:t xml:space="preserve">: </w:t>
      </w:r>
      <w:r w:rsidRPr="00793A87">
        <w:rPr>
          <w:rFonts w:cstheme="minorHAnsi"/>
          <w:color w:val="000000"/>
          <w:sz w:val="20"/>
          <w:szCs w:val="20"/>
        </w:rPr>
        <w:t>‘It is absurd to think that once a promisee has died, the status of a broken promise made to him</w:t>
      </w:r>
      <w:r w:rsidR="00DA56DA" w:rsidRPr="00793A87">
        <w:rPr>
          <w:rFonts w:cstheme="minorHAnsi"/>
          <w:color w:val="000000"/>
          <w:sz w:val="20"/>
          <w:szCs w:val="20"/>
        </w:rPr>
        <w:t xml:space="preserve"> while he was alive suddenly cases to be that of a serious injustice to the victim and b</w:t>
      </w:r>
      <w:r w:rsidRPr="00793A87">
        <w:rPr>
          <w:rFonts w:cstheme="minorHAnsi"/>
          <w:color w:val="000000"/>
          <w:sz w:val="20"/>
          <w:szCs w:val="20"/>
        </w:rPr>
        <w:t>ecomes instead a more diffuse public harm.</w:t>
      </w:r>
      <w:r w:rsidR="00DA56DA" w:rsidRPr="00793A87">
        <w:rPr>
          <w:rFonts w:cstheme="minorHAnsi"/>
          <w:color w:val="000000"/>
          <w:sz w:val="20"/>
          <w:szCs w:val="20"/>
        </w:rPr>
        <w:t>’</w:t>
      </w:r>
      <w:r w:rsidRPr="00793A87">
        <w:rPr>
          <w:rFonts w:cstheme="minorHAnsi"/>
          <w:color w:val="000000"/>
          <w:sz w:val="20"/>
          <w:szCs w:val="20"/>
        </w:rPr>
        <w:t xml:space="preserve"> </w:t>
      </w:r>
    </w:p>
  </w:footnote>
  <w:footnote w:id="159">
    <w:p w14:paraId="1EABEA4A" w14:textId="7D0BC460" w:rsidR="00EF518E" w:rsidRPr="00793A87" w:rsidRDefault="00EF518E" w:rsidP="00A71960">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Pr="00793A87">
        <w:rPr>
          <w:rFonts w:cstheme="minorHAnsi"/>
          <w:color w:val="000000"/>
          <w:sz w:val="20"/>
          <w:szCs w:val="20"/>
        </w:rPr>
        <w:t xml:space="preserve"> </w:t>
      </w:r>
      <w:r w:rsidRPr="00793A87">
        <w:rPr>
          <w:rFonts w:cstheme="minorHAnsi"/>
          <w:i/>
          <w:iCs/>
          <w:color w:val="000000"/>
          <w:sz w:val="20"/>
          <w:szCs w:val="20"/>
        </w:rPr>
        <w:t xml:space="preserve">Jäggi DNA </w:t>
      </w:r>
      <w:r w:rsidR="0037481F" w:rsidRPr="00793A87">
        <w:rPr>
          <w:rFonts w:cstheme="minorHAnsi"/>
          <w:color w:val="000000"/>
          <w:sz w:val="20"/>
          <w:szCs w:val="20"/>
        </w:rPr>
        <w:t xml:space="preserve">(22 December 1999) </w:t>
      </w:r>
      <w:r w:rsidRPr="00793A87">
        <w:rPr>
          <w:rFonts w:cstheme="minorHAnsi"/>
          <w:color w:val="000000"/>
          <w:sz w:val="20"/>
          <w:szCs w:val="20"/>
        </w:rPr>
        <w:t>Swiss Federal Court</w:t>
      </w:r>
      <w:r w:rsidR="0037481F" w:rsidRPr="00793A87">
        <w:rPr>
          <w:rFonts w:cstheme="minorHAnsi"/>
          <w:color w:val="000000"/>
          <w:sz w:val="20"/>
          <w:szCs w:val="20"/>
        </w:rPr>
        <w:t>,</w:t>
      </w:r>
      <w:r w:rsidRPr="00793A87">
        <w:rPr>
          <w:rFonts w:cstheme="minorHAnsi"/>
          <w:color w:val="000000"/>
          <w:sz w:val="20"/>
          <w:szCs w:val="20"/>
        </w:rPr>
        <w:t xml:space="preserve"> cit</w:t>
      </w:r>
      <w:r w:rsidR="00F97BAC" w:rsidRPr="00793A87">
        <w:rPr>
          <w:rFonts w:cstheme="minorHAnsi"/>
          <w:color w:val="000000"/>
          <w:sz w:val="20"/>
          <w:szCs w:val="20"/>
        </w:rPr>
        <w:t>ed</w:t>
      </w:r>
      <w:r w:rsidRPr="00793A87">
        <w:rPr>
          <w:rFonts w:cstheme="minorHAnsi"/>
          <w:color w:val="000000"/>
          <w:sz w:val="20"/>
          <w:szCs w:val="20"/>
        </w:rPr>
        <w:t xml:space="preserve"> in </w:t>
      </w:r>
      <w:r w:rsidRPr="00793A87">
        <w:rPr>
          <w:rFonts w:cstheme="minorHAnsi"/>
          <w:i/>
          <w:iCs/>
          <w:color w:val="000000"/>
          <w:sz w:val="20"/>
          <w:szCs w:val="20"/>
        </w:rPr>
        <w:t>Jäggi v Switzerland</w:t>
      </w:r>
      <w:r w:rsidRPr="00793A87">
        <w:rPr>
          <w:rFonts w:cstheme="minorHAnsi"/>
          <w:color w:val="000000"/>
          <w:sz w:val="20"/>
          <w:szCs w:val="20"/>
        </w:rPr>
        <w:t xml:space="preserve"> 58757/00 [2010] ECHR 1815, para 19</w:t>
      </w:r>
      <w:r w:rsidR="0037481F" w:rsidRPr="00793A87">
        <w:rPr>
          <w:rFonts w:cstheme="minorHAnsi"/>
          <w:color w:val="000000"/>
          <w:sz w:val="20"/>
          <w:szCs w:val="20"/>
        </w:rPr>
        <w:t xml:space="preserve">, </w:t>
      </w:r>
      <w:r w:rsidR="00435BC2" w:rsidRPr="00793A87">
        <w:rPr>
          <w:rFonts w:cstheme="minorHAnsi"/>
          <w:color w:val="000000"/>
          <w:sz w:val="20"/>
          <w:szCs w:val="20"/>
        </w:rPr>
        <w:t>noting</w:t>
      </w:r>
      <w:r w:rsidRPr="00793A87">
        <w:rPr>
          <w:rFonts w:cstheme="minorHAnsi"/>
          <w:color w:val="000000"/>
          <w:sz w:val="20"/>
          <w:szCs w:val="20"/>
        </w:rPr>
        <w:t xml:space="preserve"> the ‘</w:t>
      </w:r>
      <w:r w:rsidRPr="00793A87">
        <w:rPr>
          <w:rStyle w:val="markedcontent"/>
          <w:rFonts w:cstheme="minorHAnsi"/>
          <w:sz w:val="20"/>
          <w:szCs w:val="20"/>
        </w:rPr>
        <w:t>right of the deceased, deriving from human dignity, to protect his</w:t>
      </w:r>
      <w:r w:rsidRPr="00793A87">
        <w:rPr>
          <w:rFonts w:cstheme="minorHAnsi"/>
          <w:sz w:val="20"/>
          <w:szCs w:val="20"/>
        </w:rPr>
        <w:t xml:space="preserve"> </w:t>
      </w:r>
      <w:r w:rsidRPr="00793A87">
        <w:rPr>
          <w:rStyle w:val="markedcontent"/>
          <w:rFonts w:cstheme="minorHAnsi"/>
          <w:sz w:val="20"/>
          <w:szCs w:val="20"/>
        </w:rPr>
        <w:t>remains from interferences contrary to morality and custom, and the right of the close</w:t>
      </w:r>
      <w:r w:rsidRPr="00793A87">
        <w:rPr>
          <w:rFonts w:cstheme="minorHAnsi"/>
          <w:sz w:val="20"/>
          <w:szCs w:val="20"/>
        </w:rPr>
        <w:t xml:space="preserve"> </w:t>
      </w:r>
      <w:r w:rsidRPr="00793A87">
        <w:rPr>
          <w:rStyle w:val="markedcontent"/>
          <w:rFonts w:cstheme="minorHAnsi"/>
          <w:sz w:val="20"/>
          <w:szCs w:val="20"/>
        </w:rPr>
        <w:t xml:space="preserve">relatives to respect for the deceased and the inviolability of his corpse…’ </w:t>
      </w:r>
      <w:r w:rsidR="00F97BAC" w:rsidRPr="00793A87">
        <w:rPr>
          <w:rStyle w:val="s6b621b36"/>
          <w:rFonts w:cstheme="minorHAnsi"/>
          <w:i/>
          <w:iCs/>
          <w:sz w:val="20"/>
          <w:szCs w:val="20"/>
        </w:rPr>
        <w:t>Pannullo and Forte v France</w:t>
      </w:r>
      <w:r w:rsidR="00F97BAC" w:rsidRPr="00793A87">
        <w:rPr>
          <w:rStyle w:val="sb8d990e2"/>
          <w:rFonts w:cstheme="minorHAnsi"/>
          <w:i/>
          <w:iCs/>
          <w:sz w:val="20"/>
          <w:szCs w:val="20"/>
        </w:rPr>
        <w:t xml:space="preserve"> </w:t>
      </w:r>
      <w:r w:rsidR="00F97BAC" w:rsidRPr="00793A87">
        <w:rPr>
          <w:rFonts w:cstheme="minorHAnsi"/>
          <w:sz w:val="20"/>
          <w:szCs w:val="20"/>
        </w:rPr>
        <w:t>37794/97</w:t>
      </w:r>
      <w:r w:rsidR="00F97BAC" w:rsidRPr="00793A87">
        <w:rPr>
          <w:rStyle w:val="sb8d990e2"/>
          <w:rFonts w:cstheme="minorHAnsi"/>
          <w:sz w:val="20"/>
          <w:szCs w:val="20"/>
        </w:rPr>
        <w:t xml:space="preserve"> [2001] ECHR 741, where the Court found that a delay by the judicial authority in issuing a burial certificate and returning the body of a four-year-old daughter to the parents constituted interference with the</w:t>
      </w:r>
      <w:r w:rsidR="00435BC2" w:rsidRPr="00793A87">
        <w:rPr>
          <w:rStyle w:val="sb8d990e2"/>
          <w:rFonts w:cstheme="minorHAnsi"/>
          <w:sz w:val="20"/>
          <w:szCs w:val="20"/>
        </w:rPr>
        <w:t>ir</w:t>
      </w:r>
      <w:r w:rsidR="00F97BAC" w:rsidRPr="00793A87">
        <w:rPr>
          <w:rStyle w:val="sb8d990e2"/>
          <w:rFonts w:cstheme="minorHAnsi"/>
          <w:sz w:val="20"/>
          <w:szCs w:val="20"/>
        </w:rPr>
        <w:t xml:space="preserve"> right to respect for their private and family life. </w:t>
      </w:r>
      <w:r w:rsidRPr="00793A87">
        <w:rPr>
          <w:rStyle w:val="markedcontent"/>
          <w:rFonts w:cstheme="minorHAnsi"/>
          <w:sz w:val="20"/>
          <w:szCs w:val="20"/>
        </w:rPr>
        <w:t xml:space="preserve">See also, US case of </w:t>
      </w:r>
      <w:r w:rsidRPr="00793A87">
        <w:rPr>
          <w:rFonts w:cstheme="minorHAnsi"/>
          <w:i/>
          <w:iCs/>
          <w:sz w:val="20"/>
          <w:szCs w:val="20"/>
        </w:rPr>
        <w:t xml:space="preserve">Reid v Pierce Ct </w:t>
      </w:r>
      <w:r w:rsidRPr="00793A87">
        <w:rPr>
          <w:rFonts w:cstheme="minorHAnsi"/>
          <w:sz w:val="20"/>
          <w:szCs w:val="20"/>
        </w:rPr>
        <w:t>961 P2d 333 (Wash 1998) (surviving family members have a privacy interest in the autopsy records of a dece</w:t>
      </w:r>
      <w:r w:rsidR="00A71960" w:rsidRPr="00793A87">
        <w:rPr>
          <w:rFonts w:cstheme="minorHAnsi"/>
          <w:sz w:val="20"/>
          <w:szCs w:val="20"/>
        </w:rPr>
        <w:t>ased</w:t>
      </w:r>
      <w:r w:rsidRPr="00793A87">
        <w:rPr>
          <w:rFonts w:cstheme="minorHAnsi"/>
          <w:sz w:val="20"/>
          <w:szCs w:val="20"/>
        </w:rPr>
        <w:t>).</w:t>
      </w:r>
      <w:r w:rsidR="00215EF2" w:rsidRPr="00793A87">
        <w:rPr>
          <w:rFonts w:cstheme="minorHAnsi"/>
          <w:sz w:val="20"/>
          <w:szCs w:val="20"/>
        </w:rPr>
        <w:t xml:space="preserve"> </w:t>
      </w:r>
    </w:p>
  </w:footnote>
  <w:footnote w:id="160">
    <w:p w14:paraId="08A9CBB4" w14:textId="4D5711DD" w:rsidR="000E30D4" w:rsidRPr="00793A87" w:rsidRDefault="00686448" w:rsidP="00214FA3">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Pr="00793A87">
        <w:rPr>
          <w:rFonts w:cstheme="minorHAnsi"/>
          <w:i/>
          <w:iCs/>
          <w:sz w:val="20"/>
          <w:szCs w:val="20"/>
        </w:rPr>
        <w:t xml:space="preserve">New York Times Co c City of New York Fire Department </w:t>
      </w:r>
      <w:r w:rsidRPr="00793A87">
        <w:rPr>
          <w:rFonts w:cstheme="minorHAnsi"/>
          <w:sz w:val="20"/>
          <w:szCs w:val="20"/>
        </w:rPr>
        <w:t>829 NE 2d 266, 269 (NY 2005)</w:t>
      </w:r>
      <w:r w:rsidR="00913102" w:rsidRPr="00793A87">
        <w:rPr>
          <w:rFonts w:cstheme="minorHAnsi"/>
          <w:sz w:val="20"/>
          <w:szCs w:val="20"/>
        </w:rPr>
        <w:t xml:space="preserve">, </w:t>
      </w:r>
      <w:r w:rsidR="000A01D5" w:rsidRPr="00793A87">
        <w:rPr>
          <w:rFonts w:cstheme="minorHAnsi"/>
          <w:sz w:val="20"/>
          <w:szCs w:val="20"/>
        </w:rPr>
        <w:t xml:space="preserve">but see also e.g. </w:t>
      </w:r>
      <w:r w:rsidR="00A71960" w:rsidRPr="00793A87">
        <w:rPr>
          <w:rFonts w:cstheme="minorHAnsi"/>
          <w:i/>
          <w:iCs/>
          <w:sz w:val="20"/>
          <w:szCs w:val="20"/>
        </w:rPr>
        <w:t>Cordell v Detective Publications Inc</w:t>
      </w:r>
      <w:r w:rsidR="00A71960" w:rsidRPr="00793A87">
        <w:rPr>
          <w:rFonts w:cstheme="minorHAnsi"/>
          <w:sz w:val="20"/>
          <w:szCs w:val="20"/>
        </w:rPr>
        <w:t xml:space="preserve"> </w:t>
      </w:r>
      <w:r w:rsidR="00A71960" w:rsidRPr="00793A87">
        <w:rPr>
          <w:rStyle w:val="citation"/>
          <w:rFonts w:cstheme="minorHAnsi"/>
          <w:sz w:val="20"/>
          <w:szCs w:val="20"/>
        </w:rPr>
        <w:t xml:space="preserve">419 F2d 989 (6th Cir 1969) </w:t>
      </w:r>
      <w:r w:rsidR="00A71960" w:rsidRPr="00793A87">
        <w:rPr>
          <w:rFonts w:cstheme="minorHAnsi"/>
          <w:sz w:val="20"/>
          <w:szCs w:val="20"/>
        </w:rPr>
        <w:t>(refusal to recognise a cause of action by a mother for a breach of her deceased daughter’s privacy arising from an unauthorised publication of a sensational account of her brutal murder).</w:t>
      </w:r>
    </w:p>
  </w:footnote>
  <w:footnote w:id="161">
    <w:p w14:paraId="7567D161" w14:textId="04E734FA" w:rsidR="00632CAB" w:rsidRPr="00793A87" w:rsidRDefault="00632CA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rPr>
        <w:t>Mephisto</w:t>
      </w:r>
      <w:r w:rsidRPr="00793A87">
        <w:rPr>
          <w:rFonts w:asciiTheme="minorHAnsi" w:hAnsiTheme="minorHAnsi" w:cstheme="minorHAnsi"/>
        </w:rPr>
        <w:t xml:space="preserve"> </w:t>
      </w:r>
      <w:r w:rsidR="00AE1207" w:rsidRPr="00793A87">
        <w:rPr>
          <w:rFonts w:asciiTheme="minorHAnsi" w:hAnsiTheme="minorHAnsi" w:cstheme="minorHAnsi"/>
        </w:rPr>
        <w:t xml:space="preserve">above n 8. </w:t>
      </w:r>
    </w:p>
  </w:footnote>
  <w:footnote w:id="162">
    <w:p w14:paraId="6BD90D0E" w14:textId="1EE8542B" w:rsidR="0037481F" w:rsidRPr="00793A87" w:rsidRDefault="0037481F" w:rsidP="00940FAF">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Mertens above n 92, 515, commenting</w:t>
      </w:r>
      <w:r w:rsidR="000A01D5" w:rsidRPr="00793A87">
        <w:rPr>
          <w:rFonts w:cstheme="minorHAnsi"/>
          <w:sz w:val="20"/>
          <w:szCs w:val="20"/>
        </w:rPr>
        <w:t xml:space="preserve"> that </w:t>
      </w:r>
      <w:r w:rsidRPr="00793A87">
        <w:rPr>
          <w:rFonts w:cstheme="minorHAnsi"/>
          <w:sz w:val="20"/>
          <w:szCs w:val="20"/>
        </w:rPr>
        <w:t xml:space="preserve"> </w:t>
      </w:r>
      <w:r w:rsidR="000A01D5" w:rsidRPr="00793A87">
        <w:rPr>
          <w:rFonts w:cstheme="minorHAnsi"/>
          <w:sz w:val="20"/>
          <w:szCs w:val="20"/>
        </w:rPr>
        <w:t>– contrary to Kant’s view –</w:t>
      </w:r>
      <w:r w:rsidRPr="00793A87">
        <w:rPr>
          <w:rFonts w:cstheme="minorHAnsi"/>
          <w:sz w:val="20"/>
          <w:szCs w:val="20"/>
        </w:rPr>
        <w:t xml:space="preserve"> </w:t>
      </w:r>
      <w:r w:rsidR="000A01D5" w:rsidRPr="00793A87">
        <w:rPr>
          <w:rFonts w:cstheme="minorHAnsi"/>
          <w:sz w:val="20"/>
          <w:szCs w:val="20"/>
        </w:rPr>
        <w:t xml:space="preserve">the </w:t>
      </w:r>
      <w:r w:rsidRPr="00793A87">
        <w:rPr>
          <w:rFonts w:cstheme="minorHAnsi"/>
          <w:sz w:val="20"/>
          <w:szCs w:val="20"/>
        </w:rPr>
        <w:t xml:space="preserve">criminal offence of libelling the dead </w:t>
      </w:r>
      <w:r w:rsidR="000A01D5" w:rsidRPr="00793A87">
        <w:rPr>
          <w:rFonts w:cstheme="minorHAnsi"/>
          <w:sz w:val="20"/>
          <w:szCs w:val="20"/>
        </w:rPr>
        <w:t xml:space="preserve">(in Dutch and other laws) </w:t>
      </w:r>
      <w:r w:rsidRPr="00793A87">
        <w:rPr>
          <w:rFonts w:cstheme="minorHAnsi"/>
          <w:sz w:val="20"/>
          <w:szCs w:val="20"/>
        </w:rPr>
        <w:t>that ‘can only be prosecuted if a complaint is filed either by direct relatives of the deceased or by the spouse</w:t>
      </w:r>
      <w:r w:rsidR="000A01D5" w:rsidRPr="00793A87">
        <w:rPr>
          <w:rFonts w:cstheme="minorHAnsi"/>
          <w:sz w:val="20"/>
          <w:szCs w:val="20"/>
        </w:rPr>
        <w:t>’ and the motivating force in these cases before the court is the interest of living persons in protection against attacks on their reputation.</w:t>
      </w:r>
      <w:r w:rsidR="00940FAF" w:rsidRPr="00793A87">
        <w:rPr>
          <w:rFonts w:cstheme="minorHAnsi"/>
          <w:sz w:val="20"/>
          <w:szCs w:val="20"/>
        </w:rPr>
        <w:t>’</w:t>
      </w:r>
      <w:r w:rsidR="00793A87">
        <w:rPr>
          <w:rFonts w:cstheme="minorHAnsi"/>
          <w:sz w:val="20"/>
          <w:szCs w:val="20"/>
        </w:rPr>
        <w:t xml:space="preserve"> Note too the argument by Feinberg above n 146</w:t>
      </w:r>
      <w:r w:rsidR="00B47674">
        <w:rPr>
          <w:rFonts w:cstheme="minorHAnsi"/>
          <w:sz w:val="20"/>
          <w:szCs w:val="20"/>
        </w:rPr>
        <w:t xml:space="preserve">, 86, </w:t>
      </w:r>
      <w:r w:rsidR="00793A87">
        <w:rPr>
          <w:rFonts w:cstheme="minorHAnsi"/>
          <w:sz w:val="20"/>
          <w:szCs w:val="20"/>
        </w:rPr>
        <w:t>about ‘other-regarding interests</w:t>
      </w:r>
      <w:r w:rsidR="00B47674">
        <w:rPr>
          <w:rFonts w:cstheme="minorHAnsi"/>
          <w:sz w:val="20"/>
          <w:szCs w:val="20"/>
        </w:rPr>
        <w:t>’</w:t>
      </w:r>
      <w:r w:rsidR="00793A87">
        <w:rPr>
          <w:rFonts w:cstheme="minorHAnsi"/>
          <w:sz w:val="20"/>
          <w:szCs w:val="20"/>
        </w:rPr>
        <w:t xml:space="preserve"> that survive death </w:t>
      </w:r>
      <w:r w:rsidR="00B47674">
        <w:rPr>
          <w:rFonts w:cstheme="minorHAnsi"/>
          <w:sz w:val="20"/>
          <w:szCs w:val="20"/>
        </w:rPr>
        <w:t xml:space="preserve">are also focused on the relational interests of the living. </w:t>
      </w:r>
    </w:p>
  </w:footnote>
  <w:footnote w:id="163">
    <w:p w14:paraId="06E23E5F" w14:textId="71D89642" w:rsidR="008C4E2F" w:rsidRPr="00793A87" w:rsidRDefault="008C4E2F"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Lewis v Secretary of State for Health &amp; Anor</w:t>
      </w:r>
      <w:r w:rsidRPr="00793A87">
        <w:rPr>
          <w:rFonts w:asciiTheme="minorHAnsi" w:hAnsiTheme="minorHAnsi" w:cstheme="minorHAnsi"/>
        </w:rPr>
        <w:t xml:space="preserve"> </w:t>
      </w:r>
      <w:r w:rsidR="00DE0BCA" w:rsidRPr="00793A87">
        <w:rPr>
          <w:rFonts w:asciiTheme="minorHAnsi" w:hAnsiTheme="minorHAnsi" w:cstheme="minorHAnsi"/>
        </w:rPr>
        <w:t xml:space="preserve">above n 45, </w:t>
      </w:r>
      <w:r w:rsidRPr="00793A87">
        <w:rPr>
          <w:rFonts w:asciiTheme="minorHAnsi" w:hAnsiTheme="minorHAnsi" w:cstheme="minorHAnsi"/>
        </w:rPr>
        <w:t xml:space="preserve">para </w:t>
      </w:r>
      <w:r w:rsidR="00EF4BFD" w:rsidRPr="00793A87">
        <w:rPr>
          <w:rFonts w:asciiTheme="minorHAnsi" w:hAnsiTheme="minorHAnsi" w:cstheme="minorHAnsi"/>
        </w:rPr>
        <w:t xml:space="preserve">23 </w:t>
      </w:r>
      <w:r w:rsidR="00C64104" w:rsidRPr="00793A87">
        <w:rPr>
          <w:rFonts w:asciiTheme="minorHAnsi" w:hAnsiTheme="minorHAnsi" w:cstheme="minorHAnsi"/>
        </w:rPr>
        <w:t>[emphasis added]</w:t>
      </w:r>
      <w:r w:rsidR="00EF4BFD" w:rsidRPr="00793A87">
        <w:rPr>
          <w:rFonts w:asciiTheme="minorHAnsi" w:hAnsiTheme="minorHAnsi" w:cstheme="minorHAnsi"/>
        </w:rPr>
        <w:t xml:space="preserve">, citing </w:t>
      </w:r>
      <w:r w:rsidR="000A01D5" w:rsidRPr="00793A87">
        <w:rPr>
          <w:rFonts w:asciiTheme="minorHAnsi" w:hAnsiTheme="minorHAnsi" w:cstheme="minorHAnsi"/>
        </w:rPr>
        <w:t xml:space="preserve">with approval </w:t>
      </w:r>
      <w:r w:rsidR="00EF4BFD" w:rsidRPr="00793A87">
        <w:rPr>
          <w:rFonts w:asciiTheme="minorHAnsi" w:hAnsiTheme="minorHAnsi" w:cstheme="minorHAnsi"/>
        </w:rPr>
        <w:t>Toulson and Phipps above n</w:t>
      </w:r>
      <w:r w:rsidR="000A01D5" w:rsidRPr="00793A87">
        <w:rPr>
          <w:rFonts w:asciiTheme="minorHAnsi" w:hAnsiTheme="minorHAnsi" w:cstheme="minorHAnsi"/>
        </w:rPr>
        <w:t xml:space="preserve"> 29</w:t>
      </w:r>
      <w:r w:rsidR="00EF4BFD" w:rsidRPr="00793A87">
        <w:rPr>
          <w:rFonts w:asciiTheme="minorHAnsi" w:hAnsiTheme="minorHAnsi" w:cstheme="minorHAnsi"/>
        </w:rPr>
        <w:t>, para 3-191</w:t>
      </w:r>
      <w:r w:rsidR="00C64104" w:rsidRPr="00793A87">
        <w:rPr>
          <w:rFonts w:asciiTheme="minorHAnsi" w:hAnsiTheme="minorHAnsi" w:cstheme="minorHAnsi"/>
        </w:rPr>
        <w:t>.</w:t>
      </w:r>
      <w:r w:rsidRPr="00793A87">
        <w:rPr>
          <w:rFonts w:asciiTheme="minorHAnsi" w:hAnsiTheme="minorHAnsi" w:cstheme="minorHAnsi"/>
        </w:rPr>
        <w:t xml:space="preserve"> </w:t>
      </w:r>
    </w:p>
  </w:footnote>
  <w:footnote w:id="164">
    <w:p w14:paraId="06AA1FD6" w14:textId="5F80A74B" w:rsidR="00913102" w:rsidRPr="00793A87" w:rsidRDefault="00C64104"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Schuyler v Curtis</w:t>
      </w:r>
      <w:r w:rsidRPr="00793A87">
        <w:rPr>
          <w:rFonts w:asciiTheme="minorHAnsi" w:hAnsiTheme="minorHAnsi" w:cstheme="minorHAnsi"/>
        </w:rPr>
        <w:t xml:space="preserve"> 42 NE 22 (NY 1895)</w:t>
      </w:r>
      <w:r w:rsidR="00913102" w:rsidRPr="00793A87">
        <w:rPr>
          <w:rFonts w:asciiTheme="minorHAnsi" w:hAnsiTheme="minorHAnsi" w:cstheme="minorHAnsi"/>
        </w:rPr>
        <w:t xml:space="preserve">. </w:t>
      </w:r>
    </w:p>
  </w:footnote>
  <w:footnote w:id="165">
    <w:p w14:paraId="3A12196D" w14:textId="32801547" w:rsidR="00C64104" w:rsidRPr="00793A87" w:rsidRDefault="00C64104" w:rsidP="000A01D5">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25</w:t>
      </w:r>
      <w:r w:rsidR="00913102" w:rsidRPr="00793A87">
        <w:rPr>
          <w:rFonts w:asciiTheme="minorHAnsi" w:hAnsiTheme="minorHAnsi" w:cstheme="minorHAnsi"/>
        </w:rPr>
        <w:t xml:space="preserve"> (also noted) ‘It is the right of privacy of the living which is sought to enforce here. That right may in some cases be itself violated by interfering</w:t>
      </w:r>
      <w:r w:rsidR="00913102" w:rsidRPr="00793A87">
        <w:rPr>
          <w:rFonts w:cstheme="minorHAnsi"/>
        </w:rPr>
        <w:t xml:space="preserve"> with the character or memory of a deceased relative.’); </w:t>
      </w:r>
      <w:r w:rsidR="00EC549B" w:rsidRPr="00793A87">
        <w:rPr>
          <w:rFonts w:asciiTheme="minorHAnsi" w:hAnsiTheme="minorHAnsi" w:cstheme="minorHAnsi"/>
        </w:rPr>
        <w:t>s</w:t>
      </w:r>
      <w:r w:rsidR="00374A30" w:rsidRPr="00793A87">
        <w:rPr>
          <w:rFonts w:asciiTheme="minorHAnsi" w:hAnsiTheme="minorHAnsi" w:cstheme="minorHAnsi"/>
        </w:rPr>
        <w:t xml:space="preserve">ee also </w:t>
      </w:r>
      <w:r w:rsidR="00374A30" w:rsidRPr="00793A87">
        <w:rPr>
          <w:rFonts w:asciiTheme="minorHAnsi" w:hAnsiTheme="minorHAnsi" w:cstheme="minorHAnsi"/>
          <w:i/>
          <w:iCs/>
        </w:rPr>
        <w:t xml:space="preserve">National Archives and Records Administration v Favish </w:t>
      </w:r>
      <w:r w:rsidR="00374A30" w:rsidRPr="00793A87">
        <w:rPr>
          <w:rFonts w:asciiTheme="minorHAnsi" w:hAnsiTheme="minorHAnsi" w:cstheme="minorHAnsi"/>
        </w:rPr>
        <w:t xml:space="preserve">541 US 157 (2004). </w:t>
      </w:r>
    </w:p>
  </w:footnote>
  <w:footnote w:id="166">
    <w:p w14:paraId="3F604AB1" w14:textId="4560AA77" w:rsidR="00D36C55" w:rsidRPr="00793A87" w:rsidRDefault="00D36C55" w:rsidP="000A01D5">
      <w:pPr>
        <w:autoSpaceDE w:val="0"/>
        <w:autoSpaceDN w:val="0"/>
        <w:adjustRightInd w:val="0"/>
        <w:spacing w:after="0" w:line="240" w:lineRule="auto"/>
        <w:jc w:val="both"/>
        <w:rPr>
          <w:rFonts w:cstheme="minorHAnsi"/>
          <w:sz w:val="20"/>
          <w:szCs w:val="20"/>
        </w:rPr>
      </w:pPr>
      <w:r w:rsidRPr="00793A87">
        <w:rPr>
          <w:rStyle w:val="FootnoteReference"/>
          <w:rFonts w:cstheme="minorHAnsi"/>
          <w:sz w:val="20"/>
          <w:szCs w:val="20"/>
        </w:rPr>
        <w:footnoteRef/>
      </w:r>
      <w:r w:rsidRPr="00793A87">
        <w:rPr>
          <w:rFonts w:cstheme="minorHAnsi"/>
          <w:sz w:val="20"/>
          <w:szCs w:val="20"/>
        </w:rPr>
        <w:t xml:space="preserve"> </w:t>
      </w:r>
      <w:r w:rsidR="000A01D5" w:rsidRPr="00793A87">
        <w:rPr>
          <w:rFonts w:cstheme="minorHAnsi"/>
          <w:i/>
          <w:iCs/>
          <w:sz w:val="20"/>
          <w:szCs w:val="20"/>
        </w:rPr>
        <w:t>Lewis v Secretary of State for Health &amp; Anor</w:t>
      </w:r>
      <w:r w:rsidR="000A01D5" w:rsidRPr="00793A87">
        <w:rPr>
          <w:rFonts w:cstheme="minorHAnsi"/>
          <w:sz w:val="20"/>
          <w:szCs w:val="20"/>
        </w:rPr>
        <w:t xml:space="preserve"> above n 45, para 58: ‘the public interest in disclosure of the material sought outweighs the other public interest, namely, that of maintaining the confidentiality of medical records…’</w:t>
      </w:r>
    </w:p>
  </w:footnote>
  <w:footnote w:id="167">
    <w:p w14:paraId="0591A1E5" w14:textId="76BD145D" w:rsidR="0088090D" w:rsidRPr="00793A87" w:rsidRDefault="0088090D" w:rsidP="000A01D5">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color w:val="000000"/>
        </w:rPr>
        <w:t>Jäggi v Switzerland</w:t>
      </w:r>
      <w:r w:rsidRPr="00793A87">
        <w:rPr>
          <w:rFonts w:asciiTheme="minorHAnsi" w:hAnsiTheme="minorHAnsi" w:cstheme="minorHAnsi"/>
          <w:color w:val="000000"/>
        </w:rPr>
        <w:t xml:space="preserve"> 58757/00 [2010] ECHR 1815</w:t>
      </w:r>
      <w:r w:rsidR="00913102" w:rsidRPr="00793A87">
        <w:rPr>
          <w:rFonts w:asciiTheme="minorHAnsi" w:hAnsiTheme="minorHAnsi" w:cstheme="minorHAnsi"/>
          <w:color w:val="000000"/>
        </w:rPr>
        <w:t>.</w:t>
      </w:r>
    </w:p>
  </w:footnote>
  <w:footnote w:id="168">
    <w:p w14:paraId="7651EE23" w14:textId="287AEB41" w:rsidR="0088090D" w:rsidRPr="00793A87" w:rsidRDefault="0088090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color w:val="000000"/>
        </w:rPr>
        <w:t xml:space="preserve">Jäggi DNA </w:t>
      </w:r>
      <w:r w:rsidR="00EC549B" w:rsidRPr="00793A87">
        <w:rPr>
          <w:rFonts w:asciiTheme="minorHAnsi" w:hAnsiTheme="minorHAnsi" w:cstheme="minorHAnsi"/>
          <w:color w:val="000000"/>
        </w:rPr>
        <w:t xml:space="preserve">(22 December 1999) </w:t>
      </w:r>
      <w:r w:rsidRPr="00793A87">
        <w:rPr>
          <w:rFonts w:asciiTheme="minorHAnsi" w:hAnsiTheme="minorHAnsi" w:cstheme="minorHAnsi"/>
          <w:color w:val="000000"/>
        </w:rPr>
        <w:t>Swiss Federal Court, cit</w:t>
      </w:r>
      <w:r w:rsidR="00EC549B" w:rsidRPr="00793A87">
        <w:rPr>
          <w:rFonts w:asciiTheme="minorHAnsi" w:hAnsiTheme="minorHAnsi" w:cstheme="minorHAnsi"/>
          <w:color w:val="000000"/>
        </w:rPr>
        <w:t>ed</w:t>
      </w:r>
      <w:r w:rsidRPr="00793A87">
        <w:rPr>
          <w:rFonts w:asciiTheme="minorHAnsi" w:hAnsiTheme="minorHAnsi" w:cstheme="minorHAnsi"/>
          <w:color w:val="000000"/>
        </w:rPr>
        <w:t xml:space="preserve"> in </w:t>
      </w:r>
      <w:r w:rsidR="00627CCE" w:rsidRPr="00793A87">
        <w:rPr>
          <w:rFonts w:asciiTheme="minorHAnsi" w:hAnsiTheme="minorHAnsi" w:cstheme="minorHAnsi"/>
          <w:i/>
          <w:iCs/>
          <w:color w:val="000000"/>
        </w:rPr>
        <w:t>Jäggi v Switzerland</w:t>
      </w:r>
      <w:r w:rsidRPr="00793A87">
        <w:rPr>
          <w:rFonts w:asciiTheme="minorHAnsi" w:hAnsiTheme="minorHAnsi" w:cstheme="minorHAnsi"/>
          <w:i/>
          <w:iCs/>
          <w:color w:val="000000"/>
        </w:rPr>
        <w:t xml:space="preserve"> </w:t>
      </w:r>
      <w:r w:rsidR="00EC549B" w:rsidRPr="00793A87">
        <w:rPr>
          <w:rFonts w:asciiTheme="minorHAnsi" w:hAnsiTheme="minorHAnsi" w:cstheme="minorHAnsi"/>
          <w:color w:val="000000"/>
        </w:rPr>
        <w:t xml:space="preserve">ibid, </w:t>
      </w:r>
      <w:r w:rsidRPr="00793A87">
        <w:rPr>
          <w:rFonts w:asciiTheme="minorHAnsi" w:hAnsiTheme="minorHAnsi" w:cstheme="minorHAnsi"/>
          <w:color w:val="000000"/>
        </w:rPr>
        <w:t xml:space="preserve">para 19. </w:t>
      </w:r>
    </w:p>
  </w:footnote>
  <w:footnote w:id="169">
    <w:p w14:paraId="4029BE0F" w14:textId="122E96F6" w:rsidR="0088090D" w:rsidRPr="00793A87" w:rsidRDefault="0088090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27CCE" w:rsidRPr="00793A87">
        <w:rPr>
          <w:rFonts w:asciiTheme="minorHAnsi" w:hAnsiTheme="minorHAnsi" w:cstheme="minorHAnsi"/>
          <w:i/>
          <w:iCs/>
          <w:color w:val="000000"/>
        </w:rPr>
        <w:t xml:space="preserve">Jäggi v Switzerland </w:t>
      </w:r>
      <w:r w:rsidR="00627CCE" w:rsidRPr="00793A87">
        <w:rPr>
          <w:rFonts w:asciiTheme="minorHAnsi" w:hAnsiTheme="minorHAnsi" w:cstheme="minorHAnsi"/>
          <w:color w:val="000000"/>
        </w:rPr>
        <w:t>above n 1</w:t>
      </w:r>
      <w:r w:rsidR="00DE0BCA" w:rsidRPr="00793A87">
        <w:rPr>
          <w:rFonts w:asciiTheme="minorHAnsi" w:hAnsiTheme="minorHAnsi" w:cstheme="minorHAnsi"/>
          <w:color w:val="000000"/>
        </w:rPr>
        <w:t>67</w:t>
      </w:r>
      <w:r w:rsidR="00EC549B" w:rsidRPr="00793A87">
        <w:rPr>
          <w:rFonts w:asciiTheme="minorHAnsi" w:hAnsiTheme="minorHAnsi" w:cstheme="minorHAnsi"/>
          <w:color w:val="000000"/>
        </w:rPr>
        <w:t xml:space="preserve">, para </w:t>
      </w:r>
      <w:r w:rsidRPr="00793A87">
        <w:rPr>
          <w:rFonts w:asciiTheme="minorHAnsi" w:hAnsiTheme="minorHAnsi" w:cstheme="minorHAnsi"/>
          <w:color w:val="000000"/>
        </w:rPr>
        <w:t>40.</w:t>
      </w:r>
    </w:p>
  </w:footnote>
  <w:footnote w:id="170">
    <w:p w14:paraId="1C6D1D58" w14:textId="7F3F2DAB" w:rsidR="0088090D" w:rsidRPr="00793A87" w:rsidRDefault="0088090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27CCE" w:rsidRPr="00793A87">
        <w:rPr>
          <w:rFonts w:asciiTheme="minorHAnsi" w:hAnsiTheme="minorHAnsi" w:cstheme="minorHAnsi"/>
          <w:i/>
          <w:iCs/>
          <w:color w:val="000000"/>
        </w:rPr>
        <w:t xml:space="preserve">Jäggi v Switzerland </w:t>
      </w:r>
      <w:r w:rsidR="00627CCE" w:rsidRPr="00793A87">
        <w:rPr>
          <w:rFonts w:asciiTheme="minorHAnsi" w:hAnsiTheme="minorHAnsi" w:cstheme="minorHAnsi"/>
          <w:color w:val="000000"/>
        </w:rPr>
        <w:t>above n 1</w:t>
      </w:r>
      <w:r w:rsidR="00DE0BCA" w:rsidRPr="00793A87">
        <w:rPr>
          <w:rFonts w:asciiTheme="minorHAnsi" w:hAnsiTheme="minorHAnsi" w:cstheme="minorHAnsi"/>
          <w:color w:val="000000"/>
        </w:rPr>
        <w:t>67</w:t>
      </w:r>
      <w:r w:rsidR="00EC549B" w:rsidRPr="00793A87">
        <w:rPr>
          <w:rFonts w:asciiTheme="minorHAnsi" w:hAnsiTheme="minorHAnsi" w:cstheme="minorHAnsi"/>
          <w:color w:val="000000"/>
        </w:rPr>
        <w:t xml:space="preserve">, </w:t>
      </w:r>
      <w:r w:rsidRPr="00793A87">
        <w:rPr>
          <w:rFonts w:asciiTheme="minorHAnsi" w:hAnsiTheme="minorHAnsi" w:cstheme="minorHAnsi"/>
          <w:color w:val="000000"/>
        </w:rPr>
        <w:t xml:space="preserve">para 42, citing </w:t>
      </w:r>
      <w:r w:rsidRPr="00793A87">
        <w:rPr>
          <w:rFonts w:asciiTheme="minorHAnsi" w:hAnsiTheme="minorHAnsi" w:cstheme="minorHAnsi"/>
          <w:i/>
          <w:iCs/>
          <w:color w:val="000000"/>
        </w:rPr>
        <w:t xml:space="preserve">Estate of Kresten Fittenborg Mortensen v Denmark </w:t>
      </w:r>
      <w:r w:rsidRPr="00793A87">
        <w:rPr>
          <w:rFonts w:asciiTheme="minorHAnsi" w:hAnsiTheme="minorHAnsi" w:cstheme="minorHAnsi"/>
          <w:color w:val="000000"/>
        </w:rPr>
        <w:t xml:space="preserve">(dec.) 1338/03 [2006] ECHR, </w:t>
      </w:r>
      <w:r w:rsidR="00EC549B" w:rsidRPr="00793A87">
        <w:rPr>
          <w:rFonts w:asciiTheme="minorHAnsi" w:hAnsiTheme="minorHAnsi" w:cstheme="minorHAnsi"/>
          <w:color w:val="000000"/>
        </w:rPr>
        <w:t xml:space="preserve">where </w:t>
      </w:r>
      <w:r w:rsidRPr="00793A87">
        <w:rPr>
          <w:rFonts w:asciiTheme="minorHAnsi" w:hAnsiTheme="minorHAnsi" w:cstheme="minorHAnsi"/>
          <w:color w:val="000000"/>
        </w:rPr>
        <w:t xml:space="preserve">the ECtHR </w:t>
      </w:r>
      <w:r w:rsidR="00EC549B" w:rsidRPr="00793A87">
        <w:rPr>
          <w:rFonts w:asciiTheme="minorHAnsi" w:hAnsiTheme="minorHAnsi" w:cstheme="minorHAnsi"/>
          <w:color w:val="000000"/>
        </w:rPr>
        <w:t xml:space="preserve">had </w:t>
      </w:r>
      <w:r w:rsidRPr="00793A87">
        <w:rPr>
          <w:rFonts w:asciiTheme="minorHAnsi" w:hAnsiTheme="minorHAnsi" w:cstheme="minorHAnsi"/>
          <w:color w:val="000000"/>
        </w:rPr>
        <w:t xml:space="preserve">held </w:t>
      </w:r>
      <w:r w:rsidR="00EC549B" w:rsidRPr="00793A87">
        <w:rPr>
          <w:rFonts w:asciiTheme="minorHAnsi" w:hAnsiTheme="minorHAnsi" w:cstheme="minorHAnsi"/>
          <w:color w:val="000000"/>
        </w:rPr>
        <w:t xml:space="preserve">that </w:t>
      </w:r>
      <w:r w:rsidR="0010768B" w:rsidRPr="00793A87">
        <w:rPr>
          <w:rFonts w:asciiTheme="minorHAnsi" w:hAnsiTheme="minorHAnsi" w:cstheme="minorHAnsi"/>
          <w:color w:val="000000"/>
        </w:rPr>
        <w:t>‘</w:t>
      </w:r>
      <w:r w:rsidR="00EC549B" w:rsidRPr="00793A87">
        <w:rPr>
          <w:rFonts w:asciiTheme="minorHAnsi" w:hAnsiTheme="minorHAnsi" w:cstheme="minorHAnsi"/>
          <w:color w:val="000000"/>
        </w:rPr>
        <w:t>the private life of a deceased person from whom a DNA sample was to be taken could not be adversely affected by a request to that effect made after his death.</w:t>
      </w:r>
      <w:r w:rsidR="0010768B" w:rsidRPr="00793A87">
        <w:rPr>
          <w:rFonts w:asciiTheme="minorHAnsi" w:hAnsiTheme="minorHAnsi" w:cstheme="minorHAnsi"/>
          <w:color w:val="000000"/>
        </w:rPr>
        <w:t>’</w:t>
      </w:r>
    </w:p>
  </w:footnote>
  <w:footnote w:id="171">
    <w:p w14:paraId="00157645" w14:textId="3E266DD4" w:rsidR="00032EE3" w:rsidRPr="00793A87" w:rsidRDefault="00032EE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Re Meek </w:t>
      </w:r>
      <w:r w:rsidR="001B2696" w:rsidRPr="00793A87">
        <w:rPr>
          <w:rFonts w:asciiTheme="minorHAnsi" w:hAnsiTheme="minorHAnsi" w:cstheme="minorHAnsi"/>
        </w:rPr>
        <w:t>above n 45</w:t>
      </w:r>
      <w:r w:rsidRPr="00793A87">
        <w:rPr>
          <w:rFonts w:asciiTheme="minorHAnsi" w:hAnsiTheme="minorHAnsi" w:cstheme="minorHAnsi"/>
        </w:rPr>
        <w:t xml:space="preserve">, para 104. </w:t>
      </w:r>
    </w:p>
  </w:footnote>
  <w:footnote w:id="172">
    <w:p w14:paraId="36336108" w14:textId="510A30EE" w:rsidR="004C4C81" w:rsidRPr="00793A87" w:rsidRDefault="004C4C81"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w:t>
      </w:r>
    </w:p>
  </w:footnote>
  <w:footnote w:id="173">
    <w:p w14:paraId="362FEA5F" w14:textId="5C6B7ABF" w:rsidR="00032EE3" w:rsidRPr="00793A87" w:rsidRDefault="00032EE3"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w:t>
      </w:r>
    </w:p>
  </w:footnote>
  <w:footnote w:id="174">
    <w:p w14:paraId="012C185A" w14:textId="3D305F42" w:rsidR="007649BD" w:rsidRPr="00793A87" w:rsidRDefault="007649BD"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Pr="00793A87">
        <w:rPr>
          <w:rFonts w:asciiTheme="minorHAnsi" w:hAnsiTheme="minorHAnsi" w:cstheme="minorHAnsi"/>
          <w:i/>
          <w:iCs/>
        </w:rPr>
        <w:t xml:space="preserve">Plon (Société) </w:t>
      </w:r>
      <w:r w:rsidR="001408A9" w:rsidRPr="00793A87">
        <w:rPr>
          <w:rFonts w:asciiTheme="minorHAnsi" w:hAnsiTheme="minorHAnsi" w:cstheme="minorHAnsi"/>
        </w:rPr>
        <w:t xml:space="preserve">above n 32, </w:t>
      </w:r>
      <w:r w:rsidRPr="00793A87">
        <w:rPr>
          <w:rFonts w:asciiTheme="minorHAnsi" w:hAnsiTheme="minorHAnsi" w:cstheme="minorHAnsi"/>
        </w:rPr>
        <w:t>para 30</w:t>
      </w:r>
      <w:r w:rsidR="003C5D4E" w:rsidRPr="00793A87">
        <w:rPr>
          <w:rFonts w:asciiTheme="minorHAnsi" w:hAnsiTheme="minorHAnsi" w:cstheme="minorHAnsi"/>
        </w:rPr>
        <w:t xml:space="preserve"> (para 36 for contrary argument of the government).</w:t>
      </w:r>
    </w:p>
  </w:footnote>
  <w:footnote w:id="175">
    <w:p w14:paraId="3F1EA520" w14:textId="2D83DBEE" w:rsidR="000333E7" w:rsidRPr="00793A87" w:rsidRDefault="000333E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Ibid para 53. </w:t>
      </w:r>
    </w:p>
  </w:footnote>
  <w:footnote w:id="176">
    <w:p w14:paraId="0C8CC2A7" w14:textId="302F4811" w:rsidR="00EC549B" w:rsidRPr="00793A87" w:rsidRDefault="00EC549B"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627CCE" w:rsidRPr="00793A87">
        <w:rPr>
          <w:rFonts w:asciiTheme="minorHAnsi" w:hAnsiTheme="minorHAnsi" w:cstheme="minorHAnsi"/>
        </w:rPr>
        <w:t>As specifically acknowledged</w:t>
      </w:r>
      <w:r w:rsidR="00913102" w:rsidRPr="00793A87">
        <w:rPr>
          <w:rFonts w:asciiTheme="minorHAnsi" w:hAnsiTheme="minorHAnsi" w:cstheme="minorHAnsi"/>
        </w:rPr>
        <w:t xml:space="preserve">, for example, in </w:t>
      </w:r>
      <w:r w:rsidRPr="00793A87">
        <w:rPr>
          <w:rStyle w:val="Emphasis"/>
          <w:rFonts w:asciiTheme="minorHAnsi" w:hAnsiTheme="minorHAnsi" w:cstheme="minorHAnsi"/>
        </w:rPr>
        <w:t>V v Associated Newspapers Ltd and Ors</w:t>
      </w:r>
      <w:r w:rsidRPr="00793A87">
        <w:rPr>
          <w:rFonts w:asciiTheme="minorHAnsi" w:hAnsiTheme="minorHAnsi" w:cstheme="minorHAnsi"/>
        </w:rPr>
        <w:t xml:space="preserve"> [2016] EWCOP 21</w:t>
      </w:r>
      <w:r w:rsidR="00627CCE" w:rsidRPr="00793A87">
        <w:rPr>
          <w:rFonts w:asciiTheme="minorHAnsi" w:hAnsiTheme="minorHAnsi" w:cstheme="minorHAnsi"/>
        </w:rPr>
        <w:t xml:space="preserve">. </w:t>
      </w:r>
    </w:p>
  </w:footnote>
  <w:footnote w:id="177">
    <w:p w14:paraId="7938D9FC" w14:textId="4CA78BB4" w:rsidR="009242A7" w:rsidRPr="00D60C7D" w:rsidRDefault="009242A7" w:rsidP="00214FA3">
      <w:pPr>
        <w:pStyle w:val="FootnoteText"/>
        <w:spacing w:afterAutospacing="0"/>
        <w:ind w:left="0"/>
        <w:rPr>
          <w:rFonts w:asciiTheme="minorHAnsi" w:hAnsiTheme="minorHAnsi" w:cstheme="minorHAnsi"/>
        </w:rPr>
      </w:pPr>
      <w:r w:rsidRPr="00793A87">
        <w:rPr>
          <w:rStyle w:val="FootnoteReference"/>
          <w:rFonts w:asciiTheme="minorHAnsi" w:hAnsiTheme="minorHAnsi" w:cstheme="minorHAnsi"/>
        </w:rPr>
        <w:footnoteRef/>
      </w:r>
      <w:r w:rsidRPr="00793A87">
        <w:rPr>
          <w:rFonts w:asciiTheme="minorHAnsi" w:hAnsiTheme="minorHAnsi" w:cstheme="minorHAnsi"/>
        </w:rPr>
        <w:t xml:space="preserve">  </w:t>
      </w:r>
      <w:r w:rsidR="00B06D30" w:rsidRPr="00793A87">
        <w:rPr>
          <w:rFonts w:asciiTheme="minorHAnsi" w:hAnsiTheme="minorHAnsi" w:cstheme="minorHAnsi"/>
        </w:rPr>
        <w:t xml:space="preserve">See e.g. Elaine Kasket, </w:t>
      </w:r>
      <w:r w:rsidR="00B06D30" w:rsidRPr="00793A87">
        <w:rPr>
          <w:rFonts w:asciiTheme="minorHAnsi" w:hAnsiTheme="minorHAnsi" w:cstheme="minorHAnsi"/>
          <w:i/>
          <w:iCs/>
        </w:rPr>
        <w:t>All the Ghosts in the Machine: The Digital Afterlife of your Personal Data</w:t>
      </w:r>
      <w:r w:rsidR="00B06D30" w:rsidRPr="00793A87">
        <w:rPr>
          <w:rFonts w:asciiTheme="minorHAnsi" w:hAnsiTheme="minorHAnsi" w:cstheme="minorHAnsi"/>
        </w:rPr>
        <w:t xml:space="preserve"> (Robinson, 2019); Michèle Finck, ‘Hidden Personal Insights and Entangled in the Algorithmic Model: The Limits of the GDPR in the Personalisation Context’ in </w:t>
      </w:r>
      <w:r w:rsidRPr="00793A87">
        <w:rPr>
          <w:rFonts w:asciiTheme="minorHAnsi" w:hAnsiTheme="minorHAnsi" w:cstheme="minorHAnsi"/>
        </w:rPr>
        <w:t>Uta Kohl, Jacob Eisler</w:t>
      </w:r>
      <w:r w:rsidR="00B06D30" w:rsidRPr="00793A87">
        <w:rPr>
          <w:rFonts w:asciiTheme="minorHAnsi" w:hAnsiTheme="minorHAnsi" w:cstheme="minorHAnsi"/>
        </w:rPr>
        <w:t xml:space="preserve"> (eds)</w:t>
      </w:r>
      <w:r w:rsidRPr="00793A87">
        <w:rPr>
          <w:rFonts w:asciiTheme="minorHAnsi" w:hAnsiTheme="minorHAnsi" w:cstheme="minorHAnsi"/>
        </w:rPr>
        <w:t xml:space="preserve">, </w:t>
      </w:r>
      <w:r w:rsidRPr="00793A87">
        <w:rPr>
          <w:rFonts w:asciiTheme="minorHAnsi" w:hAnsiTheme="minorHAnsi" w:cstheme="minorHAnsi"/>
          <w:i/>
          <w:iCs/>
        </w:rPr>
        <w:t xml:space="preserve">Data-Driven Personalisation in Markets, Politics and Law </w:t>
      </w:r>
      <w:r w:rsidRPr="00793A87">
        <w:rPr>
          <w:rFonts w:asciiTheme="minorHAnsi" w:hAnsiTheme="minorHAnsi" w:cstheme="minorHAnsi"/>
        </w:rPr>
        <w:t>(Cambridge: CUP, 2021)</w:t>
      </w:r>
    </w:p>
    <w:p w14:paraId="150F8F89" w14:textId="3D1AD6DB" w:rsidR="009242A7" w:rsidRPr="00D60C7D" w:rsidRDefault="009242A7" w:rsidP="00214FA3">
      <w:pPr>
        <w:pStyle w:val="FootnoteText"/>
        <w:spacing w:afterAutospacing="0"/>
        <w:ind w:left="0"/>
        <w:rPr>
          <w:rFonts w:asciiTheme="minorHAnsi" w:hAnsiTheme="minorHAnsi" w:cstheme="minorHAnsi"/>
        </w:rPr>
      </w:pPr>
      <w:r w:rsidRPr="00D60C7D">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633"/>
    <w:multiLevelType w:val="hybridMultilevel"/>
    <w:tmpl w:val="073C0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C7009"/>
    <w:multiLevelType w:val="hybridMultilevel"/>
    <w:tmpl w:val="961E7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4C91"/>
    <w:multiLevelType w:val="multilevel"/>
    <w:tmpl w:val="3B86F3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D5A5739"/>
    <w:multiLevelType w:val="hybridMultilevel"/>
    <w:tmpl w:val="A9A0C8C6"/>
    <w:lvl w:ilvl="0" w:tplc="FB28E4D0">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C4F7D"/>
    <w:multiLevelType w:val="multilevel"/>
    <w:tmpl w:val="3B86F3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19591621"/>
    <w:multiLevelType w:val="multilevel"/>
    <w:tmpl w:val="C4AA25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4603A"/>
    <w:multiLevelType w:val="hybridMultilevel"/>
    <w:tmpl w:val="640C7A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137AD"/>
    <w:multiLevelType w:val="multilevel"/>
    <w:tmpl w:val="5466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C4023"/>
    <w:multiLevelType w:val="multilevel"/>
    <w:tmpl w:val="3B86F3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5C893A1B"/>
    <w:multiLevelType w:val="multilevel"/>
    <w:tmpl w:val="9D60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E6CDA"/>
    <w:multiLevelType w:val="hybridMultilevel"/>
    <w:tmpl w:val="6396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D4599"/>
    <w:multiLevelType w:val="hybridMultilevel"/>
    <w:tmpl w:val="4278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2167A"/>
    <w:multiLevelType w:val="hybridMultilevel"/>
    <w:tmpl w:val="A64421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D6DC4"/>
    <w:multiLevelType w:val="multilevel"/>
    <w:tmpl w:val="3B86F3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78F225C7"/>
    <w:multiLevelType w:val="hybridMultilevel"/>
    <w:tmpl w:val="01C4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0"/>
  </w:num>
  <w:num w:numId="6">
    <w:abstractNumId w:val="12"/>
  </w:num>
  <w:num w:numId="7">
    <w:abstractNumId w:val="6"/>
  </w:num>
  <w:num w:numId="8">
    <w:abstractNumId w:val="13"/>
  </w:num>
  <w:num w:numId="9">
    <w:abstractNumId w:val="8"/>
  </w:num>
  <w:num w:numId="10">
    <w:abstractNumId w:val="4"/>
  </w:num>
  <w:num w:numId="11">
    <w:abstractNumId w:val="1"/>
  </w:num>
  <w:num w:numId="12">
    <w:abstractNumId w:val="14"/>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0"/>
    <w:rsid w:val="000023B8"/>
    <w:rsid w:val="00002842"/>
    <w:rsid w:val="00004DFA"/>
    <w:rsid w:val="000052AF"/>
    <w:rsid w:val="00007C94"/>
    <w:rsid w:val="00010D84"/>
    <w:rsid w:val="000114EF"/>
    <w:rsid w:val="000116D3"/>
    <w:rsid w:val="000128B0"/>
    <w:rsid w:val="000132C1"/>
    <w:rsid w:val="00013452"/>
    <w:rsid w:val="00014714"/>
    <w:rsid w:val="00014E99"/>
    <w:rsid w:val="0001517D"/>
    <w:rsid w:val="00015829"/>
    <w:rsid w:val="0001634A"/>
    <w:rsid w:val="00020F62"/>
    <w:rsid w:val="000249F6"/>
    <w:rsid w:val="00027648"/>
    <w:rsid w:val="00032EE3"/>
    <w:rsid w:val="000333E7"/>
    <w:rsid w:val="00033EA5"/>
    <w:rsid w:val="00034833"/>
    <w:rsid w:val="000360CA"/>
    <w:rsid w:val="00037054"/>
    <w:rsid w:val="00037221"/>
    <w:rsid w:val="00040F78"/>
    <w:rsid w:val="000411FC"/>
    <w:rsid w:val="000423E9"/>
    <w:rsid w:val="0004351B"/>
    <w:rsid w:val="000449CA"/>
    <w:rsid w:val="00044A24"/>
    <w:rsid w:val="0004585A"/>
    <w:rsid w:val="000461F6"/>
    <w:rsid w:val="0004704F"/>
    <w:rsid w:val="00047E18"/>
    <w:rsid w:val="000514D3"/>
    <w:rsid w:val="000549EF"/>
    <w:rsid w:val="000565F1"/>
    <w:rsid w:val="00056652"/>
    <w:rsid w:val="00063959"/>
    <w:rsid w:val="0006404A"/>
    <w:rsid w:val="00066BCA"/>
    <w:rsid w:val="00067B03"/>
    <w:rsid w:val="00067F95"/>
    <w:rsid w:val="00067FFE"/>
    <w:rsid w:val="000704C4"/>
    <w:rsid w:val="000704FA"/>
    <w:rsid w:val="000711E6"/>
    <w:rsid w:val="0007176A"/>
    <w:rsid w:val="000726E4"/>
    <w:rsid w:val="000742FC"/>
    <w:rsid w:val="0007662E"/>
    <w:rsid w:val="00076B65"/>
    <w:rsid w:val="000779FF"/>
    <w:rsid w:val="00081AED"/>
    <w:rsid w:val="00082F55"/>
    <w:rsid w:val="000832C7"/>
    <w:rsid w:val="00086E67"/>
    <w:rsid w:val="00087B73"/>
    <w:rsid w:val="00093C3C"/>
    <w:rsid w:val="00094148"/>
    <w:rsid w:val="000948DE"/>
    <w:rsid w:val="0009563B"/>
    <w:rsid w:val="00095ACF"/>
    <w:rsid w:val="000A01D5"/>
    <w:rsid w:val="000A089C"/>
    <w:rsid w:val="000A28C5"/>
    <w:rsid w:val="000A3331"/>
    <w:rsid w:val="000A34FD"/>
    <w:rsid w:val="000A35B9"/>
    <w:rsid w:val="000A651B"/>
    <w:rsid w:val="000A74B2"/>
    <w:rsid w:val="000A7E22"/>
    <w:rsid w:val="000B0121"/>
    <w:rsid w:val="000B0AE2"/>
    <w:rsid w:val="000B0FCA"/>
    <w:rsid w:val="000B22E4"/>
    <w:rsid w:val="000B650B"/>
    <w:rsid w:val="000B6D8F"/>
    <w:rsid w:val="000B7000"/>
    <w:rsid w:val="000B7ECD"/>
    <w:rsid w:val="000C2E19"/>
    <w:rsid w:val="000C3669"/>
    <w:rsid w:val="000C3763"/>
    <w:rsid w:val="000C4C40"/>
    <w:rsid w:val="000C65AB"/>
    <w:rsid w:val="000C67BB"/>
    <w:rsid w:val="000C72D2"/>
    <w:rsid w:val="000D0519"/>
    <w:rsid w:val="000D07C3"/>
    <w:rsid w:val="000D1F6B"/>
    <w:rsid w:val="000D32C6"/>
    <w:rsid w:val="000D3ACB"/>
    <w:rsid w:val="000D3B5A"/>
    <w:rsid w:val="000D5B64"/>
    <w:rsid w:val="000D6F8B"/>
    <w:rsid w:val="000D75CD"/>
    <w:rsid w:val="000E16C6"/>
    <w:rsid w:val="000E30D4"/>
    <w:rsid w:val="000E4D20"/>
    <w:rsid w:val="000E52B3"/>
    <w:rsid w:val="000E6C98"/>
    <w:rsid w:val="000F0CA4"/>
    <w:rsid w:val="000F2C8B"/>
    <w:rsid w:val="000F31D5"/>
    <w:rsid w:val="000F55F4"/>
    <w:rsid w:val="000F6197"/>
    <w:rsid w:val="000F6696"/>
    <w:rsid w:val="0010165C"/>
    <w:rsid w:val="00101E49"/>
    <w:rsid w:val="0010241B"/>
    <w:rsid w:val="001047D8"/>
    <w:rsid w:val="00104BD2"/>
    <w:rsid w:val="00105128"/>
    <w:rsid w:val="0010768B"/>
    <w:rsid w:val="0011224C"/>
    <w:rsid w:val="00121124"/>
    <w:rsid w:val="00122215"/>
    <w:rsid w:val="001230DB"/>
    <w:rsid w:val="0012360C"/>
    <w:rsid w:val="00123807"/>
    <w:rsid w:val="00124308"/>
    <w:rsid w:val="0012524D"/>
    <w:rsid w:val="00127D5A"/>
    <w:rsid w:val="00131EBD"/>
    <w:rsid w:val="001335A4"/>
    <w:rsid w:val="0013379C"/>
    <w:rsid w:val="001408A9"/>
    <w:rsid w:val="00143276"/>
    <w:rsid w:val="00144884"/>
    <w:rsid w:val="00144B9F"/>
    <w:rsid w:val="00146B61"/>
    <w:rsid w:val="00147251"/>
    <w:rsid w:val="001478A5"/>
    <w:rsid w:val="00151D0E"/>
    <w:rsid w:val="00152336"/>
    <w:rsid w:val="001545EF"/>
    <w:rsid w:val="001546EB"/>
    <w:rsid w:val="0015573D"/>
    <w:rsid w:val="00156057"/>
    <w:rsid w:val="00156110"/>
    <w:rsid w:val="00157D39"/>
    <w:rsid w:val="00157E2F"/>
    <w:rsid w:val="00160343"/>
    <w:rsid w:val="001604EE"/>
    <w:rsid w:val="00161201"/>
    <w:rsid w:val="00161C86"/>
    <w:rsid w:val="00162DBC"/>
    <w:rsid w:val="00167313"/>
    <w:rsid w:val="0017368E"/>
    <w:rsid w:val="0017489B"/>
    <w:rsid w:val="00177230"/>
    <w:rsid w:val="0018107B"/>
    <w:rsid w:val="00181176"/>
    <w:rsid w:val="00182BD6"/>
    <w:rsid w:val="001833C7"/>
    <w:rsid w:val="00183BFF"/>
    <w:rsid w:val="00183C63"/>
    <w:rsid w:val="00184AA2"/>
    <w:rsid w:val="0018612A"/>
    <w:rsid w:val="00186A83"/>
    <w:rsid w:val="00186C50"/>
    <w:rsid w:val="001903B3"/>
    <w:rsid w:val="00191124"/>
    <w:rsid w:val="001916F1"/>
    <w:rsid w:val="00192C1E"/>
    <w:rsid w:val="00194624"/>
    <w:rsid w:val="001957B0"/>
    <w:rsid w:val="00197D84"/>
    <w:rsid w:val="001A0284"/>
    <w:rsid w:val="001A0EEF"/>
    <w:rsid w:val="001A2678"/>
    <w:rsid w:val="001A3841"/>
    <w:rsid w:val="001A4362"/>
    <w:rsid w:val="001A5B13"/>
    <w:rsid w:val="001A5E12"/>
    <w:rsid w:val="001A63DD"/>
    <w:rsid w:val="001A77E7"/>
    <w:rsid w:val="001B00FC"/>
    <w:rsid w:val="001B1384"/>
    <w:rsid w:val="001B2696"/>
    <w:rsid w:val="001B2826"/>
    <w:rsid w:val="001B29D3"/>
    <w:rsid w:val="001B2A1B"/>
    <w:rsid w:val="001B4E59"/>
    <w:rsid w:val="001B6B48"/>
    <w:rsid w:val="001B6D1B"/>
    <w:rsid w:val="001B73FE"/>
    <w:rsid w:val="001B770B"/>
    <w:rsid w:val="001C2053"/>
    <w:rsid w:val="001C2C74"/>
    <w:rsid w:val="001C446D"/>
    <w:rsid w:val="001C47BB"/>
    <w:rsid w:val="001C7656"/>
    <w:rsid w:val="001D0EA0"/>
    <w:rsid w:val="001D167F"/>
    <w:rsid w:val="001D38AB"/>
    <w:rsid w:val="001D4550"/>
    <w:rsid w:val="001D4A86"/>
    <w:rsid w:val="001D4BAB"/>
    <w:rsid w:val="001D57CC"/>
    <w:rsid w:val="001D5D2A"/>
    <w:rsid w:val="001D6C78"/>
    <w:rsid w:val="001D717A"/>
    <w:rsid w:val="001D7933"/>
    <w:rsid w:val="001D7C40"/>
    <w:rsid w:val="001E14D1"/>
    <w:rsid w:val="001E3DFD"/>
    <w:rsid w:val="001E42B6"/>
    <w:rsid w:val="001E4CEE"/>
    <w:rsid w:val="001E543C"/>
    <w:rsid w:val="001E6124"/>
    <w:rsid w:val="001E63C5"/>
    <w:rsid w:val="001F1A89"/>
    <w:rsid w:val="001F2B7A"/>
    <w:rsid w:val="001F3BBE"/>
    <w:rsid w:val="001F488E"/>
    <w:rsid w:val="001F4EDD"/>
    <w:rsid w:val="001F786A"/>
    <w:rsid w:val="00200165"/>
    <w:rsid w:val="00200585"/>
    <w:rsid w:val="00201D13"/>
    <w:rsid w:val="00203229"/>
    <w:rsid w:val="002061BD"/>
    <w:rsid w:val="002077E1"/>
    <w:rsid w:val="00210B60"/>
    <w:rsid w:val="00214FA3"/>
    <w:rsid w:val="00215092"/>
    <w:rsid w:val="00215EF2"/>
    <w:rsid w:val="00221862"/>
    <w:rsid w:val="00221AB7"/>
    <w:rsid w:val="0022387F"/>
    <w:rsid w:val="00224BEC"/>
    <w:rsid w:val="00226750"/>
    <w:rsid w:val="00226C90"/>
    <w:rsid w:val="002277BB"/>
    <w:rsid w:val="00230CE5"/>
    <w:rsid w:val="002314C5"/>
    <w:rsid w:val="00231AEE"/>
    <w:rsid w:val="00235002"/>
    <w:rsid w:val="00235005"/>
    <w:rsid w:val="00235DF6"/>
    <w:rsid w:val="00245659"/>
    <w:rsid w:val="00245B96"/>
    <w:rsid w:val="002504D4"/>
    <w:rsid w:val="00251B93"/>
    <w:rsid w:val="00254034"/>
    <w:rsid w:val="00257E56"/>
    <w:rsid w:val="00265DA3"/>
    <w:rsid w:val="002666A3"/>
    <w:rsid w:val="002731AE"/>
    <w:rsid w:val="00275A2A"/>
    <w:rsid w:val="0027652B"/>
    <w:rsid w:val="0027767A"/>
    <w:rsid w:val="00280808"/>
    <w:rsid w:val="002815AA"/>
    <w:rsid w:val="00281C0C"/>
    <w:rsid w:val="00283066"/>
    <w:rsid w:val="00283CBD"/>
    <w:rsid w:val="0028524E"/>
    <w:rsid w:val="002864DB"/>
    <w:rsid w:val="00291D4E"/>
    <w:rsid w:val="00291D96"/>
    <w:rsid w:val="00294A8C"/>
    <w:rsid w:val="002A14FD"/>
    <w:rsid w:val="002A3040"/>
    <w:rsid w:val="002A3306"/>
    <w:rsid w:val="002A5BE7"/>
    <w:rsid w:val="002A6D56"/>
    <w:rsid w:val="002A78B4"/>
    <w:rsid w:val="002B02B4"/>
    <w:rsid w:val="002B0604"/>
    <w:rsid w:val="002B104B"/>
    <w:rsid w:val="002B2316"/>
    <w:rsid w:val="002B2578"/>
    <w:rsid w:val="002B2A95"/>
    <w:rsid w:val="002B59BC"/>
    <w:rsid w:val="002B5EBE"/>
    <w:rsid w:val="002B6AF3"/>
    <w:rsid w:val="002C00FA"/>
    <w:rsid w:val="002C0892"/>
    <w:rsid w:val="002C4F1F"/>
    <w:rsid w:val="002C7238"/>
    <w:rsid w:val="002C795F"/>
    <w:rsid w:val="002D1A3C"/>
    <w:rsid w:val="002D1C68"/>
    <w:rsid w:val="002D1CAC"/>
    <w:rsid w:val="002D2A3A"/>
    <w:rsid w:val="002D4036"/>
    <w:rsid w:val="002D6D3F"/>
    <w:rsid w:val="002D77D1"/>
    <w:rsid w:val="002E363D"/>
    <w:rsid w:val="002E4AF3"/>
    <w:rsid w:val="002E58A9"/>
    <w:rsid w:val="002E64C8"/>
    <w:rsid w:val="002F0500"/>
    <w:rsid w:val="002F0AF8"/>
    <w:rsid w:val="002F0DF5"/>
    <w:rsid w:val="002F0FD6"/>
    <w:rsid w:val="002F55E0"/>
    <w:rsid w:val="002F7D53"/>
    <w:rsid w:val="00300996"/>
    <w:rsid w:val="00301AD3"/>
    <w:rsid w:val="0030280C"/>
    <w:rsid w:val="00303F8C"/>
    <w:rsid w:val="0030559A"/>
    <w:rsid w:val="00306416"/>
    <w:rsid w:val="003065D0"/>
    <w:rsid w:val="00310AFE"/>
    <w:rsid w:val="00311151"/>
    <w:rsid w:val="003124D7"/>
    <w:rsid w:val="00314C56"/>
    <w:rsid w:val="00317B5F"/>
    <w:rsid w:val="00321900"/>
    <w:rsid w:val="00321BD7"/>
    <w:rsid w:val="00324688"/>
    <w:rsid w:val="003246E5"/>
    <w:rsid w:val="00324C14"/>
    <w:rsid w:val="00330D2C"/>
    <w:rsid w:val="0033174D"/>
    <w:rsid w:val="00332E48"/>
    <w:rsid w:val="003334E7"/>
    <w:rsid w:val="00334186"/>
    <w:rsid w:val="003354BD"/>
    <w:rsid w:val="003355EF"/>
    <w:rsid w:val="00336196"/>
    <w:rsid w:val="00336E0A"/>
    <w:rsid w:val="0033782B"/>
    <w:rsid w:val="0034061F"/>
    <w:rsid w:val="003414A7"/>
    <w:rsid w:val="00342533"/>
    <w:rsid w:val="003430FB"/>
    <w:rsid w:val="003432A0"/>
    <w:rsid w:val="00346A0A"/>
    <w:rsid w:val="00350047"/>
    <w:rsid w:val="00350452"/>
    <w:rsid w:val="003509BB"/>
    <w:rsid w:val="00351E07"/>
    <w:rsid w:val="00353E75"/>
    <w:rsid w:val="003543C4"/>
    <w:rsid w:val="00355006"/>
    <w:rsid w:val="003572D2"/>
    <w:rsid w:val="00357667"/>
    <w:rsid w:val="0036262D"/>
    <w:rsid w:val="00364C41"/>
    <w:rsid w:val="003658D4"/>
    <w:rsid w:val="00365EF0"/>
    <w:rsid w:val="003669E6"/>
    <w:rsid w:val="00371E97"/>
    <w:rsid w:val="00372259"/>
    <w:rsid w:val="003733CD"/>
    <w:rsid w:val="00373DA4"/>
    <w:rsid w:val="0037481F"/>
    <w:rsid w:val="00374A30"/>
    <w:rsid w:val="00374DB8"/>
    <w:rsid w:val="00380163"/>
    <w:rsid w:val="0038085A"/>
    <w:rsid w:val="00380C0F"/>
    <w:rsid w:val="003815BC"/>
    <w:rsid w:val="003815E2"/>
    <w:rsid w:val="0038374A"/>
    <w:rsid w:val="003837CB"/>
    <w:rsid w:val="00384F5D"/>
    <w:rsid w:val="0038525C"/>
    <w:rsid w:val="00386447"/>
    <w:rsid w:val="00386DDA"/>
    <w:rsid w:val="003879F7"/>
    <w:rsid w:val="00387ED8"/>
    <w:rsid w:val="0039440E"/>
    <w:rsid w:val="003948CE"/>
    <w:rsid w:val="00394A02"/>
    <w:rsid w:val="00394D5D"/>
    <w:rsid w:val="003958D8"/>
    <w:rsid w:val="00395B08"/>
    <w:rsid w:val="003A10D0"/>
    <w:rsid w:val="003A1452"/>
    <w:rsid w:val="003A1FD2"/>
    <w:rsid w:val="003A27D2"/>
    <w:rsid w:val="003A3095"/>
    <w:rsid w:val="003A3C88"/>
    <w:rsid w:val="003A4DE7"/>
    <w:rsid w:val="003A5094"/>
    <w:rsid w:val="003A67FF"/>
    <w:rsid w:val="003A7561"/>
    <w:rsid w:val="003A76BA"/>
    <w:rsid w:val="003B00CD"/>
    <w:rsid w:val="003B1DD6"/>
    <w:rsid w:val="003B225B"/>
    <w:rsid w:val="003B6171"/>
    <w:rsid w:val="003B7CD9"/>
    <w:rsid w:val="003B7D1A"/>
    <w:rsid w:val="003C210C"/>
    <w:rsid w:val="003C2E27"/>
    <w:rsid w:val="003C2FE3"/>
    <w:rsid w:val="003C3ECA"/>
    <w:rsid w:val="003C5D4E"/>
    <w:rsid w:val="003C6D11"/>
    <w:rsid w:val="003C706C"/>
    <w:rsid w:val="003C79D4"/>
    <w:rsid w:val="003C7EF2"/>
    <w:rsid w:val="003D037C"/>
    <w:rsid w:val="003D1BBC"/>
    <w:rsid w:val="003D1CD6"/>
    <w:rsid w:val="003D2A9F"/>
    <w:rsid w:val="003D4DAE"/>
    <w:rsid w:val="003D559F"/>
    <w:rsid w:val="003D5FEB"/>
    <w:rsid w:val="003E2DC0"/>
    <w:rsid w:val="003E309E"/>
    <w:rsid w:val="003E350D"/>
    <w:rsid w:val="003E46B9"/>
    <w:rsid w:val="003E4EAD"/>
    <w:rsid w:val="003E5456"/>
    <w:rsid w:val="003F09D0"/>
    <w:rsid w:val="003F0E2B"/>
    <w:rsid w:val="003F10EA"/>
    <w:rsid w:val="003F1108"/>
    <w:rsid w:val="003F1294"/>
    <w:rsid w:val="003F3446"/>
    <w:rsid w:val="003F3A71"/>
    <w:rsid w:val="003F4768"/>
    <w:rsid w:val="003F4D89"/>
    <w:rsid w:val="003F5D8C"/>
    <w:rsid w:val="003F6627"/>
    <w:rsid w:val="00401B47"/>
    <w:rsid w:val="004050EE"/>
    <w:rsid w:val="00405DCA"/>
    <w:rsid w:val="004076BA"/>
    <w:rsid w:val="00407AAF"/>
    <w:rsid w:val="004103B1"/>
    <w:rsid w:val="00411A5C"/>
    <w:rsid w:val="00411B3E"/>
    <w:rsid w:val="00423210"/>
    <w:rsid w:val="004262C8"/>
    <w:rsid w:val="00427443"/>
    <w:rsid w:val="00431551"/>
    <w:rsid w:val="00431E16"/>
    <w:rsid w:val="004330B1"/>
    <w:rsid w:val="00435BC2"/>
    <w:rsid w:val="00435C6B"/>
    <w:rsid w:val="004407CB"/>
    <w:rsid w:val="00440993"/>
    <w:rsid w:val="004410B0"/>
    <w:rsid w:val="0044382C"/>
    <w:rsid w:val="00444045"/>
    <w:rsid w:val="00444B0E"/>
    <w:rsid w:val="00445186"/>
    <w:rsid w:val="00445CBE"/>
    <w:rsid w:val="00446C1B"/>
    <w:rsid w:val="00451237"/>
    <w:rsid w:val="00451DDF"/>
    <w:rsid w:val="00452EC4"/>
    <w:rsid w:val="00453C5E"/>
    <w:rsid w:val="00454B63"/>
    <w:rsid w:val="00455305"/>
    <w:rsid w:val="00456D39"/>
    <w:rsid w:val="00457156"/>
    <w:rsid w:val="00457C27"/>
    <w:rsid w:val="00460B9C"/>
    <w:rsid w:val="00461A7B"/>
    <w:rsid w:val="00461BA1"/>
    <w:rsid w:val="004628EA"/>
    <w:rsid w:val="0046563A"/>
    <w:rsid w:val="004660F2"/>
    <w:rsid w:val="004667E3"/>
    <w:rsid w:val="00467D15"/>
    <w:rsid w:val="004706F9"/>
    <w:rsid w:val="0047298E"/>
    <w:rsid w:val="00472990"/>
    <w:rsid w:val="00474C05"/>
    <w:rsid w:val="00476562"/>
    <w:rsid w:val="004805B2"/>
    <w:rsid w:val="004818EE"/>
    <w:rsid w:val="004820CD"/>
    <w:rsid w:val="004829CF"/>
    <w:rsid w:val="004831CD"/>
    <w:rsid w:val="00484B68"/>
    <w:rsid w:val="0048770F"/>
    <w:rsid w:val="00492D85"/>
    <w:rsid w:val="004949AC"/>
    <w:rsid w:val="00495E97"/>
    <w:rsid w:val="00497729"/>
    <w:rsid w:val="00497CB1"/>
    <w:rsid w:val="00497DB4"/>
    <w:rsid w:val="004A0ED0"/>
    <w:rsid w:val="004A1455"/>
    <w:rsid w:val="004A28CD"/>
    <w:rsid w:val="004A57BC"/>
    <w:rsid w:val="004A6F2F"/>
    <w:rsid w:val="004B2103"/>
    <w:rsid w:val="004B2143"/>
    <w:rsid w:val="004C1267"/>
    <w:rsid w:val="004C1CBB"/>
    <w:rsid w:val="004C20D2"/>
    <w:rsid w:val="004C4AB4"/>
    <w:rsid w:val="004C4C81"/>
    <w:rsid w:val="004C5EDE"/>
    <w:rsid w:val="004C61EB"/>
    <w:rsid w:val="004D0427"/>
    <w:rsid w:val="004D0E29"/>
    <w:rsid w:val="004D119B"/>
    <w:rsid w:val="004D4D61"/>
    <w:rsid w:val="004D7A49"/>
    <w:rsid w:val="004E1161"/>
    <w:rsid w:val="004E17F4"/>
    <w:rsid w:val="004E1D10"/>
    <w:rsid w:val="004E2036"/>
    <w:rsid w:val="004E2983"/>
    <w:rsid w:val="004E2A0F"/>
    <w:rsid w:val="004E416C"/>
    <w:rsid w:val="004E47C6"/>
    <w:rsid w:val="004E5D3B"/>
    <w:rsid w:val="004E63AE"/>
    <w:rsid w:val="004E7D87"/>
    <w:rsid w:val="004F01CF"/>
    <w:rsid w:val="004F0692"/>
    <w:rsid w:val="004F07AA"/>
    <w:rsid w:val="004F07DF"/>
    <w:rsid w:val="004F25B9"/>
    <w:rsid w:val="004F30C2"/>
    <w:rsid w:val="004F46E1"/>
    <w:rsid w:val="004F6421"/>
    <w:rsid w:val="004F747E"/>
    <w:rsid w:val="004F79ED"/>
    <w:rsid w:val="004F7BD3"/>
    <w:rsid w:val="0050041B"/>
    <w:rsid w:val="00503C05"/>
    <w:rsid w:val="00504159"/>
    <w:rsid w:val="00510A5B"/>
    <w:rsid w:val="0051492E"/>
    <w:rsid w:val="00517C37"/>
    <w:rsid w:val="00521AB5"/>
    <w:rsid w:val="00521EF1"/>
    <w:rsid w:val="00522305"/>
    <w:rsid w:val="00523709"/>
    <w:rsid w:val="005237BB"/>
    <w:rsid w:val="0052470C"/>
    <w:rsid w:val="005267DB"/>
    <w:rsid w:val="005278BC"/>
    <w:rsid w:val="005302C3"/>
    <w:rsid w:val="005351AB"/>
    <w:rsid w:val="005416DB"/>
    <w:rsid w:val="00544AF9"/>
    <w:rsid w:val="00545515"/>
    <w:rsid w:val="005455DF"/>
    <w:rsid w:val="00545B06"/>
    <w:rsid w:val="00547136"/>
    <w:rsid w:val="00547757"/>
    <w:rsid w:val="00547804"/>
    <w:rsid w:val="00547D91"/>
    <w:rsid w:val="00547F00"/>
    <w:rsid w:val="00550955"/>
    <w:rsid w:val="00556119"/>
    <w:rsid w:val="0055619C"/>
    <w:rsid w:val="00556AE7"/>
    <w:rsid w:val="00556C09"/>
    <w:rsid w:val="00556F66"/>
    <w:rsid w:val="00557092"/>
    <w:rsid w:val="005570FA"/>
    <w:rsid w:val="00557B03"/>
    <w:rsid w:val="00557E51"/>
    <w:rsid w:val="005603E7"/>
    <w:rsid w:val="00564485"/>
    <w:rsid w:val="0056543A"/>
    <w:rsid w:val="0056705F"/>
    <w:rsid w:val="005671B4"/>
    <w:rsid w:val="005673BC"/>
    <w:rsid w:val="00570AD5"/>
    <w:rsid w:val="00570AF9"/>
    <w:rsid w:val="00571EBD"/>
    <w:rsid w:val="00573A4F"/>
    <w:rsid w:val="00573C40"/>
    <w:rsid w:val="005755E5"/>
    <w:rsid w:val="00576316"/>
    <w:rsid w:val="00576932"/>
    <w:rsid w:val="00576FB0"/>
    <w:rsid w:val="00580B0C"/>
    <w:rsid w:val="0058125C"/>
    <w:rsid w:val="00581C60"/>
    <w:rsid w:val="00583701"/>
    <w:rsid w:val="00591CDC"/>
    <w:rsid w:val="00594F9C"/>
    <w:rsid w:val="005959FF"/>
    <w:rsid w:val="005A0C22"/>
    <w:rsid w:val="005A1CFC"/>
    <w:rsid w:val="005A26A1"/>
    <w:rsid w:val="005A50C2"/>
    <w:rsid w:val="005A562C"/>
    <w:rsid w:val="005A5F50"/>
    <w:rsid w:val="005A5F9D"/>
    <w:rsid w:val="005A6578"/>
    <w:rsid w:val="005A6F52"/>
    <w:rsid w:val="005A742C"/>
    <w:rsid w:val="005A78B5"/>
    <w:rsid w:val="005B4D75"/>
    <w:rsid w:val="005B5989"/>
    <w:rsid w:val="005B60AB"/>
    <w:rsid w:val="005B7963"/>
    <w:rsid w:val="005C01D3"/>
    <w:rsid w:val="005C0BD9"/>
    <w:rsid w:val="005C3D64"/>
    <w:rsid w:val="005C4A6B"/>
    <w:rsid w:val="005C724E"/>
    <w:rsid w:val="005C7647"/>
    <w:rsid w:val="005D032C"/>
    <w:rsid w:val="005D08B7"/>
    <w:rsid w:val="005D5061"/>
    <w:rsid w:val="005D6F00"/>
    <w:rsid w:val="005D710D"/>
    <w:rsid w:val="005E127A"/>
    <w:rsid w:val="005E1BD4"/>
    <w:rsid w:val="005E275E"/>
    <w:rsid w:val="005E4C72"/>
    <w:rsid w:val="005F1892"/>
    <w:rsid w:val="005F2358"/>
    <w:rsid w:val="005F3F7A"/>
    <w:rsid w:val="005F45A4"/>
    <w:rsid w:val="005F4CAF"/>
    <w:rsid w:val="005F7852"/>
    <w:rsid w:val="005F7F1D"/>
    <w:rsid w:val="00603F38"/>
    <w:rsid w:val="00605F5D"/>
    <w:rsid w:val="00606162"/>
    <w:rsid w:val="00606CCE"/>
    <w:rsid w:val="0060772D"/>
    <w:rsid w:val="00607F23"/>
    <w:rsid w:val="0061050D"/>
    <w:rsid w:val="006108AF"/>
    <w:rsid w:val="006146E1"/>
    <w:rsid w:val="006151F9"/>
    <w:rsid w:val="006172A1"/>
    <w:rsid w:val="006210B1"/>
    <w:rsid w:val="00621A9A"/>
    <w:rsid w:val="00621BC3"/>
    <w:rsid w:val="00622588"/>
    <w:rsid w:val="00624D7B"/>
    <w:rsid w:val="0062551E"/>
    <w:rsid w:val="0062622E"/>
    <w:rsid w:val="00627CCE"/>
    <w:rsid w:val="00631E1C"/>
    <w:rsid w:val="00632CAB"/>
    <w:rsid w:val="006330A1"/>
    <w:rsid w:val="006339F5"/>
    <w:rsid w:val="00633B23"/>
    <w:rsid w:val="00633FED"/>
    <w:rsid w:val="00634041"/>
    <w:rsid w:val="006340C2"/>
    <w:rsid w:val="006342D6"/>
    <w:rsid w:val="00636448"/>
    <w:rsid w:val="00637721"/>
    <w:rsid w:val="00642551"/>
    <w:rsid w:val="0064386D"/>
    <w:rsid w:val="006514F6"/>
    <w:rsid w:val="006536EA"/>
    <w:rsid w:val="00654A82"/>
    <w:rsid w:val="00655F45"/>
    <w:rsid w:val="00657530"/>
    <w:rsid w:val="006604E4"/>
    <w:rsid w:val="00662E53"/>
    <w:rsid w:val="00663810"/>
    <w:rsid w:val="00664B92"/>
    <w:rsid w:val="006653DF"/>
    <w:rsid w:val="006716E8"/>
    <w:rsid w:val="006729F4"/>
    <w:rsid w:val="0067310A"/>
    <w:rsid w:val="00673EEC"/>
    <w:rsid w:val="00675488"/>
    <w:rsid w:val="00675763"/>
    <w:rsid w:val="00680261"/>
    <w:rsid w:val="006830D2"/>
    <w:rsid w:val="00683739"/>
    <w:rsid w:val="00683A05"/>
    <w:rsid w:val="006840B7"/>
    <w:rsid w:val="006845CC"/>
    <w:rsid w:val="00685790"/>
    <w:rsid w:val="00686448"/>
    <w:rsid w:val="00686CE5"/>
    <w:rsid w:val="00690321"/>
    <w:rsid w:val="006911BF"/>
    <w:rsid w:val="0069796B"/>
    <w:rsid w:val="006A488C"/>
    <w:rsid w:val="006A50D9"/>
    <w:rsid w:val="006A53D6"/>
    <w:rsid w:val="006A627A"/>
    <w:rsid w:val="006B2130"/>
    <w:rsid w:val="006B26A2"/>
    <w:rsid w:val="006B2A34"/>
    <w:rsid w:val="006B4431"/>
    <w:rsid w:val="006B5E34"/>
    <w:rsid w:val="006B6DE8"/>
    <w:rsid w:val="006B7DE5"/>
    <w:rsid w:val="006C0940"/>
    <w:rsid w:val="006C0FD6"/>
    <w:rsid w:val="006C167E"/>
    <w:rsid w:val="006C42E7"/>
    <w:rsid w:val="006C58B6"/>
    <w:rsid w:val="006D1153"/>
    <w:rsid w:val="006D21D6"/>
    <w:rsid w:val="006D2328"/>
    <w:rsid w:val="006D2B4F"/>
    <w:rsid w:val="006D2EBC"/>
    <w:rsid w:val="006D4280"/>
    <w:rsid w:val="006D568D"/>
    <w:rsid w:val="006D6417"/>
    <w:rsid w:val="006D783E"/>
    <w:rsid w:val="006E0684"/>
    <w:rsid w:val="006E2B37"/>
    <w:rsid w:val="006E2B54"/>
    <w:rsid w:val="006E3F00"/>
    <w:rsid w:val="006E45E0"/>
    <w:rsid w:val="006E56D5"/>
    <w:rsid w:val="006E5A5D"/>
    <w:rsid w:val="006E7A8E"/>
    <w:rsid w:val="006F0A11"/>
    <w:rsid w:val="006F1B3F"/>
    <w:rsid w:val="006F2BF0"/>
    <w:rsid w:val="006F336C"/>
    <w:rsid w:val="006F3F1C"/>
    <w:rsid w:val="006F40E4"/>
    <w:rsid w:val="006F54F4"/>
    <w:rsid w:val="006F5F58"/>
    <w:rsid w:val="00700C3C"/>
    <w:rsid w:val="00700E41"/>
    <w:rsid w:val="00701964"/>
    <w:rsid w:val="00706214"/>
    <w:rsid w:val="007102FF"/>
    <w:rsid w:val="00710447"/>
    <w:rsid w:val="00712F22"/>
    <w:rsid w:val="00714874"/>
    <w:rsid w:val="0071612F"/>
    <w:rsid w:val="0072028F"/>
    <w:rsid w:val="007215BF"/>
    <w:rsid w:val="00721603"/>
    <w:rsid w:val="007221DB"/>
    <w:rsid w:val="00724070"/>
    <w:rsid w:val="00725CAA"/>
    <w:rsid w:val="00731306"/>
    <w:rsid w:val="007333FF"/>
    <w:rsid w:val="00735324"/>
    <w:rsid w:val="0073590D"/>
    <w:rsid w:val="00735BA9"/>
    <w:rsid w:val="00736BEF"/>
    <w:rsid w:val="0073704B"/>
    <w:rsid w:val="00740CFE"/>
    <w:rsid w:val="007410AE"/>
    <w:rsid w:val="00743151"/>
    <w:rsid w:val="0074332C"/>
    <w:rsid w:val="00745E13"/>
    <w:rsid w:val="00747B3A"/>
    <w:rsid w:val="00750434"/>
    <w:rsid w:val="007524D8"/>
    <w:rsid w:val="007542B8"/>
    <w:rsid w:val="007579FB"/>
    <w:rsid w:val="007627A0"/>
    <w:rsid w:val="0076491E"/>
    <w:rsid w:val="00764963"/>
    <w:rsid w:val="007649BD"/>
    <w:rsid w:val="007658ED"/>
    <w:rsid w:val="007666E6"/>
    <w:rsid w:val="00767155"/>
    <w:rsid w:val="00767F8F"/>
    <w:rsid w:val="0077085B"/>
    <w:rsid w:val="00770D87"/>
    <w:rsid w:val="007719B4"/>
    <w:rsid w:val="00771C84"/>
    <w:rsid w:val="0077227D"/>
    <w:rsid w:val="00772BA0"/>
    <w:rsid w:val="00774A0B"/>
    <w:rsid w:val="00775E07"/>
    <w:rsid w:val="007767EC"/>
    <w:rsid w:val="0078229A"/>
    <w:rsid w:val="00785B30"/>
    <w:rsid w:val="00785D17"/>
    <w:rsid w:val="00786EA1"/>
    <w:rsid w:val="007872E7"/>
    <w:rsid w:val="00787F01"/>
    <w:rsid w:val="007900A0"/>
    <w:rsid w:val="0079079D"/>
    <w:rsid w:val="00791007"/>
    <w:rsid w:val="00792DFB"/>
    <w:rsid w:val="00793A87"/>
    <w:rsid w:val="00794101"/>
    <w:rsid w:val="007943FA"/>
    <w:rsid w:val="00796425"/>
    <w:rsid w:val="0079733F"/>
    <w:rsid w:val="007A53C0"/>
    <w:rsid w:val="007A577B"/>
    <w:rsid w:val="007A6374"/>
    <w:rsid w:val="007A6EE5"/>
    <w:rsid w:val="007B1BEE"/>
    <w:rsid w:val="007B1D35"/>
    <w:rsid w:val="007B31DF"/>
    <w:rsid w:val="007B38FA"/>
    <w:rsid w:val="007B465D"/>
    <w:rsid w:val="007B6F58"/>
    <w:rsid w:val="007B76AC"/>
    <w:rsid w:val="007C0DC5"/>
    <w:rsid w:val="007C18EB"/>
    <w:rsid w:val="007C5214"/>
    <w:rsid w:val="007C54E8"/>
    <w:rsid w:val="007C5836"/>
    <w:rsid w:val="007C5FD5"/>
    <w:rsid w:val="007D0232"/>
    <w:rsid w:val="007D0D60"/>
    <w:rsid w:val="007D55A1"/>
    <w:rsid w:val="007D5838"/>
    <w:rsid w:val="007D58B4"/>
    <w:rsid w:val="007D61EE"/>
    <w:rsid w:val="007D6C12"/>
    <w:rsid w:val="007D7E06"/>
    <w:rsid w:val="007E13AE"/>
    <w:rsid w:val="007E232A"/>
    <w:rsid w:val="007E30B6"/>
    <w:rsid w:val="007E3D91"/>
    <w:rsid w:val="007E5373"/>
    <w:rsid w:val="007E765F"/>
    <w:rsid w:val="007F258C"/>
    <w:rsid w:val="007F39E4"/>
    <w:rsid w:val="007F44B4"/>
    <w:rsid w:val="007F594C"/>
    <w:rsid w:val="007F5ADC"/>
    <w:rsid w:val="007F6568"/>
    <w:rsid w:val="007F6704"/>
    <w:rsid w:val="0080057B"/>
    <w:rsid w:val="00800648"/>
    <w:rsid w:val="0080212D"/>
    <w:rsid w:val="008027FD"/>
    <w:rsid w:val="00805785"/>
    <w:rsid w:val="00806F9A"/>
    <w:rsid w:val="00810FB6"/>
    <w:rsid w:val="0081169D"/>
    <w:rsid w:val="00812897"/>
    <w:rsid w:val="00815419"/>
    <w:rsid w:val="0081658D"/>
    <w:rsid w:val="00822642"/>
    <w:rsid w:val="00822800"/>
    <w:rsid w:val="00822925"/>
    <w:rsid w:val="00822F19"/>
    <w:rsid w:val="00823C86"/>
    <w:rsid w:val="00824FCC"/>
    <w:rsid w:val="00825B29"/>
    <w:rsid w:val="00826313"/>
    <w:rsid w:val="00827497"/>
    <w:rsid w:val="008278A6"/>
    <w:rsid w:val="00833C57"/>
    <w:rsid w:val="00835670"/>
    <w:rsid w:val="00837DB4"/>
    <w:rsid w:val="00840346"/>
    <w:rsid w:val="008406F0"/>
    <w:rsid w:val="00842F45"/>
    <w:rsid w:val="00843511"/>
    <w:rsid w:val="008437DF"/>
    <w:rsid w:val="00843F6B"/>
    <w:rsid w:val="0084487F"/>
    <w:rsid w:val="00845A18"/>
    <w:rsid w:val="00846158"/>
    <w:rsid w:val="00846443"/>
    <w:rsid w:val="008500CA"/>
    <w:rsid w:val="0085188F"/>
    <w:rsid w:val="008518C6"/>
    <w:rsid w:val="00851AF8"/>
    <w:rsid w:val="00852A3E"/>
    <w:rsid w:val="00854067"/>
    <w:rsid w:val="0085552B"/>
    <w:rsid w:val="00856511"/>
    <w:rsid w:val="008569BD"/>
    <w:rsid w:val="0086064B"/>
    <w:rsid w:val="00861FB7"/>
    <w:rsid w:val="0086207E"/>
    <w:rsid w:val="00862625"/>
    <w:rsid w:val="00865C18"/>
    <w:rsid w:val="00866E03"/>
    <w:rsid w:val="00867653"/>
    <w:rsid w:val="00867C35"/>
    <w:rsid w:val="0087096E"/>
    <w:rsid w:val="008733BD"/>
    <w:rsid w:val="008738A6"/>
    <w:rsid w:val="00876A04"/>
    <w:rsid w:val="0088043D"/>
    <w:rsid w:val="0088090D"/>
    <w:rsid w:val="00883D45"/>
    <w:rsid w:val="00884C5E"/>
    <w:rsid w:val="00890044"/>
    <w:rsid w:val="00891766"/>
    <w:rsid w:val="0089408B"/>
    <w:rsid w:val="00895D8A"/>
    <w:rsid w:val="008963FB"/>
    <w:rsid w:val="008A09C2"/>
    <w:rsid w:val="008A09F8"/>
    <w:rsid w:val="008A1E12"/>
    <w:rsid w:val="008A30D7"/>
    <w:rsid w:val="008A31E7"/>
    <w:rsid w:val="008A58E3"/>
    <w:rsid w:val="008B1D94"/>
    <w:rsid w:val="008B1DD4"/>
    <w:rsid w:val="008B54F5"/>
    <w:rsid w:val="008B5F14"/>
    <w:rsid w:val="008B6B73"/>
    <w:rsid w:val="008B6E43"/>
    <w:rsid w:val="008C0A12"/>
    <w:rsid w:val="008C16BC"/>
    <w:rsid w:val="008C25E3"/>
    <w:rsid w:val="008C378B"/>
    <w:rsid w:val="008C3DDE"/>
    <w:rsid w:val="008C4509"/>
    <w:rsid w:val="008C4E2F"/>
    <w:rsid w:val="008C6E0F"/>
    <w:rsid w:val="008D02FD"/>
    <w:rsid w:val="008D174A"/>
    <w:rsid w:val="008D1CEC"/>
    <w:rsid w:val="008D276A"/>
    <w:rsid w:val="008D376A"/>
    <w:rsid w:val="008D3B4C"/>
    <w:rsid w:val="008D3CFB"/>
    <w:rsid w:val="008D6B08"/>
    <w:rsid w:val="008E088D"/>
    <w:rsid w:val="008E0E6B"/>
    <w:rsid w:val="008E16B3"/>
    <w:rsid w:val="008E306F"/>
    <w:rsid w:val="008E58F2"/>
    <w:rsid w:val="008E6081"/>
    <w:rsid w:val="008E7B79"/>
    <w:rsid w:val="008F04C8"/>
    <w:rsid w:val="008F0E0C"/>
    <w:rsid w:val="008F3AB0"/>
    <w:rsid w:val="008F681F"/>
    <w:rsid w:val="008F7A6B"/>
    <w:rsid w:val="008F7B37"/>
    <w:rsid w:val="0090061A"/>
    <w:rsid w:val="00905EC2"/>
    <w:rsid w:val="00906DC0"/>
    <w:rsid w:val="00913102"/>
    <w:rsid w:val="00913A47"/>
    <w:rsid w:val="009175DF"/>
    <w:rsid w:val="00920324"/>
    <w:rsid w:val="00923684"/>
    <w:rsid w:val="009242A7"/>
    <w:rsid w:val="00926A42"/>
    <w:rsid w:val="009270D1"/>
    <w:rsid w:val="00927D2F"/>
    <w:rsid w:val="00927D7E"/>
    <w:rsid w:val="009301BC"/>
    <w:rsid w:val="00934DC1"/>
    <w:rsid w:val="00940644"/>
    <w:rsid w:val="00940FAF"/>
    <w:rsid w:val="00941B38"/>
    <w:rsid w:val="00941D1B"/>
    <w:rsid w:val="00943915"/>
    <w:rsid w:val="0094475B"/>
    <w:rsid w:val="00945323"/>
    <w:rsid w:val="00946914"/>
    <w:rsid w:val="00950638"/>
    <w:rsid w:val="009509A1"/>
    <w:rsid w:val="0095271C"/>
    <w:rsid w:val="00952FC7"/>
    <w:rsid w:val="00953598"/>
    <w:rsid w:val="0095394A"/>
    <w:rsid w:val="009553DD"/>
    <w:rsid w:val="00955CAC"/>
    <w:rsid w:val="00960BD6"/>
    <w:rsid w:val="00961B60"/>
    <w:rsid w:val="009630E3"/>
    <w:rsid w:val="00963EC6"/>
    <w:rsid w:val="009650FA"/>
    <w:rsid w:val="0097494D"/>
    <w:rsid w:val="00974E20"/>
    <w:rsid w:val="0097685E"/>
    <w:rsid w:val="009814BF"/>
    <w:rsid w:val="00984493"/>
    <w:rsid w:val="009856EB"/>
    <w:rsid w:val="00987260"/>
    <w:rsid w:val="00987905"/>
    <w:rsid w:val="00987B37"/>
    <w:rsid w:val="009907A4"/>
    <w:rsid w:val="0099404D"/>
    <w:rsid w:val="009950E1"/>
    <w:rsid w:val="009956DD"/>
    <w:rsid w:val="00996676"/>
    <w:rsid w:val="009A007C"/>
    <w:rsid w:val="009A1140"/>
    <w:rsid w:val="009A2469"/>
    <w:rsid w:val="009A2B72"/>
    <w:rsid w:val="009A4B10"/>
    <w:rsid w:val="009A5903"/>
    <w:rsid w:val="009A686A"/>
    <w:rsid w:val="009A7005"/>
    <w:rsid w:val="009A7349"/>
    <w:rsid w:val="009A78E5"/>
    <w:rsid w:val="009B0D56"/>
    <w:rsid w:val="009B1955"/>
    <w:rsid w:val="009B21E8"/>
    <w:rsid w:val="009B51C5"/>
    <w:rsid w:val="009B6260"/>
    <w:rsid w:val="009B7744"/>
    <w:rsid w:val="009C252F"/>
    <w:rsid w:val="009C26D0"/>
    <w:rsid w:val="009C4FE9"/>
    <w:rsid w:val="009C57F2"/>
    <w:rsid w:val="009C5964"/>
    <w:rsid w:val="009C6259"/>
    <w:rsid w:val="009C687D"/>
    <w:rsid w:val="009D30D0"/>
    <w:rsid w:val="009D6879"/>
    <w:rsid w:val="009D6D29"/>
    <w:rsid w:val="009D7D2A"/>
    <w:rsid w:val="009D7DE3"/>
    <w:rsid w:val="009E0E9A"/>
    <w:rsid w:val="009E2369"/>
    <w:rsid w:val="009F0856"/>
    <w:rsid w:val="009F1F91"/>
    <w:rsid w:val="009F2407"/>
    <w:rsid w:val="009F3E84"/>
    <w:rsid w:val="009F3F47"/>
    <w:rsid w:val="00A005E8"/>
    <w:rsid w:val="00A0099D"/>
    <w:rsid w:val="00A01E6F"/>
    <w:rsid w:val="00A02CA0"/>
    <w:rsid w:val="00A02E19"/>
    <w:rsid w:val="00A038DF"/>
    <w:rsid w:val="00A04A76"/>
    <w:rsid w:val="00A06118"/>
    <w:rsid w:val="00A0625C"/>
    <w:rsid w:val="00A067E4"/>
    <w:rsid w:val="00A06D46"/>
    <w:rsid w:val="00A06F32"/>
    <w:rsid w:val="00A07C0E"/>
    <w:rsid w:val="00A07C86"/>
    <w:rsid w:val="00A10232"/>
    <w:rsid w:val="00A1185F"/>
    <w:rsid w:val="00A11F8C"/>
    <w:rsid w:val="00A13598"/>
    <w:rsid w:val="00A13738"/>
    <w:rsid w:val="00A13A3E"/>
    <w:rsid w:val="00A146BC"/>
    <w:rsid w:val="00A156CE"/>
    <w:rsid w:val="00A15B62"/>
    <w:rsid w:val="00A15F58"/>
    <w:rsid w:val="00A1604A"/>
    <w:rsid w:val="00A2110A"/>
    <w:rsid w:val="00A217B0"/>
    <w:rsid w:val="00A21D1F"/>
    <w:rsid w:val="00A220E9"/>
    <w:rsid w:val="00A23500"/>
    <w:rsid w:val="00A23763"/>
    <w:rsid w:val="00A23860"/>
    <w:rsid w:val="00A24A98"/>
    <w:rsid w:val="00A266B0"/>
    <w:rsid w:val="00A26992"/>
    <w:rsid w:val="00A27A5C"/>
    <w:rsid w:val="00A30898"/>
    <w:rsid w:val="00A30D11"/>
    <w:rsid w:val="00A30E44"/>
    <w:rsid w:val="00A317B5"/>
    <w:rsid w:val="00A346EF"/>
    <w:rsid w:val="00A35658"/>
    <w:rsid w:val="00A365E0"/>
    <w:rsid w:val="00A37F6B"/>
    <w:rsid w:val="00A40171"/>
    <w:rsid w:val="00A41127"/>
    <w:rsid w:val="00A42A70"/>
    <w:rsid w:val="00A43178"/>
    <w:rsid w:val="00A4321D"/>
    <w:rsid w:val="00A439FA"/>
    <w:rsid w:val="00A43E4D"/>
    <w:rsid w:val="00A442C3"/>
    <w:rsid w:val="00A44BB9"/>
    <w:rsid w:val="00A44CCB"/>
    <w:rsid w:val="00A47215"/>
    <w:rsid w:val="00A50402"/>
    <w:rsid w:val="00A52015"/>
    <w:rsid w:val="00A53571"/>
    <w:rsid w:val="00A54B7C"/>
    <w:rsid w:val="00A551A5"/>
    <w:rsid w:val="00A55DAE"/>
    <w:rsid w:val="00A60BAB"/>
    <w:rsid w:val="00A61BCC"/>
    <w:rsid w:val="00A62BE3"/>
    <w:rsid w:val="00A63054"/>
    <w:rsid w:val="00A64235"/>
    <w:rsid w:val="00A653D7"/>
    <w:rsid w:val="00A65BD8"/>
    <w:rsid w:val="00A71179"/>
    <w:rsid w:val="00A711AF"/>
    <w:rsid w:val="00A71960"/>
    <w:rsid w:val="00A72E9E"/>
    <w:rsid w:val="00A75922"/>
    <w:rsid w:val="00A75ED4"/>
    <w:rsid w:val="00A75F1C"/>
    <w:rsid w:val="00A77B4C"/>
    <w:rsid w:val="00A80031"/>
    <w:rsid w:val="00A849B8"/>
    <w:rsid w:val="00A85330"/>
    <w:rsid w:val="00A86A1D"/>
    <w:rsid w:val="00A913C5"/>
    <w:rsid w:val="00A9454F"/>
    <w:rsid w:val="00A94C82"/>
    <w:rsid w:val="00A962AF"/>
    <w:rsid w:val="00A96B56"/>
    <w:rsid w:val="00A979C3"/>
    <w:rsid w:val="00AA0F34"/>
    <w:rsid w:val="00AA3E38"/>
    <w:rsid w:val="00AA4AC4"/>
    <w:rsid w:val="00AA4DE8"/>
    <w:rsid w:val="00AA5143"/>
    <w:rsid w:val="00AA541F"/>
    <w:rsid w:val="00AA5AC4"/>
    <w:rsid w:val="00AA6291"/>
    <w:rsid w:val="00AA7106"/>
    <w:rsid w:val="00AA710A"/>
    <w:rsid w:val="00AA7C50"/>
    <w:rsid w:val="00AB11A6"/>
    <w:rsid w:val="00AB2175"/>
    <w:rsid w:val="00AB2974"/>
    <w:rsid w:val="00AB4B87"/>
    <w:rsid w:val="00AB6187"/>
    <w:rsid w:val="00AB637E"/>
    <w:rsid w:val="00AB678E"/>
    <w:rsid w:val="00AB6A66"/>
    <w:rsid w:val="00AC1A54"/>
    <w:rsid w:val="00AC1E37"/>
    <w:rsid w:val="00AC3702"/>
    <w:rsid w:val="00AC5C42"/>
    <w:rsid w:val="00AD114F"/>
    <w:rsid w:val="00AD1982"/>
    <w:rsid w:val="00AD2A77"/>
    <w:rsid w:val="00AD62B1"/>
    <w:rsid w:val="00AE030E"/>
    <w:rsid w:val="00AE1207"/>
    <w:rsid w:val="00AE25CC"/>
    <w:rsid w:val="00AE269C"/>
    <w:rsid w:val="00AE418E"/>
    <w:rsid w:val="00AF098F"/>
    <w:rsid w:val="00AF09B2"/>
    <w:rsid w:val="00AF2FDB"/>
    <w:rsid w:val="00AF3AF8"/>
    <w:rsid w:val="00AF4CEB"/>
    <w:rsid w:val="00AF61C5"/>
    <w:rsid w:val="00B00AE7"/>
    <w:rsid w:val="00B043EA"/>
    <w:rsid w:val="00B047D7"/>
    <w:rsid w:val="00B047ED"/>
    <w:rsid w:val="00B053D3"/>
    <w:rsid w:val="00B05568"/>
    <w:rsid w:val="00B05DCE"/>
    <w:rsid w:val="00B05F58"/>
    <w:rsid w:val="00B06D30"/>
    <w:rsid w:val="00B1206B"/>
    <w:rsid w:val="00B13C67"/>
    <w:rsid w:val="00B15D5B"/>
    <w:rsid w:val="00B16AF0"/>
    <w:rsid w:val="00B172C7"/>
    <w:rsid w:val="00B17F4F"/>
    <w:rsid w:val="00B20466"/>
    <w:rsid w:val="00B21CFC"/>
    <w:rsid w:val="00B21E69"/>
    <w:rsid w:val="00B21E9E"/>
    <w:rsid w:val="00B22467"/>
    <w:rsid w:val="00B22934"/>
    <w:rsid w:val="00B237D5"/>
    <w:rsid w:val="00B23AFF"/>
    <w:rsid w:val="00B249AB"/>
    <w:rsid w:val="00B251EF"/>
    <w:rsid w:val="00B25297"/>
    <w:rsid w:val="00B26874"/>
    <w:rsid w:val="00B26FB2"/>
    <w:rsid w:val="00B27AFF"/>
    <w:rsid w:val="00B33B9A"/>
    <w:rsid w:val="00B35A6C"/>
    <w:rsid w:val="00B3651D"/>
    <w:rsid w:val="00B37E66"/>
    <w:rsid w:val="00B43C3D"/>
    <w:rsid w:val="00B47674"/>
    <w:rsid w:val="00B47FB7"/>
    <w:rsid w:val="00B50140"/>
    <w:rsid w:val="00B502E6"/>
    <w:rsid w:val="00B50F23"/>
    <w:rsid w:val="00B516D1"/>
    <w:rsid w:val="00B51DDD"/>
    <w:rsid w:val="00B543E9"/>
    <w:rsid w:val="00B55EA8"/>
    <w:rsid w:val="00B56382"/>
    <w:rsid w:val="00B56F16"/>
    <w:rsid w:val="00B60038"/>
    <w:rsid w:val="00B60EA6"/>
    <w:rsid w:val="00B622BC"/>
    <w:rsid w:val="00B62727"/>
    <w:rsid w:val="00B63EA8"/>
    <w:rsid w:val="00B654B7"/>
    <w:rsid w:val="00B6572F"/>
    <w:rsid w:val="00B65835"/>
    <w:rsid w:val="00B663AD"/>
    <w:rsid w:val="00B6697B"/>
    <w:rsid w:val="00B66DB7"/>
    <w:rsid w:val="00B72240"/>
    <w:rsid w:val="00B723A5"/>
    <w:rsid w:val="00B74921"/>
    <w:rsid w:val="00B7578D"/>
    <w:rsid w:val="00B769DF"/>
    <w:rsid w:val="00B8047C"/>
    <w:rsid w:val="00B808B3"/>
    <w:rsid w:val="00B80D7B"/>
    <w:rsid w:val="00B81CB9"/>
    <w:rsid w:val="00B826C5"/>
    <w:rsid w:val="00B84739"/>
    <w:rsid w:val="00B84BDA"/>
    <w:rsid w:val="00B86D93"/>
    <w:rsid w:val="00B92218"/>
    <w:rsid w:val="00B924E1"/>
    <w:rsid w:val="00B94A89"/>
    <w:rsid w:val="00B96219"/>
    <w:rsid w:val="00B9637B"/>
    <w:rsid w:val="00B966D4"/>
    <w:rsid w:val="00B96E3A"/>
    <w:rsid w:val="00BA0AF8"/>
    <w:rsid w:val="00BA0BFB"/>
    <w:rsid w:val="00BA0F0F"/>
    <w:rsid w:val="00BA2CBD"/>
    <w:rsid w:val="00BA30CB"/>
    <w:rsid w:val="00BA4410"/>
    <w:rsid w:val="00BA6C33"/>
    <w:rsid w:val="00BB0EDB"/>
    <w:rsid w:val="00BB37BB"/>
    <w:rsid w:val="00BB442B"/>
    <w:rsid w:val="00BB57FF"/>
    <w:rsid w:val="00BC1DF9"/>
    <w:rsid w:val="00BC237C"/>
    <w:rsid w:val="00BC2D1C"/>
    <w:rsid w:val="00BC2F8F"/>
    <w:rsid w:val="00BC3B52"/>
    <w:rsid w:val="00BC47F7"/>
    <w:rsid w:val="00BC49C1"/>
    <w:rsid w:val="00BC5509"/>
    <w:rsid w:val="00BC556F"/>
    <w:rsid w:val="00BC61E5"/>
    <w:rsid w:val="00BC6C05"/>
    <w:rsid w:val="00BD0651"/>
    <w:rsid w:val="00BD119A"/>
    <w:rsid w:val="00BD400B"/>
    <w:rsid w:val="00BD47A6"/>
    <w:rsid w:val="00BD517C"/>
    <w:rsid w:val="00BD5CD2"/>
    <w:rsid w:val="00BD5F52"/>
    <w:rsid w:val="00BD5F95"/>
    <w:rsid w:val="00BD75C6"/>
    <w:rsid w:val="00BD7642"/>
    <w:rsid w:val="00BE16F9"/>
    <w:rsid w:val="00BE3093"/>
    <w:rsid w:val="00BE41F2"/>
    <w:rsid w:val="00BE4636"/>
    <w:rsid w:val="00BE49A8"/>
    <w:rsid w:val="00BE6559"/>
    <w:rsid w:val="00BE6AB2"/>
    <w:rsid w:val="00BE7D45"/>
    <w:rsid w:val="00BF2415"/>
    <w:rsid w:val="00BF2B14"/>
    <w:rsid w:val="00BF39D2"/>
    <w:rsid w:val="00BF4534"/>
    <w:rsid w:val="00BF45BA"/>
    <w:rsid w:val="00BF53D2"/>
    <w:rsid w:val="00BF57B0"/>
    <w:rsid w:val="00BF7CAA"/>
    <w:rsid w:val="00C0035B"/>
    <w:rsid w:val="00C00489"/>
    <w:rsid w:val="00C015B0"/>
    <w:rsid w:val="00C05722"/>
    <w:rsid w:val="00C058A7"/>
    <w:rsid w:val="00C06B23"/>
    <w:rsid w:val="00C07252"/>
    <w:rsid w:val="00C141D6"/>
    <w:rsid w:val="00C1526E"/>
    <w:rsid w:val="00C16252"/>
    <w:rsid w:val="00C17F09"/>
    <w:rsid w:val="00C20519"/>
    <w:rsid w:val="00C21C09"/>
    <w:rsid w:val="00C22F2C"/>
    <w:rsid w:val="00C32685"/>
    <w:rsid w:val="00C336D5"/>
    <w:rsid w:val="00C343AB"/>
    <w:rsid w:val="00C379BD"/>
    <w:rsid w:val="00C41044"/>
    <w:rsid w:val="00C417A5"/>
    <w:rsid w:val="00C43516"/>
    <w:rsid w:val="00C45F30"/>
    <w:rsid w:val="00C461C0"/>
    <w:rsid w:val="00C51D10"/>
    <w:rsid w:val="00C52283"/>
    <w:rsid w:val="00C52D39"/>
    <w:rsid w:val="00C56C7D"/>
    <w:rsid w:val="00C62479"/>
    <w:rsid w:val="00C62BE6"/>
    <w:rsid w:val="00C62D12"/>
    <w:rsid w:val="00C64104"/>
    <w:rsid w:val="00C6447B"/>
    <w:rsid w:val="00C667DB"/>
    <w:rsid w:val="00C67277"/>
    <w:rsid w:val="00C67ADD"/>
    <w:rsid w:val="00C7008B"/>
    <w:rsid w:val="00C70C8F"/>
    <w:rsid w:val="00C715F7"/>
    <w:rsid w:val="00C727BA"/>
    <w:rsid w:val="00C73125"/>
    <w:rsid w:val="00C74483"/>
    <w:rsid w:val="00C8003C"/>
    <w:rsid w:val="00C80175"/>
    <w:rsid w:val="00C82C34"/>
    <w:rsid w:val="00C84B09"/>
    <w:rsid w:val="00C865A1"/>
    <w:rsid w:val="00C872D8"/>
    <w:rsid w:val="00C910B2"/>
    <w:rsid w:val="00C9459C"/>
    <w:rsid w:val="00C9538D"/>
    <w:rsid w:val="00C96364"/>
    <w:rsid w:val="00C96F68"/>
    <w:rsid w:val="00CA09E4"/>
    <w:rsid w:val="00CA20C3"/>
    <w:rsid w:val="00CA2145"/>
    <w:rsid w:val="00CA4B2D"/>
    <w:rsid w:val="00CA4D14"/>
    <w:rsid w:val="00CA55C4"/>
    <w:rsid w:val="00CA60BD"/>
    <w:rsid w:val="00CA6368"/>
    <w:rsid w:val="00CA7764"/>
    <w:rsid w:val="00CB3A6E"/>
    <w:rsid w:val="00CB466F"/>
    <w:rsid w:val="00CB4D7A"/>
    <w:rsid w:val="00CB51B8"/>
    <w:rsid w:val="00CC0B13"/>
    <w:rsid w:val="00CC0FA5"/>
    <w:rsid w:val="00CC156E"/>
    <w:rsid w:val="00CC2B2B"/>
    <w:rsid w:val="00CC2F1B"/>
    <w:rsid w:val="00CC3243"/>
    <w:rsid w:val="00CC3732"/>
    <w:rsid w:val="00CC3B97"/>
    <w:rsid w:val="00CC41D6"/>
    <w:rsid w:val="00CC6FA1"/>
    <w:rsid w:val="00CD1554"/>
    <w:rsid w:val="00CD20A1"/>
    <w:rsid w:val="00CD2809"/>
    <w:rsid w:val="00CD664F"/>
    <w:rsid w:val="00CD6ED8"/>
    <w:rsid w:val="00CD7683"/>
    <w:rsid w:val="00CE0197"/>
    <w:rsid w:val="00CE02F3"/>
    <w:rsid w:val="00CE1D83"/>
    <w:rsid w:val="00CE663B"/>
    <w:rsid w:val="00CE6AA9"/>
    <w:rsid w:val="00CE72C0"/>
    <w:rsid w:val="00CE78B4"/>
    <w:rsid w:val="00CF0DCB"/>
    <w:rsid w:val="00CF12D0"/>
    <w:rsid w:val="00CF5000"/>
    <w:rsid w:val="00CF50E6"/>
    <w:rsid w:val="00CF59EE"/>
    <w:rsid w:val="00CF5C4C"/>
    <w:rsid w:val="00CF7314"/>
    <w:rsid w:val="00CF75C1"/>
    <w:rsid w:val="00D01233"/>
    <w:rsid w:val="00D047ED"/>
    <w:rsid w:val="00D068BC"/>
    <w:rsid w:val="00D06E0E"/>
    <w:rsid w:val="00D10FF8"/>
    <w:rsid w:val="00D14DA7"/>
    <w:rsid w:val="00D17D68"/>
    <w:rsid w:val="00D17FAD"/>
    <w:rsid w:val="00D2101F"/>
    <w:rsid w:val="00D21911"/>
    <w:rsid w:val="00D24F36"/>
    <w:rsid w:val="00D2710B"/>
    <w:rsid w:val="00D27601"/>
    <w:rsid w:val="00D320A4"/>
    <w:rsid w:val="00D32498"/>
    <w:rsid w:val="00D35180"/>
    <w:rsid w:val="00D36976"/>
    <w:rsid w:val="00D36C55"/>
    <w:rsid w:val="00D4010F"/>
    <w:rsid w:val="00D40847"/>
    <w:rsid w:val="00D40CC5"/>
    <w:rsid w:val="00D41D11"/>
    <w:rsid w:val="00D42414"/>
    <w:rsid w:val="00D4269E"/>
    <w:rsid w:val="00D43116"/>
    <w:rsid w:val="00D44B89"/>
    <w:rsid w:val="00D44C28"/>
    <w:rsid w:val="00D45878"/>
    <w:rsid w:val="00D5450F"/>
    <w:rsid w:val="00D551B7"/>
    <w:rsid w:val="00D55A3B"/>
    <w:rsid w:val="00D561C6"/>
    <w:rsid w:val="00D60C7D"/>
    <w:rsid w:val="00D60FED"/>
    <w:rsid w:val="00D627CB"/>
    <w:rsid w:val="00D62805"/>
    <w:rsid w:val="00D6308E"/>
    <w:rsid w:val="00D633C9"/>
    <w:rsid w:val="00D63821"/>
    <w:rsid w:val="00D63A8F"/>
    <w:rsid w:val="00D63A9A"/>
    <w:rsid w:val="00D648DB"/>
    <w:rsid w:val="00D65647"/>
    <w:rsid w:val="00D6579B"/>
    <w:rsid w:val="00D660DD"/>
    <w:rsid w:val="00D66312"/>
    <w:rsid w:val="00D67E53"/>
    <w:rsid w:val="00D70548"/>
    <w:rsid w:val="00D71000"/>
    <w:rsid w:val="00D710D0"/>
    <w:rsid w:val="00D711CA"/>
    <w:rsid w:val="00D72686"/>
    <w:rsid w:val="00D72B53"/>
    <w:rsid w:val="00D732BD"/>
    <w:rsid w:val="00D747B6"/>
    <w:rsid w:val="00D74FDD"/>
    <w:rsid w:val="00D7511D"/>
    <w:rsid w:val="00D75924"/>
    <w:rsid w:val="00D75B45"/>
    <w:rsid w:val="00D82999"/>
    <w:rsid w:val="00D82B6C"/>
    <w:rsid w:val="00D82D8B"/>
    <w:rsid w:val="00D84968"/>
    <w:rsid w:val="00D84B60"/>
    <w:rsid w:val="00D91C2E"/>
    <w:rsid w:val="00D92266"/>
    <w:rsid w:val="00D94224"/>
    <w:rsid w:val="00D94771"/>
    <w:rsid w:val="00D94909"/>
    <w:rsid w:val="00DA2093"/>
    <w:rsid w:val="00DA504B"/>
    <w:rsid w:val="00DA56DA"/>
    <w:rsid w:val="00DA57E0"/>
    <w:rsid w:val="00DA5F96"/>
    <w:rsid w:val="00DA61B9"/>
    <w:rsid w:val="00DA718C"/>
    <w:rsid w:val="00DB073C"/>
    <w:rsid w:val="00DB2A01"/>
    <w:rsid w:val="00DB52A7"/>
    <w:rsid w:val="00DB56CD"/>
    <w:rsid w:val="00DB6695"/>
    <w:rsid w:val="00DC2912"/>
    <w:rsid w:val="00DC668D"/>
    <w:rsid w:val="00DD03DC"/>
    <w:rsid w:val="00DD1727"/>
    <w:rsid w:val="00DD1CEB"/>
    <w:rsid w:val="00DD3614"/>
    <w:rsid w:val="00DD52BA"/>
    <w:rsid w:val="00DD7241"/>
    <w:rsid w:val="00DD7693"/>
    <w:rsid w:val="00DD7BF9"/>
    <w:rsid w:val="00DE0BCA"/>
    <w:rsid w:val="00DE11B3"/>
    <w:rsid w:val="00DE2C9A"/>
    <w:rsid w:val="00DE4B1E"/>
    <w:rsid w:val="00DE7ECD"/>
    <w:rsid w:val="00DF214E"/>
    <w:rsid w:val="00DF2C65"/>
    <w:rsid w:val="00DF7867"/>
    <w:rsid w:val="00E00F9E"/>
    <w:rsid w:val="00E03092"/>
    <w:rsid w:val="00E03458"/>
    <w:rsid w:val="00E041EE"/>
    <w:rsid w:val="00E05729"/>
    <w:rsid w:val="00E05923"/>
    <w:rsid w:val="00E0700B"/>
    <w:rsid w:val="00E130CC"/>
    <w:rsid w:val="00E135B5"/>
    <w:rsid w:val="00E1419F"/>
    <w:rsid w:val="00E14AE2"/>
    <w:rsid w:val="00E15BAD"/>
    <w:rsid w:val="00E173B7"/>
    <w:rsid w:val="00E17991"/>
    <w:rsid w:val="00E17DEB"/>
    <w:rsid w:val="00E20CE7"/>
    <w:rsid w:val="00E21FD4"/>
    <w:rsid w:val="00E23D97"/>
    <w:rsid w:val="00E2430C"/>
    <w:rsid w:val="00E24BB8"/>
    <w:rsid w:val="00E261D6"/>
    <w:rsid w:val="00E264F1"/>
    <w:rsid w:val="00E30510"/>
    <w:rsid w:val="00E31551"/>
    <w:rsid w:val="00E33D1F"/>
    <w:rsid w:val="00E3404E"/>
    <w:rsid w:val="00E3497F"/>
    <w:rsid w:val="00E41A2A"/>
    <w:rsid w:val="00E41B75"/>
    <w:rsid w:val="00E44F62"/>
    <w:rsid w:val="00E475B5"/>
    <w:rsid w:val="00E50BCB"/>
    <w:rsid w:val="00E5104A"/>
    <w:rsid w:val="00E53CD4"/>
    <w:rsid w:val="00E56B74"/>
    <w:rsid w:val="00E5766D"/>
    <w:rsid w:val="00E600B6"/>
    <w:rsid w:val="00E635F3"/>
    <w:rsid w:val="00E63AF0"/>
    <w:rsid w:val="00E64A6C"/>
    <w:rsid w:val="00E67B2C"/>
    <w:rsid w:val="00E70A6A"/>
    <w:rsid w:val="00E71223"/>
    <w:rsid w:val="00E73DCB"/>
    <w:rsid w:val="00E7525B"/>
    <w:rsid w:val="00E75322"/>
    <w:rsid w:val="00E7536D"/>
    <w:rsid w:val="00E760DC"/>
    <w:rsid w:val="00E77106"/>
    <w:rsid w:val="00E806E4"/>
    <w:rsid w:val="00E80D86"/>
    <w:rsid w:val="00E813AF"/>
    <w:rsid w:val="00E81DFE"/>
    <w:rsid w:val="00E82590"/>
    <w:rsid w:val="00E8259A"/>
    <w:rsid w:val="00E828B6"/>
    <w:rsid w:val="00E84249"/>
    <w:rsid w:val="00E85380"/>
    <w:rsid w:val="00E862AF"/>
    <w:rsid w:val="00E903C2"/>
    <w:rsid w:val="00E90860"/>
    <w:rsid w:val="00E9243C"/>
    <w:rsid w:val="00E92AF4"/>
    <w:rsid w:val="00E9366E"/>
    <w:rsid w:val="00E94DC1"/>
    <w:rsid w:val="00E959B6"/>
    <w:rsid w:val="00E96074"/>
    <w:rsid w:val="00E966E0"/>
    <w:rsid w:val="00E97988"/>
    <w:rsid w:val="00EA0121"/>
    <w:rsid w:val="00EA1006"/>
    <w:rsid w:val="00EA1C91"/>
    <w:rsid w:val="00EA47CB"/>
    <w:rsid w:val="00EA595A"/>
    <w:rsid w:val="00EA6167"/>
    <w:rsid w:val="00EA7595"/>
    <w:rsid w:val="00EA7A50"/>
    <w:rsid w:val="00EA7BD9"/>
    <w:rsid w:val="00EB033F"/>
    <w:rsid w:val="00EB12F9"/>
    <w:rsid w:val="00EB1A5C"/>
    <w:rsid w:val="00EB1F47"/>
    <w:rsid w:val="00EB1FA1"/>
    <w:rsid w:val="00EB63F4"/>
    <w:rsid w:val="00EB6DD8"/>
    <w:rsid w:val="00EB721A"/>
    <w:rsid w:val="00EC1B1F"/>
    <w:rsid w:val="00EC2659"/>
    <w:rsid w:val="00EC549B"/>
    <w:rsid w:val="00EC7E91"/>
    <w:rsid w:val="00ED0286"/>
    <w:rsid w:val="00ED099C"/>
    <w:rsid w:val="00ED13FB"/>
    <w:rsid w:val="00ED1508"/>
    <w:rsid w:val="00ED1A18"/>
    <w:rsid w:val="00ED5358"/>
    <w:rsid w:val="00ED5573"/>
    <w:rsid w:val="00ED6348"/>
    <w:rsid w:val="00EE0483"/>
    <w:rsid w:val="00EE13EA"/>
    <w:rsid w:val="00EE50F4"/>
    <w:rsid w:val="00EE5516"/>
    <w:rsid w:val="00EE6A2C"/>
    <w:rsid w:val="00EE7F96"/>
    <w:rsid w:val="00EF04AD"/>
    <w:rsid w:val="00EF05EA"/>
    <w:rsid w:val="00EF3637"/>
    <w:rsid w:val="00EF3AFC"/>
    <w:rsid w:val="00EF4BFD"/>
    <w:rsid w:val="00EF518E"/>
    <w:rsid w:val="00EF5F97"/>
    <w:rsid w:val="00EF651D"/>
    <w:rsid w:val="00EF6548"/>
    <w:rsid w:val="00EF6BB8"/>
    <w:rsid w:val="00EF6DA0"/>
    <w:rsid w:val="00EF7BA3"/>
    <w:rsid w:val="00F00E2E"/>
    <w:rsid w:val="00F02096"/>
    <w:rsid w:val="00F06F98"/>
    <w:rsid w:val="00F07718"/>
    <w:rsid w:val="00F11615"/>
    <w:rsid w:val="00F120DC"/>
    <w:rsid w:val="00F15223"/>
    <w:rsid w:val="00F15417"/>
    <w:rsid w:val="00F206A8"/>
    <w:rsid w:val="00F209D0"/>
    <w:rsid w:val="00F25415"/>
    <w:rsid w:val="00F26CAE"/>
    <w:rsid w:val="00F2729E"/>
    <w:rsid w:val="00F31467"/>
    <w:rsid w:val="00F3333A"/>
    <w:rsid w:val="00F35250"/>
    <w:rsid w:val="00F3553B"/>
    <w:rsid w:val="00F35993"/>
    <w:rsid w:val="00F36324"/>
    <w:rsid w:val="00F37725"/>
    <w:rsid w:val="00F37C24"/>
    <w:rsid w:val="00F401C0"/>
    <w:rsid w:val="00F412DC"/>
    <w:rsid w:val="00F430BE"/>
    <w:rsid w:val="00F450F6"/>
    <w:rsid w:val="00F468A6"/>
    <w:rsid w:val="00F46F05"/>
    <w:rsid w:val="00F5207D"/>
    <w:rsid w:val="00F53D74"/>
    <w:rsid w:val="00F56098"/>
    <w:rsid w:val="00F63F6D"/>
    <w:rsid w:val="00F64504"/>
    <w:rsid w:val="00F65A7E"/>
    <w:rsid w:val="00F71C10"/>
    <w:rsid w:val="00F71DF1"/>
    <w:rsid w:val="00F71F70"/>
    <w:rsid w:val="00F72816"/>
    <w:rsid w:val="00F7348C"/>
    <w:rsid w:val="00F739D4"/>
    <w:rsid w:val="00F74B3D"/>
    <w:rsid w:val="00F752FF"/>
    <w:rsid w:val="00F83BA2"/>
    <w:rsid w:val="00F84C33"/>
    <w:rsid w:val="00F84D42"/>
    <w:rsid w:val="00F855B0"/>
    <w:rsid w:val="00F875DA"/>
    <w:rsid w:val="00F939FB"/>
    <w:rsid w:val="00F94369"/>
    <w:rsid w:val="00F97BAC"/>
    <w:rsid w:val="00FA161F"/>
    <w:rsid w:val="00FA2478"/>
    <w:rsid w:val="00FA3D8C"/>
    <w:rsid w:val="00FA54C5"/>
    <w:rsid w:val="00FA6546"/>
    <w:rsid w:val="00FB00BF"/>
    <w:rsid w:val="00FB0923"/>
    <w:rsid w:val="00FB2F49"/>
    <w:rsid w:val="00FB304E"/>
    <w:rsid w:val="00FB4E0D"/>
    <w:rsid w:val="00FC1438"/>
    <w:rsid w:val="00FC1584"/>
    <w:rsid w:val="00FC3820"/>
    <w:rsid w:val="00FC3B0E"/>
    <w:rsid w:val="00FC3B6B"/>
    <w:rsid w:val="00FC577A"/>
    <w:rsid w:val="00FC620E"/>
    <w:rsid w:val="00FD09D6"/>
    <w:rsid w:val="00FD10F2"/>
    <w:rsid w:val="00FD20B7"/>
    <w:rsid w:val="00FD33F2"/>
    <w:rsid w:val="00FD404A"/>
    <w:rsid w:val="00FD60F2"/>
    <w:rsid w:val="00FD77D8"/>
    <w:rsid w:val="00FE13A5"/>
    <w:rsid w:val="00FE17B2"/>
    <w:rsid w:val="00FE301A"/>
    <w:rsid w:val="00FE3EE9"/>
    <w:rsid w:val="00FE45B8"/>
    <w:rsid w:val="00FF135B"/>
    <w:rsid w:val="00FF1B2D"/>
    <w:rsid w:val="00FF2E8B"/>
    <w:rsid w:val="00FF2F0C"/>
    <w:rsid w:val="00FF3B58"/>
    <w:rsid w:val="00FF4F53"/>
    <w:rsid w:val="00FF52EE"/>
    <w:rsid w:val="00FF6093"/>
    <w:rsid w:val="00FF66E6"/>
    <w:rsid w:val="00FF6E24"/>
    <w:rsid w:val="00FF7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5F173"/>
  <w15:chartTrackingRefBased/>
  <w15:docId w15:val="{F6B60E3F-9184-4B94-ACA3-022E784E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11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52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01"/>
    <w:pPr>
      <w:spacing w:after="100" w:afterAutospacing="1" w:line="240" w:lineRule="auto"/>
      <w:ind w:left="720"/>
      <w:contextualSpacing/>
      <w:jc w:val="both"/>
    </w:pPr>
    <w:rPr>
      <w:rFonts w:ascii="Times New Roman" w:hAnsi="Times New Roman" w:cs="Times New Roman"/>
      <w:color w:val="000000" w:themeColor="text1"/>
      <w:sz w:val="24"/>
      <w:szCs w:val="24"/>
    </w:rPr>
  </w:style>
  <w:style w:type="paragraph" w:styleId="FootnoteText">
    <w:name w:val="footnote text"/>
    <w:basedOn w:val="Normal"/>
    <w:link w:val="FootnoteTextChar"/>
    <w:uiPriority w:val="99"/>
    <w:unhideWhenUsed/>
    <w:rsid w:val="00787F01"/>
    <w:pPr>
      <w:spacing w:after="0" w:afterAutospacing="1" w:line="240" w:lineRule="auto"/>
      <w:ind w:left="720"/>
      <w:jc w:val="both"/>
    </w:pPr>
    <w:rPr>
      <w:rFonts w:ascii="Times New Roman" w:hAnsi="Times New Roman" w:cs="Times New Roman"/>
      <w:color w:val="000000" w:themeColor="text1"/>
      <w:sz w:val="20"/>
      <w:szCs w:val="20"/>
    </w:rPr>
  </w:style>
  <w:style w:type="character" w:customStyle="1" w:styleId="FootnoteTextChar">
    <w:name w:val="Footnote Text Char"/>
    <w:basedOn w:val="DefaultParagraphFont"/>
    <w:link w:val="FootnoteText"/>
    <w:uiPriority w:val="99"/>
    <w:rsid w:val="00787F01"/>
    <w:rPr>
      <w:rFonts w:ascii="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787F01"/>
    <w:rPr>
      <w:vertAlign w:val="superscript"/>
    </w:rPr>
  </w:style>
  <w:style w:type="character" w:styleId="Hyperlink">
    <w:name w:val="Hyperlink"/>
    <w:basedOn w:val="DefaultParagraphFont"/>
    <w:uiPriority w:val="99"/>
    <w:unhideWhenUsed/>
    <w:rsid w:val="00787F01"/>
    <w:rPr>
      <w:color w:val="0563C1" w:themeColor="hyperlink"/>
      <w:u w:val="single"/>
    </w:rPr>
  </w:style>
  <w:style w:type="character" w:styleId="Strong">
    <w:name w:val="Strong"/>
    <w:basedOn w:val="DefaultParagraphFont"/>
    <w:uiPriority w:val="22"/>
    <w:qFormat/>
    <w:rsid w:val="00787F01"/>
    <w:rPr>
      <w:b/>
      <w:bCs/>
    </w:rPr>
  </w:style>
  <w:style w:type="character" w:customStyle="1" w:styleId="Heading1Char">
    <w:name w:val="Heading 1 Char"/>
    <w:basedOn w:val="DefaultParagraphFont"/>
    <w:link w:val="Heading1"/>
    <w:uiPriority w:val="9"/>
    <w:rsid w:val="001811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1176"/>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D36C55"/>
    <w:pPr>
      <w:spacing w:before="120" w:after="120"/>
    </w:pPr>
    <w:rPr>
      <w:rFonts w:cstheme="minorHAnsi"/>
      <w:b/>
      <w:bCs/>
      <w:caps/>
      <w:sz w:val="20"/>
      <w:szCs w:val="20"/>
    </w:rPr>
  </w:style>
  <w:style w:type="paragraph" w:styleId="TOC2">
    <w:name w:val="toc 2"/>
    <w:basedOn w:val="Normal"/>
    <w:next w:val="Normal"/>
    <w:autoRedefine/>
    <w:uiPriority w:val="39"/>
    <w:unhideWhenUsed/>
    <w:rsid w:val="00FA3D8C"/>
    <w:pPr>
      <w:spacing w:after="0"/>
      <w:ind w:left="220"/>
    </w:pPr>
    <w:rPr>
      <w:rFonts w:cstheme="minorHAnsi"/>
      <w:smallCaps/>
      <w:sz w:val="20"/>
      <w:szCs w:val="20"/>
    </w:rPr>
  </w:style>
  <w:style w:type="character" w:styleId="UnresolvedMention">
    <w:name w:val="Unresolved Mention"/>
    <w:basedOn w:val="DefaultParagraphFont"/>
    <w:uiPriority w:val="99"/>
    <w:semiHidden/>
    <w:unhideWhenUsed/>
    <w:rsid w:val="0099404D"/>
    <w:rPr>
      <w:color w:val="605E5C"/>
      <w:shd w:val="clear" w:color="auto" w:fill="E1DFDD"/>
    </w:rPr>
  </w:style>
  <w:style w:type="paragraph" w:styleId="NormalWeb">
    <w:name w:val="Normal (Web)"/>
    <w:basedOn w:val="Normal"/>
    <w:uiPriority w:val="99"/>
    <w:semiHidden/>
    <w:unhideWhenUsed/>
    <w:rsid w:val="00BD0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87260"/>
    <w:rPr>
      <w:i/>
      <w:iCs/>
    </w:rPr>
  </w:style>
  <w:style w:type="paragraph" w:styleId="TOC3">
    <w:name w:val="toc 3"/>
    <w:basedOn w:val="Normal"/>
    <w:next w:val="Normal"/>
    <w:autoRedefine/>
    <w:uiPriority w:val="39"/>
    <w:unhideWhenUsed/>
    <w:rsid w:val="00200165"/>
    <w:pPr>
      <w:spacing w:after="0"/>
      <w:ind w:left="440"/>
    </w:pPr>
    <w:rPr>
      <w:rFonts w:cstheme="minorHAnsi"/>
      <w:i/>
      <w:iCs/>
      <w:sz w:val="20"/>
      <w:szCs w:val="20"/>
    </w:rPr>
  </w:style>
  <w:style w:type="paragraph" w:styleId="TOC4">
    <w:name w:val="toc 4"/>
    <w:basedOn w:val="Normal"/>
    <w:next w:val="Normal"/>
    <w:autoRedefine/>
    <w:uiPriority w:val="39"/>
    <w:unhideWhenUsed/>
    <w:rsid w:val="00200165"/>
    <w:pPr>
      <w:spacing w:after="0"/>
      <w:ind w:left="660"/>
    </w:pPr>
    <w:rPr>
      <w:rFonts w:cstheme="minorHAnsi"/>
      <w:sz w:val="18"/>
      <w:szCs w:val="18"/>
    </w:rPr>
  </w:style>
  <w:style w:type="paragraph" w:styleId="TOC5">
    <w:name w:val="toc 5"/>
    <w:basedOn w:val="Normal"/>
    <w:next w:val="Normal"/>
    <w:autoRedefine/>
    <w:uiPriority w:val="39"/>
    <w:unhideWhenUsed/>
    <w:rsid w:val="00200165"/>
    <w:pPr>
      <w:spacing w:after="0"/>
      <w:ind w:left="880"/>
    </w:pPr>
    <w:rPr>
      <w:rFonts w:cstheme="minorHAnsi"/>
      <w:sz w:val="18"/>
      <w:szCs w:val="18"/>
    </w:rPr>
  </w:style>
  <w:style w:type="paragraph" w:styleId="TOC6">
    <w:name w:val="toc 6"/>
    <w:basedOn w:val="Normal"/>
    <w:next w:val="Normal"/>
    <w:autoRedefine/>
    <w:uiPriority w:val="39"/>
    <w:unhideWhenUsed/>
    <w:rsid w:val="00200165"/>
    <w:pPr>
      <w:spacing w:after="0"/>
      <w:ind w:left="1100"/>
    </w:pPr>
    <w:rPr>
      <w:rFonts w:cstheme="minorHAnsi"/>
      <w:sz w:val="18"/>
      <w:szCs w:val="18"/>
    </w:rPr>
  </w:style>
  <w:style w:type="paragraph" w:styleId="TOC7">
    <w:name w:val="toc 7"/>
    <w:basedOn w:val="Normal"/>
    <w:next w:val="Normal"/>
    <w:autoRedefine/>
    <w:uiPriority w:val="39"/>
    <w:unhideWhenUsed/>
    <w:rsid w:val="00200165"/>
    <w:pPr>
      <w:spacing w:after="0"/>
      <w:ind w:left="1320"/>
    </w:pPr>
    <w:rPr>
      <w:rFonts w:cstheme="minorHAnsi"/>
      <w:sz w:val="18"/>
      <w:szCs w:val="18"/>
    </w:rPr>
  </w:style>
  <w:style w:type="paragraph" w:styleId="TOC8">
    <w:name w:val="toc 8"/>
    <w:basedOn w:val="Normal"/>
    <w:next w:val="Normal"/>
    <w:autoRedefine/>
    <w:uiPriority w:val="39"/>
    <w:unhideWhenUsed/>
    <w:rsid w:val="00200165"/>
    <w:pPr>
      <w:spacing w:after="0"/>
      <w:ind w:left="1540"/>
    </w:pPr>
    <w:rPr>
      <w:rFonts w:cstheme="minorHAnsi"/>
      <w:sz w:val="18"/>
      <w:szCs w:val="18"/>
    </w:rPr>
  </w:style>
  <w:style w:type="paragraph" w:styleId="TOC9">
    <w:name w:val="toc 9"/>
    <w:basedOn w:val="Normal"/>
    <w:next w:val="Normal"/>
    <w:autoRedefine/>
    <w:uiPriority w:val="39"/>
    <w:unhideWhenUsed/>
    <w:rsid w:val="00200165"/>
    <w:pPr>
      <w:spacing w:after="0"/>
      <w:ind w:left="1760"/>
    </w:pPr>
    <w:rPr>
      <w:rFonts w:cstheme="minorHAnsi"/>
      <w:sz w:val="18"/>
      <w:szCs w:val="18"/>
    </w:rPr>
  </w:style>
  <w:style w:type="paragraph" w:customStyle="1" w:styleId="xmsonormal">
    <w:name w:val="x_msonormal"/>
    <w:basedOn w:val="Normal"/>
    <w:rsid w:val="004E17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7E3D91"/>
  </w:style>
  <w:style w:type="paragraph" w:customStyle="1" w:styleId="jupara">
    <w:name w:val="jupara"/>
    <w:basedOn w:val="Normal"/>
    <w:rsid w:val="008D3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B7ECD"/>
    <w:rPr>
      <w:sz w:val="16"/>
      <w:szCs w:val="16"/>
    </w:rPr>
  </w:style>
  <w:style w:type="paragraph" w:styleId="CommentText">
    <w:name w:val="annotation text"/>
    <w:basedOn w:val="Normal"/>
    <w:link w:val="CommentTextChar"/>
    <w:uiPriority w:val="99"/>
    <w:semiHidden/>
    <w:unhideWhenUsed/>
    <w:rsid w:val="000B7ECD"/>
    <w:pPr>
      <w:spacing w:line="240" w:lineRule="auto"/>
    </w:pPr>
    <w:rPr>
      <w:sz w:val="20"/>
      <w:szCs w:val="20"/>
    </w:rPr>
  </w:style>
  <w:style w:type="character" w:customStyle="1" w:styleId="CommentTextChar">
    <w:name w:val="Comment Text Char"/>
    <w:basedOn w:val="DefaultParagraphFont"/>
    <w:link w:val="CommentText"/>
    <w:uiPriority w:val="99"/>
    <w:semiHidden/>
    <w:rsid w:val="000B7ECD"/>
    <w:rPr>
      <w:sz w:val="20"/>
      <w:szCs w:val="20"/>
    </w:rPr>
  </w:style>
  <w:style w:type="paragraph" w:styleId="CommentSubject">
    <w:name w:val="annotation subject"/>
    <w:basedOn w:val="CommentText"/>
    <w:next w:val="CommentText"/>
    <w:link w:val="CommentSubjectChar"/>
    <w:uiPriority w:val="99"/>
    <w:semiHidden/>
    <w:unhideWhenUsed/>
    <w:rsid w:val="000B7ECD"/>
    <w:rPr>
      <w:b/>
      <w:bCs/>
    </w:rPr>
  </w:style>
  <w:style w:type="character" w:customStyle="1" w:styleId="CommentSubjectChar">
    <w:name w:val="Comment Subject Char"/>
    <w:basedOn w:val="CommentTextChar"/>
    <w:link w:val="CommentSubject"/>
    <w:uiPriority w:val="99"/>
    <w:semiHidden/>
    <w:rsid w:val="000B7ECD"/>
    <w:rPr>
      <w:b/>
      <w:bCs/>
      <w:sz w:val="20"/>
      <w:szCs w:val="20"/>
    </w:rPr>
  </w:style>
  <w:style w:type="character" w:customStyle="1" w:styleId="acopre">
    <w:name w:val="acopre"/>
    <w:basedOn w:val="DefaultParagraphFont"/>
    <w:rsid w:val="004E416C"/>
  </w:style>
  <w:style w:type="character" w:customStyle="1" w:styleId="text-font-container-description">
    <w:name w:val="text-font-container-description"/>
    <w:basedOn w:val="DefaultParagraphFont"/>
    <w:rsid w:val="008D02FD"/>
  </w:style>
  <w:style w:type="character" w:customStyle="1" w:styleId="apple-converted-space">
    <w:name w:val="apple-converted-space"/>
    <w:basedOn w:val="DefaultParagraphFont"/>
    <w:rsid w:val="008D02FD"/>
  </w:style>
  <w:style w:type="character" w:customStyle="1" w:styleId="coitalic">
    <w:name w:val="co_italic"/>
    <w:basedOn w:val="DefaultParagraphFont"/>
    <w:rsid w:val="000F55F4"/>
  </w:style>
  <w:style w:type="character" w:customStyle="1" w:styleId="Heading3Char">
    <w:name w:val="Heading 3 Char"/>
    <w:basedOn w:val="DefaultParagraphFont"/>
    <w:link w:val="Heading3"/>
    <w:uiPriority w:val="9"/>
    <w:rsid w:val="00DB52A7"/>
    <w:rPr>
      <w:rFonts w:asciiTheme="majorHAnsi" w:eastAsiaTheme="majorEastAsia" w:hAnsiTheme="majorHAnsi" w:cstheme="majorBidi"/>
      <w:color w:val="1F3763" w:themeColor="accent1" w:themeShade="7F"/>
      <w:sz w:val="24"/>
      <w:szCs w:val="24"/>
    </w:rPr>
  </w:style>
  <w:style w:type="character" w:customStyle="1" w:styleId="cosearchdetaillevel1">
    <w:name w:val="co_search_detaillevel_1"/>
    <w:basedOn w:val="DefaultParagraphFont"/>
    <w:rsid w:val="00DB52A7"/>
  </w:style>
  <w:style w:type="character" w:customStyle="1" w:styleId="cosearchterm">
    <w:name w:val="co_searchterm"/>
    <w:basedOn w:val="DefaultParagraphFont"/>
    <w:rsid w:val="00DB52A7"/>
  </w:style>
  <w:style w:type="character" w:customStyle="1" w:styleId="costarpage">
    <w:name w:val="co_starpage"/>
    <w:basedOn w:val="DefaultParagraphFont"/>
    <w:rsid w:val="00946914"/>
  </w:style>
  <w:style w:type="character" w:customStyle="1" w:styleId="reference-text">
    <w:name w:val="reference-text"/>
    <w:basedOn w:val="DefaultParagraphFont"/>
    <w:rsid w:val="002815AA"/>
  </w:style>
  <w:style w:type="character" w:customStyle="1" w:styleId="counderline">
    <w:name w:val="co_underline"/>
    <w:basedOn w:val="DefaultParagraphFont"/>
    <w:rsid w:val="006F40E4"/>
  </w:style>
  <w:style w:type="paragraph" w:styleId="Header">
    <w:name w:val="header"/>
    <w:basedOn w:val="Normal"/>
    <w:link w:val="HeaderChar"/>
    <w:uiPriority w:val="99"/>
    <w:unhideWhenUsed/>
    <w:rsid w:val="00CC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B13"/>
  </w:style>
  <w:style w:type="paragraph" w:styleId="Footer">
    <w:name w:val="footer"/>
    <w:basedOn w:val="Normal"/>
    <w:link w:val="FooterChar"/>
    <w:uiPriority w:val="99"/>
    <w:unhideWhenUsed/>
    <w:rsid w:val="00CC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B13"/>
  </w:style>
  <w:style w:type="character" w:customStyle="1" w:styleId="font0">
    <w:name w:val="font0"/>
    <w:basedOn w:val="DefaultParagraphFont"/>
    <w:rsid w:val="00251B93"/>
  </w:style>
  <w:style w:type="character" w:customStyle="1" w:styleId="ilfuvd">
    <w:name w:val="ilfuvd"/>
    <w:basedOn w:val="DefaultParagraphFont"/>
    <w:rsid w:val="00633B23"/>
  </w:style>
  <w:style w:type="character" w:customStyle="1" w:styleId="authors">
    <w:name w:val="authors"/>
    <w:basedOn w:val="DefaultParagraphFont"/>
    <w:rsid w:val="003414A7"/>
  </w:style>
  <w:style w:type="character" w:customStyle="1" w:styleId="publication-date">
    <w:name w:val="publication-date"/>
    <w:basedOn w:val="DefaultParagraphFont"/>
    <w:rsid w:val="003414A7"/>
  </w:style>
  <w:style w:type="character" w:customStyle="1" w:styleId="Title1">
    <w:name w:val="Title1"/>
    <w:basedOn w:val="DefaultParagraphFont"/>
    <w:rsid w:val="003414A7"/>
  </w:style>
  <w:style w:type="character" w:customStyle="1" w:styleId="title-parent">
    <w:name w:val="title-parent"/>
    <w:basedOn w:val="DefaultParagraphFont"/>
    <w:rsid w:val="003414A7"/>
  </w:style>
  <w:style w:type="character" w:customStyle="1" w:styleId="pages">
    <w:name w:val="pages"/>
    <w:basedOn w:val="DefaultParagraphFont"/>
    <w:rsid w:val="003414A7"/>
  </w:style>
  <w:style w:type="paragraph" w:customStyle="1" w:styleId="Default">
    <w:name w:val="Default"/>
    <w:rsid w:val="00A15F58"/>
    <w:pPr>
      <w:autoSpaceDE w:val="0"/>
      <w:autoSpaceDN w:val="0"/>
      <w:adjustRightInd w:val="0"/>
      <w:spacing w:after="0" w:line="240" w:lineRule="auto"/>
    </w:pPr>
    <w:rPr>
      <w:rFonts w:ascii="Code" w:hAnsi="Code" w:cs="Code"/>
      <w:color w:val="000000"/>
      <w:sz w:val="24"/>
      <w:szCs w:val="24"/>
    </w:rPr>
  </w:style>
  <w:style w:type="character" w:customStyle="1" w:styleId="citation">
    <w:name w:val="citation"/>
    <w:basedOn w:val="DefaultParagraphFont"/>
    <w:rsid w:val="000128B0"/>
  </w:style>
  <w:style w:type="paragraph" w:customStyle="1" w:styleId="paragraph">
    <w:name w:val="paragraph"/>
    <w:basedOn w:val="Normal"/>
    <w:rsid w:val="006638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a2b98c15">
    <w:name w:val="sa2b98c15"/>
    <w:basedOn w:val="DefaultParagraphFont"/>
    <w:rsid w:val="009D7D2A"/>
  </w:style>
  <w:style w:type="character" w:customStyle="1" w:styleId="s68f5eaef">
    <w:name w:val="s68f5eaef"/>
    <w:basedOn w:val="DefaultParagraphFont"/>
    <w:rsid w:val="003F6627"/>
  </w:style>
  <w:style w:type="paragraph" w:customStyle="1" w:styleId="western">
    <w:name w:val="western"/>
    <w:basedOn w:val="Normal"/>
    <w:rsid w:val="001911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04BD2"/>
  </w:style>
  <w:style w:type="character" w:customStyle="1" w:styleId="italic">
    <w:name w:val="italic"/>
    <w:basedOn w:val="DefaultParagraphFont"/>
    <w:rsid w:val="008B5F14"/>
  </w:style>
  <w:style w:type="paragraph" w:customStyle="1" w:styleId="s30eec3f8">
    <w:name w:val="s30eec3f8"/>
    <w:basedOn w:val="Normal"/>
    <w:rsid w:val="005D71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b8d990e2">
    <w:name w:val="sb8d990e2"/>
    <w:basedOn w:val="DefaultParagraphFont"/>
    <w:rsid w:val="005D710D"/>
  </w:style>
  <w:style w:type="character" w:customStyle="1" w:styleId="s6b621b36">
    <w:name w:val="s6b621b36"/>
    <w:basedOn w:val="DefaultParagraphFont"/>
    <w:rsid w:val="005D710D"/>
  </w:style>
  <w:style w:type="character" w:customStyle="1" w:styleId="hgkelc">
    <w:name w:val="hgkelc"/>
    <w:basedOn w:val="DefaultParagraphFont"/>
    <w:rsid w:val="005A6F52"/>
  </w:style>
  <w:style w:type="paragraph" w:customStyle="1" w:styleId="c-article-author-listitem">
    <w:name w:val="c-article-author-list__item"/>
    <w:basedOn w:val="Normal"/>
    <w:rsid w:val="003B61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962">
      <w:bodyDiv w:val="1"/>
      <w:marLeft w:val="0"/>
      <w:marRight w:val="0"/>
      <w:marTop w:val="0"/>
      <w:marBottom w:val="0"/>
      <w:divBdr>
        <w:top w:val="none" w:sz="0" w:space="0" w:color="auto"/>
        <w:left w:val="none" w:sz="0" w:space="0" w:color="auto"/>
        <w:bottom w:val="none" w:sz="0" w:space="0" w:color="auto"/>
        <w:right w:val="none" w:sz="0" w:space="0" w:color="auto"/>
      </w:divBdr>
    </w:div>
    <w:div w:id="62148922">
      <w:bodyDiv w:val="1"/>
      <w:marLeft w:val="0"/>
      <w:marRight w:val="0"/>
      <w:marTop w:val="0"/>
      <w:marBottom w:val="0"/>
      <w:divBdr>
        <w:top w:val="none" w:sz="0" w:space="0" w:color="auto"/>
        <w:left w:val="none" w:sz="0" w:space="0" w:color="auto"/>
        <w:bottom w:val="none" w:sz="0" w:space="0" w:color="auto"/>
        <w:right w:val="none" w:sz="0" w:space="0" w:color="auto"/>
      </w:divBdr>
      <w:divsChild>
        <w:div w:id="421686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0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9187">
      <w:bodyDiv w:val="1"/>
      <w:marLeft w:val="0"/>
      <w:marRight w:val="0"/>
      <w:marTop w:val="0"/>
      <w:marBottom w:val="0"/>
      <w:divBdr>
        <w:top w:val="none" w:sz="0" w:space="0" w:color="auto"/>
        <w:left w:val="none" w:sz="0" w:space="0" w:color="auto"/>
        <w:bottom w:val="none" w:sz="0" w:space="0" w:color="auto"/>
        <w:right w:val="none" w:sz="0" w:space="0" w:color="auto"/>
      </w:divBdr>
    </w:div>
    <w:div w:id="217518878">
      <w:bodyDiv w:val="1"/>
      <w:marLeft w:val="0"/>
      <w:marRight w:val="0"/>
      <w:marTop w:val="0"/>
      <w:marBottom w:val="0"/>
      <w:divBdr>
        <w:top w:val="none" w:sz="0" w:space="0" w:color="auto"/>
        <w:left w:val="none" w:sz="0" w:space="0" w:color="auto"/>
        <w:bottom w:val="none" w:sz="0" w:space="0" w:color="auto"/>
        <w:right w:val="none" w:sz="0" w:space="0" w:color="auto"/>
      </w:divBdr>
      <w:divsChild>
        <w:div w:id="1691174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218003">
      <w:bodyDiv w:val="1"/>
      <w:marLeft w:val="0"/>
      <w:marRight w:val="0"/>
      <w:marTop w:val="0"/>
      <w:marBottom w:val="0"/>
      <w:divBdr>
        <w:top w:val="none" w:sz="0" w:space="0" w:color="auto"/>
        <w:left w:val="none" w:sz="0" w:space="0" w:color="auto"/>
        <w:bottom w:val="none" w:sz="0" w:space="0" w:color="auto"/>
        <w:right w:val="none" w:sz="0" w:space="0" w:color="auto"/>
      </w:divBdr>
    </w:div>
    <w:div w:id="275479617">
      <w:bodyDiv w:val="1"/>
      <w:marLeft w:val="0"/>
      <w:marRight w:val="0"/>
      <w:marTop w:val="0"/>
      <w:marBottom w:val="0"/>
      <w:divBdr>
        <w:top w:val="none" w:sz="0" w:space="0" w:color="auto"/>
        <w:left w:val="none" w:sz="0" w:space="0" w:color="auto"/>
        <w:bottom w:val="none" w:sz="0" w:space="0" w:color="auto"/>
        <w:right w:val="none" w:sz="0" w:space="0" w:color="auto"/>
      </w:divBdr>
      <w:divsChild>
        <w:div w:id="770977525">
          <w:marLeft w:val="0"/>
          <w:marRight w:val="0"/>
          <w:marTop w:val="0"/>
          <w:marBottom w:val="0"/>
          <w:divBdr>
            <w:top w:val="none" w:sz="0" w:space="0" w:color="auto"/>
            <w:left w:val="none" w:sz="0" w:space="0" w:color="auto"/>
            <w:bottom w:val="none" w:sz="0" w:space="0" w:color="auto"/>
            <w:right w:val="none" w:sz="0" w:space="0" w:color="auto"/>
          </w:divBdr>
          <w:divsChild>
            <w:div w:id="8289804">
              <w:marLeft w:val="0"/>
              <w:marRight w:val="0"/>
              <w:marTop w:val="0"/>
              <w:marBottom w:val="0"/>
              <w:divBdr>
                <w:top w:val="none" w:sz="0" w:space="0" w:color="auto"/>
                <w:left w:val="none" w:sz="0" w:space="0" w:color="auto"/>
                <w:bottom w:val="none" w:sz="0" w:space="0" w:color="auto"/>
                <w:right w:val="none" w:sz="0" w:space="0" w:color="auto"/>
              </w:divBdr>
              <w:divsChild>
                <w:div w:id="9152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0826">
      <w:bodyDiv w:val="1"/>
      <w:marLeft w:val="0"/>
      <w:marRight w:val="0"/>
      <w:marTop w:val="0"/>
      <w:marBottom w:val="0"/>
      <w:divBdr>
        <w:top w:val="none" w:sz="0" w:space="0" w:color="auto"/>
        <w:left w:val="none" w:sz="0" w:space="0" w:color="auto"/>
        <w:bottom w:val="none" w:sz="0" w:space="0" w:color="auto"/>
        <w:right w:val="none" w:sz="0" w:space="0" w:color="auto"/>
      </w:divBdr>
    </w:div>
    <w:div w:id="349920506">
      <w:bodyDiv w:val="1"/>
      <w:marLeft w:val="0"/>
      <w:marRight w:val="0"/>
      <w:marTop w:val="0"/>
      <w:marBottom w:val="0"/>
      <w:divBdr>
        <w:top w:val="none" w:sz="0" w:space="0" w:color="auto"/>
        <w:left w:val="none" w:sz="0" w:space="0" w:color="auto"/>
        <w:bottom w:val="none" w:sz="0" w:space="0" w:color="auto"/>
        <w:right w:val="none" w:sz="0" w:space="0" w:color="auto"/>
      </w:divBdr>
    </w:div>
    <w:div w:id="353270552">
      <w:bodyDiv w:val="1"/>
      <w:marLeft w:val="0"/>
      <w:marRight w:val="0"/>
      <w:marTop w:val="0"/>
      <w:marBottom w:val="0"/>
      <w:divBdr>
        <w:top w:val="none" w:sz="0" w:space="0" w:color="auto"/>
        <w:left w:val="none" w:sz="0" w:space="0" w:color="auto"/>
        <w:bottom w:val="none" w:sz="0" w:space="0" w:color="auto"/>
        <w:right w:val="none" w:sz="0" w:space="0" w:color="auto"/>
      </w:divBdr>
    </w:div>
    <w:div w:id="406732472">
      <w:bodyDiv w:val="1"/>
      <w:marLeft w:val="0"/>
      <w:marRight w:val="0"/>
      <w:marTop w:val="0"/>
      <w:marBottom w:val="0"/>
      <w:divBdr>
        <w:top w:val="none" w:sz="0" w:space="0" w:color="auto"/>
        <w:left w:val="none" w:sz="0" w:space="0" w:color="auto"/>
        <w:bottom w:val="none" w:sz="0" w:space="0" w:color="auto"/>
        <w:right w:val="none" w:sz="0" w:space="0" w:color="auto"/>
      </w:divBdr>
      <w:divsChild>
        <w:div w:id="849485046">
          <w:marLeft w:val="0"/>
          <w:marRight w:val="0"/>
          <w:marTop w:val="0"/>
          <w:marBottom w:val="0"/>
          <w:divBdr>
            <w:top w:val="none" w:sz="0" w:space="0" w:color="auto"/>
            <w:left w:val="none" w:sz="0" w:space="0" w:color="auto"/>
            <w:bottom w:val="none" w:sz="0" w:space="0" w:color="auto"/>
            <w:right w:val="none" w:sz="0" w:space="0" w:color="auto"/>
          </w:divBdr>
        </w:div>
      </w:divsChild>
    </w:div>
    <w:div w:id="421295521">
      <w:bodyDiv w:val="1"/>
      <w:marLeft w:val="0"/>
      <w:marRight w:val="0"/>
      <w:marTop w:val="0"/>
      <w:marBottom w:val="0"/>
      <w:divBdr>
        <w:top w:val="none" w:sz="0" w:space="0" w:color="auto"/>
        <w:left w:val="none" w:sz="0" w:space="0" w:color="auto"/>
        <w:bottom w:val="none" w:sz="0" w:space="0" w:color="auto"/>
        <w:right w:val="none" w:sz="0" w:space="0" w:color="auto"/>
      </w:divBdr>
    </w:div>
    <w:div w:id="458424500">
      <w:bodyDiv w:val="1"/>
      <w:marLeft w:val="0"/>
      <w:marRight w:val="0"/>
      <w:marTop w:val="0"/>
      <w:marBottom w:val="0"/>
      <w:divBdr>
        <w:top w:val="none" w:sz="0" w:space="0" w:color="auto"/>
        <w:left w:val="none" w:sz="0" w:space="0" w:color="auto"/>
        <w:bottom w:val="none" w:sz="0" w:space="0" w:color="auto"/>
        <w:right w:val="none" w:sz="0" w:space="0" w:color="auto"/>
      </w:divBdr>
      <w:divsChild>
        <w:div w:id="1540899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3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1240">
      <w:bodyDiv w:val="1"/>
      <w:marLeft w:val="0"/>
      <w:marRight w:val="0"/>
      <w:marTop w:val="0"/>
      <w:marBottom w:val="0"/>
      <w:divBdr>
        <w:top w:val="none" w:sz="0" w:space="0" w:color="auto"/>
        <w:left w:val="none" w:sz="0" w:space="0" w:color="auto"/>
        <w:bottom w:val="none" w:sz="0" w:space="0" w:color="auto"/>
        <w:right w:val="none" w:sz="0" w:space="0" w:color="auto"/>
      </w:divBdr>
    </w:div>
    <w:div w:id="723413461">
      <w:bodyDiv w:val="1"/>
      <w:marLeft w:val="0"/>
      <w:marRight w:val="0"/>
      <w:marTop w:val="0"/>
      <w:marBottom w:val="0"/>
      <w:divBdr>
        <w:top w:val="none" w:sz="0" w:space="0" w:color="auto"/>
        <w:left w:val="none" w:sz="0" w:space="0" w:color="auto"/>
        <w:bottom w:val="none" w:sz="0" w:space="0" w:color="auto"/>
        <w:right w:val="none" w:sz="0" w:space="0" w:color="auto"/>
      </w:divBdr>
    </w:div>
    <w:div w:id="760873229">
      <w:bodyDiv w:val="1"/>
      <w:marLeft w:val="0"/>
      <w:marRight w:val="0"/>
      <w:marTop w:val="0"/>
      <w:marBottom w:val="0"/>
      <w:divBdr>
        <w:top w:val="none" w:sz="0" w:space="0" w:color="auto"/>
        <w:left w:val="none" w:sz="0" w:space="0" w:color="auto"/>
        <w:bottom w:val="none" w:sz="0" w:space="0" w:color="auto"/>
        <w:right w:val="none" w:sz="0" w:space="0" w:color="auto"/>
      </w:divBdr>
    </w:div>
    <w:div w:id="899101333">
      <w:bodyDiv w:val="1"/>
      <w:marLeft w:val="0"/>
      <w:marRight w:val="0"/>
      <w:marTop w:val="0"/>
      <w:marBottom w:val="0"/>
      <w:divBdr>
        <w:top w:val="none" w:sz="0" w:space="0" w:color="auto"/>
        <w:left w:val="none" w:sz="0" w:space="0" w:color="auto"/>
        <w:bottom w:val="none" w:sz="0" w:space="0" w:color="auto"/>
        <w:right w:val="none" w:sz="0" w:space="0" w:color="auto"/>
      </w:divBdr>
      <w:divsChild>
        <w:div w:id="1847592084">
          <w:marLeft w:val="0"/>
          <w:marRight w:val="0"/>
          <w:marTop w:val="0"/>
          <w:marBottom w:val="0"/>
          <w:divBdr>
            <w:top w:val="none" w:sz="0" w:space="0" w:color="auto"/>
            <w:left w:val="none" w:sz="0" w:space="0" w:color="auto"/>
            <w:bottom w:val="none" w:sz="0" w:space="0" w:color="auto"/>
            <w:right w:val="none" w:sz="0" w:space="0" w:color="auto"/>
          </w:divBdr>
          <w:divsChild>
            <w:div w:id="1163623562">
              <w:marLeft w:val="0"/>
              <w:marRight w:val="0"/>
              <w:marTop w:val="0"/>
              <w:marBottom w:val="0"/>
              <w:divBdr>
                <w:top w:val="none" w:sz="0" w:space="0" w:color="auto"/>
                <w:left w:val="none" w:sz="0" w:space="0" w:color="auto"/>
                <w:bottom w:val="none" w:sz="0" w:space="0" w:color="auto"/>
                <w:right w:val="none" w:sz="0" w:space="0" w:color="auto"/>
              </w:divBdr>
            </w:div>
          </w:divsChild>
        </w:div>
        <w:div w:id="2051955199">
          <w:marLeft w:val="0"/>
          <w:marRight w:val="0"/>
          <w:marTop w:val="0"/>
          <w:marBottom w:val="0"/>
          <w:divBdr>
            <w:top w:val="none" w:sz="0" w:space="0" w:color="auto"/>
            <w:left w:val="none" w:sz="0" w:space="0" w:color="auto"/>
            <w:bottom w:val="none" w:sz="0" w:space="0" w:color="auto"/>
            <w:right w:val="none" w:sz="0" w:space="0" w:color="auto"/>
          </w:divBdr>
          <w:divsChild>
            <w:div w:id="712732726">
              <w:marLeft w:val="0"/>
              <w:marRight w:val="0"/>
              <w:marTop w:val="0"/>
              <w:marBottom w:val="0"/>
              <w:divBdr>
                <w:top w:val="none" w:sz="0" w:space="0" w:color="auto"/>
                <w:left w:val="none" w:sz="0" w:space="0" w:color="auto"/>
                <w:bottom w:val="none" w:sz="0" w:space="0" w:color="auto"/>
                <w:right w:val="none" w:sz="0" w:space="0" w:color="auto"/>
              </w:divBdr>
              <w:divsChild>
                <w:div w:id="5941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1605">
      <w:bodyDiv w:val="1"/>
      <w:marLeft w:val="0"/>
      <w:marRight w:val="0"/>
      <w:marTop w:val="0"/>
      <w:marBottom w:val="0"/>
      <w:divBdr>
        <w:top w:val="none" w:sz="0" w:space="0" w:color="auto"/>
        <w:left w:val="none" w:sz="0" w:space="0" w:color="auto"/>
        <w:bottom w:val="none" w:sz="0" w:space="0" w:color="auto"/>
        <w:right w:val="none" w:sz="0" w:space="0" w:color="auto"/>
      </w:divBdr>
      <w:divsChild>
        <w:div w:id="10049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574042">
              <w:marLeft w:val="0"/>
              <w:marRight w:val="0"/>
              <w:marTop w:val="0"/>
              <w:marBottom w:val="0"/>
              <w:divBdr>
                <w:top w:val="none" w:sz="0" w:space="0" w:color="auto"/>
                <w:left w:val="none" w:sz="0" w:space="0" w:color="auto"/>
                <w:bottom w:val="none" w:sz="0" w:space="0" w:color="auto"/>
                <w:right w:val="none" w:sz="0" w:space="0" w:color="auto"/>
              </w:divBdr>
            </w:div>
          </w:divsChild>
        </w:div>
        <w:div w:id="2069299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8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72">
      <w:bodyDiv w:val="1"/>
      <w:marLeft w:val="0"/>
      <w:marRight w:val="0"/>
      <w:marTop w:val="0"/>
      <w:marBottom w:val="0"/>
      <w:divBdr>
        <w:top w:val="none" w:sz="0" w:space="0" w:color="auto"/>
        <w:left w:val="none" w:sz="0" w:space="0" w:color="auto"/>
        <w:bottom w:val="none" w:sz="0" w:space="0" w:color="auto"/>
        <w:right w:val="none" w:sz="0" w:space="0" w:color="auto"/>
      </w:divBdr>
    </w:div>
    <w:div w:id="1436441627">
      <w:bodyDiv w:val="1"/>
      <w:marLeft w:val="0"/>
      <w:marRight w:val="0"/>
      <w:marTop w:val="0"/>
      <w:marBottom w:val="0"/>
      <w:divBdr>
        <w:top w:val="none" w:sz="0" w:space="0" w:color="auto"/>
        <w:left w:val="none" w:sz="0" w:space="0" w:color="auto"/>
        <w:bottom w:val="none" w:sz="0" w:space="0" w:color="auto"/>
        <w:right w:val="none" w:sz="0" w:space="0" w:color="auto"/>
      </w:divBdr>
      <w:divsChild>
        <w:div w:id="1496073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5750">
      <w:bodyDiv w:val="1"/>
      <w:marLeft w:val="0"/>
      <w:marRight w:val="0"/>
      <w:marTop w:val="0"/>
      <w:marBottom w:val="0"/>
      <w:divBdr>
        <w:top w:val="none" w:sz="0" w:space="0" w:color="auto"/>
        <w:left w:val="none" w:sz="0" w:space="0" w:color="auto"/>
        <w:bottom w:val="none" w:sz="0" w:space="0" w:color="auto"/>
        <w:right w:val="none" w:sz="0" w:space="0" w:color="auto"/>
      </w:divBdr>
      <w:divsChild>
        <w:div w:id="1135761410">
          <w:marLeft w:val="0"/>
          <w:marRight w:val="0"/>
          <w:marTop w:val="0"/>
          <w:marBottom w:val="0"/>
          <w:divBdr>
            <w:top w:val="none" w:sz="0" w:space="0" w:color="auto"/>
            <w:left w:val="none" w:sz="0" w:space="0" w:color="auto"/>
            <w:bottom w:val="none" w:sz="0" w:space="0" w:color="auto"/>
            <w:right w:val="none" w:sz="0" w:space="0" w:color="auto"/>
          </w:divBdr>
          <w:divsChild>
            <w:div w:id="1340543659">
              <w:marLeft w:val="0"/>
              <w:marRight w:val="0"/>
              <w:marTop w:val="0"/>
              <w:marBottom w:val="0"/>
              <w:divBdr>
                <w:top w:val="none" w:sz="0" w:space="0" w:color="auto"/>
                <w:left w:val="none" w:sz="0" w:space="0" w:color="auto"/>
                <w:bottom w:val="none" w:sz="0" w:space="0" w:color="auto"/>
                <w:right w:val="none" w:sz="0" w:space="0" w:color="auto"/>
              </w:divBdr>
            </w:div>
          </w:divsChild>
        </w:div>
        <w:div w:id="1343510857">
          <w:marLeft w:val="0"/>
          <w:marRight w:val="0"/>
          <w:marTop w:val="0"/>
          <w:marBottom w:val="0"/>
          <w:divBdr>
            <w:top w:val="none" w:sz="0" w:space="0" w:color="auto"/>
            <w:left w:val="none" w:sz="0" w:space="0" w:color="auto"/>
            <w:bottom w:val="none" w:sz="0" w:space="0" w:color="auto"/>
            <w:right w:val="none" w:sz="0" w:space="0" w:color="auto"/>
          </w:divBdr>
          <w:divsChild>
            <w:div w:id="18233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262">
      <w:bodyDiv w:val="1"/>
      <w:marLeft w:val="0"/>
      <w:marRight w:val="0"/>
      <w:marTop w:val="0"/>
      <w:marBottom w:val="0"/>
      <w:divBdr>
        <w:top w:val="none" w:sz="0" w:space="0" w:color="auto"/>
        <w:left w:val="none" w:sz="0" w:space="0" w:color="auto"/>
        <w:bottom w:val="none" w:sz="0" w:space="0" w:color="auto"/>
        <w:right w:val="none" w:sz="0" w:space="0" w:color="auto"/>
      </w:divBdr>
    </w:div>
    <w:div w:id="1626426882">
      <w:bodyDiv w:val="1"/>
      <w:marLeft w:val="0"/>
      <w:marRight w:val="0"/>
      <w:marTop w:val="0"/>
      <w:marBottom w:val="0"/>
      <w:divBdr>
        <w:top w:val="none" w:sz="0" w:space="0" w:color="auto"/>
        <w:left w:val="none" w:sz="0" w:space="0" w:color="auto"/>
        <w:bottom w:val="none" w:sz="0" w:space="0" w:color="auto"/>
        <w:right w:val="none" w:sz="0" w:space="0" w:color="auto"/>
      </w:divBdr>
    </w:div>
    <w:div w:id="1672559232">
      <w:bodyDiv w:val="1"/>
      <w:marLeft w:val="0"/>
      <w:marRight w:val="0"/>
      <w:marTop w:val="0"/>
      <w:marBottom w:val="0"/>
      <w:divBdr>
        <w:top w:val="none" w:sz="0" w:space="0" w:color="auto"/>
        <w:left w:val="none" w:sz="0" w:space="0" w:color="auto"/>
        <w:bottom w:val="none" w:sz="0" w:space="0" w:color="auto"/>
        <w:right w:val="none" w:sz="0" w:space="0" w:color="auto"/>
      </w:divBdr>
    </w:div>
    <w:div w:id="1927153573">
      <w:bodyDiv w:val="1"/>
      <w:marLeft w:val="0"/>
      <w:marRight w:val="0"/>
      <w:marTop w:val="0"/>
      <w:marBottom w:val="0"/>
      <w:divBdr>
        <w:top w:val="none" w:sz="0" w:space="0" w:color="auto"/>
        <w:left w:val="none" w:sz="0" w:space="0" w:color="auto"/>
        <w:bottom w:val="none" w:sz="0" w:space="0" w:color="auto"/>
        <w:right w:val="none" w:sz="0" w:space="0" w:color="auto"/>
      </w:divBdr>
    </w:div>
    <w:div w:id="2077386947">
      <w:bodyDiv w:val="1"/>
      <w:marLeft w:val="0"/>
      <w:marRight w:val="0"/>
      <w:marTop w:val="0"/>
      <w:marBottom w:val="0"/>
      <w:divBdr>
        <w:top w:val="none" w:sz="0" w:space="0" w:color="auto"/>
        <w:left w:val="none" w:sz="0" w:space="0" w:color="auto"/>
        <w:bottom w:val="none" w:sz="0" w:space="0" w:color="auto"/>
        <w:right w:val="none" w:sz="0" w:space="0" w:color="auto"/>
      </w:divBdr>
    </w:div>
    <w:div w:id="2083212993">
      <w:bodyDiv w:val="1"/>
      <w:marLeft w:val="0"/>
      <w:marRight w:val="0"/>
      <w:marTop w:val="0"/>
      <w:marBottom w:val="0"/>
      <w:divBdr>
        <w:top w:val="none" w:sz="0" w:space="0" w:color="auto"/>
        <w:left w:val="none" w:sz="0" w:space="0" w:color="auto"/>
        <w:bottom w:val="none" w:sz="0" w:space="0" w:color="auto"/>
        <w:right w:val="none" w:sz="0" w:space="0" w:color="auto"/>
      </w:divBdr>
    </w:div>
    <w:div w:id="2090037120">
      <w:bodyDiv w:val="1"/>
      <w:marLeft w:val="0"/>
      <w:marRight w:val="0"/>
      <w:marTop w:val="0"/>
      <w:marBottom w:val="0"/>
      <w:divBdr>
        <w:top w:val="none" w:sz="0" w:space="0" w:color="auto"/>
        <w:left w:val="none" w:sz="0" w:space="0" w:color="auto"/>
        <w:bottom w:val="none" w:sz="0" w:space="0" w:color="auto"/>
        <w:right w:val="none" w:sz="0" w:space="0" w:color="auto"/>
      </w:divBdr>
      <w:divsChild>
        <w:div w:id="804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9688">
      <w:bodyDiv w:val="1"/>
      <w:marLeft w:val="0"/>
      <w:marRight w:val="0"/>
      <w:marTop w:val="0"/>
      <w:marBottom w:val="0"/>
      <w:divBdr>
        <w:top w:val="none" w:sz="0" w:space="0" w:color="auto"/>
        <w:left w:val="none" w:sz="0" w:space="0" w:color="auto"/>
        <w:bottom w:val="none" w:sz="0" w:space="0" w:color="auto"/>
        <w:right w:val="none" w:sz="0" w:space="0" w:color="auto"/>
      </w:divBdr>
      <w:divsChild>
        <w:div w:id="66539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864890">
      <w:bodyDiv w:val="1"/>
      <w:marLeft w:val="0"/>
      <w:marRight w:val="0"/>
      <w:marTop w:val="0"/>
      <w:marBottom w:val="0"/>
      <w:divBdr>
        <w:top w:val="none" w:sz="0" w:space="0" w:color="auto"/>
        <w:left w:val="none" w:sz="0" w:space="0" w:color="auto"/>
        <w:bottom w:val="none" w:sz="0" w:space="0" w:color="auto"/>
        <w:right w:val="none" w:sz="0" w:space="0" w:color="auto"/>
      </w:divBdr>
      <w:divsChild>
        <w:div w:id="1775859103">
          <w:marLeft w:val="0"/>
          <w:marRight w:val="0"/>
          <w:marTop w:val="0"/>
          <w:marBottom w:val="0"/>
          <w:divBdr>
            <w:top w:val="none" w:sz="0" w:space="0" w:color="auto"/>
            <w:left w:val="none" w:sz="0" w:space="0" w:color="auto"/>
            <w:bottom w:val="none" w:sz="0" w:space="0" w:color="auto"/>
            <w:right w:val="none" w:sz="0" w:space="0" w:color="auto"/>
          </w:divBdr>
        </w:div>
      </w:divsChild>
    </w:div>
    <w:div w:id="2138797563">
      <w:bodyDiv w:val="1"/>
      <w:marLeft w:val="0"/>
      <w:marRight w:val="0"/>
      <w:marTop w:val="0"/>
      <w:marBottom w:val="0"/>
      <w:divBdr>
        <w:top w:val="none" w:sz="0" w:space="0" w:color="auto"/>
        <w:left w:val="none" w:sz="0" w:space="0" w:color="auto"/>
        <w:bottom w:val="none" w:sz="0" w:space="0" w:color="auto"/>
        <w:right w:val="none" w:sz="0" w:space="0" w:color="auto"/>
      </w:divBdr>
      <w:divsChild>
        <w:div w:id="9595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78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olicyreview.info/articles/news/data-subjects-data-controllers-fashionable-concept/1400" TargetMode="External"/><Relationship Id="rId1" Type="http://schemas.openxmlformats.org/officeDocument/2006/relationships/hyperlink" Target="https://thefutureofprivacylaw.wordpress.com/2021/08/10/deepfakes-and-the-dead-the-case-of-anthony-bourd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B452-BCF2-4152-B330-B02A765B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10719</Words>
  <Characters>61100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Kohl</dc:creator>
  <cp:keywords/>
  <dc:description/>
  <cp:lastModifiedBy>Uta Kohl</cp:lastModifiedBy>
  <cp:revision>3</cp:revision>
  <cp:lastPrinted>2022-02-28T20:04:00Z</cp:lastPrinted>
  <dcterms:created xsi:type="dcterms:W3CDTF">2022-07-28T08:37:00Z</dcterms:created>
  <dcterms:modified xsi:type="dcterms:W3CDTF">2022-07-28T08:45:00Z</dcterms:modified>
</cp:coreProperties>
</file>