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F2D2" w14:textId="77777777" w:rsidR="008712F5" w:rsidRDefault="008712F5" w:rsidP="008712F5">
      <w:pPr>
        <w:rPr>
          <w:rFonts w:ascii="Times New Roman" w:hAnsi="Times New Roman" w:cs="Times New Roman"/>
          <w:b/>
          <w:bCs/>
          <w:sz w:val="36"/>
          <w:szCs w:val="36"/>
        </w:rPr>
      </w:pPr>
      <w:r w:rsidRPr="00237A5B">
        <w:rPr>
          <w:rFonts w:ascii="Times New Roman" w:hAnsi="Times New Roman" w:cs="Times New Roman"/>
          <w:b/>
          <w:bCs/>
          <w:sz w:val="36"/>
          <w:szCs w:val="36"/>
        </w:rPr>
        <w:t>Are instructional practices different between East and West? An analysis of grade 8 TIMSS 2019 data</w:t>
      </w:r>
    </w:p>
    <w:p w14:paraId="13B9359D" w14:textId="77777777" w:rsidR="008712F5" w:rsidRDefault="008712F5" w:rsidP="008712F5"/>
    <w:p w14:paraId="434A7AE9" w14:textId="77777777" w:rsidR="008712F5" w:rsidRDefault="008712F5" w:rsidP="008712F5">
      <w:pPr>
        <w:spacing w:line="276" w:lineRule="auto"/>
        <w:rPr>
          <w:rFonts w:ascii="Times New Roman" w:hAnsi="Times New Roman" w:cs="Times New Roman"/>
          <w:b/>
          <w:bCs/>
          <w:i/>
          <w:iCs/>
        </w:rPr>
      </w:pPr>
      <w:bookmarkStart w:id="0" w:name="_Hlk101880312"/>
      <w:r w:rsidRPr="00C73853">
        <w:rPr>
          <w:rFonts w:ascii="Times New Roman" w:hAnsi="Times New Roman" w:cs="Times New Roman"/>
          <w:b/>
          <w:bCs/>
          <w:i/>
          <w:iCs/>
        </w:rPr>
        <w:t>Christian Bokhove</w:t>
      </w:r>
    </w:p>
    <w:p w14:paraId="1B5A234D" w14:textId="77777777" w:rsidR="008712F5" w:rsidRDefault="008712F5" w:rsidP="008712F5">
      <w:pPr>
        <w:spacing w:line="276" w:lineRule="auto"/>
        <w:rPr>
          <w:rFonts w:ascii="Times New Roman" w:hAnsi="Times New Roman" w:cs="Times New Roman"/>
          <w:b/>
          <w:bCs/>
          <w:i/>
          <w:iCs/>
        </w:rPr>
      </w:pPr>
    </w:p>
    <w:p w14:paraId="6C08EE9A" w14:textId="77777777" w:rsidR="008712F5" w:rsidRDefault="008712F5" w:rsidP="008712F5">
      <w:pPr>
        <w:spacing w:line="276" w:lineRule="auto"/>
        <w:rPr>
          <w:rFonts w:ascii="Times New Roman" w:hAnsi="Times New Roman" w:cs="Times New Roman"/>
        </w:rPr>
      </w:pPr>
      <w:r w:rsidRPr="00C73853">
        <w:rPr>
          <w:rFonts w:ascii="Times New Roman" w:hAnsi="Times New Roman" w:cs="Times New Roman"/>
          <w:b/>
          <w:bCs/>
          <w:i/>
          <w:iCs/>
        </w:rPr>
        <w:t>University of Southampton</w:t>
      </w:r>
      <w:r>
        <w:rPr>
          <w:rFonts w:ascii="Times New Roman" w:hAnsi="Times New Roman" w:cs="Times New Roman"/>
          <w:b/>
          <w:bCs/>
          <w:i/>
          <w:iCs/>
        </w:rPr>
        <w:br/>
      </w:r>
      <w:proofErr w:type="spellStart"/>
      <w:r>
        <w:rPr>
          <w:rFonts w:ascii="Times New Roman" w:hAnsi="Times New Roman" w:cs="Times New Roman"/>
          <w:b/>
          <w:bCs/>
          <w:i/>
          <w:iCs/>
        </w:rPr>
        <w:t>Southampton</w:t>
      </w:r>
      <w:proofErr w:type="spellEnd"/>
      <w:r>
        <w:rPr>
          <w:rFonts w:ascii="Times New Roman" w:hAnsi="Times New Roman" w:cs="Times New Roman"/>
          <w:b/>
          <w:bCs/>
          <w:i/>
          <w:iCs/>
        </w:rPr>
        <w:t xml:space="preserve"> Education School</w:t>
      </w:r>
      <w:r>
        <w:rPr>
          <w:rFonts w:ascii="Times New Roman" w:hAnsi="Times New Roman" w:cs="Times New Roman"/>
          <w:b/>
          <w:bCs/>
          <w:i/>
          <w:iCs/>
        </w:rPr>
        <w:br/>
        <w:t>Southampton</w:t>
      </w:r>
      <w:r>
        <w:rPr>
          <w:rFonts w:ascii="Times New Roman" w:hAnsi="Times New Roman" w:cs="Times New Roman"/>
          <w:b/>
          <w:bCs/>
          <w:i/>
          <w:iCs/>
        </w:rPr>
        <w:br/>
        <w:t>United Kingdom</w:t>
      </w:r>
    </w:p>
    <w:p w14:paraId="2DB67B8A" w14:textId="77777777" w:rsidR="008712F5" w:rsidRDefault="008712F5" w:rsidP="008712F5">
      <w:pPr>
        <w:spacing w:line="276" w:lineRule="auto"/>
        <w:rPr>
          <w:rFonts w:ascii="Times New Roman" w:hAnsi="Times New Roman" w:cs="Times New Roman"/>
        </w:rPr>
      </w:pPr>
    </w:p>
    <w:p w14:paraId="4CAE1EB2" w14:textId="77777777" w:rsidR="008712F5" w:rsidRDefault="008712F5" w:rsidP="008712F5">
      <w:pPr>
        <w:spacing w:line="276" w:lineRule="auto"/>
        <w:rPr>
          <w:rFonts w:ascii="Times New Roman" w:hAnsi="Times New Roman" w:cs="Times New Roman"/>
        </w:rPr>
      </w:pPr>
      <w:hyperlink r:id="rId8" w:history="1">
        <w:r w:rsidRPr="00351DD0">
          <w:rPr>
            <w:rStyle w:val="Hyperlink"/>
          </w:rPr>
          <w:t>C.Bokhove@soton.ac.uk</w:t>
        </w:r>
      </w:hyperlink>
    </w:p>
    <w:p w14:paraId="4EDC6A08" w14:textId="77777777" w:rsidR="008712F5" w:rsidRDefault="008712F5" w:rsidP="008712F5">
      <w:pPr>
        <w:spacing w:line="276" w:lineRule="auto"/>
        <w:rPr>
          <w:rFonts w:ascii="Times New Roman" w:hAnsi="Times New Roman" w:cs="Times New Roman"/>
        </w:rPr>
      </w:pPr>
    </w:p>
    <w:p w14:paraId="78DC86CD" w14:textId="77777777" w:rsidR="008712F5" w:rsidRPr="00A952FB" w:rsidRDefault="008712F5" w:rsidP="008712F5">
      <w:pPr>
        <w:spacing w:line="276" w:lineRule="auto"/>
        <w:rPr>
          <w:rFonts w:ascii="Times New Roman" w:hAnsi="Times New Roman" w:cs="Times New Roman"/>
        </w:rPr>
      </w:pPr>
      <w:proofErr w:type="spellStart"/>
      <w:r>
        <w:rPr>
          <w:rFonts w:ascii="Times New Roman" w:hAnsi="Times New Roman" w:cs="Times New Roman"/>
        </w:rPr>
        <w:t>Orcid</w:t>
      </w:r>
      <w:proofErr w:type="spellEnd"/>
      <w:r>
        <w:rPr>
          <w:rFonts w:ascii="Times New Roman" w:hAnsi="Times New Roman" w:cs="Times New Roman"/>
        </w:rPr>
        <w:t xml:space="preserve">: </w:t>
      </w:r>
      <w:hyperlink r:id="rId9" w:history="1">
        <w:r w:rsidRPr="00351DD0">
          <w:rPr>
            <w:rStyle w:val="Hyperlink"/>
          </w:rPr>
          <w:t>https://orcid.org/0000-0002-4860-8723</w:t>
        </w:r>
      </w:hyperlink>
      <w:r>
        <w:rPr>
          <w:rFonts w:ascii="Times New Roman" w:hAnsi="Times New Roman" w:cs="Times New Roman"/>
        </w:rPr>
        <w:t xml:space="preserve"> </w:t>
      </w:r>
    </w:p>
    <w:bookmarkEnd w:id="0"/>
    <w:p w14:paraId="3F2C54C4" w14:textId="77777777" w:rsidR="008712F5" w:rsidRDefault="008712F5" w:rsidP="008712F5"/>
    <w:p w14:paraId="22BCCB6E" w14:textId="77777777" w:rsidR="008712F5" w:rsidRDefault="008712F5" w:rsidP="008712F5"/>
    <w:p w14:paraId="54E34BC0" w14:textId="77777777" w:rsidR="008712F5" w:rsidRDefault="008712F5">
      <w:pPr>
        <w:rPr>
          <w:rFonts w:ascii="Times New Roman" w:hAnsi="Times New Roman" w:cs="Times New Roman"/>
          <w:b/>
          <w:bCs/>
          <w:sz w:val="36"/>
          <w:szCs w:val="36"/>
        </w:rPr>
      </w:pPr>
      <w:r>
        <w:rPr>
          <w:rFonts w:ascii="Times New Roman" w:hAnsi="Times New Roman" w:cs="Times New Roman"/>
          <w:b/>
          <w:bCs/>
          <w:sz w:val="36"/>
          <w:szCs w:val="36"/>
        </w:rPr>
        <w:br w:type="page"/>
      </w:r>
    </w:p>
    <w:p w14:paraId="0D4D9016" w14:textId="3271DACA" w:rsidR="007F05E8" w:rsidRPr="008712F5" w:rsidRDefault="00BE2FE2" w:rsidP="00D1040A">
      <w:pPr>
        <w:spacing w:line="276" w:lineRule="auto"/>
        <w:rPr>
          <w:rFonts w:ascii="Times New Roman" w:hAnsi="Times New Roman" w:cs="Times New Roman"/>
          <w:b/>
          <w:bCs/>
        </w:rPr>
      </w:pPr>
      <w:r w:rsidRPr="008712F5">
        <w:rPr>
          <w:rFonts w:ascii="Times New Roman" w:hAnsi="Times New Roman" w:cs="Times New Roman"/>
          <w:b/>
          <w:bCs/>
          <w:sz w:val="36"/>
          <w:szCs w:val="36"/>
        </w:rPr>
        <w:lastRenderedPageBreak/>
        <w:t>Are instructional practices</w:t>
      </w:r>
      <w:r w:rsidR="00BC45D6" w:rsidRPr="008712F5">
        <w:rPr>
          <w:rFonts w:ascii="Times New Roman" w:hAnsi="Times New Roman" w:cs="Times New Roman"/>
          <w:b/>
          <w:bCs/>
          <w:sz w:val="36"/>
          <w:szCs w:val="36"/>
        </w:rPr>
        <w:t xml:space="preserve"> different between East and West? An analysis of grade 8 TIMSS 2019 data</w:t>
      </w:r>
    </w:p>
    <w:p w14:paraId="1AC2C3E3" w14:textId="3CE19C5A" w:rsidR="007F05E8" w:rsidRPr="008712F5" w:rsidRDefault="007F05E8" w:rsidP="00D1040A">
      <w:pPr>
        <w:spacing w:line="276" w:lineRule="auto"/>
        <w:rPr>
          <w:rFonts w:ascii="Times New Roman" w:hAnsi="Times New Roman" w:cs="Times New Roman"/>
        </w:rPr>
      </w:pPr>
    </w:p>
    <w:p w14:paraId="3C40C1E3" w14:textId="369B164F" w:rsidR="00EE4750" w:rsidRPr="008712F5" w:rsidRDefault="00BC45D6" w:rsidP="007304A9">
      <w:pPr>
        <w:spacing w:line="360" w:lineRule="auto"/>
        <w:ind w:left="720"/>
        <w:rPr>
          <w:rFonts w:ascii="Times New Roman" w:hAnsi="Times New Roman" w:cs="Times New Roman"/>
        </w:rPr>
      </w:pPr>
      <w:r w:rsidRPr="008712F5">
        <w:rPr>
          <w:rFonts w:ascii="Times New Roman" w:hAnsi="Times New Roman" w:cs="Times New Roman"/>
        </w:rPr>
        <w:t>After every round of International Largescale Assessments like TIMSS and PISA</w:t>
      </w:r>
      <w:r w:rsidR="005438C7" w:rsidRPr="008712F5">
        <w:rPr>
          <w:rFonts w:ascii="Times New Roman" w:hAnsi="Times New Roman" w:cs="Times New Roman"/>
        </w:rPr>
        <w:t xml:space="preserve"> excellent achievement by countries in </w:t>
      </w:r>
      <w:r w:rsidR="003E54AA" w:rsidRPr="008712F5">
        <w:rPr>
          <w:rFonts w:ascii="Times New Roman" w:hAnsi="Times New Roman" w:cs="Times New Roman"/>
        </w:rPr>
        <w:t>East Asia</w:t>
      </w:r>
      <w:r w:rsidR="005438C7" w:rsidRPr="008712F5">
        <w:rPr>
          <w:rFonts w:ascii="Times New Roman" w:hAnsi="Times New Roman" w:cs="Times New Roman"/>
        </w:rPr>
        <w:t xml:space="preserve"> are explained in terms of their </w:t>
      </w:r>
      <w:r w:rsidR="009F08DF" w:rsidRPr="008712F5">
        <w:rPr>
          <w:rFonts w:ascii="Times New Roman" w:hAnsi="Times New Roman" w:cs="Times New Roman"/>
        </w:rPr>
        <w:t>instructional</w:t>
      </w:r>
      <w:r w:rsidR="005438C7" w:rsidRPr="008712F5">
        <w:rPr>
          <w:rFonts w:ascii="Times New Roman" w:hAnsi="Times New Roman" w:cs="Times New Roman"/>
        </w:rPr>
        <w:t xml:space="preserve"> practices. However, </w:t>
      </w:r>
      <w:r w:rsidR="009F08DF" w:rsidRPr="008712F5">
        <w:rPr>
          <w:rFonts w:ascii="Times New Roman" w:hAnsi="Times New Roman" w:cs="Times New Roman"/>
        </w:rPr>
        <w:t>instructional</w:t>
      </w:r>
      <w:r w:rsidR="005438C7" w:rsidRPr="008712F5">
        <w:rPr>
          <w:rFonts w:ascii="Times New Roman" w:hAnsi="Times New Roman" w:cs="Times New Roman"/>
        </w:rPr>
        <w:t xml:space="preserve"> practices are not easily captured in self-reported scales. In addition, speculation on what approaches </w:t>
      </w:r>
      <w:r w:rsidR="005A64E5" w:rsidRPr="008712F5">
        <w:rPr>
          <w:rFonts w:ascii="Times New Roman" w:hAnsi="Times New Roman" w:cs="Times New Roman"/>
        </w:rPr>
        <w:t>lead to the highest mathematics achievement</w:t>
      </w:r>
      <w:r w:rsidR="005438C7" w:rsidRPr="008712F5">
        <w:rPr>
          <w:rFonts w:ascii="Times New Roman" w:hAnsi="Times New Roman" w:cs="Times New Roman"/>
        </w:rPr>
        <w:t xml:space="preserve"> are often combined and conflated with discussions </w:t>
      </w:r>
      <w:r w:rsidR="009F08DF" w:rsidRPr="008712F5">
        <w:rPr>
          <w:rFonts w:ascii="Times New Roman" w:hAnsi="Times New Roman" w:cs="Times New Roman"/>
        </w:rPr>
        <w:t>how mathematical content</w:t>
      </w:r>
      <w:r w:rsidR="000663A3" w:rsidRPr="008712F5">
        <w:rPr>
          <w:rFonts w:ascii="Times New Roman" w:hAnsi="Times New Roman" w:cs="Times New Roman"/>
        </w:rPr>
        <w:t xml:space="preserve"> needs to be taught.</w:t>
      </w:r>
      <w:r w:rsidR="005438C7" w:rsidRPr="008712F5">
        <w:rPr>
          <w:rFonts w:ascii="Times New Roman" w:hAnsi="Times New Roman" w:cs="Times New Roman"/>
        </w:rPr>
        <w:t xml:space="preserve"> This article reports on a secondary analysis of TIMSS 2019 grade 8 data </w:t>
      </w:r>
      <w:r w:rsidR="00EE4750" w:rsidRPr="008712F5">
        <w:rPr>
          <w:rFonts w:ascii="Times New Roman" w:hAnsi="Times New Roman" w:cs="Times New Roman"/>
        </w:rPr>
        <w:t xml:space="preserve">from 46 jurisdictions </w:t>
      </w:r>
      <w:r w:rsidR="000663A3" w:rsidRPr="008712F5">
        <w:rPr>
          <w:rFonts w:ascii="Times New Roman" w:hAnsi="Times New Roman" w:cs="Times New Roman"/>
        </w:rPr>
        <w:t xml:space="preserve">of </w:t>
      </w:r>
      <w:r w:rsidR="00EE4750" w:rsidRPr="008712F5">
        <w:rPr>
          <w:rFonts w:ascii="Times New Roman" w:hAnsi="Times New Roman" w:cs="Times New Roman"/>
        </w:rPr>
        <w:t>teacher-reported answers</w:t>
      </w:r>
      <w:r w:rsidR="000663A3" w:rsidRPr="008712F5">
        <w:rPr>
          <w:rFonts w:ascii="Times New Roman" w:hAnsi="Times New Roman" w:cs="Times New Roman"/>
        </w:rPr>
        <w:t xml:space="preserve"> on instructional practices</w:t>
      </w:r>
      <w:r w:rsidR="00EE4750" w:rsidRPr="008712F5">
        <w:rPr>
          <w:rFonts w:ascii="Times New Roman" w:hAnsi="Times New Roman" w:cs="Times New Roman"/>
        </w:rPr>
        <w:t xml:space="preserve">. </w:t>
      </w:r>
      <w:r w:rsidR="000663A3" w:rsidRPr="008712F5">
        <w:rPr>
          <w:rFonts w:ascii="Times New Roman" w:hAnsi="Times New Roman" w:cs="Times New Roman"/>
        </w:rPr>
        <w:t>Using a data-driven Exploratory Factor Analysis three instructional scales</w:t>
      </w:r>
      <w:r w:rsidR="00060571" w:rsidRPr="008712F5">
        <w:rPr>
          <w:rFonts w:ascii="Times New Roman" w:hAnsi="Times New Roman" w:cs="Times New Roman"/>
        </w:rPr>
        <w:t xml:space="preserve"> are compiled</w:t>
      </w:r>
      <w:r w:rsidR="003E54AA" w:rsidRPr="008712F5">
        <w:rPr>
          <w:rFonts w:ascii="Times New Roman" w:hAnsi="Times New Roman" w:cs="Times New Roman"/>
        </w:rPr>
        <w:t>, and supplement</w:t>
      </w:r>
      <w:r w:rsidR="00060571" w:rsidRPr="008712F5">
        <w:rPr>
          <w:rFonts w:ascii="Times New Roman" w:hAnsi="Times New Roman" w:cs="Times New Roman"/>
        </w:rPr>
        <w:t>ed</w:t>
      </w:r>
      <w:r w:rsidR="003E54AA" w:rsidRPr="008712F5">
        <w:rPr>
          <w:rFonts w:ascii="Times New Roman" w:hAnsi="Times New Roman" w:cs="Times New Roman"/>
        </w:rPr>
        <w:t xml:space="preserve"> with variables </w:t>
      </w:r>
      <w:r w:rsidR="00060571" w:rsidRPr="008712F5">
        <w:rPr>
          <w:rFonts w:ascii="Times New Roman" w:hAnsi="Times New Roman" w:cs="Times New Roman"/>
        </w:rPr>
        <w:t>on</w:t>
      </w:r>
      <w:r w:rsidR="003E54AA" w:rsidRPr="008712F5">
        <w:rPr>
          <w:rFonts w:ascii="Times New Roman" w:hAnsi="Times New Roman" w:cs="Times New Roman"/>
        </w:rPr>
        <w:t xml:space="preserve"> barriers towards </w:t>
      </w:r>
      <w:r w:rsidR="009F08DF" w:rsidRPr="008712F5">
        <w:rPr>
          <w:rFonts w:ascii="Times New Roman" w:hAnsi="Times New Roman" w:cs="Times New Roman"/>
        </w:rPr>
        <w:t>instruction</w:t>
      </w:r>
      <w:r w:rsidR="003E54AA" w:rsidRPr="008712F5">
        <w:rPr>
          <w:rFonts w:ascii="Times New Roman" w:hAnsi="Times New Roman" w:cs="Times New Roman"/>
        </w:rPr>
        <w:t xml:space="preserve"> and instructional time</w:t>
      </w:r>
      <w:r w:rsidR="000663A3" w:rsidRPr="008712F5">
        <w:rPr>
          <w:rFonts w:ascii="Times New Roman" w:hAnsi="Times New Roman" w:cs="Times New Roman"/>
        </w:rPr>
        <w:t xml:space="preserve">. </w:t>
      </w:r>
      <w:r w:rsidR="003E54AA" w:rsidRPr="008712F5">
        <w:rPr>
          <w:rFonts w:ascii="Times New Roman" w:hAnsi="Times New Roman" w:cs="Times New Roman"/>
        </w:rPr>
        <w:t>M</w:t>
      </w:r>
      <w:r w:rsidR="000663A3" w:rsidRPr="008712F5">
        <w:rPr>
          <w:rFonts w:ascii="Times New Roman" w:hAnsi="Times New Roman" w:cs="Times New Roman"/>
        </w:rPr>
        <w:t>ultilevel models of all countries are created for students and teachers, in which the relationship between these instructional practices and mathematics achievement</w:t>
      </w:r>
      <w:r w:rsidR="00060571" w:rsidRPr="008712F5">
        <w:rPr>
          <w:rFonts w:ascii="Times New Roman" w:hAnsi="Times New Roman" w:cs="Times New Roman"/>
        </w:rPr>
        <w:t xml:space="preserve"> is explored</w:t>
      </w:r>
      <w:r w:rsidR="003E54AA" w:rsidRPr="008712F5">
        <w:rPr>
          <w:rFonts w:ascii="Times New Roman" w:hAnsi="Times New Roman" w:cs="Times New Roman"/>
        </w:rPr>
        <w:t>.</w:t>
      </w:r>
      <w:r w:rsidR="00BE2FE2" w:rsidRPr="008712F5">
        <w:rPr>
          <w:rFonts w:ascii="Times New Roman" w:hAnsi="Times New Roman" w:cs="Times New Roman"/>
        </w:rPr>
        <w:t xml:space="preserve"> </w:t>
      </w:r>
      <w:r w:rsidR="007304A9" w:rsidRPr="008712F5">
        <w:rPr>
          <w:rFonts w:ascii="Times New Roman" w:hAnsi="Times New Roman" w:cs="Times New Roman"/>
        </w:rPr>
        <w:t xml:space="preserve">Across countries, the results show that </w:t>
      </w:r>
      <w:r w:rsidR="00E17187" w:rsidRPr="008712F5">
        <w:rPr>
          <w:rFonts w:ascii="Times New Roman" w:hAnsi="Times New Roman" w:cs="Times New Roman"/>
        </w:rPr>
        <w:t xml:space="preserve">the three new </w:t>
      </w:r>
      <w:r w:rsidR="003E54AA" w:rsidRPr="008712F5">
        <w:rPr>
          <w:rFonts w:ascii="Times New Roman" w:hAnsi="Times New Roman" w:cs="Times New Roman"/>
        </w:rPr>
        <w:t>scales for instructional practice work in limited and different ways</w:t>
      </w:r>
      <w:r w:rsidR="00E17187" w:rsidRPr="008712F5">
        <w:rPr>
          <w:rFonts w:ascii="Times New Roman" w:hAnsi="Times New Roman" w:cs="Times New Roman"/>
        </w:rPr>
        <w:t>, but that barriers towards instruction, and to a lesser extent instructional time, predict mathematics achievement</w:t>
      </w:r>
      <w:r w:rsidR="003E54AA" w:rsidRPr="008712F5">
        <w:rPr>
          <w:rFonts w:ascii="Times New Roman" w:hAnsi="Times New Roman" w:cs="Times New Roman"/>
        </w:rPr>
        <w:t xml:space="preserve">. </w:t>
      </w:r>
      <w:r w:rsidR="00E17187" w:rsidRPr="008712F5">
        <w:rPr>
          <w:rFonts w:ascii="Times New Roman" w:hAnsi="Times New Roman" w:cs="Times New Roman"/>
        </w:rPr>
        <w:t>However, t</w:t>
      </w:r>
      <w:r w:rsidR="003E54AA" w:rsidRPr="008712F5">
        <w:rPr>
          <w:rFonts w:ascii="Times New Roman" w:hAnsi="Times New Roman" w:cs="Times New Roman"/>
        </w:rPr>
        <w:t xml:space="preserve">here is no consistent pattern of instructional practices across all countries, also not between East Asian countries. </w:t>
      </w:r>
    </w:p>
    <w:p w14:paraId="0E19BD7C" w14:textId="77777777" w:rsidR="00EE4750" w:rsidRPr="008712F5" w:rsidRDefault="00EE4750" w:rsidP="00D1040A">
      <w:pPr>
        <w:spacing w:line="276" w:lineRule="auto"/>
        <w:ind w:left="720"/>
        <w:rPr>
          <w:rFonts w:ascii="Times New Roman" w:hAnsi="Times New Roman" w:cs="Times New Roman"/>
        </w:rPr>
      </w:pPr>
    </w:p>
    <w:p w14:paraId="189DF00F" w14:textId="77777777" w:rsidR="007F05E8" w:rsidRPr="008712F5" w:rsidRDefault="007F05E8" w:rsidP="00D1040A">
      <w:pPr>
        <w:spacing w:line="276" w:lineRule="auto"/>
        <w:rPr>
          <w:rFonts w:ascii="Times New Roman" w:hAnsi="Times New Roman" w:cs="Times New Roman"/>
          <w:b/>
          <w:bCs/>
        </w:rPr>
      </w:pPr>
    </w:p>
    <w:p w14:paraId="0A890448" w14:textId="44DCFD40" w:rsidR="00EA0248" w:rsidRPr="008712F5" w:rsidRDefault="00EA0248" w:rsidP="00D1040A">
      <w:pPr>
        <w:spacing w:line="276" w:lineRule="auto"/>
        <w:rPr>
          <w:rFonts w:ascii="Times New Roman" w:hAnsi="Times New Roman" w:cs="Times New Roman"/>
        </w:rPr>
      </w:pPr>
      <w:r w:rsidRPr="008712F5">
        <w:rPr>
          <w:rFonts w:ascii="Times New Roman" w:hAnsi="Times New Roman" w:cs="Times New Roman"/>
          <w:b/>
          <w:bCs/>
        </w:rPr>
        <w:t>Keywords:</w:t>
      </w:r>
      <w:r w:rsidRPr="008712F5">
        <w:rPr>
          <w:rFonts w:ascii="Times New Roman" w:hAnsi="Times New Roman" w:cs="Times New Roman"/>
        </w:rPr>
        <w:t xml:space="preserve"> </w:t>
      </w:r>
      <w:r w:rsidR="00BC1175" w:rsidRPr="008712F5">
        <w:rPr>
          <w:rFonts w:ascii="Times New Roman" w:hAnsi="Times New Roman" w:cs="Times New Roman"/>
        </w:rPr>
        <w:t>instructional practices</w:t>
      </w:r>
      <w:r w:rsidR="007304A9" w:rsidRPr="008712F5">
        <w:rPr>
          <w:rFonts w:ascii="Times New Roman" w:hAnsi="Times New Roman" w:cs="Times New Roman"/>
        </w:rPr>
        <w:t>, grade eight, TIMSS, international comparison</w:t>
      </w:r>
      <w:r w:rsidR="00BC1175" w:rsidRPr="008712F5">
        <w:rPr>
          <w:rFonts w:ascii="Times New Roman" w:hAnsi="Times New Roman" w:cs="Times New Roman"/>
        </w:rPr>
        <w:t>, multilevel models</w:t>
      </w:r>
    </w:p>
    <w:p w14:paraId="5695FE9D" w14:textId="77777777" w:rsidR="00EA0248" w:rsidRPr="008712F5" w:rsidRDefault="00EA0248" w:rsidP="00D1040A">
      <w:pPr>
        <w:spacing w:line="276" w:lineRule="auto"/>
        <w:rPr>
          <w:rFonts w:ascii="Times New Roman" w:hAnsi="Times New Roman" w:cs="Times New Roman"/>
        </w:rPr>
      </w:pPr>
    </w:p>
    <w:p w14:paraId="341FCD2B" w14:textId="0C78F029" w:rsidR="00C73853" w:rsidRPr="008712F5" w:rsidRDefault="00C73853" w:rsidP="00FE3D40">
      <w:pPr>
        <w:pStyle w:val="Heading2"/>
      </w:pPr>
      <w:r w:rsidRPr="008712F5">
        <w:t>Introduction</w:t>
      </w:r>
    </w:p>
    <w:p w14:paraId="17873603" w14:textId="2D67F868" w:rsidR="00DB7D7F" w:rsidRPr="008712F5" w:rsidRDefault="004F25EE" w:rsidP="00EA0248">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One of the </w:t>
      </w:r>
      <w:r w:rsidR="0015690F" w:rsidRPr="008712F5">
        <w:rPr>
          <w:rFonts w:ascii="Times New Roman" w:hAnsi="Times New Roman" w:cs="Times New Roman"/>
          <w:sz w:val="24"/>
          <w:szCs w:val="24"/>
        </w:rPr>
        <w:t>persistent</w:t>
      </w:r>
      <w:r w:rsidRPr="008712F5">
        <w:rPr>
          <w:rFonts w:ascii="Times New Roman" w:hAnsi="Times New Roman" w:cs="Times New Roman"/>
          <w:sz w:val="24"/>
          <w:szCs w:val="24"/>
        </w:rPr>
        <w:t xml:space="preserve"> discussions in secondary mathematics education is the one about </w:t>
      </w:r>
      <w:r w:rsidR="00BC1175" w:rsidRPr="008712F5">
        <w:rPr>
          <w:rFonts w:ascii="Times New Roman" w:hAnsi="Times New Roman" w:cs="Times New Roman"/>
          <w:sz w:val="24"/>
          <w:szCs w:val="24"/>
        </w:rPr>
        <w:t>which</w:t>
      </w:r>
      <w:r w:rsidR="00BE2FE2" w:rsidRPr="008712F5">
        <w:rPr>
          <w:rFonts w:ascii="Times New Roman" w:hAnsi="Times New Roman" w:cs="Times New Roman"/>
          <w:sz w:val="24"/>
          <w:szCs w:val="24"/>
        </w:rPr>
        <w:t xml:space="preserve"> instructional practices in classrooms are the most effective to learn mathematics</w:t>
      </w:r>
      <w:r w:rsidRPr="008712F5">
        <w:rPr>
          <w:rFonts w:ascii="Times New Roman" w:hAnsi="Times New Roman" w:cs="Times New Roman"/>
          <w:sz w:val="24"/>
          <w:szCs w:val="24"/>
        </w:rPr>
        <w:t xml:space="preserve">. Often such discussions cover more than just that tension, with emphasis on the </w:t>
      </w:r>
      <w:r w:rsidR="005A64E5" w:rsidRPr="008712F5">
        <w:rPr>
          <w:rFonts w:ascii="Times New Roman" w:hAnsi="Times New Roman" w:cs="Times New Roman"/>
          <w:sz w:val="24"/>
          <w:szCs w:val="24"/>
        </w:rPr>
        <w:t>approaches that lead to the highest mathematics achievement</w:t>
      </w:r>
      <w:r w:rsidRPr="008712F5">
        <w:rPr>
          <w:rFonts w:ascii="Times New Roman" w:hAnsi="Times New Roman" w:cs="Times New Roman"/>
          <w:sz w:val="24"/>
          <w:szCs w:val="24"/>
        </w:rPr>
        <w:t xml:space="preserve"> (e.g. inquiry or teacher-directed), the nature of tasks that students are asked to do (e.g. more open or more closed tasks), </w:t>
      </w:r>
      <w:r w:rsidR="00BE2FE2" w:rsidRPr="008712F5">
        <w:rPr>
          <w:rFonts w:ascii="Times New Roman" w:hAnsi="Times New Roman" w:cs="Times New Roman"/>
          <w:sz w:val="24"/>
          <w:szCs w:val="24"/>
        </w:rPr>
        <w:t xml:space="preserve">discussions about conceptual and procedural knowledge, </w:t>
      </w:r>
      <w:r w:rsidRPr="008712F5">
        <w:rPr>
          <w:rFonts w:ascii="Times New Roman" w:hAnsi="Times New Roman" w:cs="Times New Roman"/>
          <w:sz w:val="24"/>
          <w:szCs w:val="24"/>
        </w:rPr>
        <w:t xml:space="preserve">or whether there should be more practice of basic skills or often vaguely formulated ‘problem-solving tasks’. In these initial sentences, </w:t>
      </w:r>
      <w:r w:rsidR="001A4095" w:rsidRPr="008712F5">
        <w:rPr>
          <w:rFonts w:ascii="Times New Roman" w:hAnsi="Times New Roman" w:cs="Times New Roman"/>
          <w:sz w:val="24"/>
          <w:szCs w:val="24"/>
        </w:rPr>
        <w:t>it can be hard to seem</w:t>
      </w:r>
      <w:r w:rsidRPr="008712F5">
        <w:rPr>
          <w:rFonts w:ascii="Times New Roman" w:hAnsi="Times New Roman" w:cs="Times New Roman"/>
          <w:sz w:val="24"/>
          <w:szCs w:val="24"/>
        </w:rPr>
        <w:t xml:space="preserve"> neutral in describing the quandary, because tensions can be so high that even calling basic skills ‘rote’ or referring to ‘real’ understanding</w:t>
      </w:r>
      <w:r w:rsidR="00A85452" w:rsidRPr="008712F5">
        <w:rPr>
          <w:rFonts w:ascii="Times New Roman" w:hAnsi="Times New Roman" w:cs="Times New Roman"/>
          <w:sz w:val="24"/>
          <w:szCs w:val="24"/>
        </w:rPr>
        <w:t xml:space="preserve">, can be seen as biased, leading to a rather fruitless polarisation of the discussion. It is no coincidence that earlier instantiations </w:t>
      </w:r>
      <w:r w:rsidR="00A85452" w:rsidRPr="008712F5">
        <w:rPr>
          <w:rFonts w:ascii="Times New Roman" w:hAnsi="Times New Roman" w:cs="Times New Roman"/>
          <w:sz w:val="24"/>
          <w:szCs w:val="24"/>
        </w:rPr>
        <w:lastRenderedPageBreak/>
        <w:t xml:space="preserve">of the debate have been termed the ‘Math Wars’ </w:t>
      </w:r>
      <w:r w:rsidR="00251EB7" w:rsidRPr="008712F5">
        <w:rPr>
          <w:rFonts w:ascii="Times New Roman" w:hAnsi="Times New Roman" w:cs="Times New Roman"/>
          <w:sz w:val="24"/>
          <w:szCs w:val="24"/>
        </w:rPr>
        <w:t>(Schoenfeld, 2004). The proliferation of International Large-scale Assessments (ILSA) such as the Programme for International Student Assessment (PISA) and the Trends in International Mathematics and Science Study (TIMSS) have contributed to the debate as well, as still in the most recent results, many East Asian countries score higher than Western countries in both content and cognitive domains (Mullis et al., 2020</w:t>
      </w:r>
      <w:r w:rsidR="003B6D6C" w:rsidRPr="008712F5">
        <w:rPr>
          <w:rFonts w:ascii="Times New Roman" w:hAnsi="Times New Roman" w:cs="Times New Roman"/>
          <w:sz w:val="24"/>
          <w:szCs w:val="24"/>
        </w:rPr>
        <w:t>; OECD, 2019).</w:t>
      </w:r>
      <w:r w:rsidR="00251EB7" w:rsidRPr="008712F5">
        <w:rPr>
          <w:rFonts w:ascii="Times New Roman" w:hAnsi="Times New Roman" w:cs="Times New Roman"/>
          <w:sz w:val="24"/>
          <w:szCs w:val="24"/>
        </w:rPr>
        <w:t xml:space="preserve"> This unsurprisingly then leads to</w:t>
      </w:r>
      <w:r w:rsidR="003B6D6C" w:rsidRPr="008712F5">
        <w:rPr>
          <w:rFonts w:ascii="Times New Roman" w:hAnsi="Times New Roman" w:cs="Times New Roman"/>
          <w:sz w:val="24"/>
          <w:szCs w:val="24"/>
        </w:rPr>
        <w:t xml:space="preserve"> speculations as to </w:t>
      </w:r>
      <w:r w:rsidR="003B6D6C" w:rsidRPr="008712F5">
        <w:rPr>
          <w:rFonts w:ascii="Times New Roman" w:hAnsi="Times New Roman" w:cs="Times New Roman"/>
          <w:i/>
          <w:iCs/>
          <w:sz w:val="24"/>
          <w:szCs w:val="24"/>
        </w:rPr>
        <w:t>why</w:t>
      </w:r>
      <w:r w:rsidR="003B6D6C" w:rsidRPr="008712F5">
        <w:rPr>
          <w:rFonts w:ascii="Times New Roman" w:hAnsi="Times New Roman" w:cs="Times New Roman"/>
          <w:sz w:val="24"/>
          <w:szCs w:val="24"/>
        </w:rPr>
        <w:t xml:space="preserve"> they do better, with associated claims about East Asian mathematics teaching practices. </w:t>
      </w:r>
      <w:r w:rsidR="00A81BA8" w:rsidRPr="008712F5">
        <w:rPr>
          <w:rFonts w:ascii="Times New Roman" w:hAnsi="Times New Roman" w:cs="Times New Roman"/>
          <w:sz w:val="24"/>
          <w:szCs w:val="24"/>
        </w:rPr>
        <w:t>Already some time ago</w:t>
      </w:r>
      <w:r w:rsidR="00252CE1" w:rsidRPr="008712F5">
        <w:rPr>
          <w:rFonts w:ascii="Times New Roman" w:hAnsi="Times New Roman" w:cs="Times New Roman"/>
          <w:sz w:val="24"/>
          <w:szCs w:val="24"/>
        </w:rPr>
        <w:t>,</w:t>
      </w:r>
      <w:r w:rsidR="00A81BA8" w:rsidRPr="008712F5">
        <w:rPr>
          <w:rFonts w:ascii="Times New Roman" w:hAnsi="Times New Roman" w:cs="Times New Roman"/>
          <w:sz w:val="24"/>
          <w:szCs w:val="24"/>
        </w:rPr>
        <w:t xml:space="preserve"> Biggs </w:t>
      </w:r>
      <w:r w:rsidR="00DE4E97" w:rsidRPr="008712F5">
        <w:rPr>
          <w:rFonts w:ascii="Times New Roman" w:hAnsi="Times New Roman" w:cs="Times New Roman"/>
          <w:sz w:val="24"/>
          <w:szCs w:val="24"/>
        </w:rPr>
        <w:t xml:space="preserve">(1994; 1998) </w:t>
      </w:r>
      <w:r w:rsidR="00A81BA8" w:rsidRPr="008712F5">
        <w:rPr>
          <w:rFonts w:ascii="Times New Roman" w:hAnsi="Times New Roman" w:cs="Times New Roman"/>
          <w:sz w:val="24"/>
          <w:szCs w:val="24"/>
        </w:rPr>
        <w:t xml:space="preserve">highlighted the ‘Paradox of the Asian learner’ where -according to Western views- seemingly traditional Asian classrooms aimed at ‘low-level cognitive goals’ (e.g. emphasising memorisation), still lead to better outcomes for reasoning and other ‘higher order’ skills. </w:t>
      </w:r>
      <w:r w:rsidR="00BE2FE2" w:rsidRPr="008712F5">
        <w:rPr>
          <w:rFonts w:ascii="Times New Roman" w:hAnsi="Times New Roman" w:cs="Times New Roman"/>
          <w:sz w:val="24"/>
          <w:szCs w:val="24"/>
        </w:rPr>
        <w:t>More recently</w:t>
      </w:r>
      <w:r w:rsidR="00A81BA8" w:rsidRPr="008712F5">
        <w:rPr>
          <w:rFonts w:ascii="Times New Roman" w:hAnsi="Times New Roman" w:cs="Times New Roman"/>
          <w:sz w:val="24"/>
          <w:szCs w:val="24"/>
        </w:rPr>
        <w:t>, Leung (2001</w:t>
      </w:r>
      <w:r w:rsidR="0043441D" w:rsidRPr="008712F5">
        <w:rPr>
          <w:rFonts w:ascii="Times New Roman" w:hAnsi="Times New Roman" w:cs="Times New Roman"/>
          <w:sz w:val="24"/>
          <w:szCs w:val="24"/>
        </w:rPr>
        <w:t>;</w:t>
      </w:r>
      <w:r w:rsidR="00BE2FE2" w:rsidRPr="008712F5">
        <w:rPr>
          <w:rFonts w:ascii="Times New Roman" w:hAnsi="Times New Roman" w:cs="Times New Roman"/>
          <w:sz w:val="24"/>
          <w:szCs w:val="24"/>
        </w:rPr>
        <w:t xml:space="preserve"> 2017</w:t>
      </w:r>
      <w:r w:rsidR="00A81BA8" w:rsidRPr="008712F5">
        <w:rPr>
          <w:rFonts w:ascii="Times New Roman" w:hAnsi="Times New Roman" w:cs="Times New Roman"/>
          <w:sz w:val="24"/>
          <w:szCs w:val="24"/>
        </w:rPr>
        <w:t>) described how the features in both East Asian and Western mathematics education are based on deep-rooted cultural values and paradigms. Leung</w:t>
      </w:r>
      <w:r w:rsidR="00060571" w:rsidRPr="008712F5">
        <w:rPr>
          <w:rFonts w:ascii="Times New Roman" w:hAnsi="Times New Roman" w:cs="Times New Roman"/>
          <w:sz w:val="24"/>
          <w:szCs w:val="24"/>
        </w:rPr>
        <w:t>’s</w:t>
      </w:r>
      <w:r w:rsidR="00A81BA8" w:rsidRPr="008712F5">
        <w:rPr>
          <w:rFonts w:ascii="Times New Roman" w:hAnsi="Times New Roman" w:cs="Times New Roman"/>
          <w:sz w:val="24"/>
          <w:szCs w:val="24"/>
        </w:rPr>
        <w:t xml:space="preserve"> (2001)</w:t>
      </w:r>
      <w:r w:rsidR="00060571" w:rsidRPr="008712F5">
        <w:rPr>
          <w:rFonts w:ascii="Times New Roman" w:hAnsi="Times New Roman" w:cs="Times New Roman"/>
          <w:sz w:val="24"/>
          <w:szCs w:val="24"/>
        </w:rPr>
        <w:t xml:space="preserve"> study indicates </w:t>
      </w:r>
      <w:r w:rsidR="00A81BA8" w:rsidRPr="008712F5">
        <w:rPr>
          <w:rFonts w:ascii="Times New Roman" w:hAnsi="Times New Roman" w:cs="Times New Roman"/>
          <w:sz w:val="24"/>
          <w:szCs w:val="24"/>
        </w:rPr>
        <w:t>how multiple perceived dichotomies</w:t>
      </w:r>
      <w:r w:rsidR="00561273" w:rsidRPr="008712F5">
        <w:rPr>
          <w:rFonts w:ascii="Times New Roman" w:hAnsi="Times New Roman" w:cs="Times New Roman"/>
          <w:sz w:val="24"/>
          <w:szCs w:val="24"/>
        </w:rPr>
        <w:t xml:space="preserve"> seem to come together in comparisons between the East and West</w:t>
      </w:r>
      <w:r w:rsidR="0025127A" w:rsidRPr="008712F5">
        <w:rPr>
          <w:rFonts w:ascii="Times New Roman" w:hAnsi="Times New Roman" w:cs="Times New Roman"/>
          <w:sz w:val="24"/>
          <w:szCs w:val="24"/>
        </w:rPr>
        <w:t xml:space="preserve">. </w:t>
      </w:r>
    </w:p>
    <w:p w14:paraId="7B8E7E13" w14:textId="77777777" w:rsidR="00DB7D7F" w:rsidRPr="008712F5" w:rsidRDefault="00DB7D7F" w:rsidP="00EA0248">
      <w:pPr>
        <w:spacing w:line="480" w:lineRule="auto"/>
        <w:rPr>
          <w:rFonts w:ascii="Times New Roman" w:hAnsi="Times New Roman" w:cs="Times New Roman"/>
          <w:sz w:val="24"/>
          <w:szCs w:val="24"/>
        </w:rPr>
      </w:pPr>
    </w:p>
    <w:p w14:paraId="7F2F6050" w14:textId="20E3C6FC" w:rsidR="00DB7D7F" w:rsidRPr="008712F5" w:rsidRDefault="00561273" w:rsidP="00EA0248">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Two things can be noted here. Firstly, that these factors often do not, whether we like it or not, stand on their own, and that the discussion is multi-faced. Secondly, that it remains to be seen that these distinctions, although useful for our thinking, </w:t>
      </w:r>
      <w:r w:rsidRPr="008712F5">
        <w:rPr>
          <w:rFonts w:ascii="Times New Roman" w:hAnsi="Times New Roman" w:cs="Times New Roman"/>
          <w:i/>
          <w:iCs/>
          <w:sz w:val="24"/>
          <w:szCs w:val="24"/>
        </w:rPr>
        <w:t>really</w:t>
      </w:r>
      <w:r w:rsidRPr="008712F5">
        <w:rPr>
          <w:rFonts w:ascii="Times New Roman" w:hAnsi="Times New Roman" w:cs="Times New Roman"/>
          <w:sz w:val="24"/>
          <w:szCs w:val="24"/>
        </w:rPr>
        <w:t xml:space="preserve"> are dichotomies. As Leung (20</w:t>
      </w:r>
      <w:r w:rsidR="000B3035" w:rsidRPr="008712F5">
        <w:rPr>
          <w:rFonts w:ascii="Times New Roman" w:hAnsi="Times New Roman" w:cs="Times New Roman"/>
          <w:sz w:val="24"/>
          <w:szCs w:val="24"/>
        </w:rPr>
        <w:t>01)</w:t>
      </w:r>
      <w:r w:rsidR="00DE4E97" w:rsidRPr="008712F5">
        <w:rPr>
          <w:rFonts w:ascii="Times New Roman" w:hAnsi="Times New Roman" w:cs="Times New Roman"/>
          <w:sz w:val="24"/>
          <w:szCs w:val="24"/>
        </w:rPr>
        <w:t xml:space="preserve"> points out</w:t>
      </w:r>
      <w:r w:rsidR="000B3035" w:rsidRPr="008712F5">
        <w:rPr>
          <w:rFonts w:ascii="Times New Roman" w:hAnsi="Times New Roman" w:cs="Times New Roman"/>
          <w:sz w:val="24"/>
          <w:szCs w:val="24"/>
        </w:rPr>
        <w:t>, Western scholars might “consider their East Asian counterparts as old fashioned in sticking to a product view of mathematics, but East Asians believe that their Western counterparts may have gone too far towards the process extreme” (p. 39). Leung (2001) also highlights that seeing memorisation as learning without understanding is “too simplistic a view” (p. 41</w:t>
      </w:r>
      <w:r w:rsidR="00E67AD3" w:rsidRPr="008712F5">
        <w:rPr>
          <w:rFonts w:ascii="Times New Roman" w:hAnsi="Times New Roman" w:cs="Times New Roman"/>
          <w:sz w:val="24"/>
          <w:szCs w:val="24"/>
        </w:rPr>
        <w:t>).</w:t>
      </w:r>
      <w:r w:rsidR="00F121B2" w:rsidRPr="008712F5">
        <w:rPr>
          <w:rFonts w:ascii="Times New Roman" w:hAnsi="Times New Roman" w:cs="Times New Roman"/>
          <w:sz w:val="24"/>
          <w:szCs w:val="24"/>
        </w:rPr>
        <w:t xml:space="preserve"> Despite such nuance, Leung (2017) also asserts that East Asian countries form a cultural cluster. </w:t>
      </w:r>
      <w:r w:rsidR="00B22CCD" w:rsidRPr="008712F5">
        <w:rPr>
          <w:rFonts w:ascii="Times New Roman" w:hAnsi="Times New Roman" w:cs="Times New Roman"/>
          <w:sz w:val="24"/>
          <w:szCs w:val="24"/>
        </w:rPr>
        <w:t>So, o</w:t>
      </w:r>
      <w:r w:rsidR="001A4095" w:rsidRPr="008712F5">
        <w:rPr>
          <w:rFonts w:ascii="Times New Roman" w:hAnsi="Times New Roman" w:cs="Times New Roman"/>
          <w:sz w:val="24"/>
          <w:szCs w:val="24"/>
        </w:rPr>
        <w:t xml:space="preserve">n the one hand, research has shown us that a multi-faceted view is necessary; on the other hand, we still see </w:t>
      </w:r>
      <w:r w:rsidR="00B22CCD" w:rsidRPr="008712F5">
        <w:rPr>
          <w:rFonts w:ascii="Times New Roman" w:hAnsi="Times New Roman" w:cs="Times New Roman"/>
          <w:sz w:val="24"/>
          <w:szCs w:val="24"/>
        </w:rPr>
        <w:t>caricatural</w:t>
      </w:r>
      <w:r w:rsidR="001A4095" w:rsidRPr="008712F5">
        <w:rPr>
          <w:rFonts w:ascii="Times New Roman" w:hAnsi="Times New Roman" w:cs="Times New Roman"/>
          <w:sz w:val="24"/>
          <w:szCs w:val="24"/>
        </w:rPr>
        <w:t xml:space="preserve"> discussions on the </w:t>
      </w:r>
      <w:r w:rsidR="005A64E5" w:rsidRPr="008712F5">
        <w:rPr>
          <w:rFonts w:ascii="Times New Roman" w:hAnsi="Times New Roman" w:cs="Times New Roman"/>
          <w:sz w:val="24"/>
          <w:szCs w:val="24"/>
        </w:rPr>
        <w:t>‘</w:t>
      </w:r>
      <w:r w:rsidR="001A4095" w:rsidRPr="008712F5">
        <w:rPr>
          <w:rFonts w:ascii="Times New Roman" w:hAnsi="Times New Roman" w:cs="Times New Roman"/>
          <w:sz w:val="24"/>
          <w:szCs w:val="24"/>
        </w:rPr>
        <w:t>best</w:t>
      </w:r>
      <w:r w:rsidR="005A64E5" w:rsidRPr="008712F5">
        <w:rPr>
          <w:rFonts w:ascii="Times New Roman" w:hAnsi="Times New Roman" w:cs="Times New Roman"/>
          <w:sz w:val="24"/>
          <w:szCs w:val="24"/>
        </w:rPr>
        <w:t>’</w:t>
      </w:r>
      <w:r w:rsidR="001A4095" w:rsidRPr="008712F5">
        <w:rPr>
          <w:rFonts w:ascii="Times New Roman" w:hAnsi="Times New Roman" w:cs="Times New Roman"/>
          <w:sz w:val="24"/>
          <w:szCs w:val="24"/>
        </w:rPr>
        <w:t xml:space="preserve"> </w:t>
      </w:r>
      <w:r w:rsidR="001A4095" w:rsidRPr="008712F5">
        <w:rPr>
          <w:rFonts w:ascii="Times New Roman" w:hAnsi="Times New Roman" w:cs="Times New Roman"/>
          <w:sz w:val="24"/>
          <w:szCs w:val="24"/>
        </w:rPr>
        <w:lastRenderedPageBreak/>
        <w:t xml:space="preserve">way to teach mathematics, not seldom pointing towards those countries in </w:t>
      </w:r>
      <w:r w:rsidR="00B22CCD" w:rsidRPr="008712F5">
        <w:rPr>
          <w:rFonts w:ascii="Times New Roman" w:hAnsi="Times New Roman" w:cs="Times New Roman"/>
          <w:sz w:val="24"/>
          <w:szCs w:val="24"/>
        </w:rPr>
        <w:t xml:space="preserve">East </w:t>
      </w:r>
      <w:r w:rsidR="001A4095" w:rsidRPr="008712F5">
        <w:rPr>
          <w:rFonts w:ascii="Times New Roman" w:hAnsi="Times New Roman" w:cs="Times New Roman"/>
          <w:sz w:val="24"/>
          <w:szCs w:val="24"/>
        </w:rPr>
        <w:t>Asia that score high on international assessments, and a reductive view on their instructional practices.</w:t>
      </w:r>
      <w:r w:rsidR="00E70062" w:rsidRPr="008712F5">
        <w:rPr>
          <w:rFonts w:ascii="Times New Roman" w:hAnsi="Times New Roman" w:cs="Times New Roman"/>
          <w:sz w:val="24"/>
          <w:szCs w:val="24"/>
        </w:rPr>
        <w:t xml:space="preserve"> This article aims to re-investigate the </w:t>
      </w:r>
      <w:r w:rsidR="00D00639" w:rsidRPr="008712F5">
        <w:rPr>
          <w:rFonts w:ascii="Times New Roman" w:hAnsi="Times New Roman" w:cs="Times New Roman"/>
          <w:sz w:val="24"/>
          <w:szCs w:val="24"/>
        </w:rPr>
        <w:t xml:space="preserve">theme of instructional practices in East and West </w:t>
      </w:r>
      <w:r w:rsidR="00E70062" w:rsidRPr="008712F5">
        <w:rPr>
          <w:rFonts w:ascii="Times New Roman" w:hAnsi="Times New Roman" w:cs="Times New Roman"/>
          <w:sz w:val="24"/>
          <w:szCs w:val="24"/>
        </w:rPr>
        <w:t xml:space="preserve">with </w:t>
      </w:r>
      <w:r w:rsidR="00CB5784" w:rsidRPr="008712F5">
        <w:rPr>
          <w:rFonts w:ascii="Times New Roman" w:hAnsi="Times New Roman" w:cs="Times New Roman"/>
          <w:sz w:val="24"/>
          <w:szCs w:val="24"/>
        </w:rPr>
        <w:t>new</w:t>
      </w:r>
      <w:r w:rsidR="00E70062" w:rsidRPr="008712F5">
        <w:rPr>
          <w:rFonts w:ascii="Times New Roman" w:hAnsi="Times New Roman" w:cs="Times New Roman"/>
          <w:sz w:val="24"/>
          <w:szCs w:val="24"/>
        </w:rPr>
        <w:t xml:space="preserve"> data from grade eight (lower secondary) TIMSS 2019. </w:t>
      </w:r>
    </w:p>
    <w:p w14:paraId="1CE58162" w14:textId="77777777" w:rsidR="00DB7D7F" w:rsidRPr="008712F5" w:rsidRDefault="00DB7D7F" w:rsidP="00EA0248">
      <w:pPr>
        <w:spacing w:line="480" w:lineRule="auto"/>
        <w:rPr>
          <w:rFonts w:ascii="Times New Roman" w:hAnsi="Times New Roman" w:cs="Times New Roman"/>
          <w:sz w:val="24"/>
          <w:szCs w:val="24"/>
        </w:rPr>
      </w:pPr>
    </w:p>
    <w:p w14:paraId="412FC31D" w14:textId="377A9018" w:rsidR="00917881" w:rsidRPr="008712F5" w:rsidRDefault="00D00639" w:rsidP="00EA0248">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We focus here on the ‘East’ as in ‘East Asia’, and in particular the East Asian jurisdictions included in TIMSS 2019: Japan, Hong Kong SAR, Chines Taipei, Korea, Singapore, and Malaysia. Based on </w:t>
      </w:r>
      <w:r w:rsidR="00B22CCD" w:rsidRPr="008712F5">
        <w:rPr>
          <w:rFonts w:ascii="Times New Roman" w:hAnsi="Times New Roman" w:cs="Times New Roman"/>
          <w:sz w:val="24"/>
          <w:szCs w:val="24"/>
        </w:rPr>
        <w:t>thirteen teacher-reported questionnaire items on instructional practices</w:t>
      </w:r>
      <w:r w:rsidRPr="008712F5">
        <w:rPr>
          <w:rFonts w:ascii="Times New Roman" w:hAnsi="Times New Roman" w:cs="Times New Roman"/>
          <w:sz w:val="24"/>
          <w:szCs w:val="24"/>
        </w:rPr>
        <w:t xml:space="preserve"> and a data-driven </w:t>
      </w:r>
      <w:r w:rsidR="00CB0079" w:rsidRPr="008712F5">
        <w:rPr>
          <w:rFonts w:ascii="Times New Roman" w:hAnsi="Times New Roman" w:cs="Times New Roman"/>
          <w:sz w:val="24"/>
          <w:szCs w:val="24"/>
        </w:rPr>
        <w:t>Exploratory Factor Analysis</w:t>
      </w:r>
      <w:r w:rsidR="00B22CCD" w:rsidRPr="008712F5">
        <w:rPr>
          <w:rFonts w:ascii="Times New Roman" w:hAnsi="Times New Roman" w:cs="Times New Roman"/>
          <w:sz w:val="24"/>
          <w:szCs w:val="24"/>
        </w:rPr>
        <w:t xml:space="preserve">, </w:t>
      </w:r>
      <w:r w:rsidR="00CB0079" w:rsidRPr="008712F5">
        <w:rPr>
          <w:rFonts w:ascii="Times New Roman" w:hAnsi="Times New Roman" w:cs="Times New Roman"/>
          <w:sz w:val="24"/>
          <w:szCs w:val="24"/>
        </w:rPr>
        <w:t>new scales for instructional practices</w:t>
      </w:r>
      <w:r w:rsidR="00060571" w:rsidRPr="008712F5">
        <w:rPr>
          <w:rFonts w:ascii="Times New Roman" w:hAnsi="Times New Roman" w:cs="Times New Roman"/>
          <w:sz w:val="24"/>
          <w:szCs w:val="24"/>
        </w:rPr>
        <w:t xml:space="preserve"> are created</w:t>
      </w:r>
      <w:r w:rsidR="00CB0079" w:rsidRPr="008712F5">
        <w:rPr>
          <w:rFonts w:ascii="Times New Roman" w:hAnsi="Times New Roman" w:cs="Times New Roman"/>
          <w:sz w:val="24"/>
          <w:szCs w:val="24"/>
        </w:rPr>
        <w:t>.</w:t>
      </w:r>
      <w:r w:rsidR="00E70062" w:rsidRPr="008712F5">
        <w:rPr>
          <w:rFonts w:ascii="Times New Roman" w:hAnsi="Times New Roman" w:cs="Times New Roman"/>
          <w:sz w:val="24"/>
          <w:szCs w:val="24"/>
        </w:rPr>
        <w:t xml:space="preserve"> </w:t>
      </w:r>
      <w:r w:rsidR="00060571" w:rsidRPr="008712F5">
        <w:rPr>
          <w:rFonts w:ascii="Times New Roman" w:hAnsi="Times New Roman" w:cs="Times New Roman"/>
          <w:sz w:val="24"/>
          <w:szCs w:val="24"/>
        </w:rPr>
        <w:t>T</w:t>
      </w:r>
      <w:r w:rsidR="00B22CCD" w:rsidRPr="008712F5">
        <w:rPr>
          <w:rFonts w:ascii="Times New Roman" w:hAnsi="Times New Roman" w:cs="Times New Roman"/>
          <w:sz w:val="24"/>
          <w:szCs w:val="24"/>
        </w:rPr>
        <w:t xml:space="preserve">he scales </w:t>
      </w:r>
      <w:r w:rsidR="00060571" w:rsidRPr="008712F5">
        <w:rPr>
          <w:rFonts w:ascii="Times New Roman" w:hAnsi="Times New Roman" w:cs="Times New Roman"/>
          <w:sz w:val="24"/>
          <w:szCs w:val="24"/>
        </w:rPr>
        <w:t xml:space="preserve">are complemented </w:t>
      </w:r>
      <w:r w:rsidR="00B22CCD" w:rsidRPr="008712F5">
        <w:rPr>
          <w:rFonts w:ascii="Times New Roman" w:hAnsi="Times New Roman" w:cs="Times New Roman"/>
          <w:sz w:val="24"/>
          <w:szCs w:val="24"/>
        </w:rPr>
        <w:t xml:space="preserve">with variables </w:t>
      </w:r>
      <w:r w:rsidR="00060571" w:rsidRPr="008712F5">
        <w:rPr>
          <w:rFonts w:ascii="Times New Roman" w:hAnsi="Times New Roman" w:cs="Times New Roman"/>
          <w:sz w:val="24"/>
          <w:szCs w:val="24"/>
        </w:rPr>
        <w:t>on</w:t>
      </w:r>
      <w:r w:rsidR="00B22CCD" w:rsidRPr="008712F5">
        <w:rPr>
          <w:rFonts w:ascii="Times New Roman" w:hAnsi="Times New Roman" w:cs="Times New Roman"/>
          <w:sz w:val="24"/>
          <w:szCs w:val="24"/>
        </w:rPr>
        <w:t xml:space="preserve"> barriers towards instruction and instructional time. </w:t>
      </w:r>
      <w:r w:rsidR="00E70062" w:rsidRPr="008712F5">
        <w:rPr>
          <w:rFonts w:ascii="Times New Roman" w:hAnsi="Times New Roman" w:cs="Times New Roman"/>
          <w:sz w:val="24"/>
          <w:szCs w:val="24"/>
        </w:rPr>
        <w:t xml:space="preserve">The article then explores whether these </w:t>
      </w:r>
      <w:r w:rsidR="00CB0079" w:rsidRPr="008712F5">
        <w:rPr>
          <w:rFonts w:ascii="Times New Roman" w:hAnsi="Times New Roman" w:cs="Times New Roman"/>
          <w:sz w:val="24"/>
          <w:szCs w:val="24"/>
        </w:rPr>
        <w:t xml:space="preserve">practices </w:t>
      </w:r>
      <w:r w:rsidR="00E70062" w:rsidRPr="008712F5">
        <w:rPr>
          <w:rFonts w:ascii="Times New Roman" w:hAnsi="Times New Roman" w:cs="Times New Roman"/>
          <w:sz w:val="24"/>
          <w:szCs w:val="24"/>
        </w:rPr>
        <w:t>are</w:t>
      </w:r>
      <w:r w:rsidR="00387377" w:rsidRPr="008712F5">
        <w:rPr>
          <w:rFonts w:ascii="Times New Roman" w:hAnsi="Times New Roman" w:cs="Times New Roman"/>
          <w:sz w:val="24"/>
          <w:szCs w:val="24"/>
        </w:rPr>
        <w:t xml:space="preserve"> associated with mathematics achievement</w:t>
      </w:r>
      <w:r w:rsidR="00E70062" w:rsidRPr="008712F5">
        <w:rPr>
          <w:rFonts w:ascii="Times New Roman" w:hAnsi="Times New Roman" w:cs="Times New Roman"/>
          <w:sz w:val="24"/>
          <w:szCs w:val="24"/>
        </w:rPr>
        <w:t xml:space="preserve">, including </w:t>
      </w:r>
      <w:r w:rsidR="00BC1175" w:rsidRPr="008712F5">
        <w:rPr>
          <w:rFonts w:ascii="Times New Roman" w:hAnsi="Times New Roman" w:cs="Times New Roman"/>
          <w:sz w:val="24"/>
          <w:szCs w:val="24"/>
        </w:rPr>
        <w:t>4</w:t>
      </w:r>
      <w:r w:rsidR="00F121B2" w:rsidRPr="008712F5">
        <w:rPr>
          <w:rFonts w:ascii="Times New Roman" w:hAnsi="Times New Roman" w:cs="Times New Roman"/>
          <w:sz w:val="24"/>
          <w:szCs w:val="24"/>
        </w:rPr>
        <w:t>3</w:t>
      </w:r>
      <w:r w:rsidR="00BC1175" w:rsidRPr="008712F5">
        <w:rPr>
          <w:rFonts w:ascii="Times New Roman" w:hAnsi="Times New Roman" w:cs="Times New Roman"/>
          <w:sz w:val="24"/>
          <w:szCs w:val="24"/>
        </w:rPr>
        <w:t xml:space="preserve"> of </w:t>
      </w:r>
      <w:r w:rsidR="00E70062" w:rsidRPr="008712F5">
        <w:rPr>
          <w:rFonts w:ascii="Times New Roman" w:hAnsi="Times New Roman" w:cs="Times New Roman"/>
          <w:sz w:val="24"/>
          <w:szCs w:val="24"/>
        </w:rPr>
        <w:t xml:space="preserve">46 jurisdictions </w:t>
      </w:r>
      <w:r w:rsidR="00917881" w:rsidRPr="008712F5">
        <w:rPr>
          <w:rFonts w:ascii="Times New Roman" w:hAnsi="Times New Roman" w:cs="Times New Roman"/>
          <w:sz w:val="24"/>
          <w:szCs w:val="24"/>
        </w:rPr>
        <w:t xml:space="preserve">countries in </w:t>
      </w:r>
      <w:r w:rsidR="00E70062" w:rsidRPr="008712F5">
        <w:rPr>
          <w:rFonts w:ascii="Times New Roman" w:hAnsi="Times New Roman" w:cs="Times New Roman"/>
          <w:sz w:val="24"/>
          <w:szCs w:val="24"/>
        </w:rPr>
        <w:t xml:space="preserve">the </w:t>
      </w:r>
      <w:r w:rsidR="00917881" w:rsidRPr="008712F5">
        <w:rPr>
          <w:rFonts w:ascii="Times New Roman" w:hAnsi="Times New Roman" w:cs="Times New Roman"/>
          <w:sz w:val="24"/>
          <w:szCs w:val="24"/>
        </w:rPr>
        <w:t>TIMSS 2019</w:t>
      </w:r>
      <w:r w:rsidR="00E70062" w:rsidRPr="008712F5">
        <w:rPr>
          <w:rFonts w:ascii="Times New Roman" w:hAnsi="Times New Roman" w:cs="Times New Roman"/>
          <w:sz w:val="24"/>
          <w:szCs w:val="24"/>
        </w:rPr>
        <w:t xml:space="preserve"> dataset</w:t>
      </w:r>
      <w:r w:rsidR="00CB0079" w:rsidRPr="008712F5">
        <w:rPr>
          <w:rFonts w:ascii="Times New Roman" w:hAnsi="Times New Roman" w:cs="Times New Roman"/>
          <w:sz w:val="24"/>
          <w:szCs w:val="24"/>
        </w:rPr>
        <w:t xml:space="preserve">, by </w:t>
      </w:r>
      <w:r w:rsidR="00B22CCD" w:rsidRPr="008712F5">
        <w:rPr>
          <w:rFonts w:ascii="Times New Roman" w:hAnsi="Times New Roman" w:cs="Times New Roman"/>
          <w:sz w:val="24"/>
          <w:szCs w:val="24"/>
        </w:rPr>
        <w:t>c</w:t>
      </w:r>
      <w:r w:rsidR="00CB0079" w:rsidRPr="008712F5">
        <w:rPr>
          <w:rFonts w:ascii="Times New Roman" w:hAnsi="Times New Roman" w:cs="Times New Roman"/>
          <w:sz w:val="24"/>
          <w:szCs w:val="24"/>
        </w:rPr>
        <w:t>reating multilevel models</w:t>
      </w:r>
      <w:r w:rsidR="00917881" w:rsidRPr="008712F5">
        <w:rPr>
          <w:rFonts w:ascii="Times New Roman" w:hAnsi="Times New Roman" w:cs="Times New Roman"/>
          <w:sz w:val="24"/>
          <w:szCs w:val="24"/>
        </w:rPr>
        <w:t xml:space="preserve">. </w:t>
      </w:r>
      <w:r w:rsidR="00E70062" w:rsidRPr="008712F5">
        <w:rPr>
          <w:rFonts w:ascii="Times New Roman" w:hAnsi="Times New Roman" w:cs="Times New Roman"/>
          <w:sz w:val="24"/>
          <w:szCs w:val="24"/>
        </w:rPr>
        <w:t xml:space="preserve">The aims are </w:t>
      </w:r>
      <w:r w:rsidR="00E175AF" w:rsidRPr="008712F5">
        <w:rPr>
          <w:rFonts w:ascii="Times New Roman" w:hAnsi="Times New Roman" w:cs="Times New Roman"/>
          <w:sz w:val="24"/>
          <w:szCs w:val="24"/>
        </w:rPr>
        <w:t>three</w:t>
      </w:r>
      <w:r w:rsidR="00E70062" w:rsidRPr="008712F5">
        <w:rPr>
          <w:rFonts w:ascii="Times New Roman" w:hAnsi="Times New Roman" w:cs="Times New Roman"/>
          <w:sz w:val="24"/>
          <w:szCs w:val="24"/>
        </w:rPr>
        <w:t xml:space="preserve">-fold: firstly, to show that </w:t>
      </w:r>
      <w:r w:rsidR="009C2600" w:rsidRPr="008712F5">
        <w:rPr>
          <w:rFonts w:ascii="Times New Roman" w:hAnsi="Times New Roman" w:cs="Times New Roman"/>
          <w:sz w:val="24"/>
          <w:szCs w:val="24"/>
        </w:rPr>
        <w:t xml:space="preserve">discussions about instructional </w:t>
      </w:r>
      <w:r w:rsidR="00BB178E" w:rsidRPr="008712F5">
        <w:rPr>
          <w:rFonts w:ascii="Times New Roman" w:hAnsi="Times New Roman" w:cs="Times New Roman"/>
          <w:sz w:val="24"/>
          <w:szCs w:val="24"/>
        </w:rPr>
        <w:t>practices</w:t>
      </w:r>
      <w:r w:rsidR="009C2600" w:rsidRPr="008712F5">
        <w:rPr>
          <w:rFonts w:ascii="Times New Roman" w:hAnsi="Times New Roman" w:cs="Times New Roman"/>
          <w:sz w:val="24"/>
          <w:szCs w:val="24"/>
        </w:rPr>
        <w:t xml:space="preserve"> </w:t>
      </w:r>
      <w:r w:rsidR="00B22CCD" w:rsidRPr="008712F5">
        <w:rPr>
          <w:rFonts w:ascii="Times New Roman" w:hAnsi="Times New Roman" w:cs="Times New Roman"/>
          <w:sz w:val="24"/>
          <w:szCs w:val="24"/>
        </w:rPr>
        <w:t>depend</w:t>
      </w:r>
      <w:r w:rsidR="009C2600" w:rsidRPr="008712F5">
        <w:rPr>
          <w:rFonts w:ascii="Times New Roman" w:hAnsi="Times New Roman" w:cs="Times New Roman"/>
          <w:sz w:val="24"/>
          <w:szCs w:val="24"/>
        </w:rPr>
        <w:t xml:space="preserve"> on the operationalisation of the key concepts. </w:t>
      </w:r>
      <w:r w:rsidR="009567EC" w:rsidRPr="008712F5">
        <w:rPr>
          <w:rFonts w:ascii="Times New Roman" w:hAnsi="Times New Roman" w:cs="Times New Roman"/>
          <w:sz w:val="24"/>
          <w:szCs w:val="24"/>
        </w:rPr>
        <w:t>A</w:t>
      </w:r>
      <w:r w:rsidR="00BB178E" w:rsidRPr="008712F5">
        <w:rPr>
          <w:rFonts w:ascii="Times New Roman" w:hAnsi="Times New Roman" w:cs="Times New Roman"/>
          <w:sz w:val="24"/>
          <w:szCs w:val="24"/>
        </w:rPr>
        <w:t xml:space="preserve"> data-driven approach </w:t>
      </w:r>
      <w:r w:rsidR="009567EC" w:rsidRPr="008712F5">
        <w:rPr>
          <w:rFonts w:ascii="Times New Roman" w:hAnsi="Times New Roman" w:cs="Times New Roman"/>
          <w:sz w:val="24"/>
          <w:szCs w:val="24"/>
        </w:rPr>
        <w:t xml:space="preserve">is used </w:t>
      </w:r>
      <w:r w:rsidR="00BB178E" w:rsidRPr="008712F5">
        <w:rPr>
          <w:rFonts w:ascii="Times New Roman" w:hAnsi="Times New Roman" w:cs="Times New Roman"/>
          <w:sz w:val="24"/>
          <w:szCs w:val="24"/>
        </w:rPr>
        <w:t xml:space="preserve">to create our instructional scales. </w:t>
      </w:r>
      <w:r w:rsidR="00F121B2" w:rsidRPr="008712F5">
        <w:rPr>
          <w:rFonts w:ascii="Times New Roman" w:hAnsi="Times New Roman" w:cs="Times New Roman"/>
          <w:sz w:val="24"/>
          <w:szCs w:val="24"/>
        </w:rPr>
        <w:t>Secondly</w:t>
      </w:r>
      <w:r w:rsidR="009C2600" w:rsidRPr="008712F5">
        <w:rPr>
          <w:rFonts w:ascii="Times New Roman" w:hAnsi="Times New Roman" w:cs="Times New Roman"/>
          <w:sz w:val="24"/>
          <w:szCs w:val="24"/>
        </w:rPr>
        <w:t xml:space="preserve">, this article provides a contemporary </w:t>
      </w:r>
      <w:r w:rsidR="00BB178E" w:rsidRPr="008712F5">
        <w:rPr>
          <w:rFonts w:ascii="Times New Roman" w:hAnsi="Times New Roman" w:cs="Times New Roman"/>
          <w:sz w:val="24"/>
          <w:szCs w:val="24"/>
        </w:rPr>
        <w:t>analysis</w:t>
      </w:r>
      <w:r w:rsidR="009C2600" w:rsidRPr="008712F5">
        <w:rPr>
          <w:rFonts w:ascii="Times New Roman" w:hAnsi="Times New Roman" w:cs="Times New Roman"/>
          <w:sz w:val="24"/>
          <w:szCs w:val="24"/>
        </w:rPr>
        <w:t xml:space="preserve"> with 2019 data</w:t>
      </w:r>
      <w:r w:rsidR="00F121B2" w:rsidRPr="008712F5">
        <w:rPr>
          <w:rFonts w:ascii="Times New Roman" w:hAnsi="Times New Roman" w:cs="Times New Roman"/>
          <w:sz w:val="24"/>
          <w:szCs w:val="24"/>
        </w:rPr>
        <w:t xml:space="preserve">. Thirdly, </w:t>
      </w:r>
      <w:r w:rsidR="009C2600" w:rsidRPr="008712F5">
        <w:rPr>
          <w:rFonts w:ascii="Times New Roman" w:hAnsi="Times New Roman" w:cs="Times New Roman"/>
          <w:sz w:val="24"/>
          <w:szCs w:val="24"/>
        </w:rPr>
        <w:t xml:space="preserve">the article shows that </w:t>
      </w:r>
      <w:r w:rsidR="00CB0079" w:rsidRPr="008712F5">
        <w:rPr>
          <w:rFonts w:ascii="Times New Roman" w:hAnsi="Times New Roman" w:cs="Times New Roman"/>
          <w:sz w:val="24"/>
          <w:szCs w:val="24"/>
        </w:rPr>
        <w:t>with these</w:t>
      </w:r>
      <w:r w:rsidR="009C2600" w:rsidRPr="008712F5">
        <w:rPr>
          <w:rFonts w:ascii="Times New Roman" w:hAnsi="Times New Roman" w:cs="Times New Roman"/>
          <w:sz w:val="24"/>
          <w:szCs w:val="24"/>
        </w:rPr>
        <w:t xml:space="preserve"> scales, there </w:t>
      </w:r>
      <w:r w:rsidR="00E175AF" w:rsidRPr="008712F5">
        <w:rPr>
          <w:rFonts w:ascii="Times New Roman" w:hAnsi="Times New Roman" w:cs="Times New Roman"/>
          <w:sz w:val="24"/>
          <w:szCs w:val="24"/>
        </w:rPr>
        <w:t>seems to be</w:t>
      </w:r>
      <w:r w:rsidR="009C2600" w:rsidRPr="008712F5">
        <w:rPr>
          <w:rFonts w:ascii="Times New Roman" w:hAnsi="Times New Roman" w:cs="Times New Roman"/>
          <w:sz w:val="24"/>
          <w:szCs w:val="24"/>
        </w:rPr>
        <w:t xml:space="preserve"> no consistent pattern in differences in instructional practices between ‘East’ and ‘West’.</w:t>
      </w:r>
    </w:p>
    <w:p w14:paraId="6ADEC953" w14:textId="77777777" w:rsidR="00917881" w:rsidRPr="008712F5" w:rsidRDefault="00917881" w:rsidP="00D1040A">
      <w:pPr>
        <w:spacing w:line="276" w:lineRule="auto"/>
        <w:rPr>
          <w:rFonts w:ascii="Times New Roman" w:hAnsi="Times New Roman" w:cs="Times New Roman"/>
        </w:rPr>
      </w:pPr>
    </w:p>
    <w:p w14:paraId="27BD2337" w14:textId="09147450" w:rsidR="00001EFD" w:rsidRPr="008712F5" w:rsidRDefault="00917881" w:rsidP="00FE3D40">
      <w:pPr>
        <w:pStyle w:val="Heading2"/>
      </w:pPr>
      <w:r w:rsidRPr="008712F5">
        <w:t>Literature review</w:t>
      </w:r>
    </w:p>
    <w:p w14:paraId="44D967EA" w14:textId="07222C0B" w:rsidR="00502BF5" w:rsidRPr="008712F5" w:rsidRDefault="00250CBD" w:rsidP="00EA0248">
      <w:pPr>
        <w:spacing w:line="480" w:lineRule="auto"/>
        <w:rPr>
          <w:rFonts w:ascii="Times New Roman" w:hAnsi="Times New Roman" w:cs="Times New Roman"/>
          <w:sz w:val="24"/>
          <w:szCs w:val="24"/>
        </w:rPr>
      </w:pPr>
      <w:r w:rsidRPr="008712F5">
        <w:rPr>
          <w:rFonts w:ascii="Times New Roman" w:hAnsi="Times New Roman" w:cs="Times New Roman"/>
          <w:sz w:val="24"/>
          <w:szCs w:val="24"/>
        </w:rPr>
        <w:t>This study can be situated in many decades of discussions o</w:t>
      </w:r>
      <w:r w:rsidR="007A3AA6" w:rsidRPr="008712F5">
        <w:rPr>
          <w:rFonts w:ascii="Times New Roman" w:hAnsi="Times New Roman" w:cs="Times New Roman"/>
          <w:sz w:val="24"/>
          <w:szCs w:val="24"/>
        </w:rPr>
        <w:t>n</w:t>
      </w:r>
      <w:r w:rsidRPr="008712F5">
        <w:rPr>
          <w:rFonts w:ascii="Times New Roman" w:hAnsi="Times New Roman" w:cs="Times New Roman"/>
          <w:sz w:val="24"/>
          <w:szCs w:val="24"/>
        </w:rPr>
        <w:t xml:space="preserve"> the </w:t>
      </w:r>
      <w:r w:rsidR="007A3AA6" w:rsidRPr="008712F5">
        <w:rPr>
          <w:rFonts w:ascii="Times New Roman" w:hAnsi="Times New Roman" w:cs="Times New Roman"/>
          <w:sz w:val="24"/>
          <w:szCs w:val="24"/>
        </w:rPr>
        <w:t>‘</w:t>
      </w:r>
      <w:r w:rsidRPr="008712F5">
        <w:rPr>
          <w:rFonts w:ascii="Times New Roman" w:hAnsi="Times New Roman" w:cs="Times New Roman"/>
          <w:sz w:val="24"/>
          <w:szCs w:val="24"/>
        </w:rPr>
        <w:t>best</w:t>
      </w:r>
      <w:r w:rsidR="007A3AA6" w:rsidRPr="008712F5">
        <w:rPr>
          <w:rFonts w:ascii="Times New Roman" w:hAnsi="Times New Roman" w:cs="Times New Roman"/>
          <w:sz w:val="24"/>
          <w:szCs w:val="24"/>
        </w:rPr>
        <w:t>’</w:t>
      </w:r>
      <w:r w:rsidRPr="008712F5">
        <w:rPr>
          <w:rFonts w:ascii="Times New Roman" w:hAnsi="Times New Roman" w:cs="Times New Roman"/>
          <w:sz w:val="24"/>
          <w:szCs w:val="24"/>
        </w:rPr>
        <w:t xml:space="preserve"> way to teach mathematics in schools</w:t>
      </w:r>
      <w:r w:rsidR="007A3AA6" w:rsidRPr="008712F5">
        <w:rPr>
          <w:rFonts w:ascii="Times New Roman" w:hAnsi="Times New Roman" w:cs="Times New Roman"/>
          <w:sz w:val="24"/>
          <w:szCs w:val="24"/>
        </w:rPr>
        <w:t>, which we here interpret as ‘leading to the highest mathematics achievement’</w:t>
      </w:r>
      <w:r w:rsidRPr="008712F5">
        <w:rPr>
          <w:rFonts w:ascii="Times New Roman" w:hAnsi="Times New Roman" w:cs="Times New Roman"/>
          <w:sz w:val="24"/>
          <w:szCs w:val="24"/>
        </w:rPr>
        <w:t xml:space="preserve">. </w:t>
      </w:r>
      <w:r w:rsidR="00EB62B7" w:rsidRPr="008712F5">
        <w:rPr>
          <w:rFonts w:ascii="Times New Roman" w:hAnsi="Times New Roman" w:cs="Times New Roman"/>
          <w:sz w:val="24"/>
          <w:szCs w:val="24"/>
        </w:rPr>
        <w:t>Although this article does not aim to fully review the available literature, the impetus for the focus of this article lies in a prevailing quest to make generalisations about effective instructional practices</w:t>
      </w:r>
      <w:r w:rsidR="00117EFE" w:rsidRPr="008712F5">
        <w:rPr>
          <w:rFonts w:ascii="Times New Roman" w:hAnsi="Times New Roman" w:cs="Times New Roman"/>
          <w:sz w:val="24"/>
          <w:szCs w:val="24"/>
        </w:rPr>
        <w:t xml:space="preserve"> in mathematics classrooms</w:t>
      </w:r>
      <w:r w:rsidR="001A0F41" w:rsidRPr="008712F5">
        <w:rPr>
          <w:rFonts w:ascii="Times New Roman" w:hAnsi="Times New Roman" w:cs="Times New Roman"/>
          <w:sz w:val="24"/>
          <w:szCs w:val="24"/>
        </w:rPr>
        <w:t xml:space="preserve"> across the world</w:t>
      </w:r>
      <w:r w:rsidR="00EB62B7" w:rsidRPr="008712F5">
        <w:rPr>
          <w:rFonts w:ascii="Times New Roman" w:hAnsi="Times New Roman" w:cs="Times New Roman"/>
          <w:sz w:val="24"/>
          <w:szCs w:val="24"/>
        </w:rPr>
        <w:t xml:space="preserve">. </w:t>
      </w:r>
      <w:r w:rsidR="00502BF5" w:rsidRPr="008712F5">
        <w:rPr>
          <w:rFonts w:ascii="Times New Roman" w:hAnsi="Times New Roman" w:cs="Times New Roman"/>
          <w:sz w:val="24"/>
          <w:szCs w:val="24"/>
        </w:rPr>
        <w:t xml:space="preserve">One of the influential publications on mathematics education in East Asia is the work by Leung (2001). </w:t>
      </w:r>
      <w:r w:rsidR="00502BF5" w:rsidRPr="008712F5">
        <w:rPr>
          <w:rFonts w:ascii="Times New Roman" w:hAnsi="Times New Roman" w:cs="Times New Roman"/>
          <w:sz w:val="24"/>
          <w:szCs w:val="24"/>
        </w:rPr>
        <w:lastRenderedPageBreak/>
        <w:t xml:space="preserve">In comparing West and East, Leung’s (2001) describes multiple dichotomies: product versus process; rote learning versus meaningful learning; studying hard versus pleasurable learning; extrinsic versus intrinsic motivations; whole class teaching versus individualised learning; and competence of teachers: subject matter versus pedagogy. With such a range of variables, one question that arises, is to what extent these approaches ‘occur together’. Are teachers who value process over product also inclined to prioritise conceptual knowledge? Do teachers who value pedagogy more than subject knowledge spend enough time on procedural knowledge? These are hard questions, especially in an international comparative context. </w:t>
      </w:r>
      <w:r w:rsidR="00B01428" w:rsidRPr="008712F5">
        <w:rPr>
          <w:rFonts w:ascii="Times New Roman" w:hAnsi="Times New Roman" w:cs="Times New Roman"/>
          <w:sz w:val="24"/>
          <w:szCs w:val="24"/>
        </w:rPr>
        <w:t xml:space="preserve">We first review some of the more general literature on these </w:t>
      </w:r>
      <w:r w:rsidR="00060571" w:rsidRPr="008712F5">
        <w:rPr>
          <w:rFonts w:ascii="Times New Roman" w:hAnsi="Times New Roman" w:cs="Times New Roman"/>
          <w:sz w:val="24"/>
          <w:szCs w:val="24"/>
        </w:rPr>
        <w:t>dichotomies</w:t>
      </w:r>
      <w:r w:rsidR="00B01428" w:rsidRPr="008712F5">
        <w:rPr>
          <w:rFonts w:ascii="Times New Roman" w:hAnsi="Times New Roman" w:cs="Times New Roman"/>
          <w:sz w:val="24"/>
          <w:szCs w:val="24"/>
        </w:rPr>
        <w:t>, and then focus more on literature about the distinction between East and West, and studies that use ILSA data to do so. Finally, through some policy and media examples, we argue why our current study is relevant.</w:t>
      </w:r>
    </w:p>
    <w:p w14:paraId="3BD45FAB" w14:textId="77777777" w:rsidR="00B01428" w:rsidRPr="008712F5" w:rsidRDefault="00B01428" w:rsidP="00EA0248">
      <w:pPr>
        <w:spacing w:line="480" w:lineRule="auto"/>
        <w:rPr>
          <w:rFonts w:ascii="Times New Roman" w:hAnsi="Times New Roman" w:cs="Times New Roman"/>
          <w:sz w:val="24"/>
          <w:szCs w:val="24"/>
        </w:rPr>
      </w:pPr>
    </w:p>
    <w:p w14:paraId="04317F0D" w14:textId="77777777" w:rsidR="00514857" w:rsidRPr="008712F5" w:rsidRDefault="00514857" w:rsidP="00514857">
      <w:pPr>
        <w:pStyle w:val="Heading3"/>
      </w:pPr>
      <w:r w:rsidRPr="008712F5">
        <w:t>Components of mathematics teaching</w:t>
      </w:r>
    </w:p>
    <w:p w14:paraId="670C8F71" w14:textId="4DD820F5" w:rsidR="00DB7D7F" w:rsidRPr="008712F5" w:rsidRDefault="00B01428" w:rsidP="00EA0248">
      <w:pPr>
        <w:spacing w:line="480" w:lineRule="auto"/>
        <w:rPr>
          <w:rFonts w:ascii="Times New Roman" w:hAnsi="Times New Roman" w:cs="Times New Roman"/>
          <w:sz w:val="24"/>
          <w:szCs w:val="24"/>
        </w:rPr>
      </w:pPr>
      <w:r w:rsidRPr="008712F5">
        <w:rPr>
          <w:rFonts w:ascii="Times New Roman" w:hAnsi="Times New Roman" w:cs="Times New Roman"/>
          <w:sz w:val="24"/>
          <w:szCs w:val="24"/>
        </w:rPr>
        <w:t>Even</w:t>
      </w:r>
      <w:r w:rsidR="00514857" w:rsidRPr="008712F5">
        <w:rPr>
          <w:rFonts w:ascii="Times New Roman" w:hAnsi="Times New Roman" w:cs="Times New Roman"/>
          <w:sz w:val="24"/>
          <w:szCs w:val="24"/>
        </w:rPr>
        <w:t xml:space="preserve"> without the international comparative element, there has been plenty of debate regarding the most effective ways in which to teach mathematics. The theme </w:t>
      </w:r>
      <w:r w:rsidR="00536FB2" w:rsidRPr="008712F5">
        <w:rPr>
          <w:rFonts w:ascii="Times New Roman" w:hAnsi="Times New Roman" w:cs="Times New Roman"/>
          <w:sz w:val="24"/>
          <w:szCs w:val="24"/>
        </w:rPr>
        <w:t>was</w:t>
      </w:r>
      <w:r w:rsidR="00514857" w:rsidRPr="008712F5">
        <w:rPr>
          <w:rFonts w:ascii="Times New Roman" w:hAnsi="Times New Roman" w:cs="Times New Roman"/>
          <w:sz w:val="24"/>
          <w:szCs w:val="24"/>
        </w:rPr>
        <w:t xml:space="preserve"> central in what has been described as the ‘Math Wars’ (Schoenfeld, 200</w:t>
      </w:r>
      <w:r w:rsidR="0043441D" w:rsidRPr="008712F5">
        <w:rPr>
          <w:rFonts w:ascii="Times New Roman" w:hAnsi="Times New Roman" w:cs="Times New Roman"/>
          <w:sz w:val="24"/>
          <w:szCs w:val="24"/>
        </w:rPr>
        <w:t>4</w:t>
      </w:r>
      <w:r w:rsidR="00514857" w:rsidRPr="008712F5">
        <w:rPr>
          <w:rFonts w:ascii="Times New Roman" w:hAnsi="Times New Roman" w:cs="Times New Roman"/>
          <w:sz w:val="24"/>
          <w:szCs w:val="24"/>
        </w:rPr>
        <w:t xml:space="preserve">) in which an important issue concerned how students best acquire mathematical knowledge and skills: by practising algorithms, or by focusing on reasoning and strategic problem-solving activities. In a synthesis of the available research on the concept of ‘mathematical proficiency’, Kilpatrick et al. (2001) synthesised five strands: conceptual understanding, procedural fluency, strategic competence, adaptive reasoning and productive disposition. Conceptual understanding was defined as “the comprehension of mathematical concepts, operations, and relations” and procedural fluency as the “skill in carrying out procedures flexibly, accurately, efficiently, and appropriately” (p. 116). The five strands were said to be interwoven and interdependent, </w:t>
      </w:r>
      <w:r w:rsidR="00514857" w:rsidRPr="008712F5">
        <w:rPr>
          <w:rFonts w:ascii="Times New Roman" w:hAnsi="Times New Roman" w:cs="Times New Roman"/>
          <w:sz w:val="24"/>
          <w:szCs w:val="24"/>
        </w:rPr>
        <w:lastRenderedPageBreak/>
        <w:t>with room for different representations and solution methods, so that students could “discuss the similarities and differences of the representations, the advantages of each, and how they must be connected if they are to yield the same answer” (p. 199). Here, we already see how teaching methods and types of knowledge also are interwoven. After all, a view that multiple solutions would need to be covered, requires a different teaching strategy than one where you use one algorithm and apply this one algorithm.</w:t>
      </w:r>
      <w:r w:rsidR="00536FB2" w:rsidRPr="008712F5">
        <w:rPr>
          <w:rFonts w:ascii="Times New Roman" w:hAnsi="Times New Roman" w:cs="Times New Roman"/>
          <w:sz w:val="24"/>
          <w:szCs w:val="24"/>
        </w:rPr>
        <w:t xml:space="preserve"> The role of algorithms in education has combined numerous talking points (</w:t>
      </w:r>
      <w:r w:rsidR="009567EC" w:rsidRPr="008712F5">
        <w:rPr>
          <w:rFonts w:ascii="Times New Roman" w:hAnsi="Times New Roman" w:cs="Times New Roman"/>
          <w:sz w:val="24"/>
          <w:szCs w:val="24"/>
        </w:rPr>
        <w:t>Fan &amp; Bokhove</w:t>
      </w:r>
      <w:r w:rsidR="00536FB2" w:rsidRPr="008712F5">
        <w:rPr>
          <w:rFonts w:ascii="Times New Roman" w:hAnsi="Times New Roman" w:cs="Times New Roman"/>
          <w:sz w:val="24"/>
          <w:szCs w:val="24"/>
        </w:rPr>
        <w:t xml:space="preserve">, 2014). In numerous classrooms ‘algorithms’ have been seen as part of a broader discussion on “procedural fluency” and “conceptual understanding” (e.g. Brownell, 1945; Hiebert &amp; Lefevre, 1986; </w:t>
      </w:r>
      <w:proofErr w:type="spellStart"/>
      <w:r w:rsidR="00536FB2" w:rsidRPr="008712F5">
        <w:rPr>
          <w:rFonts w:ascii="Times New Roman" w:hAnsi="Times New Roman" w:cs="Times New Roman"/>
          <w:sz w:val="24"/>
          <w:szCs w:val="24"/>
        </w:rPr>
        <w:t>Skemp</w:t>
      </w:r>
      <w:proofErr w:type="spellEnd"/>
      <w:r w:rsidR="00536FB2" w:rsidRPr="008712F5">
        <w:rPr>
          <w:rFonts w:ascii="Times New Roman" w:hAnsi="Times New Roman" w:cs="Times New Roman"/>
          <w:sz w:val="24"/>
          <w:szCs w:val="24"/>
        </w:rPr>
        <w:t xml:space="preserve">, 1976; Star, 2005). </w:t>
      </w:r>
    </w:p>
    <w:p w14:paraId="41144082" w14:textId="77777777" w:rsidR="00DB7D7F" w:rsidRPr="008712F5" w:rsidRDefault="00DB7D7F" w:rsidP="00EA0248">
      <w:pPr>
        <w:spacing w:line="480" w:lineRule="auto"/>
        <w:rPr>
          <w:rFonts w:ascii="Times New Roman" w:hAnsi="Times New Roman" w:cs="Times New Roman"/>
          <w:sz w:val="24"/>
          <w:szCs w:val="24"/>
        </w:rPr>
      </w:pPr>
    </w:p>
    <w:p w14:paraId="6C53A6B6" w14:textId="28A4F6CA" w:rsidR="00502BF5" w:rsidRPr="008712F5" w:rsidRDefault="00514857" w:rsidP="00EA0248">
      <w:pPr>
        <w:spacing w:line="480" w:lineRule="auto"/>
        <w:rPr>
          <w:rFonts w:ascii="Times New Roman" w:hAnsi="Times New Roman" w:cs="Times New Roman"/>
          <w:sz w:val="24"/>
          <w:szCs w:val="24"/>
        </w:rPr>
      </w:pPr>
      <w:proofErr w:type="spellStart"/>
      <w:r w:rsidRPr="008712F5">
        <w:rPr>
          <w:rFonts w:ascii="Times New Roman" w:hAnsi="Times New Roman" w:cs="Times New Roman"/>
          <w:sz w:val="24"/>
          <w:szCs w:val="24"/>
        </w:rPr>
        <w:t>Rittle</w:t>
      </w:r>
      <w:proofErr w:type="spellEnd"/>
      <w:r w:rsidRPr="008712F5">
        <w:rPr>
          <w:rFonts w:ascii="Times New Roman" w:hAnsi="Times New Roman" w:cs="Times New Roman"/>
          <w:sz w:val="24"/>
          <w:szCs w:val="24"/>
        </w:rPr>
        <w:t xml:space="preserve">-Johnson et al. (2015) reviewed the literature on the long-standing debate about the relationship between conceptual and procedural knowledge, concluding that procedural knowledge supports conceptual knowledge, as well as vice versa, and that the relationship between the two is bidirectional. They also note that limited research has been done on specific sequencing of instruction. Of course, trying to provide more or less successful sequencing, does seem to imply that attempts to link types of knowledge to particular teaching methods and strategies, is what is being asked here. One form of learning and teaching that sometimes is mentioned in relation to more conceptual understanding, is ‘generative learning’ (see </w:t>
      </w:r>
      <w:proofErr w:type="spellStart"/>
      <w:r w:rsidRPr="008712F5">
        <w:rPr>
          <w:rFonts w:ascii="Times New Roman" w:hAnsi="Times New Roman" w:cs="Times New Roman"/>
          <w:sz w:val="24"/>
          <w:szCs w:val="24"/>
        </w:rPr>
        <w:t>Brod</w:t>
      </w:r>
      <w:proofErr w:type="spellEnd"/>
      <w:r w:rsidRPr="008712F5">
        <w:rPr>
          <w:rFonts w:ascii="Times New Roman" w:hAnsi="Times New Roman" w:cs="Times New Roman"/>
          <w:sz w:val="24"/>
          <w:szCs w:val="24"/>
        </w:rPr>
        <w:t xml:space="preserve">, 2021, for a review). Generative learning strategies are activities that prompt learners to </w:t>
      </w:r>
      <w:r w:rsidRPr="008712F5">
        <w:rPr>
          <w:rFonts w:ascii="Times New Roman" w:hAnsi="Times New Roman" w:cs="Times New Roman"/>
          <w:i/>
          <w:iCs/>
          <w:sz w:val="24"/>
          <w:szCs w:val="24"/>
        </w:rPr>
        <w:t>generate</w:t>
      </w:r>
      <w:r w:rsidRPr="008712F5">
        <w:rPr>
          <w:rFonts w:ascii="Times New Roman" w:hAnsi="Times New Roman" w:cs="Times New Roman"/>
          <w:sz w:val="24"/>
          <w:szCs w:val="24"/>
        </w:rPr>
        <w:t xml:space="preserve"> meaningful information that goes beyond the instruction. In doing so, learners activate prior knowledge and link to the newly provided information, which aids the integration of the knowledge in existing knowledge structures. Two examples of generative strategies are elaborative interrogation and self-explanation, which according to </w:t>
      </w:r>
      <w:proofErr w:type="spellStart"/>
      <w:r w:rsidRPr="008712F5">
        <w:rPr>
          <w:rFonts w:ascii="Times New Roman" w:hAnsi="Times New Roman" w:cs="Times New Roman"/>
          <w:sz w:val="24"/>
          <w:szCs w:val="24"/>
        </w:rPr>
        <w:t>Brod</w:t>
      </w:r>
      <w:proofErr w:type="spellEnd"/>
      <w:r w:rsidRPr="008712F5">
        <w:rPr>
          <w:rFonts w:ascii="Times New Roman" w:hAnsi="Times New Roman" w:cs="Times New Roman"/>
          <w:sz w:val="24"/>
          <w:szCs w:val="24"/>
        </w:rPr>
        <w:t xml:space="preserve"> (2021)</w:t>
      </w:r>
      <w:r w:rsidR="00BB4139" w:rsidRPr="008712F5">
        <w:rPr>
          <w:rFonts w:ascii="Times New Roman" w:hAnsi="Times New Roman" w:cs="Times New Roman"/>
          <w:sz w:val="24"/>
          <w:szCs w:val="24"/>
        </w:rPr>
        <w:t>,</w:t>
      </w:r>
      <w:r w:rsidRPr="008712F5">
        <w:rPr>
          <w:rFonts w:ascii="Times New Roman" w:hAnsi="Times New Roman" w:cs="Times New Roman"/>
          <w:sz w:val="24"/>
          <w:szCs w:val="24"/>
        </w:rPr>
        <w:t xml:space="preserve"> show benefits for various student groups in varying learning </w:t>
      </w:r>
      <w:r w:rsidRPr="008712F5">
        <w:rPr>
          <w:rFonts w:ascii="Times New Roman" w:hAnsi="Times New Roman" w:cs="Times New Roman"/>
          <w:sz w:val="24"/>
          <w:szCs w:val="24"/>
        </w:rPr>
        <w:lastRenderedPageBreak/>
        <w:t xml:space="preserve">conditions. In mathematics education, </w:t>
      </w:r>
      <w:proofErr w:type="spellStart"/>
      <w:r w:rsidRPr="008712F5">
        <w:rPr>
          <w:rFonts w:ascii="Times New Roman" w:hAnsi="Times New Roman" w:cs="Times New Roman"/>
          <w:sz w:val="24"/>
          <w:szCs w:val="24"/>
        </w:rPr>
        <w:t>Rittle</w:t>
      </w:r>
      <w:proofErr w:type="spellEnd"/>
      <w:r w:rsidRPr="008712F5">
        <w:rPr>
          <w:rFonts w:ascii="Times New Roman" w:hAnsi="Times New Roman" w:cs="Times New Roman"/>
          <w:sz w:val="24"/>
          <w:szCs w:val="24"/>
        </w:rPr>
        <w:t xml:space="preserve">-Johnson et al.’s (2017) meta-analysis of the literature on self-explanation prompts showed a moderate effect size for short-term improvement  in conceptual knowledge. However, such effects weren’t always persistent, and did not equate time on task. Debates tend to mix different teaching practices. In their work on teaching practices, </w:t>
      </w:r>
      <w:proofErr w:type="spellStart"/>
      <w:r w:rsidRPr="008712F5">
        <w:rPr>
          <w:rFonts w:ascii="Times New Roman" w:hAnsi="Times New Roman" w:cs="Times New Roman"/>
          <w:sz w:val="24"/>
          <w:szCs w:val="24"/>
        </w:rPr>
        <w:t>Pampaka</w:t>
      </w:r>
      <w:proofErr w:type="spellEnd"/>
      <w:r w:rsidRPr="008712F5">
        <w:rPr>
          <w:rFonts w:ascii="Times New Roman" w:hAnsi="Times New Roman" w:cs="Times New Roman"/>
          <w:sz w:val="24"/>
          <w:szCs w:val="24"/>
        </w:rPr>
        <w:t xml:space="preserve"> and Williams (2016) explain how prior research has tried to relate student approaches to learning (strategic, surface/deep, etc.) to the teaching approaches literature. For example, an older review by Beattie et al. (1997) concluded that a fuller understanding of the “complex, composite and contingent nature of deep and surface learning and its interrelationship within the teaching-learning environment.” (p. 1) is required. </w:t>
      </w:r>
      <w:proofErr w:type="spellStart"/>
      <w:r w:rsidRPr="008712F5">
        <w:rPr>
          <w:rFonts w:ascii="Times New Roman" w:hAnsi="Times New Roman" w:cs="Times New Roman"/>
          <w:sz w:val="24"/>
          <w:szCs w:val="24"/>
        </w:rPr>
        <w:t>Beausaert</w:t>
      </w:r>
      <w:proofErr w:type="spellEnd"/>
      <w:r w:rsidRPr="008712F5">
        <w:rPr>
          <w:rFonts w:ascii="Times New Roman" w:hAnsi="Times New Roman" w:cs="Times New Roman"/>
          <w:sz w:val="24"/>
          <w:szCs w:val="24"/>
        </w:rPr>
        <w:t xml:space="preserve"> et al. (2013) argued that a “teacher-centred approach predicts a surface approach to learning and a student-</w:t>
      </w:r>
      <w:proofErr w:type="spellStart"/>
      <w:r w:rsidRPr="008712F5">
        <w:rPr>
          <w:rFonts w:ascii="Times New Roman" w:hAnsi="Times New Roman" w:cs="Times New Roman"/>
          <w:sz w:val="24"/>
          <w:szCs w:val="24"/>
        </w:rPr>
        <w:t>centered</w:t>
      </w:r>
      <w:proofErr w:type="spellEnd"/>
      <w:r w:rsidRPr="008712F5">
        <w:rPr>
          <w:rFonts w:ascii="Times New Roman" w:hAnsi="Times New Roman" w:cs="Times New Roman"/>
          <w:sz w:val="24"/>
          <w:szCs w:val="24"/>
        </w:rPr>
        <w:t xml:space="preserve"> approach predicts a deep approach to learning” (p. 1). Finally, Chen and Li (2020) related Chinese teachers' instructional practices and their possible impact on students' learning, highlighting how teachers’ practices helped students build knowledge connections and coherence through lesson instruction. </w:t>
      </w:r>
      <w:r w:rsidR="00BB4139" w:rsidRPr="008712F5">
        <w:rPr>
          <w:rFonts w:ascii="Times New Roman" w:hAnsi="Times New Roman" w:cs="Times New Roman"/>
          <w:sz w:val="24"/>
          <w:szCs w:val="24"/>
        </w:rPr>
        <w:t>In sum, discussions about instructional practices seldom ‘stand alone’ and are multi-faceted.</w:t>
      </w:r>
    </w:p>
    <w:p w14:paraId="2DCA8E05" w14:textId="77777777" w:rsidR="00514857" w:rsidRPr="008712F5" w:rsidRDefault="00514857" w:rsidP="00EA0248">
      <w:pPr>
        <w:spacing w:line="480" w:lineRule="auto"/>
        <w:rPr>
          <w:rFonts w:ascii="Times New Roman" w:hAnsi="Times New Roman" w:cs="Times New Roman"/>
          <w:sz w:val="24"/>
          <w:szCs w:val="24"/>
        </w:rPr>
      </w:pPr>
    </w:p>
    <w:p w14:paraId="1EBE8A8D" w14:textId="411E65F7" w:rsidR="00BB178E" w:rsidRPr="008712F5" w:rsidRDefault="00577D92" w:rsidP="00577D92">
      <w:pPr>
        <w:pStyle w:val="Heading3"/>
      </w:pPr>
      <w:r w:rsidRPr="008712F5">
        <w:t xml:space="preserve">Mathematics education </w:t>
      </w:r>
      <w:r w:rsidR="00B0081F" w:rsidRPr="008712F5">
        <w:t>in</w:t>
      </w:r>
      <w:r w:rsidRPr="008712F5">
        <w:t xml:space="preserve"> East and West</w:t>
      </w:r>
    </w:p>
    <w:p w14:paraId="0DC0A84B" w14:textId="0F507FBA" w:rsidR="00DB7D7F" w:rsidRPr="008712F5" w:rsidRDefault="0031764C" w:rsidP="00514857">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Numerous scholars have tried to describe the differences between West and East, covering multiple themes of Eastern and Western cultures (e.g. in addition to previous references, Bryan et al. 2007; Kaiser &amp; </w:t>
      </w:r>
      <w:proofErr w:type="spellStart"/>
      <w:r w:rsidRPr="008712F5">
        <w:rPr>
          <w:rFonts w:ascii="Times New Roman" w:hAnsi="Times New Roman" w:cs="Times New Roman"/>
          <w:sz w:val="24"/>
          <w:szCs w:val="24"/>
        </w:rPr>
        <w:t>Blömeke</w:t>
      </w:r>
      <w:proofErr w:type="spellEnd"/>
      <w:r w:rsidRPr="008712F5">
        <w:rPr>
          <w:rFonts w:ascii="Times New Roman" w:hAnsi="Times New Roman" w:cs="Times New Roman"/>
          <w:sz w:val="24"/>
          <w:szCs w:val="24"/>
        </w:rPr>
        <w:t xml:space="preserve"> 2013; Shimizu &amp; Williams 2013).</w:t>
      </w:r>
      <w:r w:rsidR="00EC7249" w:rsidRPr="008712F5">
        <w:rPr>
          <w:rFonts w:ascii="Times New Roman" w:hAnsi="Times New Roman" w:cs="Times New Roman"/>
          <w:sz w:val="24"/>
          <w:szCs w:val="24"/>
        </w:rPr>
        <w:t xml:space="preserve"> </w:t>
      </w:r>
      <w:r w:rsidR="001A0F41" w:rsidRPr="008712F5">
        <w:rPr>
          <w:rFonts w:ascii="Times New Roman" w:hAnsi="Times New Roman" w:cs="Times New Roman"/>
          <w:sz w:val="24"/>
          <w:szCs w:val="24"/>
        </w:rPr>
        <w:t xml:space="preserve">In </w:t>
      </w:r>
      <w:r w:rsidR="00DE36CF" w:rsidRPr="008712F5">
        <w:rPr>
          <w:rFonts w:ascii="Times New Roman" w:hAnsi="Times New Roman" w:cs="Times New Roman"/>
          <w:sz w:val="24"/>
          <w:szCs w:val="24"/>
        </w:rPr>
        <w:t>their</w:t>
      </w:r>
      <w:r w:rsidR="001A0F41" w:rsidRPr="008712F5">
        <w:rPr>
          <w:rFonts w:ascii="Times New Roman" w:hAnsi="Times New Roman" w:cs="Times New Roman"/>
          <w:sz w:val="24"/>
          <w:szCs w:val="24"/>
        </w:rPr>
        <w:t xml:space="preserve"> analys</w:t>
      </w:r>
      <w:r w:rsidR="000E42DC" w:rsidRPr="008712F5">
        <w:rPr>
          <w:rFonts w:ascii="Times New Roman" w:hAnsi="Times New Roman" w:cs="Times New Roman"/>
          <w:sz w:val="24"/>
          <w:szCs w:val="24"/>
        </w:rPr>
        <w:t>e</w:t>
      </w:r>
      <w:r w:rsidR="001A0F41" w:rsidRPr="008712F5">
        <w:rPr>
          <w:rFonts w:ascii="Times New Roman" w:hAnsi="Times New Roman" w:cs="Times New Roman"/>
          <w:sz w:val="24"/>
          <w:szCs w:val="24"/>
        </w:rPr>
        <w:t>s of mathematics education in the East and West, Leung (2006</w:t>
      </w:r>
      <w:r w:rsidR="00063677" w:rsidRPr="008712F5">
        <w:rPr>
          <w:rFonts w:ascii="Times New Roman" w:hAnsi="Times New Roman" w:cs="Times New Roman"/>
          <w:sz w:val="24"/>
          <w:szCs w:val="24"/>
        </w:rPr>
        <w:t>) and Leung et al. (</w:t>
      </w:r>
      <w:r w:rsidR="000E42DC" w:rsidRPr="008712F5">
        <w:rPr>
          <w:rFonts w:ascii="Times New Roman" w:hAnsi="Times New Roman" w:cs="Times New Roman"/>
          <w:sz w:val="24"/>
          <w:szCs w:val="24"/>
        </w:rPr>
        <w:t>2015</w:t>
      </w:r>
      <w:r w:rsidR="001A0F41" w:rsidRPr="008712F5">
        <w:rPr>
          <w:rFonts w:ascii="Times New Roman" w:hAnsi="Times New Roman" w:cs="Times New Roman"/>
          <w:sz w:val="24"/>
          <w:szCs w:val="24"/>
        </w:rPr>
        <w:t xml:space="preserve">) reported </w:t>
      </w:r>
      <w:r w:rsidR="000E42DC" w:rsidRPr="008712F5">
        <w:rPr>
          <w:rFonts w:ascii="Times New Roman" w:hAnsi="Times New Roman" w:cs="Times New Roman"/>
          <w:sz w:val="24"/>
          <w:szCs w:val="24"/>
        </w:rPr>
        <w:t>how culture mattered, especially a Confucian Heritage Culture, which included an examination culture, belief in effort, stress on memorisation and practice, stress on reflection, discussion, and the Chinese language. However, Leung (2006) has also pointed out how even within the cluster of East Asian countries there are di</w:t>
      </w:r>
      <w:r w:rsidR="00063677" w:rsidRPr="008712F5">
        <w:rPr>
          <w:rFonts w:ascii="Times New Roman" w:hAnsi="Times New Roman" w:cs="Times New Roman"/>
          <w:sz w:val="24"/>
          <w:szCs w:val="24"/>
        </w:rPr>
        <w:t xml:space="preserve">fferences. For example, in comparing </w:t>
      </w:r>
      <w:r w:rsidR="00063677" w:rsidRPr="008712F5">
        <w:rPr>
          <w:rFonts w:ascii="Times New Roman" w:hAnsi="Times New Roman" w:cs="Times New Roman"/>
          <w:sz w:val="24"/>
          <w:szCs w:val="24"/>
        </w:rPr>
        <w:lastRenderedPageBreak/>
        <w:t>the results from a comparative s</w:t>
      </w:r>
      <w:r w:rsidR="001A0F41" w:rsidRPr="008712F5">
        <w:rPr>
          <w:rFonts w:ascii="Times New Roman" w:hAnsi="Times New Roman" w:cs="Times New Roman"/>
          <w:sz w:val="24"/>
          <w:szCs w:val="24"/>
        </w:rPr>
        <w:t xml:space="preserve">tudy of primary school mathematics teachers in China and the US by Ma (1999) </w:t>
      </w:r>
      <w:r w:rsidR="00063677" w:rsidRPr="008712F5">
        <w:rPr>
          <w:rFonts w:ascii="Times New Roman" w:hAnsi="Times New Roman" w:cs="Times New Roman"/>
          <w:sz w:val="24"/>
          <w:szCs w:val="24"/>
        </w:rPr>
        <w:t>and a</w:t>
      </w:r>
      <w:r w:rsidR="001A0F41" w:rsidRPr="008712F5">
        <w:rPr>
          <w:rFonts w:ascii="Times New Roman" w:hAnsi="Times New Roman" w:cs="Times New Roman"/>
          <w:sz w:val="24"/>
          <w:szCs w:val="24"/>
        </w:rPr>
        <w:t xml:space="preserve"> small-scale replication of </w:t>
      </w:r>
      <w:r w:rsidR="00063677" w:rsidRPr="008712F5">
        <w:rPr>
          <w:rFonts w:ascii="Times New Roman" w:hAnsi="Times New Roman" w:cs="Times New Roman"/>
          <w:sz w:val="24"/>
          <w:szCs w:val="24"/>
        </w:rPr>
        <w:t>that study</w:t>
      </w:r>
      <w:r w:rsidR="001A0F41" w:rsidRPr="008712F5">
        <w:rPr>
          <w:rFonts w:ascii="Times New Roman" w:hAnsi="Times New Roman" w:cs="Times New Roman"/>
          <w:sz w:val="24"/>
          <w:szCs w:val="24"/>
        </w:rPr>
        <w:t xml:space="preserve"> in Hong Kong and Korea (Leung </w:t>
      </w:r>
      <w:r w:rsidR="006026D6" w:rsidRPr="008712F5">
        <w:rPr>
          <w:rFonts w:ascii="Times New Roman" w:hAnsi="Times New Roman" w:cs="Times New Roman"/>
          <w:sz w:val="24"/>
          <w:szCs w:val="24"/>
        </w:rPr>
        <w:t>&amp;</w:t>
      </w:r>
      <w:r w:rsidR="001A0F41" w:rsidRPr="008712F5">
        <w:rPr>
          <w:rFonts w:ascii="Times New Roman" w:hAnsi="Times New Roman" w:cs="Times New Roman"/>
          <w:sz w:val="24"/>
          <w:szCs w:val="24"/>
        </w:rPr>
        <w:t xml:space="preserve"> Park, 2002)</w:t>
      </w:r>
      <w:r w:rsidR="00063677" w:rsidRPr="008712F5">
        <w:rPr>
          <w:rFonts w:ascii="Times New Roman" w:hAnsi="Times New Roman" w:cs="Times New Roman"/>
          <w:sz w:val="24"/>
          <w:szCs w:val="24"/>
        </w:rPr>
        <w:t xml:space="preserve">, </w:t>
      </w:r>
      <w:r w:rsidR="001A0F41" w:rsidRPr="008712F5">
        <w:rPr>
          <w:rFonts w:ascii="Times New Roman" w:hAnsi="Times New Roman" w:cs="Times New Roman"/>
          <w:sz w:val="24"/>
          <w:szCs w:val="24"/>
        </w:rPr>
        <w:t>the majority of the teaching strategies reported by Hong Kong and Korean teachers were procedurally rather than conceptually directed</w:t>
      </w:r>
      <w:r w:rsidR="00063677" w:rsidRPr="008712F5">
        <w:rPr>
          <w:rFonts w:ascii="Times New Roman" w:hAnsi="Times New Roman" w:cs="Times New Roman"/>
          <w:sz w:val="24"/>
          <w:szCs w:val="24"/>
        </w:rPr>
        <w:t>.</w:t>
      </w:r>
      <w:r w:rsidR="009F55B9" w:rsidRPr="008712F5">
        <w:rPr>
          <w:rFonts w:ascii="Times New Roman" w:hAnsi="Times New Roman" w:cs="Times New Roman"/>
          <w:sz w:val="24"/>
          <w:szCs w:val="24"/>
        </w:rPr>
        <w:t xml:space="preserve"> This, however, then </w:t>
      </w:r>
      <w:r w:rsidR="00B0081F" w:rsidRPr="008712F5">
        <w:rPr>
          <w:rFonts w:ascii="Times New Roman" w:hAnsi="Times New Roman" w:cs="Times New Roman"/>
          <w:sz w:val="24"/>
          <w:szCs w:val="24"/>
        </w:rPr>
        <w:t>i</w:t>
      </w:r>
      <w:r w:rsidR="009F55B9" w:rsidRPr="008712F5">
        <w:rPr>
          <w:rFonts w:ascii="Times New Roman" w:hAnsi="Times New Roman" w:cs="Times New Roman"/>
          <w:sz w:val="24"/>
          <w:szCs w:val="24"/>
        </w:rPr>
        <w:t>mmediately introduces more discussion about what we mean by procedurally and conceptually</w:t>
      </w:r>
      <w:r w:rsidR="004D4DCF" w:rsidRPr="008712F5">
        <w:rPr>
          <w:rFonts w:ascii="Times New Roman" w:hAnsi="Times New Roman" w:cs="Times New Roman"/>
          <w:sz w:val="24"/>
          <w:szCs w:val="24"/>
        </w:rPr>
        <w:t>; this is not so much a paradox, but a combination of both, for example in variation (</w:t>
      </w:r>
      <w:proofErr w:type="spellStart"/>
      <w:r w:rsidR="004D4DCF" w:rsidRPr="008712F5">
        <w:rPr>
          <w:rFonts w:ascii="Times New Roman" w:hAnsi="Times New Roman" w:cs="Times New Roman"/>
          <w:sz w:val="24"/>
          <w:szCs w:val="24"/>
        </w:rPr>
        <w:t>Marton</w:t>
      </w:r>
      <w:proofErr w:type="spellEnd"/>
      <w:r w:rsidR="004D4DCF" w:rsidRPr="008712F5">
        <w:rPr>
          <w:rFonts w:ascii="Times New Roman" w:hAnsi="Times New Roman" w:cs="Times New Roman"/>
          <w:sz w:val="24"/>
          <w:szCs w:val="24"/>
        </w:rPr>
        <w:t xml:space="preserve"> et al., 1996). Rather </w:t>
      </w:r>
      <w:r w:rsidR="00250CBD" w:rsidRPr="008712F5">
        <w:rPr>
          <w:rFonts w:ascii="Times New Roman" w:hAnsi="Times New Roman" w:cs="Times New Roman"/>
          <w:sz w:val="24"/>
          <w:szCs w:val="24"/>
        </w:rPr>
        <w:t>than see</w:t>
      </w:r>
      <w:r w:rsidR="00946433" w:rsidRPr="008712F5">
        <w:rPr>
          <w:rFonts w:ascii="Times New Roman" w:hAnsi="Times New Roman" w:cs="Times New Roman"/>
          <w:sz w:val="24"/>
          <w:szCs w:val="24"/>
        </w:rPr>
        <w:t>ing</w:t>
      </w:r>
      <w:r w:rsidR="00250CBD" w:rsidRPr="008712F5">
        <w:rPr>
          <w:rFonts w:ascii="Times New Roman" w:hAnsi="Times New Roman" w:cs="Times New Roman"/>
          <w:sz w:val="24"/>
          <w:szCs w:val="24"/>
        </w:rPr>
        <w:t xml:space="preserve"> ‘memorisation’ and ‘understanding’ as two </w:t>
      </w:r>
      <w:r w:rsidR="00946433" w:rsidRPr="008712F5">
        <w:rPr>
          <w:rFonts w:ascii="Times New Roman" w:hAnsi="Times New Roman" w:cs="Times New Roman"/>
          <w:sz w:val="24"/>
          <w:szCs w:val="24"/>
        </w:rPr>
        <w:t>mutually exclusive</w:t>
      </w:r>
      <w:r w:rsidR="00250CBD" w:rsidRPr="008712F5">
        <w:rPr>
          <w:rFonts w:ascii="Times New Roman" w:hAnsi="Times New Roman" w:cs="Times New Roman"/>
          <w:sz w:val="24"/>
          <w:szCs w:val="24"/>
        </w:rPr>
        <w:t xml:space="preserve"> entities, in the context of East Asian countries, the starting p</w:t>
      </w:r>
      <w:r w:rsidR="00946433" w:rsidRPr="008712F5">
        <w:rPr>
          <w:rFonts w:ascii="Times New Roman" w:hAnsi="Times New Roman" w:cs="Times New Roman"/>
          <w:sz w:val="24"/>
          <w:szCs w:val="24"/>
        </w:rPr>
        <w:t>o</w:t>
      </w:r>
      <w:r w:rsidR="00250CBD" w:rsidRPr="008712F5">
        <w:rPr>
          <w:rFonts w:ascii="Times New Roman" w:hAnsi="Times New Roman" w:cs="Times New Roman"/>
          <w:sz w:val="24"/>
          <w:szCs w:val="24"/>
        </w:rPr>
        <w:t xml:space="preserve">int is that both work together to produce higher quality outcomes, not just in terms of test outcomes, but also in terms of metrics for mathematical understanding (Hess &amp; Azuma, 1992; </w:t>
      </w:r>
      <w:proofErr w:type="spellStart"/>
      <w:r w:rsidR="00250CBD" w:rsidRPr="008712F5">
        <w:rPr>
          <w:rFonts w:ascii="Times New Roman" w:hAnsi="Times New Roman" w:cs="Times New Roman"/>
          <w:sz w:val="24"/>
          <w:szCs w:val="24"/>
        </w:rPr>
        <w:t>Marton</w:t>
      </w:r>
      <w:proofErr w:type="spellEnd"/>
      <w:r w:rsidR="00250CBD" w:rsidRPr="008712F5">
        <w:rPr>
          <w:rFonts w:ascii="Times New Roman" w:hAnsi="Times New Roman" w:cs="Times New Roman"/>
          <w:sz w:val="24"/>
          <w:szCs w:val="24"/>
        </w:rPr>
        <w:t xml:space="preserve"> et al., 1996; </w:t>
      </w:r>
      <w:r w:rsidR="008B6E93" w:rsidRPr="008712F5">
        <w:rPr>
          <w:rFonts w:ascii="Times New Roman" w:hAnsi="Times New Roman" w:cs="Times New Roman"/>
          <w:sz w:val="24"/>
          <w:szCs w:val="24"/>
        </w:rPr>
        <w:t>Fan &amp; Bokhove</w:t>
      </w:r>
      <w:r w:rsidR="00250CBD" w:rsidRPr="008712F5">
        <w:rPr>
          <w:rFonts w:ascii="Times New Roman" w:hAnsi="Times New Roman" w:cs="Times New Roman"/>
          <w:sz w:val="24"/>
          <w:szCs w:val="24"/>
        </w:rPr>
        <w:t xml:space="preserve">, 2014; </w:t>
      </w:r>
      <w:proofErr w:type="spellStart"/>
      <w:r w:rsidR="00250CBD" w:rsidRPr="008712F5">
        <w:rPr>
          <w:rFonts w:ascii="Times New Roman" w:hAnsi="Times New Roman" w:cs="Times New Roman"/>
          <w:sz w:val="24"/>
          <w:szCs w:val="24"/>
        </w:rPr>
        <w:t>Rittle</w:t>
      </w:r>
      <w:proofErr w:type="spellEnd"/>
      <w:r w:rsidR="00250CBD" w:rsidRPr="008712F5">
        <w:rPr>
          <w:rFonts w:ascii="Times New Roman" w:hAnsi="Times New Roman" w:cs="Times New Roman"/>
          <w:sz w:val="24"/>
          <w:szCs w:val="24"/>
        </w:rPr>
        <w:t xml:space="preserve">-Johnson et al., 2015). </w:t>
      </w:r>
    </w:p>
    <w:p w14:paraId="5FCC8E21" w14:textId="77777777" w:rsidR="00DB7D7F" w:rsidRPr="008712F5" w:rsidRDefault="00DB7D7F" w:rsidP="00514857">
      <w:pPr>
        <w:spacing w:line="480" w:lineRule="auto"/>
        <w:rPr>
          <w:rFonts w:ascii="Times New Roman" w:hAnsi="Times New Roman" w:cs="Times New Roman"/>
          <w:sz w:val="24"/>
          <w:szCs w:val="24"/>
        </w:rPr>
      </w:pPr>
    </w:p>
    <w:p w14:paraId="7CAF127B" w14:textId="7067FB92" w:rsidR="00514857" w:rsidRPr="008712F5" w:rsidRDefault="00250CBD" w:rsidP="00514857">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In trying to decipher the concrete differences between ‘West and East’, Dahlin and Watkins </w:t>
      </w:r>
      <w:r w:rsidR="00946433" w:rsidRPr="008712F5">
        <w:rPr>
          <w:rFonts w:ascii="Times New Roman" w:hAnsi="Times New Roman" w:cs="Times New Roman"/>
          <w:sz w:val="24"/>
          <w:szCs w:val="24"/>
        </w:rPr>
        <w:t xml:space="preserve">(2000) </w:t>
      </w:r>
      <w:r w:rsidRPr="008712F5">
        <w:rPr>
          <w:rFonts w:ascii="Times New Roman" w:hAnsi="Times New Roman" w:cs="Times New Roman"/>
          <w:sz w:val="24"/>
          <w:szCs w:val="24"/>
        </w:rPr>
        <w:t xml:space="preserve">argue that the linking pin between both, is the role of repetition. Meaningful repetition can create </w:t>
      </w:r>
      <w:r w:rsidR="00946433" w:rsidRPr="008712F5">
        <w:rPr>
          <w:rFonts w:ascii="Times New Roman" w:hAnsi="Times New Roman" w:cs="Times New Roman"/>
          <w:sz w:val="24"/>
          <w:szCs w:val="24"/>
        </w:rPr>
        <w:t>“</w:t>
      </w:r>
      <w:r w:rsidRPr="008712F5">
        <w:rPr>
          <w:rFonts w:ascii="Times New Roman" w:hAnsi="Times New Roman" w:cs="Times New Roman"/>
          <w:sz w:val="24"/>
          <w:szCs w:val="24"/>
        </w:rPr>
        <w:t>a deep impression”</w:t>
      </w:r>
      <w:r w:rsidR="00946433" w:rsidRPr="008712F5">
        <w:rPr>
          <w:rFonts w:ascii="Times New Roman" w:hAnsi="Times New Roman" w:cs="Times New Roman"/>
          <w:sz w:val="24"/>
          <w:szCs w:val="24"/>
        </w:rPr>
        <w:t xml:space="preserve"> (p. 66)</w:t>
      </w:r>
      <w:r w:rsidRPr="008712F5">
        <w:rPr>
          <w:rFonts w:ascii="Times New Roman" w:hAnsi="Times New Roman" w:cs="Times New Roman"/>
          <w:sz w:val="24"/>
          <w:szCs w:val="24"/>
        </w:rPr>
        <w:t xml:space="preserve"> which leads to memori</w:t>
      </w:r>
      <w:r w:rsidR="00946433" w:rsidRPr="008712F5">
        <w:rPr>
          <w:rFonts w:ascii="Times New Roman" w:hAnsi="Times New Roman" w:cs="Times New Roman"/>
          <w:sz w:val="24"/>
          <w:szCs w:val="24"/>
        </w:rPr>
        <w:t>s</w:t>
      </w:r>
      <w:r w:rsidRPr="008712F5">
        <w:rPr>
          <w:rFonts w:ascii="Times New Roman" w:hAnsi="Times New Roman" w:cs="Times New Roman"/>
          <w:sz w:val="24"/>
          <w:szCs w:val="24"/>
        </w:rPr>
        <w:t xml:space="preserve">ation, and it can also lead to “discovering new meaning” </w:t>
      </w:r>
      <w:r w:rsidR="00BE7A17" w:rsidRPr="008712F5">
        <w:rPr>
          <w:rFonts w:ascii="Times New Roman" w:hAnsi="Times New Roman" w:cs="Times New Roman"/>
          <w:sz w:val="24"/>
          <w:szCs w:val="24"/>
        </w:rPr>
        <w:t xml:space="preserve">(p. 66) </w:t>
      </w:r>
      <w:r w:rsidRPr="008712F5">
        <w:rPr>
          <w:rFonts w:ascii="Times New Roman" w:hAnsi="Times New Roman" w:cs="Times New Roman"/>
          <w:sz w:val="24"/>
          <w:szCs w:val="24"/>
        </w:rPr>
        <w:t>which in turn leads to understanding (Li, 1999).</w:t>
      </w:r>
      <w:r w:rsidR="0025127A" w:rsidRPr="008712F5">
        <w:rPr>
          <w:rFonts w:ascii="Times New Roman" w:hAnsi="Times New Roman" w:cs="Times New Roman"/>
          <w:sz w:val="24"/>
          <w:szCs w:val="24"/>
        </w:rPr>
        <w:t xml:space="preserve"> Such literature </w:t>
      </w:r>
      <w:r w:rsidR="005A4A98" w:rsidRPr="008712F5">
        <w:rPr>
          <w:rFonts w:ascii="Times New Roman" w:hAnsi="Times New Roman" w:cs="Times New Roman"/>
          <w:sz w:val="24"/>
          <w:szCs w:val="24"/>
        </w:rPr>
        <w:t xml:space="preserve">again </w:t>
      </w:r>
      <w:r w:rsidR="0025127A" w:rsidRPr="008712F5">
        <w:rPr>
          <w:rFonts w:ascii="Times New Roman" w:hAnsi="Times New Roman" w:cs="Times New Roman"/>
          <w:sz w:val="24"/>
          <w:szCs w:val="24"/>
        </w:rPr>
        <w:t xml:space="preserve">gives the impression that many of the concepts associated with conceptual and procedural knowledge, also are associated with teaching methods. </w:t>
      </w:r>
      <w:r w:rsidR="00514857" w:rsidRPr="008712F5">
        <w:rPr>
          <w:rFonts w:ascii="Times New Roman" w:hAnsi="Times New Roman" w:cs="Times New Roman"/>
          <w:sz w:val="24"/>
          <w:szCs w:val="24"/>
        </w:rPr>
        <w:t xml:space="preserve">Cheng (2014) explicitly linked teaching practices to ‘procedural’ and ‘conceptual’, positing a priori that teaching quality might be related to certain types of instructional practices. However, using TIMSS 2011 data, no combinations of the components of conceptual and procedural mathematics teaching practices were apparent across five high-performing Asian education systems. </w:t>
      </w:r>
      <w:r w:rsidR="00A13DC7" w:rsidRPr="008712F5">
        <w:rPr>
          <w:rFonts w:ascii="Times New Roman" w:hAnsi="Times New Roman" w:cs="Times New Roman"/>
          <w:sz w:val="24"/>
          <w:szCs w:val="24"/>
        </w:rPr>
        <w:t>Despite this, scholar</w:t>
      </w:r>
      <w:r w:rsidR="00514857" w:rsidRPr="008712F5">
        <w:rPr>
          <w:rFonts w:ascii="Times New Roman" w:hAnsi="Times New Roman" w:cs="Times New Roman"/>
          <w:sz w:val="24"/>
          <w:szCs w:val="24"/>
        </w:rPr>
        <w:t>s</w:t>
      </w:r>
      <w:r w:rsidR="00A13DC7" w:rsidRPr="008712F5">
        <w:rPr>
          <w:rFonts w:ascii="Times New Roman" w:hAnsi="Times New Roman" w:cs="Times New Roman"/>
          <w:sz w:val="24"/>
          <w:szCs w:val="24"/>
        </w:rPr>
        <w:t xml:space="preserve"> like</w:t>
      </w:r>
      <w:r w:rsidR="006026D6" w:rsidRPr="008712F5">
        <w:rPr>
          <w:rFonts w:ascii="Times New Roman" w:hAnsi="Times New Roman" w:cs="Times New Roman"/>
          <w:sz w:val="24"/>
          <w:szCs w:val="24"/>
        </w:rPr>
        <w:t xml:space="preserve"> </w:t>
      </w:r>
      <w:r w:rsidR="00D47D74" w:rsidRPr="008712F5">
        <w:rPr>
          <w:rFonts w:ascii="Times New Roman" w:hAnsi="Times New Roman" w:cs="Times New Roman"/>
          <w:sz w:val="24"/>
          <w:szCs w:val="24"/>
        </w:rPr>
        <w:t xml:space="preserve">Leung et al. (2015) </w:t>
      </w:r>
      <w:r w:rsidR="006026D6" w:rsidRPr="008712F5">
        <w:rPr>
          <w:rFonts w:ascii="Times New Roman" w:hAnsi="Times New Roman" w:cs="Times New Roman"/>
          <w:sz w:val="24"/>
          <w:szCs w:val="24"/>
        </w:rPr>
        <w:t>argued that there are</w:t>
      </w:r>
      <w:r w:rsidR="00D47D74" w:rsidRPr="008712F5">
        <w:rPr>
          <w:rFonts w:ascii="Times New Roman" w:hAnsi="Times New Roman" w:cs="Times New Roman"/>
          <w:sz w:val="24"/>
          <w:szCs w:val="24"/>
        </w:rPr>
        <w:t xml:space="preserve"> </w:t>
      </w:r>
      <w:r w:rsidR="006026D6" w:rsidRPr="008712F5">
        <w:rPr>
          <w:rFonts w:ascii="Times New Roman" w:hAnsi="Times New Roman" w:cs="Times New Roman"/>
          <w:sz w:val="24"/>
          <w:szCs w:val="24"/>
        </w:rPr>
        <w:t>“</w:t>
      </w:r>
      <w:r w:rsidR="00D47D74" w:rsidRPr="008712F5">
        <w:rPr>
          <w:rFonts w:ascii="Times New Roman" w:hAnsi="Times New Roman" w:cs="Times New Roman"/>
          <w:sz w:val="24"/>
          <w:szCs w:val="24"/>
        </w:rPr>
        <w:t xml:space="preserve">distinctive features in the classroom teaching and teacher education and development in East Asian countries which are markedly different from the corresponding practices in Western </w:t>
      </w:r>
      <w:r w:rsidR="00D47D74" w:rsidRPr="008712F5">
        <w:rPr>
          <w:rFonts w:ascii="Times New Roman" w:hAnsi="Times New Roman" w:cs="Times New Roman"/>
          <w:sz w:val="24"/>
          <w:szCs w:val="24"/>
        </w:rPr>
        <w:lastRenderedPageBreak/>
        <w:t>countries.” (p. 137).</w:t>
      </w:r>
      <w:r w:rsidR="006026D6" w:rsidRPr="008712F5">
        <w:rPr>
          <w:rFonts w:ascii="Times New Roman" w:hAnsi="Times New Roman" w:cs="Times New Roman"/>
          <w:sz w:val="24"/>
          <w:szCs w:val="24"/>
        </w:rPr>
        <w:t xml:space="preserve"> Leung (2017) highlights three studies </w:t>
      </w:r>
      <w:r w:rsidR="004D2143" w:rsidRPr="008712F5">
        <w:rPr>
          <w:rFonts w:ascii="Times New Roman" w:hAnsi="Times New Roman" w:cs="Times New Roman"/>
          <w:sz w:val="24"/>
          <w:szCs w:val="24"/>
        </w:rPr>
        <w:t xml:space="preserve">(Wu, 2009; Lie, 2014; Guo, 2014) </w:t>
      </w:r>
      <w:r w:rsidR="006026D6" w:rsidRPr="008712F5">
        <w:rPr>
          <w:rFonts w:ascii="Times New Roman" w:hAnsi="Times New Roman" w:cs="Times New Roman"/>
          <w:sz w:val="24"/>
          <w:szCs w:val="24"/>
        </w:rPr>
        <w:t xml:space="preserve">that </w:t>
      </w:r>
      <w:r w:rsidR="00A13DC7" w:rsidRPr="008712F5">
        <w:rPr>
          <w:rFonts w:ascii="Times New Roman" w:hAnsi="Times New Roman" w:cs="Times New Roman"/>
          <w:sz w:val="24"/>
          <w:szCs w:val="24"/>
        </w:rPr>
        <w:t>show such a ‘cultural cluster’.</w:t>
      </w:r>
    </w:p>
    <w:p w14:paraId="13CFF7A4" w14:textId="77777777" w:rsidR="008207DA" w:rsidRPr="008712F5" w:rsidRDefault="008207DA" w:rsidP="00EA0248">
      <w:pPr>
        <w:spacing w:line="480" w:lineRule="auto"/>
        <w:rPr>
          <w:rFonts w:ascii="Times New Roman" w:hAnsi="Times New Roman" w:cs="Times New Roman"/>
          <w:sz w:val="24"/>
          <w:szCs w:val="24"/>
        </w:rPr>
      </w:pPr>
    </w:p>
    <w:p w14:paraId="1A80250E" w14:textId="0E8D1C0B" w:rsidR="00882B9F" w:rsidRPr="008712F5" w:rsidRDefault="00882B9F" w:rsidP="00882B9F">
      <w:pPr>
        <w:pStyle w:val="Heading3"/>
      </w:pPr>
      <w:r w:rsidRPr="008712F5">
        <w:t>ILSAs and instructional practices</w:t>
      </w:r>
    </w:p>
    <w:p w14:paraId="45225D93" w14:textId="77777777" w:rsidR="00DB7D7F" w:rsidRPr="008712F5" w:rsidRDefault="008A5393" w:rsidP="00577D92">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Research with International Largescale Assessments (ILSA) </w:t>
      </w:r>
      <w:r w:rsidR="00ED706E" w:rsidRPr="008712F5">
        <w:rPr>
          <w:rFonts w:ascii="Times New Roman" w:hAnsi="Times New Roman" w:cs="Times New Roman"/>
          <w:sz w:val="24"/>
          <w:szCs w:val="24"/>
        </w:rPr>
        <w:t xml:space="preserve">data </w:t>
      </w:r>
      <w:r w:rsidRPr="008712F5">
        <w:rPr>
          <w:rFonts w:ascii="Times New Roman" w:hAnsi="Times New Roman" w:cs="Times New Roman"/>
          <w:sz w:val="24"/>
          <w:szCs w:val="24"/>
        </w:rPr>
        <w:t xml:space="preserve">also has </w:t>
      </w:r>
      <w:r w:rsidR="00ED706E" w:rsidRPr="008712F5">
        <w:rPr>
          <w:rFonts w:ascii="Times New Roman" w:hAnsi="Times New Roman" w:cs="Times New Roman"/>
          <w:sz w:val="24"/>
          <w:szCs w:val="24"/>
        </w:rPr>
        <w:t>tried to unpick</w:t>
      </w:r>
      <w:r w:rsidR="00185117" w:rsidRPr="008712F5">
        <w:rPr>
          <w:rFonts w:ascii="Times New Roman" w:hAnsi="Times New Roman" w:cs="Times New Roman"/>
          <w:sz w:val="24"/>
          <w:szCs w:val="24"/>
        </w:rPr>
        <w:t xml:space="preserve"> instructional practices in the mathematics classroom. In the seminal TIMSS 1999 Video Study,</w:t>
      </w:r>
      <w:r w:rsidR="00ED706E" w:rsidRPr="008712F5">
        <w:rPr>
          <w:rFonts w:ascii="Times New Roman" w:hAnsi="Times New Roman" w:cs="Times New Roman"/>
          <w:sz w:val="24"/>
          <w:szCs w:val="24"/>
        </w:rPr>
        <w:t xml:space="preserve"> </w:t>
      </w:r>
      <w:r w:rsidR="00882B9F" w:rsidRPr="008712F5">
        <w:rPr>
          <w:rFonts w:ascii="Times New Roman" w:hAnsi="Times New Roman" w:cs="Times New Roman"/>
          <w:sz w:val="24"/>
          <w:szCs w:val="24"/>
        </w:rPr>
        <w:t>Hiebert et al. (2005)</w:t>
      </w:r>
      <w:r w:rsidR="00185117" w:rsidRPr="008712F5">
        <w:rPr>
          <w:rFonts w:ascii="Times New Roman" w:hAnsi="Times New Roman" w:cs="Times New Roman"/>
          <w:sz w:val="24"/>
          <w:szCs w:val="24"/>
        </w:rPr>
        <w:t xml:space="preserve"> reported on results from seven countries. The </w:t>
      </w:r>
      <w:r w:rsidR="00882B9F" w:rsidRPr="008712F5">
        <w:rPr>
          <w:rFonts w:ascii="Times New Roman" w:hAnsi="Times New Roman" w:cs="Times New Roman"/>
          <w:sz w:val="24"/>
          <w:szCs w:val="24"/>
        </w:rPr>
        <w:t>countries participating in the mathematics portion of the TIMSS 1999 Video Study were</w:t>
      </w:r>
      <w:r w:rsidR="004D560C" w:rsidRPr="008712F5">
        <w:rPr>
          <w:rFonts w:ascii="Times New Roman" w:hAnsi="Times New Roman" w:cs="Times New Roman"/>
          <w:sz w:val="24"/>
          <w:szCs w:val="24"/>
        </w:rPr>
        <w:t xml:space="preserve"> </w:t>
      </w:r>
      <w:r w:rsidR="00882B9F" w:rsidRPr="008712F5">
        <w:rPr>
          <w:rFonts w:ascii="Times New Roman" w:hAnsi="Times New Roman" w:cs="Times New Roman"/>
          <w:sz w:val="24"/>
          <w:szCs w:val="24"/>
        </w:rPr>
        <w:t>Australia, the Czech Republic, Hong Kong SAR, Japan, the Netherlands, Switzerland, and the United States.</w:t>
      </w:r>
      <w:r w:rsidR="00185117" w:rsidRPr="008712F5">
        <w:rPr>
          <w:rFonts w:ascii="Times New Roman" w:hAnsi="Times New Roman" w:cs="Times New Roman"/>
          <w:sz w:val="24"/>
          <w:szCs w:val="24"/>
        </w:rPr>
        <w:t xml:space="preserve"> Among th</w:t>
      </w:r>
      <w:r w:rsidR="00513E0E" w:rsidRPr="008712F5">
        <w:rPr>
          <w:rFonts w:ascii="Times New Roman" w:hAnsi="Times New Roman" w:cs="Times New Roman"/>
          <w:sz w:val="24"/>
          <w:szCs w:val="24"/>
        </w:rPr>
        <w:t>e</w:t>
      </w:r>
      <w:r w:rsidR="00185117" w:rsidRPr="008712F5">
        <w:rPr>
          <w:rFonts w:ascii="Times New Roman" w:hAnsi="Times New Roman" w:cs="Times New Roman"/>
          <w:sz w:val="24"/>
          <w:szCs w:val="24"/>
        </w:rPr>
        <w:t xml:space="preserve"> striking differences</w:t>
      </w:r>
      <w:r w:rsidR="00513E0E" w:rsidRPr="008712F5">
        <w:rPr>
          <w:rFonts w:ascii="Times New Roman" w:hAnsi="Times New Roman" w:cs="Times New Roman"/>
          <w:sz w:val="24"/>
          <w:szCs w:val="24"/>
        </w:rPr>
        <w:t xml:space="preserve"> were that a</w:t>
      </w:r>
      <w:r w:rsidR="00882B9F" w:rsidRPr="008712F5">
        <w:rPr>
          <w:rFonts w:ascii="Times New Roman" w:hAnsi="Times New Roman" w:cs="Times New Roman"/>
          <w:sz w:val="24"/>
          <w:szCs w:val="24"/>
        </w:rPr>
        <w:t xml:space="preserve">pplications </w:t>
      </w:r>
      <w:r w:rsidR="00513E0E" w:rsidRPr="008712F5">
        <w:rPr>
          <w:rFonts w:ascii="Times New Roman" w:hAnsi="Times New Roman" w:cs="Times New Roman"/>
          <w:sz w:val="24"/>
          <w:szCs w:val="24"/>
        </w:rPr>
        <w:t>of mathematics</w:t>
      </w:r>
      <w:r w:rsidR="004D560C" w:rsidRPr="008712F5">
        <w:rPr>
          <w:rFonts w:ascii="Times New Roman" w:hAnsi="Times New Roman" w:cs="Times New Roman"/>
          <w:sz w:val="24"/>
          <w:szCs w:val="24"/>
        </w:rPr>
        <w:t xml:space="preserve">, the </w:t>
      </w:r>
      <w:r w:rsidR="00882B9F" w:rsidRPr="008712F5">
        <w:rPr>
          <w:rFonts w:ascii="Times New Roman" w:hAnsi="Times New Roman" w:cs="Times New Roman"/>
          <w:sz w:val="24"/>
          <w:szCs w:val="24"/>
        </w:rPr>
        <w:t xml:space="preserve">US </w:t>
      </w:r>
      <w:r w:rsidR="004D560C" w:rsidRPr="008712F5">
        <w:rPr>
          <w:rFonts w:ascii="Times New Roman" w:hAnsi="Times New Roman" w:cs="Times New Roman"/>
          <w:sz w:val="24"/>
          <w:szCs w:val="24"/>
        </w:rPr>
        <w:t xml:space="preserve">was </w:t>
      </w:r>
      <w:r w:rsidR="00882B9F" w:rsidRPr="008712F5">
        <w:rPr>
          <w:rFonts w:ascii="Times New Roman" w:hAnsi="Times New Roman" w:cs="Times New Roman"/>
          <w:sz w:val="24"/>
          <w:szCs w:val="24"/>
        </w:rPr>
        <w:t xml:space="preserve">lowest with 34% problems per lesson, </w:t>
      </w:r>
      <w:r w:rsidR="004D560C" w:rsidRPr="008712F5">
        <w:rPr>
          <w:rFonts w:ascii="Times New Roman" w:hAnsi="Times New Roman" w:cs="Times New Roman"/>
          <w:sz w:val="24"/>
          <w:szCs w:val="24"/>
        </w:rPr>
        <w:t>and Japan high with 74%. However, Hong Kong SAR was at the low end with 40%. On r</w:t>
      </w:r>
      <w:r w:rsidR="00882B9F" w:rsidRPr="008712F5">
        <w:rPr>
          <w:rFonts w:ascii="Times New Roman" w:hAnsi="Times New Roman" w:cs="Times New Roman"/>
          <w:sz w:val="24"/>
          <w:szCs w:val="24"/>
        </w:rPr>
        <w:t>epeating procedures</w:t>
      </w:r>
      <w:r w:rsidR="004D560C" w:rsidRPr="008712F5">
        <w:rPr>
          <w:rFonts w:ascii="Times New Roman" w:hAnsi="Times New Roman" w:cs="Times New Roman"/>
          <w:sz w:val="24"/>
          <w:szCs w:val="24"/>
        </w:rPr>
        <w:t xml:space="preserve">, </w:t>
      </w:r>
      <w:r w:rsidR="00882B9F" w:rsidRPr="008712F5">
        <w:rPr>
          <w:rFonts w:ascii="Times New Roman" w:hAnsi="Times New Roman" w:cs="Times New Roman"/>
          <w:sz w:val="24"/>
          <w:szCs w:val="24"/>
        </w:rPr>
        <w:t xml:space="preserve">Hong Kong </w:t>
      </w:r>
      <w:r w:rsidR="004D560C" w:rsidRPr="008712F5">
        <w:rPr>
          <w:rFonts w:ascii="Times New Roman" w:hAnsi="Times New Roman" w:cs="Times New Roman"/>
          <w:sz w:val="24"/>
          <w:szCs w:val="24"/>
        </w:rPr>
        <w:t xml:space="preserve">SAR </w:t>
      </w:r>
      <w:r w:rsidR="00882B9F" w:rsidRPr="008712F5">
        <w:rPr>
          <w:rFonts w:ascii="Times New Roman" w:hAnsi="Times New Roman" w:cs="Times New Roman"/>
          <w:sz w:val="24"/>
          <w:szCs w:val="24"/>
        </w:rPr>
        <w:t>(81</w:t>
      </w:r>
      <w:r w:rsidR="004D560C" w:rsidRPr="008712F5">
        <w:rPr>
          <w:rFonts w:ascii="Times New Roman" w:hAnsi="Times New Roman" w:cs="Times New Roman"/>
          <w:sz w:val="24"/>
          <w:szCs w:val="24"/>
        </w:rPr>
        <w:t>%</w:t>
      </w:r>
      <w:r w:rsidR="00882B9F" w:rsidRPr="008712F5">
        <w:rPr>
          <w:rFonts w:ascii="Times New Roman" w:hAnsi="Times New Roman" w:cs="Times New Roman"/>
          <w:sz w:val="24"/>
          <w:szCs w:val="24"/>
        </w:rPr>
        <w:t>),</w:t>
      </w:r>
      <w:r w:rsidR="004D560C" w:rsidRPr="008712F5">
        <w:rPr>
          <w:rFonts w:ascii="Times New Roman" w:hAnsi="Times New Roman" w:cs="Times New Roman"/>
          <w:sz w:val="24"/>
          <w:szCs w:val="24"/>
        </w:rPr>
        <w:t xml:space="preserve"> scored high</w:t>
      </w:r>
      <w:r w:rsidR="00882B9F" w:rsidRPr="008712F5">
        <w:rPr>
          <w:rFonts w:ascii="Times New Roman" w:hAnsi="Times New Roman" w:cs="Times New Roman"/>
          <w:sz w:val="24"/>
          <w:szCs w:val="24"/>
        </w:rPr>
        <w:t xml:space="preserve"> like US and European countries, but Japan </w:t>
      </w:r>
      <w:r w:rsidR="004D560C" w:rsidRPr="008712F5">
        <w:rPr>
          <w:rFonts w:ascii="Times New Roman" w:hAnsi="Times New Roman" w:cs="Times New Roman"/>
          <w:sz w:val="24"/>
          <w:szCs w:val="24"/>
        </w:rPr>
        <w:t xml:space="preserve">was </w:t>
      </w:r>
      <w:r w:rsidR="00882B9F" w:rsidRPr="008712F5">
        <w:rPr>
          <w:rFonts w:ascii="Times New Roman" w:hAnsi="Times New Roman" w:cs="Times New Roman"/>
          <w:sz w:val="24"/>
          <w:szCs w:val="24"/>
        </w:rPr>
        <w:t xml:space="preserve">low. </w:t>
      </w:r>
      <w:r w:rsidR="004D560C" w:rsidRPr="008712F5">
        <w:rPr>
          <w:rFonts w:ascii="Times New Roman" w:hAnsi="Times New Roman" w:cs="Times New Roman"/>
          <w:sz w:val="24"/>
          <w:szCs w:val="24"/>
        </w:rPr>
        <w:t xml:space="preserve">Both </w:t>
      </w:r>
      <w:r w:rsidR="00882B9F" w:rsidRPr="008712F5">
        <w:rPr>
          <w:rFonts w:ascii="Times New Roman" w:hAnsi="Times New Roman" w:cs="Times New Roman"/>
          <w:sz w:val="24"/>
          <w:szCs w:val="24"/>
        </w:rPr>
        <w:t xml:space="preserve">Hong Kong </w:t>
      </w:r>
      <w:r w:rsidR="004D560C" w:rsidRPr="008712F5">
        <w:rPr>
          <w:rFonts w:ascii="Times New Roman" w:hAnsi="Times New Roman" w:cs="Times New Roman"/>
          <w:sz w:val="24"/>
          <w:szCs w:val="24"/>
        </w:rPr>
        <w:t xml:space="preserve">SAR </w:t>
      </w:r>
      <w:r w:rsidR="00882B9F" w:rsidRPr="008712F5">
        <w:rPr>
          <w:rFonts w:ascii="Times New Roman" w:hAnsi="Times New Roman" w:cs="Times New Roman"/>
          <w:sz w:val="24"/>
          <w:szCs w:val="24"/>
        </w:rPr>
        <w:t>and Japan</w:t>
      </w:r>
      <w:r w:rsidR="004D560C" w:rsidRPr="008712F5">
        <w:rPr>
          <w:rFonts w:ascii="Times New Roman" w:hAnsi="Times New Roman" w:cs="Times New Roman"/>
          <w:sz w:val="24"/>
          <w:szCs w:val="24"/>
        </w:rPr>
        <w:t xml:space="preserve"> were </w:t>
      </w:r>
      <w:r w:rsidR="00882B9F" w:rsidRPr="008712F5">
        <w:rPr>
          <w:rFonts w:ascii="Times New Roman" w:hAnsi="Times New Roman" w:cs="Times New Roman"/>
          <w:sz w:val="24"/>
          <w:szCs w:val="24"/>
        </w:rPr>
        <w:t xml:space="preserve"> relatively low on reviewing and high on introducing and practicing new content.</w:t>
      </w:r>
      <w:r w:rsidR="004D560C" w:rsidRPr="008712F5">
        <w:rPr>
          <w:rFonts w:ascii="Times New Roman" w:hAnsi="Times New Roman" w:cs="Times New Roman"/>
          <w:sz w:val="24"/>
          <w:szCs w:val="24"/>
        </w:rPr>
        <w:t xml:space="preserve"> These observational results</w:t>
      </w:r>
      <w:r w:rsidR="004D2143" w:rsidRPr="008712F5">
        <w:rPr>
          <w:rFonts w:ascii="Times New Roman" w:hAnsi="Times New Roman" w:cs="Times New Roman"/>
          <w:sz w:val="24"/>
          <w:szCs w:val="24"/>
        </w:rPr>
        <w:t xml:space="preserve"> indicate instructional differences, also between East Asian jurisdictions</w:t>
      </w:r>
      <w:r w:rsidR="004D560C" w:rsidRPr="008712F5">
        <w:rPr>
          <w:rFonts w:ascii="Times New Roman" w:hAnsi="Times New Roman" w:cs="Times New Roman"/>
          <w:sz w:val="24"/>
          <w:szCs w:val="24"/>
        </w:rPr>
        <w:t xml:space="preserve">. </w:t>
      </w:r>
    </w:p>
    <w:p w14:paraId="2B9B576A" w14:textId="77777777" w:rsidR="00DB7D7F" w:rsidRPr="008712F5" w:rsidRDefault="00DB7D7F" w:rsidP="00577D92">
      <w:pPr>
        <w:spacing w:line="480" w:lineRule="auto"/>
        <w:rPr>
          <w:rFonts w:ascii="Times New Roman" w:hAnsi="Times New Roman" w:cs="Times New Roman"/>
          <w:sz w:val="24"/>
          <w:szCs w:val="24"/>
        </w:rPr>
      </w:pPr>
    </w:p>
    <w:p w14:paraId="0D45E746" w14:textId="77777777" w:rsidR="00DB7D7F" w:rsidRPr="008712F5" w:rsidRDefault="004D560C" w:rsidP="00577D92">
      <w:pPr>
        <w:spacing w:line="480" w:lineRule="auto"/>
        <w:rPr>
          <w:rFonts w:ascii="Times New Roman" w:hAnsi="Times New Roman" w:cs="Times New Roman"/>
          <w:sz w:val="24"/>
          <w:szCs w:val="24"/>
        </w:rPr>
      </w:pPr>
      <w:r w:rsidRPr="008712F5">
        <w:rPr>
          <w:rFonts w:ascii="Times New Roman" w:hAnsi="Times New Roman" w:cs="Times New Roman"/>
          <w:sz w:val="24"/>
          <w:szCs w:val="24"/>
        </w:rPr>
        <w:t>With a focus on PISA 2012 mathematics</w:t>
      </w:r>
      <w:r w:rsidR="007E3C24" w:rsidRPr="008712F5">
        <w:rPr>
          <w:rFonts w:ascii="Times New Roman" w:hAnsi="Times New Roman" w:cs="Times New Roman"/>
          <w:sz w:val="24"/>
          <w:szCs w:val="24"/>
        </w:rPr>
        <w:t xml:space="preserve"> results</w:t>
      </w:r>
      <w:r w:rsidRPr="008712F5">
        <w:rPr>
          <w:rFonts w:ascii="Times New Roman" w:hAnsi="Times New Roman" w:cs="Times New Roman"/>
          <w:sz w:val="24"/>
          <w:szCs w:val="24"/>
        </w:rPr>
        <w:t>, Caro et al. (2016) looked at subject-specific teaching strategies related to mathematics performance of students across education systems whilst considering curvilinear associations and interactions with the socio-economic and instructional context</w:t>
      </w:r>
      <w:r w:rsidR="00826079" w:rsidRPr="008712F5">
        <w:rPr>
          <w:rFonts w:ascii="Times New Roman" w:hAnsi="Times New Roman" w:cs="Times New Roman"/>
          <w:sz w:val="24"/>
          <w:szCs w:val="24"/>
        </w:rPr>
        <w:t>. They found that c</w:t>
      </w:r>
      <w:r w:rsidR="00711321" w:rsidRPr="008712F5">
        <w:rPr>
          <w:rFonts w:ascii="Times New Roman" w:hAnsi="Times New Roman" w:cs="Times New Roman"/>
          <w:sz w:val="24"/>
          <w:szCs w:val="24"/>
        </w:rPr>
        <w:t xml:space="preserve">ognitive activation </w:t>
      </w:r>
      <w:r w:rsidR="00826079" w:rsidRPr="008712F5">
        <w:rPr>
          <w:rFonts w:ascii="Times New Roman" w:hAnsi="Times New Roman" w:cs="Times New Roman"/>
          <w:sz w:val="24"/>
          <w:szCs w:val="24"/>
        </w:rPr>
        <w:t>and teacher directed instruction both were was</w:t>
      </w:r>
      <w:r w:rsidR="00711321" w:rsidRPr="008712F5">
        <w:rPr>
          <w:rFonts w:ascii="Times New Roman" w:hAnsi="Times New Roman" w:cs="Times New Roman"/>
          <w:sz w:val="24"/>
          <w:szCs w:val="24"/>
        </w:rPr>
        <w:t xml:space="preserve"> positively related to mathematics performance</w:t>
      </w:r>
      <w:r w:rsidR="00826079" w:rsidRPr="008712F5">
        <w:rPr>
          <w:rFonts w:ascii="Times New Roman" w:hAnsi="Times New Roman" w:cs="Times New Roman"/>
          <w:sz w:val="24"/>
          <w:szCs w:val="24"/>
        </w:rPr>
        <w:t>, but that too high levels of the latter were negative for student performance. Associations of student-oriented strategies with mathematics performance were inconsistent.</w:t>
      </w:r>
      <w:r w:rsidR="007E3C24" w:rsidRPr="008712F5">
        <w:rPr>
          <w:rFonts w:ascii="Times New Roman" w:hAnsi="Times New Roman" w:cs="Times New Roman"/>
          <w:sz w:val="24"/>
          <w:szCs w:val="24"/>
        </w:rPr>
        <w:t xml:space="preserve"> </w:t>
      </w:r>
      <w:r w:rsidR="00BC402C" w:rsidRPr="008712F5">
        <w:rPr>
          <w:rFonts w:ascii="Times New Roman" w:hAnsi="Times New Roman" w:cs="Times New Roman"/>
          <w:sz w:val="24"/>
          <w:szCs w:val="24"/>
        </w:rPr>
        <w:t>Wu et al. (</w:t>
      </w:r>
      <w:r w:rsidR="00AA0F62" w:rsidRPr="008712F5">
        <w:rPr>
          <w:rFonts w:ascii="Times New Roman" w:hAnsi="Times New Roman" w:cs="Times New Roman"/>
          <w:sz w:val="24"/>
          <w:szCs w:val="24"/>
        </w:rPr>
        <w:t>2020</w:t>
      </w:r>
      <w:r w:rsidR="00BC402C" w:rsidRPr="008712F5">
        <w:rPr>
          <w:rFonts w:ascii="Times New Roman" w:hAnsi="Times New Roman" w:cs="Times New Roman"/>
          <w:sz w:val="24"/>
          <w:szCs w:val="24"/>
        </w:rPr>
        <w:t>)</w:t>
      </w:r>
      <w:r w:rsidR="00826079" w:rsidRPr="008712F5">
        <w:rPr>
          <w:rFonts w:ascii="Times New Roman" w:hAnsi="Times New Roman" w:cs="Times New Roman"/>
          <w:sz w:val="24"/>
          <w:szCs w:val="24"/>
        </w:rPr>
        <w:t xml:space="preserve"> also used PISA 2012 data to examine the use of learning strategies in mathematics </w:t>
      </w:r>
      <w:r w:rsidR="00BC402C" w:rsidRPr="008712F5">
        <w:rPr>
          <w:rFonts w:ascii="Times New Roman" w:hAnsi="Times New Roman" w:cs="Times New Roman"/>
          <w:sz w:val="24"/>
          <w:szCs w:val="24"/>
        </w:rPr>
        <w:t xml:space="preserve">among East Asian students in East Asian educational systems. </w:t>
      </w:r>
      <w:r w:rsidR="00826079" w:rsidRPr="008712F5">
        <w:rPr>
          <w:rFonts w:ascii="Times New Roman" w:hAnsi="Times New Roman" w:cs="Times New Roman"/>
          <w:sz w:val="24"/>
          <w:szCs w:val="24"/>
        </w:rPr>
        <w:t>Their</w:t>
      </w:r>
      <w:r w:rsidR="00BC402C" w:rsidRPr="008712F5">
        <w:rPr>
          <w:rFonts w:ascii="Times New Roman" w:hAnsi="Times New Roman" w:cs="Times New Roman"/>
          <w:sz w:val="24"/>
          <w:szCs w:val="24"/>
        </w:rPr>
        <w:t xml:space="preserve"> latent class analysis </w:t>
      </w:r>
      <w:r w:rsidR="00826079" w:rsidRPr="008712F5">
        <w:rPr>
          <w:rFonts w:ascii="Times New Roman" w:hAnsi="Times New Roman" w:cs="Times New Roman"/>
          <w:sz w:val="24"/>
          <w:szCs w:val="24"/>
        </w:rPr>
        <w:t>of the data</w:t>
      </w:r>
      <w:r w:rsidR="00BC402C" w:rsidRPr="008712F5">
        <w:rPr>
          <w:rFonts w:ascii="Times New Roman" w:hAnsi="Times New Roman" w:cs="Times New Roman"/>
          <w:sz w:val="24"/>
          <w:szCs w:val="24"/>
        </w:rPr>
        <w:t xml:space="preserve"> found four classes of </w:t>
      </w:r>
      <w:r w:rsidR="00BC402C" w:rsidRPr="008712F5">
        <w:rPr>
          <w:rFonts w:ascii="Times New Roman" w:hAnsi="Times New Roman" w:cs="Times New Roman"/>
          <w:sz w:val="24"/>
          <w:szCs w:val="24"/>
        </w:rPr>
        <w:lastRenderedPageBreak/>
        <w:t>learning strategy types</w:t>
      </w:r>
      <w:r w:rsidR="00826079" w:rsidRPr="008712F5">
        <w:rPr>
          <w:rFonts w:ascii="Times New Roman" w:hAnsi="Times New Roman" w:cs="Times New Roman"/>
          <w:sz w:val="24"/>
          <w:szCs w:val="24"/>
        </w:rPr>
        <w:t>. T</w:t>
      </w:r>
      <w:r w:rsidR="00BC402C" w:rsidRPr="008712F5">
        <w:rPr>
          <w:rFonts w:ascii="Times New Roman" w:hAnsi="Times New Roman" w:cs="Times New Roman"/>
          <w:sz w:val="24"/>
          <w:szCs w:val="24"/>
        </w:rPr>
        <w:t xml:space="preserve">he majority of the students in all seven East Asian educational systems </w:t>
      </w:r>
      <w:r w:rsidR="00863A81" w:rsidRPr="008712F5">
        <w:rPr>
          <w:rFonts w:ascii="Times New Roman" w:hAnsi="Times New Roman" w:cs="Times New Roman"/>
          <w:sz w:val="24"/>
          <w:szCs w:val="24"/>
        </w:rPr>
        <w:t xml:space="preserve">utilised </w:t>
      </w:r>
      <w:r w:rsidR="00BC402C" w:rsidRPr="008712F5">
        <w:rPr>
          <w:rFonts w:ascii="Times New Roman" w:hAnsi="Times New Roman" w:cs="Times New Roman"/>
          <w:sz w:val="24"/>
          <w:szCs w:val="24"/>
        </w:rPr>
        <w:t xml:space="preserve">metacognitive strategies </w:t>
      </w:r>
      <w:r w:rsidR="00863A81" w:rsidRPr="008712F5">
        <w:rPr>
          <w:rFonts w:ascii="Times New Roman" w:hAnsi="Times New Roman" w:cs="Times New Roman"/>
          <w:sz w:val="24"/>
          <w:szCs w:val="24"/>
        </w:rPr>
        <w:t>in combination with</w:t>
      </w:r>
      <w:r w:rsidR="00BC402C" w:rsidRPr="008712F5">
        <w:rPr>
          <w:rFonts w:ascii="Times New Roman" w:hAnsi="Times New Roman" w:cs="Times New Roman"/>
          <w:sz w:val="24"/>
          <w:szCs w:val="24"/>
        </w:rPr>
        <w:t xml:space="preserve"> memori</w:t>
      </w:r>
      <w:r w:rsidR="00863A81" w:rsidRPr="008712F5">
        <w:rPr>
          <w:rFonts w:ascii="Times New Roman" w:hAnsi="Times New Roman" w:cs="Times New Roman"/>
          <w:sz w:val="24"/>
          <w:szCs w:val="24"/>
        </w:rPr>
        <w:t>s</w:t>
      </w:r>
      <w:r w:rsidR="00BC402C" w:rsidRPr="008712F5">
        <w:rPr>
          <w:rFonts w:ascii="Times New Roman" w:hAnsi="Times New Roman" w:cs="Times New Roman"/>
          <w:sz w:val="24"/>
          <w:szCs w:val="24"/>
        </w:rPr>
        <w:t>ation</w:t>
      </w:r>
      <w:r w:rsidR="00863A81" w:rsidRPr="008712F5">
        <w:rPr>
          <w:rFonts w:ascii="Times New Roman" w:hAnsi="Times New Roman" w:cs="Times New Roman"/>
          <w:sz w:val="24"/>
          <w:szCs w:val="24"/>
        </w:rPr>
        <w:t>. The authors concluded that “the</w:t>
      </w:r>
      <w:r w:rsidR="00BC402C" w:rsidRPr="008712F5">
        <w:rPr>
          <w:rFonts w:ascii="Times New Roman" w:hAnsi="Times New Roman" w:cs="Times New Roman"/>
          <w:sz w:val="24"/>
          <w:szCs w:val="24"/>
        </w:rPr>
        <w:t xml:space="preserve"> cognitive processes employed by students of East Asian backgrounds are more complex and nuanced than the previous perception that they relied heavily on memorization.</w:t>
      </w:r>
      <w:r w:rsidR="00863A81" w:rsidRPr="008712F5">
        <w:rPr>
          <w:rFonts w:ascii="Times New Roman" w:hAnsi="Times New Roman" w:cs="Times New Roman"/>
          <w:sz w:val="24"/>
          <w:szCs w:val="24"/>
        </w:rPr>
        <w:t xml:space="preserve">” (Wu et al., </w:t>
      </w:r>
      <w:r w:rsidR="00AA0F62" w:rsidRPr="008712F5">
        <w:rPr>
          <w:rFonts w:ascii="Times New Roman" w:hAnsi="Times New Roman" w:cs="Times New Roman"/>
          <w:sz w:val="24"/>
          <w:szCs w:val="24"/>
        </w:rPr>
        <w:t>2020</w:t>
      </w:r>
      <w:r w:rsidR="00863A81" w:rsidRPr="008712F5">
        <w:rPr>
          <w:rFonts w:ascii="Times New Roman" w:hAnsi="Times New Roman" w:cs="Times New Roman"/>
          <w:sz w:val="24"/>
          <w:szCs w:val="24"/>
        </w:rPr>
        <w:t xml:space="preserve"> , p. 643).</w:t>
      </w:r>
      <w:r w:rsidR="001845E9" w:rsidRPr="008712F5">
        <w:rPr>
          <w:rFonts w:ascii="Times New Roman" w:hAnsi="Times New Roman" w:cs="Times New Roman"/>
          <w:sz w:val="24"/>
          <w:szCs w:val="24"/>
        </w:rPr>
        <w:t xml:space="preserve"> </w:t>
      </w:r>
    </w:p>
    <w:p w14:paraId="473A2D26" w14:textId="77777777" w:rsidR="00DB7D7F" w:rsidRPr="008712F5" w:rsidRDefault="00DB7D7F" w:rsidP="00577D92">
      <w:pPr>
        <w:spacing w:line="480" w:lineRule="auto"/>
        <w:rPr>
          <w:rFonts w:ascii="Times New Roman" w:hAnsi="Times New Roman" w:cs="Times New Roman"/>
          <w:sz w:val="24"/>
          <w:szCs w:val="24"/>
        </w:rPr>
      </w:pPr>
    </w:p>
    <w:p w14:paraId="5F6E1248" w14:textId="4DC6305D" w:rsidR="008207DA" w:rsidRPr="008712F5" w:rsidRDefault="002527F4" w:rsidP="00577D92">
      <w:pPr>
        <w:spacing w:line="480" w:lineRule="auto"/>
        <w:rPr>
          <w:rFonts w:ascii="Times New Roman" w:hAnsi="Times New Roman" w:cs="Times New Roman"/>
          <w:sz w:val="24"/>
          <w:szCs w:val="24"/>
        </w:rPr>
      </w:pPr>
      <w:r w:rsidRPr="008712F5">
        <w:rPr>
          <w:rFonts w:ascii="Times New Roman" w:hAnsi="Times New Roman" w:cs="Times New Roman"/>
          <w:sz w:val="24"/>
          <w:szCs w:val="24"/>
        </w:rPr>
        <w:t>A</w:t>
      </w:r>
      <w:r w:rsidR="001845E9" w:rsidRPr="008712F5">
        <w:rPr>
          <w:rFonts w:ascii="Times New Roman" w:hAnsi="Times New Roman" w:cs="Times New Roman"/>
          <w:sz w:val="24"/>
          <w:szCs w:val="24"/>
        </w:rPr>
        <w:t xml:space="preserve">gain using PISA 2012, </w:t>
      </w:r>
      <w:r w:rsidR="00BC402C" w:rsidRPr="008712F5">
        <w:rPr>
          <w:rFonts w:ascii="Times New Roman" w:hAnsi="Times New Roman" w:cs="Times New Roman"/>
          <w:sz w:val="24"/>
          <w:szCs w:val="24"/>
        </w:rPr>
        <w:t xml:space="preserve">Echazarra et al. (2016) </w:t>
      </w:r>
      <w:r w:rsidR="001845E9" w:rsidRPr="008712F5">
        <w:rPr>
          <w:rFonts w:ascii="Times New Roman" w:hAnsi="Times New Roman" w:cs="Times New Roman"/>
          <w:sz w:val="24"/>
          <w:szCs w:val="24"/>
        </w:rPr>
        <w:t>studied the predictive nature of four instructional scales: an index of teacher-direct instruction, an index of student-oriented instruction, an index of cognitive activation, and index of formative-assessment instruction.</w:t>
      </w:r>
      <w:r w:rsidR="0010174A" w:rsidRPr="008712F5">
        <w:rPr>
          <w:rFonts w:ascii="Times New Roman" w:hAnsi="Times New Roman" w:cs="Times New Roman"/>
          <w:sz w:val="24"/>
          <w:szCs w:val="24"/>
        </w:rPr>
        <w:t xml:space="preserve"> Theoretically, the authors seem to include assumptions for particular practices, for example that  “</w:t>
      </w:r>
      <w:r w:rsidR="00BC402C" w:rsidRPr="008712F5">
        <w:rPr>
          <w:rFonts w:ascii="Times New Roman" w:hAnsi="Times New Roman" w:cs="Times New Roman"/>
          <w:sz w:val="24"/>
          <w:szCs w:val="24"/>
        </w:rPr>
        <w:t>teacher-directed instruction risks leaving students in a passive and disengaged role, and performing monotonous tasks.” (p. 34)</w:t>
      </w:r>
      <w:r w:rsidR="0010174A" w:rsidRPr="008712F5">
        <w:rPr>
          <w:rFonts w:ascii="Times New Roman" w:hAnsi="Times New Roman" w:cs="Times New Roman"/>
          <w:sz w:val="24"/>
          <w:szCs w:val="24"/>
        </w:rPr>
        <w:t>, s</w:t>
      </w:r>
      <w:r w:rsidR="00BC402C" w:rsidRPr="008712F5">
        <w:rPr>
          <w:rFonts w:ascii="Times New Roman" w:hAnsi="Times New Roman" w:cs="Times New Roman"/>
          <w:sz w:val="24"/>
          <w:szCs w:val="24"/>
        </w:rPr>
        <w:t>tudent-centred teaching methods</w:t>
      </w:r>
      <w:r w:rsidR="0010174A" w:rsidRPr="008712F5">
        <w:rPr>
          <w:rFonts w:ascii="Times New Roman" w:hAnsi="Times New Roman" w:cs="Times New Roman"/>
          <w:sz w:val="24"/>
          <w:szCs w:val="24"/>
        </w:rPr>
        <w:t xml:space="preserve"> giving “</w:t>
      </w:r>
      <w:r w:rsidR="00BC402C" w:rsidRPr="008712F5">
        <w:rPr>
          <w:rFonts w:ascii="Times New Roman" w:hAnsi="Times New Roman" w:cs="Times New Roman"/>
          <w:sz w:val="24"/>
          <w:szCs w:val="24"/>
        </w:rPr>
        <w:t>students a more active role in classroom processes</w:t>
      </w:r>
      <w:r w:rsidR="0010174A" w:rsidRPr="008712F5">
        <w:rPr>
          <w:rFonts w:ascii="Times New Roman" w:hAnsi="Times New Roman" w:cs="Times New Roman"/>
          <w:sz w:val="24"/>
          <w:szCs w:val="24"/>
        </w:rPr>
        <w:t>” (ibid.), and “</w:t>
      </w:r>
      <w:r w:rsidR="00BC402C" w:rsidRPr="008712F5">
        <w:rPr>
          <w:rFonts w:ascii="Times New Roman" w:hAnsi="Times New Roman" w:cs="Times New Roman"/>
          <w:sz w:val="24"/>
          <w:szCs w:val="24"/>
        </w:rPr>
        <w:t xml:space="preserve">In order to foster conceptual understanding and students’ motivation to learn, teachers have to use content and stimuli that are challenging for students and demand the use of higher-order skills” </w:t>
      </w:r>
      <w:r w:rsidR="0010174A" w:rsidRPr="008712F5">
        <w:rPr>
          <w:rFonts w:ascii="Times New Roman" w:hAnsi="Times New Roman" w:cs="Times New Roman"/>
          <w:sz w:val="24"/>
          <w:szCs w:val="24"/>
        </w:rPr>
        <w:t xml:space="preserve">(ibid.). </w:t>
      </w:r>
      <w:r w:rsidR="008E0166" w:rsidRPr="008712F5">
        <w:rPr>
          <w:rFonts w:ascii="Times New Roman" w:hAnsi="Times New Roman" w:cs="Times New Roman"/>
          <w:sz w:val="24"/>
          <w:szCs w:val="24"/>
        </w:rPr>
        <w:t xml:space="preserve">The authors also assert that “teacher-directed and student-oriented strategies represent somewhat opposite ideas about instruction.” (p. 48). </w:t>
      </w:r>
      <w:r w:rsidR="0010174A" w:rsidRPr="008712F5">
        <w:rPr>
          <w:rFonts w:ascii="Times New Roman" w:hAnsi="Times New Roman" w:cs="Times New Roman"/>
          <w:sz w:val="24"/>
          <w:szCs w:val="24"/>
        </w:rPr>
        <w:t xml:space="preserve">However, </w:t>
      </w:r>
      <w:r w:rsidR="008E0166" w:rsidRPr="008712F5">
        <w:rPr>
          <w:rFonts w:ascii="Times New Roman" w:hAnsi="Times New Roman" w:cs="Times New Roman"/>
          <w:sz w:val="24"/>
          <w:szCs w:val="24"/>
        </w:rPr>
        <w:t xml:space="preserve">there are substantial differences across all countries and East Asian countries in particular. </w:t>
      </w:r>
      <w:r w:rsidR="00BC402C" w:rsidRPr="008712F5">
        <w:rPr>
          <w:rFonts w:ascii="Times New Roman" w:hAnsi="Times New Roman" w:cs="Times New Roman"/>
          <w:sz w:val="24"/>
          <w:szCs w:val="24"/>
        </w:rPr>
        <w:t xml:space="preserve">For teacher-directed instruction, Japan, Shanghai-China, Korea </w:t>
      </w:r>
      <w:r w:rsidR="008E0166" w:rsidRPr="008712F5">
        <w:rPr>
          <w:rFonts w:ascii="Times New Roman" w:hAnsi="Times New Roman" w:cs="Times New Roman"/>
          <w:sz w:val="24"/>
          <w:szCs w:val="24"/>
        </w:rPr>
        <w:t xml:space="preserve">were </w:t>
      </w:r>
      <w:r w:rsidR="00BC402C" w:rsidRPr="008712F5">
        <w:rPr>
          <w:rFonts w:ascii="Times New Roman" w:hAnsi="Times New Roman" w:cs="Times New Roman"/>
          <w:sz w:val="24"/>
          <w:szCs w:val="24"/>
        </w:rPr>
        <w:t>at the higher end, Chinese Taipei, Singapore and Hong Kong more in the middle, and Malaysia at the lower end in relative use of teacher-direct instruction.</w:t>
      </w:r>
      <w:r w:rsidR="008E0166" w:rsidRPr="008712F5">
        <w:rPr>
          <w:rFonts w:ascii="Times New Roman" w:hAnsi="Times New Roman" w:cs="Times New Roman"/>
          <w:sz w:val="24"/>
          <w:szCs w:val="24"/>
        </w:rPr>
        <w:t xml:space="preserve"> For s</w:t>
      </w:r>
      <w:r w:rsidR="00BC402C" w:rsidRPr="008712F5">
        <w:rPr>
          <w:rFonts w:ascii="Times New Roman" w:hAnsi="Times New Roman" w:cs="Times New Roman"/>
          <w:sz w:val="24"/>
          <w:szCs w:val="24"/>
        </w:rPr>
        <w:t xml:space="preserve">tudent-oriented instruction. Singapore, Shanghai-China, Hong Kong-China </w:t>
      </w:r>
      <w:r w:rsidR="008E0166" w:rsidRPr="008712F5">
        <w:rPr>
          <w:rFonts w:ascii="Times New Roman" w:hAnsi="Times New Roman" w:cs="Times New Roman"/>
          <w:sz w:val="24"/>
          <w:szCs w:val="24"/>
        </w:rPr>
        <w:t xml:space="preserve">are at the </w:t>
      </w:r>
      <w:r w:rsidR="00BC402C" w:rsidRPr="008712F5">
        <w:rPr>
          <w:rFonts w:ascii="Times New Roman" w:hAnsi="Times New Roman" w:cs="Times New Roman"/>
          <w:sz w:val="24"/>
          <w:szCs w:val="24"/>
        </w:rPr>
        <w:t xml:space="preserve">lower end, </w:t>
      </w:r>
      <w:r w:rsidR="008E0166" w:rsidRPr="008712F5">
        <w:rPr>
          <w:rFonts w:ascii="Times New Roman" w:hAnsi="Times New Roman" w:cs="Times New Roman"/>
          <w:sz w:val="24"/>
          <w:szCs w:val="24"/>
        </w:rPr>
        <w:t xml:space="preserve">while </w:t>
      </w:r>
      <w:r w:rsidR="00BC402C" w:rsidRPr="008712F5">
        <w:rPr>
          <w:rFonts w:ascii="Times New Roman" w:hAnsi="Times New Roman" w:cs="Times New Roman"/>
          <w:sz w:val="24"/>
          <w:szCs w:val="24"/>
        </w:rPr>
        <w:t>Korea, Malaysia and Japan at the upper end.</w:t>
      </w:r>
      <w:r w:rsidR="008E0166" w:rsidRPr="008712F5">
        <w:rPr>
          <w:rFonts w:ascii="Times New Roman" w:hAnsi="Times New Roman" w:cs="Times New Roman"/>
          <w:sz w:val="24"/>
          <w:szCs w:val="24"/>
        </w:rPr>
        <w:t xml:space="preserve"> For f</w:t>
      </w:r>
      <w:r w:rsidR="00BC402C" w:rsidRPr="008712F5">
        <w:rPr>
          <w:rFonts w:ascii="Times New Roman" w:hAnsi="Times New Roman" w:cs="Times New Roman"/>
          <w:sz w:val="24"/>
          <w:szCs w:val="24"/>
        </w:rPr>
        <w:t>ormative assessment</w:t>
      </w:r>
      <w:r w:rsidR="008E0166" w:rsidRPr="008712F5">
        <w:rPr>
          <w:rFonts w:ascii="Times New Roman" w:hAnsi="Times New Roman" w:cs="Times New Roman"/>
          <w:sz w:val="24"/>
          <w:szCs w:val="24"/>
        </w:rPr>
        <w:t>,</w:t>
      </w:r>
      <w:r w:rsidR="00BC402C" w:rsidRPr="008712F5">
        <w:rPr>
          <w:rFonts w:ascii="Times New Roman" w:hAnsi="Times New Roman" w:cs="Times New Roman"/>
          <w:sz w:val="24"/>
          <w:szCs w:val="24"/>
        </w:rPr>
        <w:t xml:space="preserve"> Korea and Japan </w:t>
      </w:r>
      <w:r w:rsidR="008E0166" w:rsidRPr="008712F5">
        <w:rPr>
          <w:rFonts w:ascii="Times New Roman" w:hAnsi="Times New Roman" w:cs="Times New Roman"/>
          <w:sz w:val="24"/>
          <w:szCs w:val="24"/>
        </w:rPr>
        <w:t xml:space="preserve">are </w:t>
      </w:r>
      <w:r w:rsidR="00BC402C" w:rsidRPr="008712F5">
        <w:rPr>
          <w:rFonts w:ascii="Times New Roman" w:hAnsi="Times New Roman" w:cs="Times New Roman"/>
          <w:sz w:val="24"/>
          <w:szCs w:val="24"/>
        </w:rPr>
        <w:t xml:space="preserve">at the bottom, </w:t>
      </w:r>
      <w:r w:rsidR="008E0166" w:rsidRPr="008712F5">
        <w:rPr>
          <w:rFonts w:ascii="Times New Roman" w:hAnsi="Times New Roman" w:cs="Times New Roman"/>
          <w:sz w:val="24"/>
          <w:szCs w:val="24"/>
        </w:rPr>
        <w:t xml:space="preserve">while </w:t>
      </w:r>
      <w:r w:rsidR="00BC402C" w:rsidRPr="008712F5">
        <w:rPr>
          <w:rFonts w:ascii="Times New Roman" w:hAnsi="Times New Roman" w:cs="Times New Roman"/>
          <w:sz w:val="24"/>
          <w:szCs w:val="24"/>
        </w:rPr>
        <w:t xml:space="preserve">Malaysia, Hong Kong and Singapore more towards </w:t>
      </w:r>
      <w:r w:rsidR="008E0166" w:rsidRPr="008712F5">
        <w:rPr>
          <w:rFonts w:ascii="Times New Roman" w:hAnsi="Times New Roman" w:cs="Times New Roman"/>
          <w:sz w:val="24"/>
          <w:szCs w:val="24"/>
        </w:rPr>
        <w:t>higher end. Finally, for c</w:t>
      </w:r>
      <w:r w:rsidR="00BC402C" w:rsidRPr="008712F5">
        <w:rPr>
          <w:rFonts w:ascii="Times New Roman" w:hAnsi="Times New Roman" w:cs="Times New Roman"/>
          <w:sz w:val="24"/>
          <w:szCs w:val="24"/>
        </w:rPr>
        <w:t>ognitive activation</w:t>
      </w:r>
      <w:r w:rsidR="008E0166" w:rsidRPr="008712F5">
        <w:rPr>
          <w:rFonts w:ascii="Times New Roman" w:hAnsi="Times New Roman" w:cs="Times New Roman"/>
          <w:sz w:val="24"/>
          <w:szCs w:val="24"/>
        </w:rPr>
        <w:t>,</w:t>
      </w:r>
      <w:r w:rsidR="00BC402C" w:rsidRPr="008712F5">
        <w:rPr>
          <w:rFonts w:ascii="Times New Roman" w:hAnsi="Times New Roman" w:cs="Times New Roman"/>
          <w:sz w:val="24"/>
          <w:szCs w:val="24"/>
        </w:rPr>
        <w:t xml:space="preserve"> Singapore and Hong Kong</w:t>
      </w:r>
      <w:r w:rsidR="008E0166" w:rsidRPr="008712F5">
        <w:rPr>
          <w:rFonts w:ascii="Times New Roman" w:hAnsi="Times New Roman" w:cs="Times New Roman"/>
          <w:sz w:val="24"/>
          <w:szCs w:val="24"/>
        </w:rPr>
        <w:t xml:space="preserve"> are in the</w:t>
      </w:r>
      <w:r w:rsidR="00BC402C" w:rsidRPr="008712F5">
        <w:rPr>
          <w:rFonts w:ascii="Times New Roman" w:hAnsi="Times New Roman" w:cs="Times New Roman"/>
          <w:sz w:val="24"/>
          <w:szCs w:val="24"/>
        </w:rPr>
        <w:t xml:space="preserve"> top half, </w:t>
      </w:r>
      <w:r w:rsidR="008E0166" w:rsidRPr="008712F5">
        <w:rPr>
          <w:rFonts w:ascii="Times New Roman" w:hAnsi="Times New Roman" w:cs="Times New Roman"/>
          <w:sz w:val="24"/>
          <w:szCs w:val="24"/>
        </w:rPr>
        <w:t xml:space="preserve">while </w:t>
      </w:r>
      <w:r w:rsidR="00BC402C" w:rsidRPr="008712F5">
        <w:rPr>
          <w:rFonts w:ascii="Times New Roman" w:hAnsi="Times New Roman" w:cs="Times New Roman"/>
          <w:sz w:val="24"/>
          <w:szCs w:val="24"/>
        </w:rPr>
        <w:t>Malaysia and Korea</w:t>
      </w:r>
      <w:r w:rsidR="008E0166" w:rsidRPr="008712F5">
        <w:rPr>
          <w:rFonts w:ascii="Times New Roman" w:hAnsi="Times New Roman" w:cs="Times New Roman"/>
          <w:sz w:val="24"/>
          <w:szCs w:val="24"/>
        </w:rPr>
        <w:t xml:space="preserve"> are</w:t>
      </w:r>
      <w:r w:rsidR="00BC402C" w:rsidRPr="008712F5">
        <w:rPr>
          <w:rFonts w:ascii="Times New Roman" w:hAnsi="Times New Roman" w:cs="Times New Roman"/>
          <w:sz w:val="24"/>
          <w:szCs w:val="24"/>
        </w:rPr>
        <w:t xml:space="preserve"> towards the </w:t>
      </w:r>
      <w:r w:rsidR="008E0166" w:rsidRPr="008712F5">
        <w:rPr>
          <w:rFonts w:ascii="Times New Roman" w:hAnsi="Times New Roman" w:cs="Times New Roman"/>
          <w:sz w:val="24"/>
          <w:szCs w:val="24"/>
        </w:rPr>
        <w:t>lower end</w:t>
      </w:r>
      <w:r w:rsidR="00BC402C" w:rsidRPr="008712F5">
        <w:rPr>
          <w:rFonts w:ascii="Times New Roman" w:hAnsi="Times New Roman" w:cs="Times New Roman"/>
          <w:sz w:val="24"/>
          <w:szCs w:val="24"/>
        </w:rPr>
        <w:t>.</w:t>
      </w:r>
      <w:r w:rsidR="007C601D" w:rsidRPr="008712F5">
        <w:rPr>
          <w:rFonts w:ascii="Times New Roman" w:hAnsi="Times New Roman" w:cs="Times New Roman"/>
          <w:sz w:val="24"/>
          <w:szCs w:val="24"/>
        </w:rPr>
        <w:t xml:space="preserve"> </w:t>
      </w:r>
      <w:r w:rsidR="00577D92" w:rsidRPr="008712F5">
        <w:rPr>
          <w:rFonts w:ascii="Times New Roman" w:hAnsi="Times New Roman" w:cs="Times New Roman"/>
          <w:sz w:val="24"/>
          <w:szCs w:val="24"/>
        </w:rPr>
        <w:t xml:space="preserve">Echazarra et al. (2016) also looked at </w:t>
      </w:r>
      <w:r w:rsidR="00577D92" w:rsidRPr="008712F5">
        <w:rPr>
          <w:rFonts w:ascii="Times New Roman" w:hAnsi="Times New Roman" w:cs="Times New Roman"/>
          <w:sz w:val="24"/>
          <w:szCs w:val="24"/>
        </w:rPr>
        <w:lastRenderedPageBreak/>
        <w:t>memorisation practices reporting that their findings “</w:t>
      </w:r>
      <w:r w:rsidR="00BC402C" w:rsidRPr="008712F5">
        <w:rPr>
          <w:rFonts w:ascii="Times New Roman" w:hAnsi="Times New Roman" w:cs="Times New Roman"/>
          <w:sz w:val="24"/>
          <w:szCs w:val="24"/>
        </w:rPr>
        <w:t>challenges some deep-rooted beliefs about the over-reliance on rote learning and memorisation in East Asian countries, particularly those sharing a Confucian heritage</w:t>
      </w:r>
      <w:r w:rsidR="00577D92" w:rsidRPr="008712F5">
        <w:rPr>
          <w:rFonts w:ascii="Times New Roman" w:hAnsi="Times New Roman" w:cs="Times New Roman"/>
          <w:sz w:val="24"/>
          <w:szCs w:val="24"/>
        </w:rPr>
        <w:t>” (p. 75).</w:t>
      </w:r>
    </w:p>
    <w:p w14:paraId="3C34432A" w14:textId="77777777" w:rsidR="004D560C" w:rsidRPr="008712F5" w:rsidRDefault="004D560C" w:rsidP="00BC402C">
      <w:pPr>
        <w:spacing w:line="480" w:lineRule="auto"/>
        <w:rPr>
          <w:rFonts w:ascii="Times New Roman" w:hAnsi="Times New Roman" w:cs="Times New Roman"/>
          <w:sz w:val="24"/>
          <w:szCs w:val="24"/>
        </w:rPr>
      </w:pPr>
    </w:p>
    <w:p w14:paraId="1CC22B98" w14:textId="349E0BDD" w:rsidR="004D4DCF" w:rsidRPr="008712F5" w:rsidRDefault="0045515F" w:rsidP="00711321">
      <w:pPr>
        <w:pStyle w:val="Heading3"/>
      </w:pPr>
      <w:r w:rsidRPr="008712F5">
        <w:t xml:space="preserve">Views </w:t>
      </w:r>
      <w:r w:rsidR="00A13DC7" w:rsidRPr="008712F5">
        <w:t>on instructional practices in policy</w:t>
      </w:r>
      <w:r w:rsidRPr="008712F5">
        <w:t xml:space="preserve"> and media</w:t>
      </w:r>
    </w:p>
    <w:p w14:paraId="0860E54E" w14:textId="44FD3BCA" w:rsidR="00DA0E6D" w:rsidRPr="008712F5" w:rsidRDefault="004C1989" w:rsidP="008534B3">
      <w:pPr>
        <w:spacing w:line="480" w:lineRule="auto"/>
        <w:rPr>
          <w:rFonts w:ascii="Times New Roman" w:hAnsi="Times New Roman" w:cs="Times New Roman"/>
          <w:sz w:val="24"/>
          <w:szCs w:val="24"/>
        </w:rPr>
      </w:pPr>
      <w:r w:rsidRPr="008712F5">
        <w:rPr>
          <w:rFonts w:ascii="Times New Roman" w:hAnsi="Times New Roman" w:cs="Times New Roman"/>
          <w:sz w:val="24"/>
          <w:szCs w:val="24"/>
        </w:rPr>
        <w:t>Although we have already seen a tension between on the one hand a view that there are ‘cultural clusters’ and on the other hand</w:t>
      </w:r>
      <w:r w:rsidR="00EB62B7" w:rsidRPr="008712F5">
        <w:rPr>
          <w:rFonts w:ascii="Times New Roman" w:hAnsi="Times New Roman" w:cs="Times New Roman"/>
          <w:sz w:val="24"/>
          <w:szCs w:val="24"/>
        </w:rPr>
        <w:t xml:space="preserve"> instructional </w:t>
      </w:r>
      <w:r w:rsidR="008534B3" w:rsidRPr="008712F5">
        <w:rPr>
          <w:rFonts w:ascii="Times New Roman" w:hAnsi="Times New Roman" w:cs="Times New Roman"/>
          <w:sz w:val="24"/>
          <w:szCs w:val="24"/>
        </w:rPr>
        <w:t xml:space="preserve">practices </w:t>
      </w:r>
      <w:r w:rsidR="00787E7C" w:rsidRPr="008712F5">
        <w:rPr>
          <w:rFonts w:ascii="Times New Roman" w:hAnsi="Times New Roman" w:cs="Times New Roman"/>
          <w:sz w:val="24"/>
          <w:szCs w:val="24"/>
        </w:rPr>
        <w:t>are</w:t>
      </w:r>
      <w:r w:rsidR="008534B3" w:rsidRPr="008712F5">
        <w:rPr>
          <w:rFonts w:ascii="Times New Roman" w:hAnsi="Times New Roman" w:cs="Times New Roman"/>
          <w:sz w:val="24"/>
          <w:szCs w:val="24"/>
        </w:rPr>
        <w:t xml:space="preserve"> </w:t>
      </w:r>
      <w:r w:rsidR="00EB62B7" w:rsidRPr="008712F5">
        <w:rPr>
          <w:rFonts w:ascii="Times New Roman" w:hAnsi="Times New Roman" w:cs="Times New Roman"/>
          <w:sz w:val="24"/>
          <w:szCs w:val="24"/>
        </w:rPr>
        <w:t>multi-faceted</w:t>
      </w:r>
      <w:r w:rsidR="008534B3" w:rsidRPr="008712F5">
        <w:rPr>
          <w:rFonts w:ascii="Times New Roman" w:hAnsi="Times New Roman" w:cs="Times New Roman"/>
          <w:sz w:val="24"/>
          <w:szCs w:val="24"/>
        </w:rPr>
        <w:t xml:space="preserve"> and firmly set in a local context, </w:t>
      </w:r>
      <w:r w:rsidRPr="008712F5">
        <w:rPr>
          <w:rFonts w:ascii="Times New Roman" w:hAnsi="Times New Roman" w:cs="Times New Roman"/>
          <w:sz w:val="24"/>
          <w:szCs w:val="24"/>
        </w:rPr>
        <w:t>another factor in this debate is the fact that</w:t>
      </w:r>
      <w:r w:rsidR="008534B3" w:rsidRPr="008712F5">
        <w:rPr>
          <w:rFonts w:ascii="Times New Roman" w:hAnsi="Times New Roman" w:cs="Times New Roman"/>
          <w:sz w:val="24"/>
          <w:szCs w:val="24"/>
        </w:rPr>
        <w:t xml:space="preserve"> policies </w:t>
      </w:r>
      <w:r w:rsidR="0045515F" w:rsidRPr="008712F5">
        <w:rPr>
          <w:rFonts w:ascii="Times New Roman" w:hAnsi="Times New Roman" w:cs="Times New Roman"/>
          <w:sz w:val="24"/>
          <w:szCs w:val="24"/>
        </w:rPr>
        <w:t xml:space="preserve">and media </w:t>
      </w:r>
      <w:r w:rsidR="008534B3" w:rsidRPr="008712F5">
        <w:rPr>
          <w:rFonts w:ascii="Times New Roman" w:hAnsi="Times New Roman" w:cs="Times New Roman"/>
          <w:sz w:val="24"/>
          <w:szCs w:val="24"/>
        </w:rPr>
        <w:t xml:space="preserve">are still very much immersed in </w:t>
      </w:r>
      <w:r w:rsidRPr="008712F5">
        <w:rPr>
          <w:rFonts w:ascii="Times New Roman" w:hAnsi="Times New Roman" w:cs="Times New Roman"/>
          <w:sz w:val="24"/>
          <w:szCs w:val="24"/>
        </w:rPr>
        <w:t>caricatures of</w:t>
      </w:r>
      <w:r w:rsidR="008534B3" w:rsidRPr="008712F5">
        <w:rPr>
          <w:rFonts w:ascii="Times New Roman" w:hAnsi="Times New Roman" w:cs="Times New Roman"/>
          <w:sz w:val="24"/>
          <w:szCs w:val="24"/>
        </w:rPr>
        <w:t xml:space="preserve"> instructional practices</w:t>
      </w:r>
      <w:r w:rsidRPr="008712F5">
        <w:rPr>
          <w:rFonts w:ascii="Times New Roman" w:hAnsi="Times New Roman" w:cs="Times New Roman"/>
          <w:sz w:val="24"/>
          <w:szCs w:val="24"/>
        </w:rPr>
        <w:t xml:space="preserve"> in East Asia</w:t>
      </w:r>
      <w:r w:rsidR="008534B3" w:rsidRPr="008712F5">
        <w:rPr>
          <w:rFonts w:ascii="Times New Roman" w:hAnsi="Times New Roman" w:cs="Times New Roman"/>
          <w:sz w:val="24"/>
          <w:szCs w:val="24"/>
        </w:rPr>
        <w:t xml:space="preserve">. </w:t>
      </w:r>
      <w:r w:rsidR="003F69A8" w:rsidRPr="008712F5">
        <w:rPr>
          <w:rFonts w:ascii="Times New Roman" w:hAnsi="Times New Roman" w:cs="Times New Roman"/>
          <w:sz w:val="24"/>
          <w:szCs w:val="24"/>
        </w:rPr>
        <w:t xml:space="preserve">A recent policy example is the mention of Asia </w:t>
      </w:r>
      <w:r w:rsidR="005E3603" w:rsidRPr="008712F5">
        <w:rPr>
          <w:rFonts w:ascii="Times New Roman" w:hAnsi="Times New Roman" w:cs="Times New Roman"/>
          <w:sz w:val="24"/>
          <w:szCs w:val="24"/>
        </w:rPr>
        <w:t>in a research review by the inspectorate in England (Ofsted, 2021).</w:t>
      </w:r>
      <w:r w:rsidR="00A95C36" w:rsidRPr="008712F5">
        <w:rPr>
          <w:rFonts w:ascii="Times New Roman" w:hAnsi="Times New Roman" w:cs="Times New Roman"/>
          <w:sz w:val="24"/>
          <w:szCs w:val="24"/>
        </w:rPr>
        <w:t xml:space="preserve"> In discussing Asian practices, a mix of practices emerges. For example, Lim (2007) is cited several times</w:t>
      </w:r>
      <w:r w:rsidRPr="008712F5">
        <w:rPr>
          <w:rFonts w:ascii="Times New Roman" w:hAnsi="Times New Roman" w:cs="Times New Roman"/>
          <w:sz w:val="24"/>
          <w:szCs w:val="24"/>
        </w:rPr>
        <w:t xml:space="preserve"> in the review</w:t>
      </w:r>
      <w:r w:rsidR="00A95C36" w:rsidRPr="008712F5">
        <w:rPr>
          <w:rFonts w:ascii="Times New Roman" w:hAnsi="Times New Roman" w:cs="Times New Roman"/>
          <w:sz w:val="24"/>
          <w:szCs w:val="24"/>
        </w:rPr>
        <w:t xml:space="preserve">, who investigated characteristics of effective mathematics teaching in five Shanghai schools. She concluded that these classrooms </w:t>
      </w:r>
      <w:r w:rsidR="006A7B17" w:rsidRPr="008712F5">
        <w:rPr>
          <w:rFonts w:ascii="Times New Roman" w:hAnsi="Times New Roman" w:cs="Times New Roman"/>
          <w:sz w:val="24"/>
          <w:szCs w:val="24"/>
        </w:rPr>
        <w:t xml:space="preserve">showed </w:t>
      </w:r>
      <w:r w:rsidR="00A95C36" w:rsidRPr="008712F5">
        <w:rPr>
          <w:rFonts w:ascii="Times New Roman" w:hAnsi="Times New Roman" w:cs="Times New Roman"/>
          <w:sz w:val="24"/>
          <w:szCs w:val="24"/>
        </w:rPr>
        <w:t xml:space="preserve">teaching with variation, an emphasis on precise and elegant mathematical language, an emphasis of logical reasoning, mathematical thinking and proofing during teaching, order and serious classroom discipline, strong and coherence teacher-student rapport, and </w:t>
      </w:r>
      <w:r w:rsidR="006A7B17" w:rsidRPr="008712F5">
        <w:rPr>
          <w:rFonts w:ascii="Times New Roman" w:hAnsi="Times New Roman" w:cs="Times New Roman"/>
          <w:sz w:val="24"/>
          <w:szCs w:val="24"/>
        </w:rPr>
        <w:t xml:space="preserve">a </w:t>
      </w:r>
      <w:r w:rsidR="00A95C36" w:rsidRPr="008712F5">
        <w:rPr>
          <w:rFonts w:ascii="Times New Roman" w:hAnsi="Times New Roman" w:cs="Times New Roman"/>
          <w:sz w:val="24"/>
          <w:szCs w:val="24"/>
        </w:rPr>
        <w:t>strong collaborative culture amongst mathematics teachers.</w:t>
      </w:r>
      <w:r w:rsidR="006A7B17" w:rsidRPr="008712F5">
        <w:rPr>
          <w:rFonts w:ascii="Times New Roman" w:hAnsi="Times New Roman" w:cs="Times New Roman"/>
          <w:sz w:val="24"/>
          <w:szCs w:val="24"/>
        </w:rPr>
        <w:t xml:space="preserve"> The review also highlights Asian examples like the Mathematics Teacher Exchange with Shanghai (Boylan et al., 2018) and homework practices in Singapore. In newspapers, results from ILSA often </w:t>
      </w:r>
      <w:r w:rsidR="00BE7A17" w:rsidRPr="008712F5">
        <w:rPr>
          <w:rFonts w:ascii="Times New Roman" w:hAnsi="Times New Roman" w:cs="Times New Roman"/>
          <w:sz w:val="24"/>
          <w:szCs w:val="24"/>
        </w:rPr>
        <w:t xml:space="preserve">are </w:t>
      </w:r>
      <w:r w:rsidR="006A7B17" w:rsidRPr="008712F5">
        <w:rPr>
          <w:rFonts w:ascii="Times New Roman" w:hAnsi="Times New Roman" w:cs="Times New Roman"/>
          <w:sz w:val="24"/>
          <w:szCs w:val="24"/>
        </w:rPr>
        <w:t>set against those from the top performing countries, for example after the PISA 2018 results: “The global trend shows Asian school systems such as China and Singapore getting the best results” (</w:t>
      </w:r>
      <w:r w:rsidR="00AD508E" w:rsidRPr="008712F5">
        <w:rPr>
          <w:rFonts w:ascii="Times New Roman" w:hAnsi="Times New Roman" w:cs="Times New Roman"/>
          <w:sz w:val="24"/>
          <w:szCs w:val="24"/>
        </w:rPr>
        <w:t>Coughlan, 2019)</w:t>
      </w:r>
      <w:r w:rsidR="00A347BA" w:rsidRPr="008712F5">
        <w:rPr>
          <w:rFonts w:ascii="Times New Roman" w:hAnsi="Times New Roman" w:cs="Times New Roman"/>
          <w:sz w:val="24"/>
          <w:szCs w:val="24"/>
        </w:rPr>
        <w:t xml:space="preserve"> with associated speculation about the many factors that purportedly cause this effectiveness. The overarching view seems to be that we still need further insight in the instructional practices in East and West.</w:t>
      </w:r>
    </w:p>
    <w:p w14:paraId="18CF3E89" w14:textId="77777777" w:rsidR="0045515F" w:rsidRPr="008712F5" w:rsidRDefault="0045515F" w:rsidP="008534B3">
      <w:pPr>
        <w:spacing w:line="480" w:lineRule="auto"/>
        <w:rPr>
          <w:rFonts w:ascii="Times New Roman" w:hAnsi="Times New Roman" w:cs="Times New Roman"/>
          <w:sz w:val="24"/>
          <w:szCs w:val="24"/>
        </w:rPr>
      </w:pPr>
    </w:p>
    <w:p w14:paraId="341853CC" w14:textId="6EE8BB35" w:rsidR="007E26C9" w:rsidRPr="008712F5" w:rsidRDefault="0045515F" w:rsidP="0045515F">
      <w:pPr>
        <w:pStyle w:val="Heading3"/>
      </w:pPr>
      <w:r w:rsidRPr="008712F5">
        <w:lastRenderedPageBreak/>
        <w:t>The current study</w:t>
      </w:r>
    </w:p>
    <w:p w14:paraId="67739688" w14:textId="40B29170" w:rsidR="00DE77BF" w:rsidRPr="008712F5" w:rsidRDefault="00806A64" w:rsidP="00EA0248">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The current study, then, combines several </w:t>
      </w:r>
      <w:r w:rsidR="0023161D" w:rsidRPr="008712F5">
        <w:rPr>
          <w:rFonts w:ascii="Times New Roman" w:hAnsi="Times New Roman" w:cs="Times New Roman"/>
          <w:sz w:val="24"/>
          <w:szCs w:val="24"/>
        </w:rPr>
        <w:t>instructional</w:t>
      </w:r>
      <w:r w:rsidRPr="008712F5">
        <w:rPr>
          <w:rFonts w:ascii="Times New Roman" w:hAnsi="Times New Roman" w:cs="Times New Roman"/>
          <w:sz w:val="24"/>
          <w:szCs w:val="24"/>
        </w:rPr>
        <w:t xml:space="preserve"> elements regarding possible differences between East Asian countries and other countries. Firstly, it uses recent data from TIMSS 2019 to explore the issue. TIMSS is a dataset that is more tightly related to countries’ curriculum choices</w:t>
      </w:r>
      <w:r w:rsidR="00BA78BF" w:rsidRPr="008712F5">
        <w:rPr>
          <w:rFonts w:ascii="Times New Roman" w:hAnsi="Times New Roman" w:cs="Times New Roman"/>
          <w:sz w:val="24"/>
          <w:szCs w:val="24"/>
        </w:rPr>
        <w:t xml:space="preserve"> than for example PISA</w:t>
      </w:r>
      <w:r w:rsidRPr="008712F5">
        <w:rPr>
          <w:rFonts w:ascii="Times New Roman" w:hAnsi="Times New Roman" w:cs="Times New Roman"/>
          <w:sz w:val="24"/>
          <w:szCs w:val="24"/>
        </w:rPr>
        <w:t xml:space="preserve"> (</w:t>
      </w:r>
      <w:proofErr w:type="spellStart"/>
      <w:r w:rsidRPr="008712F5">
        <w:rPr>
          <w:rFonts w:ascii="Times New Roman" w:hAnsi="Times New Roman" w:cs="Times New Roman"/>
          <w:sz w:val="24"/>
          <w:szCs w:val="24"/>
        </w:rPr>
        <w:t>Rindermann</w:t>
      </w:r>
      <w:proofErr w:type="spellEnd"/>
      <w:r w:rsidRPr="008712F5">
        <w:rPr>
          <w:rFonts w:ascii="Times New Roman" w:hAnsi="Times New Roman" w:cs="Times New Roman"/>
          <w:sz w:val="24"/>
          <w:szCs w:val="24"/>
        </w:rPr>
        <w:t xml:space="preserve"> </w:t>
      </w:r>
      <w:r w:rsidR="00301E46" w:rsidRPr="008712F5">
        <w:rPr>
          <w:rFonts w:ascii="Times New Roman" w:hAnsi="Times New Roman" w:cs="Times New Roman"/>
          <w:sz w:val="24"/>
          <w:szCs w:val="24"/>
        </w:rPr>
        <w:t xml:space="preserve">&amp; Baumeister, 2015) and has data from secondary schools’ grade eight. Secondly, </w:t>
      </w:r>
      <w:r w:rsidR="00BA78BF" w:rsidRPr="008712F5">
        <w:rPr>
          <w:rFonts w:ascii="Times New Roman" w:hAnsi="Times New Roman" w:cs="Times New Roman"/>
          <w:sz w:val="24"/>
          <w:szCs w:val="24"/>
        </w:rPr>
        <w:t>TIMSS’ sampling of classrooms means that questionnaire results of mathematics teachers can be used</w:t>
      </w:r>
      <w:r w:rsidR="00676F8F" w:rsidRPr="008712F5">
        <w:rPr>
          <w:rFonts w:ascii="Times New Roman" w:hAnsi="Times New Roman" w:cs="Times New Roman"/>
          <w:sz w:val="24"/>
          <w:szCs w:val="24"/>
        </w:rPr>
        <w:t xml:space="preserve"> to combine different </w:t>
      </w:r>
      <w:r w:rsidR="009702E3" w:rsidRPr="008712F5">
        <w:rPr>
          <w:rFonts w:ascii="Times New Roman" w:hAnsi="Times New Roman" w:cs="Times New Roman"/>
          <w:sz w:val="24"/>
          <w:szCs w:val="24"/>
        </w:rPr>
        <w:t xml:space="preserve">instructional </w:t>
      </w:r>
      <w:r w:rsidR="00676F8F" w:rsidRPr="008712F5">
        <w:rPr>
          <w:rFonts w:ascii="Times New Roman" w:hAnsi="Times New Roman" w:cs="Times New Roman"/>
          <w:sz w:val="24"/>
          <w:szCs w:val="24"/>
        </w:rPr>
        <w:t xml:space="preserve">practices in coherent scales. </w:t>
      </w:r>
      <w:r w:rsidR="009702E3" w:rsidRPr="008712F5">
        <w:rPr>
          <w:rFonts w:ascii="Times New Roman" w:hAnsi="Times New Roman" w:cs="Times New Roman"/>
          <w:sz w:val="24"/>
          <w:szCs w:val="24"/>
        </w:rPr>
        <w:t>As we use TIMSS 2019 data</w:t>
      </w:r>
      <w:r w:rsidR="00641051" w:rsidRPr="008712F5">
        <w:rPr>
          <w:rFonts w:ascii="Times New Roman" w:hAnsi="Times New Roman" w:cs="Times New Roman"/>
          <w:sz w:val="24"/>
          <w:szCs w:val="24"/>
        </w:rPr>
        <w:t>,</w:t>
      </w:r>
      <w:r w:rsidR="009702E3" w:rsidRPr="008712F5">
        <w:rPr>
          <w:rFonts w:ascii="Times New Roman" w:hAnsi="Times New Roman" w:cs="Times New Roman"/>
          <w:sz w:val="24"/>
          <w:szCs w:val="24"/>
        </w:rPr>
        <w:t xml:space="preserve"> instructional practices are those practices that either teachers or students</w:t>
      </w:r>
      <w:r w:rsidR="00641051" w:rsidRPr="008712F5">
        <w:rPr>
          <w:rFonts w:ascii="Times New Roman" w:hAnsi="Times New Roman" w:cs="Times New Roman"/>
          <w:sz w:val="24"/>
          <w:szCs w:val="24"/>
        </w:rPr>
        <w:t xml:space="preserve"> do or are asked to do during a mathematics lesson in the classroom.</w:t>
      </w:r>
      <w:r w:rsidR="009702E3" w:rsidRPr="008712F5">
        <w:rPr>
          <w:rFonts w:ascii="Times New Roman" w:hAnsi="Times New Roman" w:cs="Times New Roman"/>
          <w:sz w:val="24"/>
          <w:szCs w:val="24"/>
        </w:rPr>
        <w:t xml:space="preserve"> </w:t>
      </w:r>
      <w:r w:rsidR="000B4F56" w:rsidRPr="008712F5">
        <w:rPr>
          <w:rFonts w:ascii="Times New Roman" w:hAnsi="Times New Roman" w:cs="Times New Roman"/>
          <w:sz w:val="24"/>
          <w:szCs w:val="24"/>
        </w:rPr>
        <w:t>Although the IEA has created a dedicated scale for ‘Teachers’ Emphasis on Science Investigation’ in the grade eight TIMSS 2019 dataset</w:t>
      </w:r>
      <w:r w:rsidR="001845E9" w:rsidRPr="008712F5">
        <w:rPr>
          <w:rFonts w:ascii="Times New Roman" w:hAnsi="Times New Roman" w:cs="Times New Roman"/>
          <w:sz w:val="24"/>
          <w:szCs w:val="24"/>
        </w:rPr>
        <w:t xml:space="preserve"> (Martin et al., 2020, p. 16.320)</w:t>
      </w:r>
      <w:r w:rsidR="000B4F56" w:rsidRPr="008712F5">
        <w:rPr>
          <w:rFonts w:ascii="Times New Roman" w:hAnsi="Times New Roman" w:cs="Times New Roman"/>
          <w:sz w:val="24"/>
          <w:szCs w:val="24"/>
        </w:rPr>
        <w:t xml:space="preserve">, there are no </w:t>
      </w:r>
      <w:r w:rsidR="00A347BA" w:rsidRPr="008712F5">
        <w:rPr>
          <w:rFonts w:ascii="Times New Roman" w:hAnsi="Times New Roman" w:cs="Times New Roman"/>
          <w:sz w:val="24"/>
          <w:szCs w:val="24"/>
        </w:rPr>
        <w:t xml:space="preserve">2019 </w:t>
      </w:r>
      <w:r w:rsidR="000B4F56" w:rsidRPr="008712F5">
        <w:rPr>
          <w:rFonts w:ascii="Times New Roman" w:hAnsi="Times New Roman" w:cs="Times New Roman"/>
          <w:sz w:val="24"/>
          <w:szCs w:val="24"/>
        </w:rPr>
        <w:t>scales for instructional practices in mathematics classrooms, despite question</w:t>
      </w:r>
      <w:r w:rsidR="00A347BA" w:rsidRPr="008712F5">
        <w:rPr>
          <w:rFonts w:ascii="Times New Roman" w:hAnsi="Times New Roman" w:cs="Times New Roman"/>
          <w:sz w:val="24"/>
          <w:szCs w:val="24"/>
        </w:rPr>
        <w:t xml:space="preserve">naire items </w:t>
      </w:r>
      <w:r w:rsidR="0017407E" w:rsidRPr="008712F5">
        <w:rPr>
          <w:rFonts w:ascii="Times New Roman" w:hAnsi="Times New Roman" w:cs="Times New Roman"/>
          <w:sz w:val="24"/>
          <w:szCs w:val="24"/>
        </w:rPr>
        <w:t xml:space="preserve">being </w:t>
      </w:r>
      <w:r w:rsidR="00A347BA" w:rsidRPr="008712F5">
        <w:rPr>
          <w:rFonts w:ascii="Times New Roman" w:hAnsi="Times New Roman" w:cs="Times New Roman"/>
          <w:sz w:val="24"/>
          <w:szCs w:val="24"/>
        </w:rPr>
        <w:t>available on</w:t>
      </w:r>
      <w:r w:rsidR="000B4F56" w:rsidRPr="008712F5">
        <w:rPr>
          <w:rFonts w:ascii="Times New Roman" w:hAnsi="Times New Roman" w:cs="Times New Roman"/>
          <w:sz w:val="24"/>
          <w:szCs w:val="24"/>
        </w:rPr>
        <w:t xml:space="preserve"> this. </w:t>
      </w:r>
      <w:r w:rsidR="00631C27" w:rsidRPr="008712F5">
        <w:rPr>
          <w:rFonts w:ascii="Times New Roman" w:hAnsi="Times New Roman" w:cs="Times New Roman"/>
          <w:sz w:val="24"/>
          <w:szCs w:val="24"/>
        </w:rPr>
        <w:t xml:space="preserve">Rather than base the composition of these scales on prior literature -we have already seen that there are many </w:t>
      </w:r>
      <w:r w:rsidR="00365F2A" w:rsidRPr="008712F5">
        <w:rPr>
          <w:rFonts w:ascii="Times New Roman" w:hAnsi="Times New Roman" w:cs="Times New Roman"/>
          <w:sz w:val="24"/>
          <w:szCs w:val="24"/>
        </w:rPr>
        <w:t>differing views on the essential instructional components of such scales</w:t>
      </w:r>
      <w:r w:rsidR="00631C27" w:rsidRPr="008712F5">
        <w:rPr>
          <w:rFonts w:ascii="Times New Roman" w:hAnsi="Times New Roman" w:cs="Times New Roman"/>
          <w:sz w:val="24"/>
          <w:szCs w:val="24"/>
        </w:rPr>
        <w:t>- scales will be created by performing an Exploratory Factor Analysis</w:t>
      </w:r>
      <w:r w:rsidR="00DB7D7F" w:rsidRPr="008712F5">
        <w:rPr>
          <w:rFonts w:ascii="Times New Roman" w:hAnsi="Times New Roman" w:cs="Times New Roman"/>
          <w:sz w:val="24"/>
          <w:szCs w:val="24"/>
        </w:rPr>
        <w:t xml:space="preserve"> (RQ1)</w:t>
      </w:r>
      <w:r w:rsidR="00631C27" w:rsidRPr="008712F5">
        <w:rPr>
          <w:rFonts w:ascii="Times New Roman" w:hAnsi="Times New Roman" w:cs="Times New Roman"/>
          <w:sz w:val="24"/>
          <w:szCs w:val="24"/>
        </w:rPr>
        <w:t>. We then use the scales as predictors of mathematics achievement in multilevel models we create for each country</w:t>
      </w:r>
      <w:r w:rsidR="00DB7D7F" w:rsidRPr="008712F5">
        <w:rPr>
          <w:rFonts w:ascii="Times New Roman" w:hAnsi="Times New Roman" w:cs="Times New Roman"/>
          <w:sz w:val="24"/>
          <w:szCs w:val="24"/>
        </w:rPr>
        <w:t xml:space="preserve"> (RQ2)</w:t>
      </w:r>
      <w:r w:rsidR="00631C27" w:rsidRPr="008712F5">
        <w:rPr>
          <w:rFonts w:ascii="Times New Roman" w:hAnsi="Times New Roman" w:cs="Times New Roman"/>
          <w:sz w:val="24"/>
          <w:szCs w:val="24"/>
        </w:rPr>
        <w:t>. Finally, we explore if there is a pattern in the predictive power of instructional practices with regard to ‘East’ and ‘West’</w:t>
      </w:r>
      <w:r w:rsidR="00DB7D7F" w:rsidRPr="008712F5">
        <w:rPr>
          <w:rFonts w:ascii="Times New Roman" w:hAnsi="Times New Roman" w:cs="Times New Roman"/>
          <w:sz w:val="24"/>
          <w:szCs w:val="24"/>
        </w:rPr>
        <w:t xml:space="preserve"> (RQ3)</w:t>
      </w:r>
      <w:r w:rsidR="00631C27" w:rsidRPr="008712F5">
        <w:rPr>
          <w:rFonts w:ascii="Times New Roman" w:hAnsi="Times New Roman" w:cs="Times New Roman"/>
          <w:sz w:val="24"/>
          <w:szCs w:val="24"/>
        </w:rPr>
        <w:t xml:space="preserve">.  </w:t>
      </w:r>
      <w:r w:rsidR="00DE77BF" w:rsidRPr="008712F5">
        <w:rPr>
          <w:rFonts w:ascii="Times New Roman" w:hAnsi="Times New Roman" w:cs="Times New Roman"/>
          <w:sz w:val="24"/>
          <w:szCs w:val="24"/>
        </w:rPr>
        <w:t>The question</w:t>
      </w:r>
      <w:r w:rsidR="00117EFE" w:rsidRPr="008712F5">
        <w:rPr>
          <w:rFonts w:ascii="Times New Roman" w:hAnsi="Times New Roman" w:cs="Times New Roman"/>
          <w:sz w:val="24"/>
          <w:szCs w:val="24"/>
        </w:rPr>
        <w:t>s</w:t>
      </w:r>
      <w:r w:rsidR="00DE77BF" w:rsidRPr="008712F5">
        <w:rPr>
          <w:rFonts w:ascii="Times New Roman" w:hAnsi="Times New Roman" w:cs="Times New Roman"/>
          <w:sz w:val="24"/>
          <w:szCs w:val="24"/>
        </w:rPr>
        <w:t xml:space="preserve"> we will address </w:t>
      </w:r>
      <w:r w:rsidR="00117EFE" w:rsidRPr="008712F5">
        <w:rPr>
          <w:rFonts w:ascii="Times New Roman" w:hAnsi="Times New Roman" w:cs="Times New Roman"/>
          <w:sz w:val="24"/>
          <w:szCs w:val="24"/>
        </w:rPr>
        <w:t>are:</w:t>
      </w:r>
    </w:p>
    <w:p w14:paraId="6F45F4B4" w14:textId="77777777" w:rsidR="00DB7D7F" w:rsidRPr="008712F5" w:rsidRDefault="00117EFE" w:rsidP="00DB7D7F">
      <w:pPr>
        <w:pStyle w:val="ListParagraph"/>
        <w:numPr>
          <w:ilvl w:val="0"/>
          <w:numId w:val="4"/>
        </w:numPr>
        <w:spacing w:line="480" w:lineRule="auto"/>
        <w:rPr>
          <w:rFonts w:ascii="Times New Roman" w:hAnsi="Times New Roman" w:cs="Times New Roman"/>
          <w:sz w:val="24"/>
          <w:szCs w:val="24"/>
        </w:rPr>
      </w:pPr>
      <w:r w:rsidRPr="008712F5">
        <w:rPr>
          <w:rFonts w:ascii="Times New Roman" w:hAnsi="Times New Roman" w:cs="Times New Roman"/>
          <w:sz w:val="24"/>
          <w:szCs w:val="24"/>
        </w:rPr>
        <w:t>What coherent scales for instructional practices can be created based on TIMSS 2019 grade eight data?</w:t>
      </w:r>
    </w:p>
    <w:p w14:paraId="60D12AB8" w14:textId="77777777" w:rsidR="00DB7D7F" w:rsidRPr="008712F5" w:rsidRDefault="00117EFE" w:rsidP="00DB7D7F">
      <w:pPr>
        <w:pStyle w:val="ListParagraph"/>
        <w:numPr>
          <w:ilvl w:val="0"/>
          <w:numId w:val="4"/>
        </w:numPr>
        <w:spacing w:line="480" w:lineRule="auto"/>
        <w:rPr>
          <w:rFonts w:ascii="Times New Roman" w:hAnsi="Times New Roman" w:cs="Times New Roman"/>
          <w:sz w:val="24"/>
          <w:szCs w:val="24"/>
        </w:rPr>
      </w:pPr>
      <w:r w:rsidRPr="008712F5">
        <w:rPr>
          <w:rFonts w:ascii="Times New Roman" w:hAnsi="Times New Roman" w:cs="Times New Roman"/>
          <w:sz w:val="24"/>
          <w:szCs w:val="24"/>
        </w:rPr>
        <w:t>To what extent do these scales for instructional practices predict mathematics achievement in the 46 jurisdictions of the TIMSS 2019 grade eight dataset?</w:t>
      </w:r>
    </w:p>
    <w:p w14:paraId="77420269" w14:textId="2D98FA90" w:rsidR="00117EFE" w:rsidRPr="008712F5" w:rsidRDefault="00117EFE" w:rsidP="00DB7D7F">
      <w:pPr>
        <w:pStyle w:val="ListParagraph"/>
        <w:numPr>
          <w:ilvl w:val="0"/>
          <w:numId w:val="4"/>
        </w:num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Are there consistent patterns in instructional practices in different areas of the world, with an emphasis on </w:t>
      </w:r>
      <w:r w:rsidR="00EB649C" w:rsidRPr="008712F5">
        <w:rPr>
          <w:rFonts w:ascii="Times New Roman" w:hAnsi="Times New Roman" w:cs="Times New Roman"/>
          <w:sz w:val="24"/>
          <w:szCs w:val="24"/>
        </w:rPr>
        <w:t>‘East Asia’?</w:t>
      </w:r>
    </w:p>
    <w:p w14:paraId="3663945B" w14:textId="77777777" w:rsidR="00C73853" w:rsidRPr="008712F5" w:rsidRDefault="00C73853" w:rsidP="00D1040A">
      <w:pPr>
        <w:spacing w:line="276" w:lineRule="auto"/>
        <w:rPr>
          <w:rFonts w:ascii="Times New Roman" w:hAnsi="Times New Roman" w:cs="Times New Roman"/>
        </w:rPr>
      </w:pPr>
    </w:p>
    <w:p w14:paraId="253F3AFB" w14:textId="7FEFDD1C" w:rsidR="00C73853" w:rsidRPr="008712F5" w:rsidRDefault="00C73853" w:rsidP="00FE3D40">
      <w:pPr>
        <w:pStyle w:val="Heading2"/>
      </w:pPr>
      <w:r w:rsidRPr="008712F5">
        <w:t>Methodology</w:t>
      </w:r>
    </w:p>
    <w:p w14:paraId="2EF64251" w14:textId="2A4BADD3" w:rsidR="008A363E" w:rsidRPr="008712F5" w:rsidRDefault="00397B7F" w:rsidP="00EA0248">
      <w:pPr>
        <w:pStyle w:val="ICMEHeading3"/>
        <w:spacing w:line="480" w:lineRule="auto"/>
        <w:rPr>
          <w:rFonts w:cs="Times New Roman"/>
          <w:b w:val="0"/>
          <w:szCs w:val="24"/>
          <w:lang w:val="en-US"/>
        </w:rPr>
      </w:pPr>
      <w:r w:rsidRPr="008712F5">
        <w:rPr>
          <w:rFonts w:cs="Times New Roman"/>
          <w:b w:val="0"/>
          <w:szCs w:val="24"/>
          <w:lang w:val="en-US"/>
        </w:rPr>
        <w:t xml:space="preserve">The Trends in Mathematics and Science Study </w:t>
      </w:r>
      <w:r w:rsidR="00915859" w:rsidRPr="008712F5">
        <w:rPr>
          <w:rFonts w:cs="Times New Roman"/>
          <w:b w:val="0"/>
          <w:szCs w:val="24"/>
          <w:lang w:val="en-US"/>
        </w:rPr>
        <w:t xml:space="preserve">(TIMSS) </w:t>
      </w:r>
      <w:r w:rsidRPr="008712F5">
        <w:rPr>
          <w:rFonts w:cs="Times New Roman"/>
          <w:b w:val="0"/>
          <w:szCs w:val="24"/>
          <w:lang w:val="en-US"/>
        </w:rPr>
        <w:t xml:space="preserve">in 2019 is the seventh assessment cycle of TIMSS, </w:t>
      </w:r>
      <w:r w:rsidR="00915859" w:rsidRPr="008712F5">
        <w:rPr>
          <w:rFonts w:cs="Times New Roman"/>
          <w:b w:val="0"/>
          <w:szCs w:val="24"/>
          <w:lang w:val="en-US"/>
        </w:rPr>
        <w:t>conducted by the International Association for the Evaluation of Educational Achievement (IEA)</w:t>
      </w:r>
      <w:r w:rsidR="008C6AF1" w:rsidRPr="008712F5">
        <w:rPr>
          <w:rStyle w:val="EndnoteReference"/>
          <w:rFonts w:cs="Times New Roman"/>
          <w:b w:val="0"/>
          <w:szCs w:val="24"/>
          <w:lang w:val="en-US"/>
        </w:rPr>
        <w:endnoteReference w:id="1"/>
      </w:r>
      <w:r w:rsidR="008C6AF1" w:rsidRPr="008712F5">
        <w:rPr>
          <w:rFonts w:cs="Times New Roman"/>
          <w:b w:val="0"/>
          <w:szCs w:val="24"/>
          <w:lang w:val="en-US"/>
        </w:rPr>
        <w:t>.</w:t>
      </w:r>
      <w:r w:rsidRPr="008712F5">
        <w:rPr>
          <w:rFonts w:cs="Times New Roman"/>
          <w:b w:val="0"/>
          <w:szCs w:val="24"/>
          <w:lang w:val="en-US"/>
        </w:rPr>
        <w:t xml:space="preserve"> TIMSS 2019 was conducted at the fourth and eighth grades in 64 countries and 8 benchmarking systems. </w:t>
      </w:r>
      <w:r w:rsidR="00595B9F" w:rsidRPr="008712F5">
        <w:rPr>
          <w:rFonts w:cs="Times New Roman"/>
          <w:b w:val="0"/>
          <w:szCs w:val="24"/>
          <w:lang w:val="en-US"/>
        </w:rPr>
        <w:t>TIMSS has been conducted since 1995</w:t>
      </w:r>
      <w:r w:rsidRPr="008712F5">
        <w:rPr>
          <w:rFonts w:cs="Times New Roman"/>
          <w:b w:val="0"/>
          <w:szCs w:val="24"/>
          <w:lang w:val="en-US"/>
        </w:rPr>
        <w:t xml:space="preserve">, </w:t>
      </w:r>
      <w:r w:rsidR="00595B9F" w:rsidRPr="008712F5">
        <w:rPr>
          <w:rFonts w:cs="Times New Roman"/>
          <w:b w:val="0"/>
          <w:szCs w:val="24"/>
          <w:lang w:val="en-US"/>
        </w:rPr>
        <w:t>with assessments conducted</w:t>
      </w:r>
      <w:r w:rsidRPr="008712F5">
        <w:rPr>
          <w:rFonts w:cs="Times New Roman"/>
          <w:b w:val="0"/>
          <w:szCs w:val="24"/>
          <w:lang w:val="en-US"/>
        </w:rPr>
        <w:t xml:space="preserve"> every four years.</w:t>
      </w:r>
      <w:r w:rsidR="00595B9F" w:rsidRPr="008712F5">
        <w:rPr>
          <w:rFonts w:cs="Times New Roman"/>
          <w:b w:val="0"/>
          <w:szCs w:val="24"/>
          <w:lang w:val="en-US"/>
        </w:rPr>
        <w:t xml:space="preserve"> As part of their study, TIMSS collects mathematics achievement data, and also contextual questionnaires from students, principals of schools, and mathematics teachers. </w:t>
      </w:r>
      <w:r w:rsidR="00846834" w:rsidRPr="008712F5">
        <w:rPr>
          <w:rFonts w:cs="Times New Roman"/>
          <w:b w:val="0"/>
          <w:szCs w:val="24"/>
          <w:lang w:val="en-US"/>
        </w:rPr>
        <w:t>In this analysis</w:t>
      </w:r>
      <w:r w:rsidR="003513B0" w:rsidRPr="008712F5">
        <w:rPr>
          <w:rFonts w:cs="Times New Roman"/>
          <w:b w:val="0"/>
          <w:szCs w:val="24"/>
          <w:lang w:val="en-US"/>
        </w:rPr>
        <w:t>,</w:t>
      </w:r>
      <w:r w:rsidR="00846834" w:rsidRPr="008712F5">
        <w:rPr>
          <w:rFonts w:cs="Times New Roman"/>
          <w:b w:val="0"/>
          <w:szCs w:val="24"/>
          <w:lang w:val="en-US"/>
        </w:rPr>
        <w:t xml:space="preserve"> data from the grade eight </w:t>
      </w:r>
      <w:r w:rsidR="00365F2A" w:rsidRPr="008712F5">
        <w:rPr>
          <w:rFonts w:cs="Times New Roman"/>
          <w:b w:val="0"/>
          <w:szCs w:val="24"/>
          <w:lang w:val="en-US"/>
        </w:rPr>
        <w:t xml:space="preserve">international database of the </w:t>
      </w:r>
      <w:r w:rsidR="00846834" w:rsidRPr="008712F5">
        <w:rPr>
          <w:rFonts w:cs="Times New Roman"/>
          <w:b w:val="0"/>
          <w:szCs w:val="24"/>
          <w:lang w:val="en-US"/>
        </w:rPr>
        <w:t>TIMSS 2019 cycle for</w:t>
      </w:r>
      <w:r w:rsidR="00555EBC" w:rsidRPr="008712F5">
        <w:rPr>
          <w:rFonts w:cs="Times New Roman"/>
          <w:b w:val="0"/>
          <w:szCs w:val="24"/>
          <w:lang w:val="en-US"/>
        </w:rPr>
        <w:t xml:space="preserve"> 46 jurisdictions </w:t>
      </w:r>
      <w:r w:rsidR="00846834" w:rsidRPr="008712F5">
        <w:rPr>
          <w:rFonts w:cs="Times New Roman"/>
          <w:b w:val="0"/>
          <w:szCs w:val="24"/>
          <w:lang w:val="en-US"/>
        </w:rPr>
        <w:t>are used</w:t>
      </w:r>
      <w:r w:rsidR="00DB0FE6" w:rsidRPr="008712F5">
        <w:rPr>
          <w:rFonts w:cs="Times New Roman"/>
          <w:b w:val="0"/>
          <w:szCs w:val="24"/>
          <w:lang w:val="en-US"/>
        </w:rPr>
        <w:t xml:space="preserve"> </w:t>
      </w:r>
      <w:r w:rsidR="00365F2A" w:rsidRPr="008712F5">
        <w:rPr>
          <w:rFonts w:cs="Times New Roman"/>
          <w:b w:val="0"/>
          <w:szCs w:val="24"/>
          <w:lang w:val="en-US"/>
        </w:rPr>
        <w:t xml:space="preserve">by </w:t>
      </w:r>
      <w:r w:rsidR="00DB0FE6" w:rsidRPr="008712F5">
        <w:rPr>
          <w:rFonts w:cs="Times New Roman"/>
          <w:b w:val="0"/>
          <w:szCs w:val="24"/>
          <w:lang w:val="en-US"/>
        </w:rPr>
        <w:t>combining data from students and mathematics teachers</w:t>
      </w:r>
      <w:r w:rsidR="00365F2A" w:rsidRPr="008712F5">
        <w:rPr>
          <w:rFonts w:cs="Times New Roman"/>
          <w:b w:val="0"/>
          <w:szCs w:val="24"/>
          <w:lang w:val="en-US"/>
        </w:rPr>
        <w:t xml:space="preserve"> (Fishbein et al., 2021)</w:t>
      </w:r>
      <w:r w:rsidR="00846834" w:rsidRPr="008712F5">
        <w:rPr>
          <w:rFonts w:cs="Times New Roman"/>
          <w:b w:val="0"/>
          <w:szCs w:val="24"/>
          <w:lang w:val="en-US"/>
        </w:rPr>
        <w:t>.</w:t>
      </w:r>
      <w:r w:rsidR="003513B0" w:rsidRPr="008712F5">
        <w:rPr>
          <w:rFonts w:cs="Times New Roman"/>
          <w:b w:val="0"/>
          <w:szCs w:val="24"/>
          <w:lang w:val="en-US"/>
        </w:rPr>
        <w:t xml:space="preserve"> TIMSS 2019 uses a two-stage sampling approach, first by sampling schools and then within the school selecting one (or more) intact class from the target grade of each participating school</w:t>
      </w:r>
      <w:r w:rsidR="003513B0" w:rsidRPr="008712F5">
        <w:rPr>
          <w:rStyle w:val="EndnoteReference"/>
          <w:rFonts w:cs="Times New Roman"/>
          <w:b w:val="0"/>
          <w:szCs w:val="24"/>
          <w:lang w:val="en-US"/>
        </w:rPr>
        <w:endnoteReference w:id="2"/>
      </w:r>
      <w:r w:rsidR="003513B0" w:rsidRPr="008712F5">
        <w:rPr>
          <w:rFonts w:cs="Times New Roman"/>
          <w:b w:val="0"/>
          <w:szCs w:val="24"/>
          <w:lang w:val="en-US"/>
        </w:rPr>
        <w:t>.</w:t>
      </w:r>
      <w:r w:rsidR="00BA78BF" w:rsidRPr="008712F5">
        <w:rPr>
          <w:rFonts w:cs="Times New Roman"/>
          <w:b w:val="0"/>
          <w:szCs w:val="24"/>
          <w:lang w:val="en-US"/>
        </w:rPr>
        <w:t xml:space="preserve"> </w:t>
      </w:r>
    </w:p>
    <w:p w14:paraId="7D49A618" w14:textId="77777777" w:rsidR="00BC1175" w:rsidRPr="008712F5" w:rsidRDefault="00BC1175" w:rsidP="00BC1175">
      <w:pPr>
        <w:pStyle w:val="Heading3"/>
      </w:pPr>
      <w:r w:rsidRPr="008712F5">
        <w:t>Analytical approach</w:t>
      </w:r>
    </w:p>
    <w:p w14:paraId="31AB679A" w14:textId="01D6994D" w:rsidR="00EB54B0" w:rsidRPr="008712F5" w:rsidRDefault="007A61BC" w:rsidP="00C0626E">
      <w:pPr>
        <w:spacing w:line="480" w:lineRule="auto"/>
        <w:rPr>
          <w:rFonts w:ascii="Times New Roman" w:eastAsia="Times New Roman" w:hAnsi="Times New Roman" w:cs="Times New Roman"/>
          <w:sz w:val="24"/>
          <w:szCs w:val="24"/>
        </w:rPr>
      </w:pPr>
      <w:r w:rsidRPr="008712F5">
        <w:rPr>
          <w:rFonts w:ascii="Times New Roman" w:hAnsi="Times New Roman" w:cs="Times New Roman"/>
          <w:sz w:val="24"/>
          <w:szCs w:val="24"/>
        </w:rPr>
        <w:t>To answer the first research question an Exploratory Factor Analysis of the teacher-reported data</w:t>
      </w:r>
      <w:r w:rsidR="00176551" w:rsidRPr="008712F5">
        <w:rPr>
          <w:rFonts w:ascii="Times New Roman" w:hAnsi="Times New Roman" w:cs="Times New Roman"/>
          <w:sz w:val="24"/>
          <w:szCs w:val="24"/>
        </w:rPr>
        <w:t xml:space="preserve"> is conducted</w:t>
      </w:r>
      <w:r w:rsidRPr="008712F5">
        <w:rPr>
          <w:rFonts w:ascii="Times New Roman" w:hAnsi="Times New Roman" w:cs="Times New Roman"/>
          <w:sz w:val="24"/>
          <w:szCs w:val="24"/>
        </w:rPr>
        <w:t xml:space="preserve">, which is reported in the section on instructional scales. </w:t>
      </w:r>
      <w:r w:rsidR="0031764C" w:rsidRPr="008712F5">
        <w:rPr>
          <w:rFonts w:ascii="Times New Roman" w:hAnsi="Times New Roman" w:cs="Times New Roman"/>
          <w:sz w:val="24"/>
          <w:szCs w:val="24"/>
        </w:rPr>
        <w:t xml:space="preserve">To answer </w:t>
      </w:r>
      <w:r w:rsidRPr="008712F5">
        <w:rPr>
          <w:rFonts w:ascii="Times New Roman" w:hAnsi="Times New Roman" w:cs="Times New Roman"/>
          <w:sz w:val="24"/>
          <w:szCs w:val="24"/>
        </w:rPr>
        <w:t>the</w:t>
      </w:r>
      <w:r w:rsidR="0031764C" w:rsidRPr="008712F5">
        <w:rPr>
          <w:rFonts w:ascii="Times New Roman" w:hAnsi="Times New Roman" w:cs="Times New Roman"/>
          <w:sz w:val="24"/>
          <w:szCs w:val="24"/>
        </w:rPr>
        <w:t xml:space="preserve"> </w:t>
      </w:r>
      <w:r w:rsidRPr="008712F5">
        <w:rPr>
          <w:rFonts w:ascii="Times New Roman" w:hAnsi="Times New Roman" w:cs="Times New Roman"/>
          <w:sz w:val="24"/>
          <w:szCs w:val="24"/>
        </w:rPr>
        <w:t xml:space="preserve">second </w:t>
      </w:r>
      <w:r w:rsidR="0031764C" w:rsidRPr="008712F5">
        <w:rPr>
          <w:rFonts w:ascii="Times New Roman" w:hAnsi="Times New Roman" w:cs="Times New Roman"/>
          <w:sz w:val="24"/>
          <w:szCs w:val="24"/>
        </w:rPr>
        <w:t xml:space="preserve">research question, multilevel models </w:t>
      </w:r>
      <w:r w:rsidR="00F220A6" w:rsidRPr="008712F5">
        <w:rPr>
          <w:rFonts w:ascii="Times New Roman" w:hAnsi="Times New Roman" w:cs="Times New Roman"/>
          <w:sz w:val="24"/>
          <w:szCs w:val="24"/>
        </w:rPr>
        <w:t xml:space="preserve">over single level models </w:t>
      </w:r>
      <w:r w:rsidR="0031764C" w:rsidRPr="008712F5">
        <w:rPr>
          <w:rFonts w:ascii="Times New Roman" w:hAnsi="Times New Roman" w:cs="Times New Roman"/>
          <w:sz w:val="24"/>
          <w:szCs w:val="24"/>
        </w:rPr>
        <w:t>per country</w:t>
      </w:r>
      <w:r w:rsidR="00176551" w:rsidRPr="008712F5">
        <w:rPr>
          <w:rFonts w:ascii="Times New Roman" w:hAnsi="Times New Roman" w:cs="Times New Roman"/>
          <w:sz w:val="24"/>
          <w:szCs w:val="24"/>
        </w:rPr>
        <w:t xml:space="preserve"> are constructed</w:t>
      </w:r>
      <w:r w:rsidR="0031764C" w:rsidRPr="008712F5">
        <w:rPr>
          <w:rFonts w:ascii="Times New Roman" w:hAnsi="Times New Roman" w:cs="Times New Roman"/>
          <w:sz w:val="24"/>
          <w:szCs w:val="24"/>
        </w:rPr>
        <w:t xml:space="preserve">, </w:t>
      </w:r>
      <w:r w:rsidR="00F220A6" w:rsidRPr="008712F5">
        <w:rPr>
          <w:rFonts w:ascii="Times New Roman" w:hAnsi="Times New Roman" w:cs="Times New Roman"/>
          <w:sz w:val="24"/>
          <w:szCs w:val="24"/>
        </w:rPr>
        <w:t xml:space="preserve">because data are clustered as </w:t>
      </w:r>
      <w:r w:rsidR="0031764C" w:rsidRPr="008712F5">
        <w:rPr>
          <w:rFonts w:ascii="Times New Roman" w:hAnsi="Times New Roman" w:cs="Times New Roman"/>
          <w:sz w:val="24"/>
          <w:szCs w:val="24"/>
        </w:rPr>
        <w:t>students nested in teachers/classrooms</w:t>
      </w:r>
      <w:r w:rsidR="00F220A6" w:rsidRPr="008712F5">
        <w:rPr>
          <w:rFonts w:ascii="Times New Roman" w:hAnsi="Times New Roman" w:cs="Times New Roman"/>
          <w:sz w:val="24"/>
          <w:szCs w:val="24"/>
        </w:rPr>
        <w:t xml:space="preserve"> (Stapleton et al., 2016)</w:t>
      </w:r>
      <w:r w:rsidR="00C0626E" w:rsidRPr="008712F5">
        <w:rPr>
          <w:rFonts w:ascii="Times New Roman" w:hAnsi="Times New Roman" w:cs="Times New Roman"/>
          <w:sz w:val="24"/>
          <w:szCs w:val="24"/>
        </w:rPr>
        <w:t>.</w:t>
      </w:r>
      <w:r w:rsidR="0031764C" w:rsidRPr="008712F5">
        <w:rPr>
          <w:rFonts w:ascii="Times New Roman" w:hAnsi="Times New Roman" w:cs="Times New Roman"/>
          <w:sz w:val="24"/>
          <w:szCs w:val="24"/>
        </w:rPr>
        <w:t xml:space="preserve"> </w:t>
      </w:r>
      <w:r w:rsidRPr="008712F5">
        <w:rPr>
          <w:rFonts w:ascii="Times New Roman" w:hAnsi="Times New Roman" w:cs="Times New Roman"/>
          <w:sz w:val="24"/>
          <w:szCs w:val="24"/>
        </w:rPr>
        <w:t xml:space="preserve">The third research question is answered by observing the patterns in the descriptive statistics and results of our multilevel models. </w:t>
      </w:r>
      <w:r w:rsidR="0031764C" w:rsidRPr="008712F5">
        <w:rPr>
          <w:rFonts w:ascii="Times New Roman" w:hAnsi="Times New Roman" w:cs="Times New Roman"/>
          <w:sz w:val="24"/>
          <w:szCs w:val="24"/>
        </w:rPr>
        <w:t>Through multilevel modelling, an adaptation of the general linear model for hierarchical datasets, we can explore the impact of student and teacher characteristics upon students’ achievement</w:t>
      </w:r>
      <w:r w:rsidR="00C0626E" w:rsidRPr="008712F5">
        <w:rPr>
          <w:rFonts w:ascii="Times New Roman" w:hAnsi="Times New Roman" w:cs="Times New Roman"/>
          <w:sz w:val="24"/>
          <w:szCs w:val="24"/>
        </w:rPr>
        <w:t xml:space="preserve"> (</w:t>
      </w:r>
      <w:proofErr w:type="spellStart"/>
      <w:r w:rsidR="00C0626E" w:rsidRPr="008712F5">
        <w:rPr>
          <w:rFonts w:ascii="Times New Roman" w:hAnsi="Times New Roman" w:cs="Times New Roman"/>
          <w:sz w:val="24"/>
          <w:szCs w:val="24"/>
        </w:rPr>
        <w:t>Snijders</w:t>
      </w:r>
      <w:proofErr w:type="spellEnd"/>
      <w:r w:rsidR="00C0626E" w:rsidRPr="008712F5">
        <w:rPr>
          <w:rFonts w:ascii="Times New Roman" w:hAnsi="Times New Roman" w:cs="Times New Roman"/>
          <w:sz w:val="24"/>
          <w:szCs w:val="24"/>
        </w:rPr>
        <w:t xml:space="preserve"> &amp; Bosker, 2012)</w:t>
      </w:r>
      <w:r w:rsidR="0031764C" w:rsidRPr="008712F5">
        <w:rPr>
          <w:rFonts w:ascii="Times New Roman" w:hAnsi="Times New Roman" w:cs="Times New Roman"/>
          <w:sz w:val="24"/>
          <w:szCs w:val="24"/>
        </w:rPr>
        <w:t>.</w:t>
      </w:r>
      <w:r w:rsidR="000758DD" w:rsidRPr="008712F5">
        <w:rPr>
          <w:rFonts w:ascii="Times New Roman" w:hAnsi="Times New Roman" w:cs="Times New Roman"/>
          <w:sz w:val="24"/>
          <w:szCs w:val="24"/>
        </w:rPr>
        <w:t xml:space="preserve"> We use the package </w:t>
      </w:r>
      <w:proofErr w:type="spellStart"/>
      <w:r w:rsidR="000758DD" w:rsidRPr="008712F5">
        <w:rPr>
          <w:rFonts w:ascii="Times New Roman" w:hAnsi="Times New Roman" w:cs="Times New Roman"/>
          <w:sz w:val="24"/>
          <w:szCs w:val="24"/>
        </w:rPr>
        <w:t>BIFIEsurvey</w:t>
      </w:r>
      <w:proofErr w:type="spellEnd"/>
      <w:r w:rsidR="000758DD" w:rsidRPr="008712F5">
        <w:rPr>
          <w:rFonts w:ascii="Times New Roman" w:hAnsi="Times New Roman" w:cs="Times New Roman"/>
          <w:sz w:val="24"/>
          <w:szCs w:val="24"/>
        </w:rPr>
        <w:t xml:space="preserve"> (</w:t>
      </w:r>
      <w:proofErr w:type="spellStart"/>
      <w:r w:rsidR="000758DD" w:rsidRPr="008712F5">
        <w:rPr>
          <w:rFonts w:ascii="Times New Roman" w:hAnsi="Times New Roman" w:cs="Times New Roman"/>
          <w:sz w:val="24"/>
          <w:szCs w:val="24"/>
        </w:rPr>
        <w:t>Robitzsch</w:t>
      </w:r>
      <w:proofErr w:type="spellEnd"/>
      <w:r w:rsidR="000758DD" w:rsidRPr="008712F5">
        <w:rPr>
          <w:rFonts w:ascii="Times New Roman" w:hAnsi="Times New Roman" w:cs="Times New Roman"/>
          <w:sz w:val="24"/>
          <w:szCs w:val="24"/>
        </w:rPr>
        <w:t xml:space="preserve"> &amp; </w:t>
      </w:r>
      <w:proofErr w:type="spellStart"/>
      <w:r w:rsidR="000758DD" w:rsidRPr="008712F5">
        <w:rPr>
          <w:rFonts w:ascii="Times New Roman" w:hAnsi="Times New Roman" w:cs="Times New Roman"/>
          <w:sz w:val="24"/>
          <w:szCs w:val="24"/>
        </w:rPr>
        <w:t>Oberwimmer</w:t>
      </w:r>
      <w:proofErr w:type="spellEnd"/>
      <w:r w:rsidR="000758DD" w:rsidRPr="008712F5">
        <w:rPr>
          <w:rFonts w:ascii="Times New Roman" w:hAnsi="Times New Roman" w:cs="Times New Roman"/>
          <w:sz w:val="24"/>
          <w:szCs w:val="24"/>
        </w:rPr>
        <w:t>, 2022)</w:t>
      </w:r>
      <w:r w:rsidR="003D5125" w:rsidRPr="008712F5">
        <w:rPr>
          <w:rFonts w:ascii="Times New Roman" w:hAnsi="Times New Roman" w:cs="Times New Roman"/>
          <w:sz w:val="24"/>
          <w:szCs w:val="24"/>
        </w:rPr>
        <w:t>,</w:t>
      </w:r>
      <w:r w:rsidR="000758DD" w:rsidRPr="008712F5">
        <w:rPr>
          <w:rFonts w:ascii="Times New Roman" w:hAnsi="Times New Roman" w:cs="Times New Roman"/>
          <w:sz w:val="24"/>
          <w:szCs w:val="24"/>
        </w:rPr>
        <w:t xml:space="preserve"> </w:t>
      </w:r>
      <w:r w:rsidR="003D5125" w:rsidRPr="008712F5">
        <w:rPr>
          <w:rFonts w:ascii="Times New Roman" w:hAnsi="Times New Roman" w:cs="Times New Roman"/>
          <w:sz w:val="24"/>
          <w:szCs w:val="24"/>
        </w:rPr>
        <w:t xml:space="preserve">within the statistical packages R and </w:t>
      </w:r>
      <w:proofErr w:type="spellStart"/>
      <w:r w:rsidR="003D5125" w:rsidRPr="008712F5">
        <w:rPr>
          <w:rFonts w:ascii="Times New Roman" w:hAnsi="Times New Roman" w:cs="Times New Roman"/>
          <w:sz w:val="24"/>
          <w:szCs w:val="24"/>
        </w:rPr>
        <w:t>Rstudio</w:t>
      </w:r>
      <w:proofErr w:type="spellEnd"/>
      <w:r w:rsidR="003D5125" w:rsidRPr="008712F5">
        <w:rPr>
          <w:rFonts w:ascii="Times New Roman" w:hAnsi="Times New Roman" w:cs="Times New Roman"/>
          <w:sz w:val="24"/>
          <w:szCs w:val="24"/>
        </w:rPr>
        <w:t xml:space="preserve"> (</w:t>
      </w:r>
      <w:r w:rsidR="0037372A" w:rsidRPr="008712F5">
        <w:rPr>
          <w:rFonts w:ascii="Times New Roman" w:hAnsi="Times New Roman" w:cs="Times New Roman"/>
          <w:sz w:val="24"/>
          <w:szCs w:val="24"/>
        </w:rPr>
        <w:t xml:space="preserve">R Core Team, 2021; </w:t>
      </w:r>
      <w:r w:rsidR="003D5125" w:rsidRPr="008712F5">
        <w:rPr>
          <w:rFonts w:ascii="Times New Roman" w:hAnsi="Times New Roman" w:cs="Times New Roman"/>
          <w:sz w:val="24"/>
          <w:szCs w:val="24"/>
        </w:rPr>
        <w:t>RStudio Team, 202</w:t>
      </w:r>
      <w:r w:rsidR="0037372A" w:rsidRPr="008712F5">
        <w:rPr>
          <w:rFonts w:ascii="Times New Roman" w:hAnsi="Times New Roman" w:cs="Times New Roman"/>
          <w:sz w:val="24"/>
          <w:szCs w:val="24"/>
        </w:rPr>
        <w:t>1)</w:t>
      </w:r>
      <w:r w:rsidR="003D5125" w:rsidRPr="008712F5">
        <w:rPr>
          <w:rFonts w:ascii="Times New Roman" w:hAnsi="Times New Roman" w:cs="Times New Roman"/>
          <w:sz w:val="24"/>
          <w:szCs w:val="24"/>
        </w:rPr>
        <w:t xml:space="preserve">, </w:t>
      </w:r>
      <w:r w:rsidR="000758DD" w:rsidRPr="008712F5">
        <w:rPr>
          <w:rFonts w:ascii="Times New Roman" w:hAnsi="Times New Roman" w:cs="Times New Roman"/>
          <w:sz w:val="24"/>
          <w:szCs w:val="24"/>
        </w:rPr>
        <w:t>which enables us to compute hierarchical two level model with random intercepts and random slopes. Full maximum likelihood estimation is conducted by means of an EM algorithm (</w:t>
      </w:r>
      <w:proofErr w:type="spellStart"/>
      <w:r w:rsidR="000758DD" w:rsidRPr="008712F5">
        <w:rPr>
          <w:rFonts w:ascii="Times New Roman" w:hAnsi="Times New Roman" w:cs="Times New Roman"/>
          <w:sz w:val="24"/>
          <w:szCs w:val="24"/>
        </w:rPr>
        <w:t>Raudenbush</w:t>
      </w:r>
      <w:proofErr w:type="spellEnd"/>
      <w:r w:rsidR="000758DD" w:rsidRPr="008712F5">
        <w:rPr>
          <w:rFonts w:ascii="Times New Roman" w:hAnsi="Times New Roman" w:cs="Times New Roman"/>
          <w:sz w:val="24"/>
          <w:szCs w:val="24"/>
        </w:rPr>
        <w:t xml:space="preserve"> &amp; </w:t>
      </w:r>
      <w:r w:rsidR="000758DD" w:rsidRPr="008712F5">
        <w:rPr>
          <w:rFonts w:ascii="Times New Roman" w:hAnsi="Times New Roman" w:cs="Times New Roman"/>
          <w:sz w:val="24"/>
          <w:szCs w:val="24"/>
        </w:rPr>
        <w:lastRenderedPageBreak/>
        <w:t>Bryk, 2002).</w:t>
      </w:r>
      <w:r w:rsidR="0031764C" w:rsidRPr="008712F5">
        <w:rPr>
          <w:rFonts w:ascii="Times New Roman" w:hAnsi="Times New Roman" w:cs="Times New Roman"/>
          <w:sz w:val="24"/>
          <w:szCs w:val="24"/>
        </w:rPr>
        <w:t xml:space="preserve"> </w:t>
      </w:r>
      <w:r w:rsidR="00C0626E" w:rsidRPr="008712F5">
        <w:rPr>
          <w:rFonts w:ascii="Times New Roman" w:hAnsi="Times New Roman" w:cs="Times New Roman"/>
          <w:sz w:val="24"/>
          <w:szCs w:val="24"/>
        </w:rPr>
        <w:t xml:space="preserve">In our approach the </w:t>
      </w:r>
      <w:r w:rsidR="00C93E17" w:rsidRPr="008712F5">
        <w:rPr>
          <w:rFonts w:ascii="Times New Roman" w:hAnsi="Times New Roman" w:cs="Times New Roman"/>
          <w:sz w:val="24"/>
          <w:szCs w:val="24"/>
        </w:rPr>
        <w:t xml:space="preserve">complex sampling design of TIMSS 2019 </w:t>
      </w:r>
      <w:r w:rsidR="00C0626E" w:rsidRPr="008712F5">
        <w:rPr>
          <w:rFonts w:ascii="Times New Roman" w:hAnsi="Times New Roman" w:cs="Times New Roman"/>
          <w:sz w:val="24"/>
          <w:szCs w:val="24"/>
        </w:rPr>
        <w:t>data</w:t>
      </w:r>
      <w:r w:rsidR="00C93E17" w:rsidRPr="008712F5">
        <w:rPr>
          <w:rFonts w:ascii="Times New Roman" w:hAnsi="Times New Roman" w:cs="Times New Roman"/>
          <w:sz w:val="24"/>
          <w:szCs w:val="24"/>
        </w:rPr>
        <w:t xml:space="preserve"> </w:t>
      </w:r>
      <w:r w:rsidR="00EF601F" w:rsidRPr="008712F5">
        <w:rPr>
          <w:rFonts w:ascii="Times New Roman" w:hAnsi="Times New Roman" w:cs="Times New Roman"/>
          <w:sz w:val="24"/>
          <w:szCs w:val="24"/>
        </w:rPr>
        <w:t xml:space="preserve">is taken into account </w:t>
      </w:r>
      <w:r w:rsidR="00C93E17" w:rsidRPr="008712F5">
        <w:rPr>
          <w:rFonts w:ascii="Times New Roman" w:hAnsi="Times New Roman" w:cs="Times New Roman"/>
          <w:sz w:val="24"/>
          <w:szCs w:val="24"/>
        </w:rPr>
        <w:t>(Rutkowski</w:t>
      </w:r>
      <w:r w:rsidR="00C97E6C" w:rsidRPr="008712F5">
        <w:rPr>
          <w:rFonts w:ascii="Times New Roman" w:hAnsi="Times New Roman" w:cs="Times New Roman"/>
          <w:sz w:val="24"/>
          <w:szCs w:val="24"/>
        </w:rPr>
        <w:t xml:space="preserve"> et al.</w:t>
      </w:r>
      <w:r w:rsidR="00C93E17" w:rsidRPr="008712F5">
        <w:rPr>
          <w:rFonts w:ascii="Times New Roman" w:hAnsi="Times New Roman" w:cs="Times New Roman"/>
          <w:sz w:val="24"/>
          <w:szCs w:val="24"/>
        </w:rPr>
        <w:t>, 2010). This means three aspects are included in the analyses. To cater for different probabilities of units being selected (classrooms</w:t>
      </w:r>
      <w:r w:rsidR="003D5125" w:rsidRPr="008712F5">
        <w:rPr>
          <w:rFonts w:ascii="Times New Roman" w:hAnsi="Times New Roman" w:cs="Times New Roman"/>
          <w:sz w:val="24"/>
          <w:szCs w:val="24"/>
        </w:rPr>
        <w:t>/teachers</w:t>
      </w:r>
      <w:r w:rsidR="00C93E17" w:rsidRPr="008712F5">
        <w:rPr>
          <w:rFonts w:ascii="Times New Roman" w:hAnsi="Times New Roman" w:cs="Times New Roman"/>
          <w:sz w:val="24"/>
          <w:szCs w:val="24"/>
        </w:rPr>
        <w:t xml:space="preserve">, students) sampling weights are used. Sampling weights ensure that the choice of sampling design does not have an undesired effect on the analyses of data. In this case </w:t>
      </w:r>
      <w:r w:rsidR="00C0626E" w:rsidRPr="008712F5">
        <w:rPr>
          <w:rFonts w:ascii="Times New Roman" w:hAnsi="Times New Roman" w:cs="Times New Roman"/>
          <w:sz w:val="24"/>
          <w:szCs w:val="24"/>
        </w:rPr>
        <w:t>weight</w:t>
      </w:r>
      <w:r w:rsidR="00EB54B0" w:rsidRPr="008712F5">
        <w:rPr>
          <w:rFonts w:ascii="Times New Roman" w:hAnsi="Times New Roman" w:cs="Times New Roman"/>
          <w:sz w:val="24"/>
          <w:szCs w:val="24"/>
        </w:rPr>
        <w:t>s</w:t>
      </w:r>
      <w:r w:rsidR="00C0626E" w:rsidRPr="008712F5">
        <w:rPr>
          <w:rFonts w:ascii="Times New Roman" w:hAnsi="Times New Roman" w:cs="Times New Roman"/>
          <w:sz w:val="24"/>
          <w:szCs w:val="24"/>
        </w:rPr>
        <w:t xml:space="preserve"> for mathematics teachers are used at the classroom level (</w:t>
      </w:r>
      <w:r w:rsidR="00EB54B0" w:rsidRPr="008712F5">
        <w:rPr>
          <w:rFonts w:ascii="Times New Roman" w:hAnsi="Times New Roman" w:cs="Times New Roman"/>
          <w:sz w:val="24"/>
          <w:szCs w:val="24"/>
        </w:rPr>
        <w:t xml:space="preserve">level 2, </w:t>
      </w:r>
      <w:r w:rsidR="00C0626E" w:rsidRPr="008712F5">
        <w:rPr>
          <w:rFonts w:ascii="Times New Roman" w:hAnsi="Times New Roman" w:cs="Times New Roman"/>
          <w:sz w:val="24"/>
          <w:szCs w:val="24"/>
        </w:rPr>
        <w:t>MATWGT)</w:t>
      </w:r>
      <w:r w:rsidR="00EB54B0" w:rsidRPr="008712F5">
        <w:rPr>
          <w:rFonts w:ascii="Times New Roman" w:hAnsi="Times New Roman" w:cs="Times New Roman"/>
          <w:sz w:val="24"/>
          <w:szCs w:val="24"/>
        </w:rPr>
        <w:t>, and weights at the student level (level 1) are calculated from the total weight (TO</w:t>
      </w:r>
      <w:r w:rsidR="003B053F" w:rsidRPr="008712F5">
        <w:rPr>
          <w:rFonts w:ascii="Times New Roman" w:hAnsi="Times New Roman" w:cs="Times New Roman"/>
          <w:sz w:val="24"/>
          <w:szCs w:val="24"/>
        </w:rPr>
        <w:t>T</w:t>
      </w:r>
      <w:r w:rsidR="00EB54B0" w:rsidRPr="008712F5">
        <w:rPr>
          <w:rFonts w:ascii="Times New Roman" w:hAnsi="Times New Roman" w:cs="Times New Roman"/>
          <w:sz w:val="24"/>
          <w:szCs w:val="24"/>
        </w:rPr>
        <w:t>WGT) and level 2 weights</w:t>
      </w:r>
      <w:r w:rsidR="003B053F" w:rsidRPr="008712F5">
        <w:rPr>
          <w:rFonts w:ascii="Times New Roman" w:hAnsi="Times New Roman" w:cs="Times New Roman"/>
          <w:sz w:val="24"/>
          <w:szCs w:val="24"/>
        </w:rPr>
        <w:t xml:space="preserve"> by the </w:t>
      </w:r>
      <w:proofErr w:type="spellStart"/>
      <w:r w:rsidR="003B053F" w:rsidRPr="008712F5">
        <w:rPr>
          <w:rFonts w:ascii="Times New Roman" w:hAnsi="Times New Roman" w:cs="Times New Roman"/>
          <w:sz w:val="24"/>
          <w:szCs w:val="24"/>
        </w:rPr>
        <w:t>BIFIEsurvey</w:t>
      </w:r>
      <w:proofErr w:type="spellEnd"/>
      <w:r w:rsidR="003B053F" w:rsidRPr="008712F5">
        <w:rPr>
          <w:rFonts w:ascii="Times New Roman" w:hAnsi="Times New Roman" w:cs="Times New Roman"/>
          <w:sz w:val="24"/>
          <w:szCs w:val="24"/>
        </w:rPr>
        <w:t xml:space="preserve"> package</w:t>
      </w:r>
      <w:r w:rsidR="003B053F" w:rsidRPr="008712F5">
        <w:rPr>
          <w:rStyle w:val="EndnoteReference"/>
          <w:rFonts w:ascii="Times New Roman" w:hAnsi="Times New Roman" w:cs="Times New Roman"/>
          <w:sz w:val="24"/>
          <w:szCs w:val="24"/>
        </w:rPr>
        <w:endnoteReference w:id="3"/>
      </w:r>
      <w:r w:rsidR="00C93E17" w:rsidRPr="008712F5">
        <w:rPr>
          <w:rFonts w:ascii="Times New Roman" w:hAnsi="Times New Roman" w:cs="Times New Roman"/>
          <w:sz w:val="24"/>
          <w:szCs w:val="24"/>
        </w:rPr>
        <w:t>.</w:t>
      </w:r>
      <w:r w:rsidR="003B053F" w:rsidRPr="008712F5">
        <w:rPr>
          <w:rFonts w:ascii="Times New Roman" w:hAnsi="Times New Roman" w:cs="Times New Roman"/>
          <w:sz w:val="24"/>
          <w:szCs w:val="24"/>
        </w:rPr>
        <w:t xml:space="preserve"> </w:t>
      </w:r>
      <w:r w:rsidR="00C93E17" w:rsidRPr="008712F5">
        <w:rPr>
          <w:rFonts w:ascii="Times New Roman" w:hAnsi="Times New Roman" w:cs="Times New Roman"/>
          <w:sz w:val="24"/>
          <w:szCs w:val="24"/>
        </w:rPr>
        <w:t xml:space="preserve"> As TIMSS 2019 uses an incomplete and rotated-booklet design for testing children on the major outcome variables, five plausible values (PVs) </w:t>
      </w:r>
      <w:r w:rsidR="00EF601F" w:rsidRPr="008712F5">
        <w:rPr>
          <w:rFonts w:ascii="Times New Roman" w:hAnsi="Times New Roman" w:cs="Times New Roman"/>
          <w:sz w:val="24"/>
          <w:szCs w:val="24"/>
        </w:rPr>
        <w:t xml:space="preserve">for achievement </w:t>
      </w:r>
      <w:r w:rsidR="00C93E17" w:rsidRPr="008712F5">
        <w:rPr>
          <w:rFonts w:ascii="Times New Roman" w:hAnsi="Times New Roman" w:cs="Times New Roman"/>
          <w:sz w:val="24"/>
          <w:szCs w:val="24"/>
        </w:rPr>
        <w:t>are used. To correctly analy</w:t>
      </w:r>
      <w:r w:rsidR="003513B0" w:rsidRPr="008712F5">
        <w:rPr>
          <w:rFonts w:ascii="Times New Roman" w:hAnsi="Times New Roman" w:cs="Times New Roman"/>
          <w:sz w:val="24"/>
          <w:szCs w:val="24"/>
        </w:rPr>
        <w:t>s</w:t>
      </w:r>
      <w:r w:rsidR="00C93E17" w:rsidRPr="008712F5">
        <w:rPr>
          <w:rFonts w:ascii="Times New Roman" w:hAnsi="Times New Roman" w:cs="Times New Roman"/>
          <w:sz w:val="24"/>
          <w:szCs w:val="24"/>
        </w:rPr>
        <w:t>e</w:t>
      </w:r>
      <w:r w:rsidR="003513B0" w:rsidRPr="008712F5">
        <w:rPr>
          <w:rFonts w:ascii="Times New Roman" w:hAnsi="Times New Roman" w:cs="Times New Roman"/>
          <w:sz w:val="24"/>
          <w:szCs w:val="24"/>
        </w:rPr>
        <w:t>,</w:t>
      </w:r>
      <w:r w:rsidR="00C93E17" w:rsidRPr="008712F5">
        <w:rPr>
          <w:rFonts w:ascii="Times New Roman" w:hAnsi="Times New Roman" w:cs="Times New Roman"/>
          <w:sz w:val="24"/>
          <w:szCs w:val="24"/>
        </w:rPr>
        <w:t xml:space="preserve"> </w:t>
      </w:r>
      <w:r w:rsidR="00EF601F" w:rsidRPr="008712F5">
        <w:rPr>
          <w:rFonts w:ascii="Times New Roman" w:hAnsi="Times New Roman" w:cs="Times New Roman"/>
          <w:sz w:val="24"/>
          <w:szCs w:val="24"/>
        </w:rPr>
        <w:t xml:space="preserve">the </w:t>
      </w:r>
      <w:proofErr w:type="spellStart"/>
      <w:r w:rsidR="00EF601F" w:rsidRPr="008712F5">
        <w:rPr>
          <w:rFonts w:ascii="Times New Roman" w:hAnsi="Times New Roman" w:cs="Times New Roman"/>
          <w:sz w:val="24"/>
          <w:szCs w:val="24"/>
        </w:rPr>
        <w:t>BIFIEsurvey</w:t>
      </w:r>
      <w:proofErr w:type="spellEnd"/>
      <w:r w:rsidR="00EF601F" w:rsidRPr="008712F5">
        <w:rPr>
          <w:rFonts w:ascii="Times New Roman" w:hAnsi="Times New Roman" w:cs="Times New Roman"/>
          <w:sz w:val="24"/>
          <w:szCs w:val="24"/>
        </w:rPr>
        <w:t xml:space="preserve"> package</w:t>
      </w:r>
      <w:r w:rsidR="00C93E17" w:rsidRPr="008712F5">
        <w:rPr>
          <w:rFonts w:ascii="Times New Roman" w:hAnsi="Times New Roman" w:cs="Times New Roman"/>
          <w:sz w:val="24"/>
          <w:szCs w:val="24"/>
        </w:rPr>
        <w:t xml:space="preserve"> combine</w:t>
      </w:r>
      <w:r w:rsidR="00EF601F" w:rsidRPr="008712F5">
        <w:rPr>
          <w:rFonts w:ascii="Times New Roman" w:hAnsi="Times New Roman" w:cs="Times New Roman"/>
          <w:sz w:val="24"/>
          <w:szCs w:val="24"/>
        </w:rPr>
        <w:t>s</w:t>
      </w:r>
      <w:r w:rsidR="00C93E17" w:rsidRPr="008712F5">
        <w:rPr>
          <w:rFonts w:ascii="Times New Roman" w:hAnsi="Times New Roman" w:cs="Times New Roman"/>
          <w:sz w:val="24"/>
          <w:szCs w:val="24"/>
        </w:rPr>
        <w:t xml:space="preserve"> the five plausible values into a single set of point estimates and standard errors using Rubin’s rules (Rubin, 1987). A final aspect concerns the variance estimation. As </w:t>
      </w:r>
      <w:r w:rsidR="00C93E17" w:rsidRPr="008712F5">
        <w:rPr>
          <w:rFonts w:ascii="Times New Roman" w:eastAsia="Times New Roman" w:hAnsi="Times New Roman" w:cs="Times New Roman"/>
          <w:sz w:val="24"/>
          <w:szCs w:val="24"/>
        </w:rPr>
        <w:t xml:space="preserve">standard variance estimation formulas are not appropriate for data obtained with a complex sample design (Rutkowski et al., 2010), </w:t>
      </w:r>
      <w:r w:rsidR="007D4E67" w:rsidRPr="008712F5">
        <w:rPr>
          <w:rFonts w:ascii="Times New Roman" w:eastAsia="Times New Roman" w:hAnsi="Times New Roman" w:cs="Times New Roman"/>
          <w:sz w:val="24"/>
          <w:szCs w:val="24"/>
        </w:rPr>
        <w:t xml:space="preserve">a Jack-knife procedure </w:t>
      </w:r>
      <w:r w:rsidR="0086307C" w:rsidRPr="008712F5">
        <w:rPr>
          <w:rFonts w:ascii="Times New Roman" w:eastAsia="Times New Roman" w:hAnsi="Times New Roman" w:cs="Times New Roman"/>
          <w:sz w:val="24"/>
          <w:szCs w:val="24"/>
        </w:rPr>
        <w:t>is</w:t>
      </w:r>
      <w:r w:rsidR="007D4E67" w:rsidRPr="008712F5">
        <w:rPr>
          <w:rFonts w:ascii="Times New Roman" w:eastAsia="Times New Roman" w:hAnsi="Times New Roman" w:cs="Times New Roman"/>
          <w:sz w:val="24"/>
          <w:szCs w:val="24"/>
        </w:rPr>
        <w:t xml:space="preserve"> used. </w:t>
      </w:r>
      <w:r w:rsidR="009B4D51" w:rsidRPr="008712F5">
        <w:rPr>
          <w:rFonts w:ascii="Times New Roman" w:eastAsia="Times New Roman" w:hAnsi="Times New Roman" w:cs="Times New Roman"/>
          <w:sz w:val="24"/>
          <w:szCs w:val="24"/>
        </w:rPr>
        <w:t>In the case of this study it is relevant to note that mathematics teachers were not randomly sampled</w:t>
      </w:r>
      <w:r w:rsidR="0086307C" w:rsidRPr="008712F5">
        <w:rPr>
          <w:rFonts w:ascii="Times New Roman" w:eastAsia="Times New Roman" w:hAnsi="Times New Roman" w:cs="Times New Roman"/>
          <w:sz w:val="24"/>
          <w:szCs w:val="24"/>
        </w:rPr>
        <w:t xml:space="preserve">; they </w:t>
      </w:r>
      <w:r w:rsidR="009B4D51" w:rsidRPr="008712F5">
        <w:rPr>
          <w:rFonts w:ascii="Times New Roman" w:eastAsia="Times New Roman" w:hAnsi="Times New Roman" w:cs="Times New Roman"/>
          <w:sz w:val="24"/>
          <w:szCs w:val="24"/>
        </w:rPr>
        <w:t>are the mathematics teachers of randomly sample</w:t>
      </w:r>
      <w:r w:rsidR="001D148C" w:rsidRPr="008712F5">
        <w:rPr>
          <w:rFonts w:ascii="Times New Roman" w:eastAsia="Times New Roman" w:hAnsi="Times New Roman" w:cs="Times New Roman"/>
          <w:sz w:val="24"/>
          <w:szCs w:val="24"/>
        </w:rPr>
        <w:t>d</w:t>
      </w:r>
      <w:r w:rsidR="009B4D51" w:rsidRPr="008712F5">
        <w:rPr>
          <w:rFonts w:ascii="Times New Roman" w:eastAsia="Times New Roman" w:hAnsi="Times New Roman" w:cs="Times New Roman"/>
          <w:sz w:val="24"/>
          <w:szCs w:val="24"/>
        </w:rPr>
        <w:t xml:space="preserve"> classrooms.</w:t>
      </w:r>
      <w:r w:rsidR="00A3773D" w:rsidRPr="008712F5">
        <w:rPr>
          <w:rFonts w:ascii="Times New Roman" w:eastAsia="Times New Roman" w:hAnsi="Times New Roman" w:cs="Times New Roman"/>
          <w:sz w:val="24"/>
          <w:szCs w:val="24"/>
        </w:rPr>
        <w:t xml:space="preserve"> An R script was created that generates descriptive statistics, </w:t>
      </w:r>
      <w:r w:rsidR="00166997" w:rsidRPr="008712F5">
        <w:rPr>
          <w:rFonts w:ascii="Times New Roman" w:eastAsia="Times New Roman" w:hAnsi="Times New Roman" w:cs="Times New Roman"/>
          <w:sz w:val="24"/>
          <w:szCs w:val="24"/>
        </w:rPr>
        <w:t xml:space="preserve">and the </w:t>
      </w:r>
      <w:r w:rsidR="00A3773D" w:rsidRPr="008712F5">
        <w:rPr>
          <w:rFonts w:ascii="Times New Roman" w:eastAsia="Times New Roman" w:hAnsi="Times New Roman" w:cs="Times New Roman"/>
          <w:sz w:val="24"/>
          <w:szCs w:val="24"/>
        </w:rPr>
        <w:t>model results</w:t>
      </w:r>
      <w:r w:rsidR="00166997" w:rsidRPr="008712F5">
        <w:rPr>
          <w:rFonts w:ascii="Times New Roman" w:eastAsia="Times New Roman" w:hAnsi="Times New Roman" w:cs="Times New Roman"/>
          <w:sz w:val="24"/>
          <w:szCs w:val="24"/>
        </w:rPr>
        <w:t>.</w:t>
      </w:r>
    </w:p>
    <w:p w14:paraId="0AFB098C" w14:textId="1D230970" w:rsidR="00C93E17" w:rsidRPr="008712F5" w:rsidRDefault="007D0C3E" w:rsidP="007D0C3E">
      <w:pPr>
        <w:pStyle w:val="Heading3"/>
      </w:pPr>
      <w:r w:rsidRPr="008712F5">
        <w:t>Variables</w:t>
      </w:r>
    </w:p>
    <w:p w14:paraId="45B01132" w14:textId="4BBDE3D3" w:rsidR="0037372A" w:rsidRPr="008712F5" w:rsidRDefault="004242AC" w:rsidP="00EA0248">
      <w:pPr>
        <w:spacing w:line="480" w:lineRule="auto"/>
        <w:rPr>
          <w:rFonts w:ascii="Times New Roman" w:hAnsi="Times New Roman" w:cs="Times New Roman"/>
          <w:sz w:val="24"/>
          <w:szCs w:val="24"/>
        </w:rPr>
      </w:pPr>
      <w:r w:rsidRPr="008712F5">
        <w:rPr>
          <w:rFonts w:ascii="Times New Roman" w:hAnsi="Times New Roman" w:cs="Times New Roman"/>
          <w:sz w:val="24"/>
          <w:szCs w:val="24"/>
        </w:rPr>
        <w:t>The following variables are included in the</w:t>
      </w:r>
      <w:r w:rsidR="0037372A" w:rsidRPr="008712F5">
        <w:rPr>
          <w:rFonts w:ascii="Times New Roman" w:hAnsi="Times New Roman" w:cs="Times New Roman"/>
          <w:sz w:val="24"/>
          <w:szCs w:val="24"/>
        </w:rPr>
        <w:t xml:space="preserve"> analyses.</w:t>
      </w:r>
    </w:p>
    <w:p w14:paraId="75B7F0EE" w14:textId="4ED9E839" w:rsidR="00A3773D" w:rsidRPr="008712F5" w:rsidRDefault="00C93E17" w:rsidP="00EA0248">
      <w:pPr>
        <w:spacing w:line="480" w:lineRule="auto"/>
        <w:rPr>
          <w:rFonts w:ascii="Times New Roman" w:hAnsi="Times New Roman" w:cs="Times New Roman"/>
          <w:sz w:val="24"/>
          <w:szCs w:val="24"/>
        </w:rPr>
      </w:pPr>
      <w:r w:rsidRPr="008712F5">
        <w:rPr>
          <w:rFonts w:ascii="Times New Roman" w:hAnsi="Times New Roman" w:cs="Times New Roman"/>
          <w:sz w:val="24"/>
          <w:szCs w:val="24"/>
        </w:rPr>
        <w:t>As dependent variable(s)</w:t>
      </w:r>
      <w:r w:rsidR="004242AC" w:rsidRPr="008712F5">
        <w:rPr>
          <w:rFonts w:ascii="Times New Roman" w:hAnsi="Times New Roman" w:cs="Times New Roman"/>
          <w:sz w:val="24"/>
          <w:szCs w:val="24"/>
        </w:rPr>
        <w:t>,</w:t>
      </w:r>
      <w:r w:rsidRPr="008712F5">
        <w:rPr>
          <w:rFonts w:ascii="Times New Roman" w:hAnsi="Times New Roman" w:cs="Times New Roman"/>
          <w:sz w:val="24"/>
          <w:szCs w:val="24"/>
        </w:rPr>
        <w:t xml:space="preserve"> </w:t>
      </w:r>
      <w:r w:rsidR="00382F8D" w:rsidRPr="008712F5">
        <w:rPr>
          <w:rFonts w:ascii="Times New Roman" w:hAnsi="Times New Roman" w:cs="Times New Roman"/>
          <w:sz w:val="24"/>
          <w:szCs w:val="24"/>
        </w:rPr>
        <w:t xml:space="preserve">the </w:t>
      </w:r>
      <w:r w:rsidRPr="008712F5">
        <w:rPr>
          <w:rFonts w:ascii="Times New Roman" w:hAnsi="Times New Roman" w:cs="Times New Roman"/>
          <w:sz w:val="24"/>
          <w:szCs w:val="24"/>
        </w:rPr>
        <w:t xml:space="preserve">five plausible values are used for mathematics achievement, </w:t>
      </w:r>
      <w:r w:rsidRPr="008712F5">
        <w:rPr>
          <w:rFonts w:ascii="Times New Roman" w:hAnsi="Times New Roman" w:cs="Times New Roman"/>
          <w:bCs/>
          <w:sz w:val="24"/>
          <w:szCs w:val="24"/>
        </w:rPr>
        <w:t>BSMMAT01</w:t>
      </w:r>
      <w:r w:rsidRPr="008712F5">
        <w:rPr>
          <w:rFonts w:ascii="Times New Roman" w:hAnsi="Times New Roman" w:cs="Times New Roman"/>
          <w:sz w:val="24"/>
          <w:szCs w:val="24"/>
        </w:rPr>
        <w:t xml:space="preserve"> to </w:t>
      </w:r>
      <w:r w:rsidRPr="008712F5">
        <w:rPr>
          <w:rFonts w:ascii="Times New Roman" w:hAnsi="Times New Roman" w:cs="Times New Roman"/>
          <w:bCs/>
          <w:sz w:val="24"/>
          <w:szCs w:val="24"/>
        </w:rPr>
        <w:t>BSMMAT05</w:t>
      </w:r>
      <w:r w:rsidRPr="008712F5">
        <w:rPr>
          <w:rFonts w:ascii="Times New Roman" w:hAnsi="Times New Roman" w:cs="Times New Roman"/>
          <w:sz w:val="24"/>
          <w:szCs w:val="24"/>
        </w:rPr>
        <w:t>. These are imputed scores averaging 500 and a standard deviation of 100 (</w:t>
      </w:r>
      <w:r w:rsidR="00B81ABE" w:rsidRPr="008712F5">
        <w:rPr>
          <w:rFonts w:ascii="Times New Roman" w:hAnsi="Times New Roman" w:cs="Times New Roman"/>
          <w:sz w:val="24"/>
          <w:szCs w:val="24"/>
        </w:rPr>
        <w:t>Martin et al., 2020</w:t>
      </w:r>
      <w:r w:rsidRPr="008712F5">
        <w:rPr>
          <w:rFonts w:ascii="Times New Roman" w:hAnsi="Times New Roman" w:cs="Times New Roman"/>
          <w:sz w:val="24"/>
          <w:szCs w:val="24"/>
        </w:rPr>
        <w:t>).</w:t>
      </w:r>
    </w:p>
    <w:p w14:paraId="4F73F207" w14:textId="14294B84" w:rsidR="007D0C3E" w:rsidRPr="008712F5" w:rsidRDefault="007D0C3E" w:rsidP="007D0C3E">
      <w:pPr>
        <w:pStyle w:val="Heading3"/>
      </w:pPr>
      <w:r w:rsidRPr="008712F5">
        <w:t>Instructional scales</w:t>
      </w:r>
      <w:r w:rsidR="004E1EB7" w:rsidRPr="008712F5">
        <w:t xml:space="preserve"> (teacher level)</w:t>
      </w:r>
    </w:p>
    <w:p w14:paraId="5CC9B581" w14:textId="3B92B671" w:rsidR="00382F8D" w:rsidRPr="008712F5" w:rsidRDefault="001F6E35" w:rsidP="00EA0248">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As independent variables scales </w:t>
      </w:r>
      <w:r w:rsidR="004242AC" w:rsidRPr="008712F5">
        <w:rPr>
          <w:rFonts w:ascii="Times New Roman" w:hAnsi="Times New Roman" w:cs="Times New Roman"/>
          <w:sz w:val="24"/>
          <w:szCs w:val="24"/>
        </w:rPr>
        <w:t xml:space="preserve">are </w:t>
      </w:r>
      <w:r w:rsidRPr="008712F5">
        <w:rPr>
          <w:rFonts w:ascii="Times New Roman" w:hAnsi="Times New Roman" w:cs="Times New Roman"/>
          <w:sz w:val="24"/>
          <w:szCs w:val="24"/>
        </w:rPr>
        <w:t xml:space="preserve">created from variables included in the teacher questionnaire. </w:t>
      </w:r>
      <w:r w:rsidR="00382F8D" w:rsidRPr="008712F5">
        <w:rPr>
          <w:rFonts w:ascii="Times New Roman" w:hAnsi="Times New Roman" w:cs="Times New Roman"/>
          <w:sz w:val="24"/>
          <w:szCs w:val="24"/>
        </w:rPr>
        <w:t>In operationalising the</w:t>
      </w:r>
      <w:r w:rsidRPr="008712F5">
        <w:rPr>
          <w:rFonts w:ascii="Times New Roman" w:hAnsi="Times New Roman" w:cs="Times New Roman"/>
          <w:sz w:val="24"/>
          <w:szCs w:val="24"/>
        </w:rPr>
        <w:t xml:space="preserve"> pertinent activities in the classroom, contrary to, for example similar types of scales in PISA 2015, self-reported behaviours from mathematics </w:t>
      </w:r>
      <w:r w:rsidRPr="008712F5">
        <w:rPr>
          <w:rFonts w:ascii="Times New Roman" w:hAnsi="Times New Roman" w:cs="Times New Roman"/>
          <w:sz w:val="24"/>
          <w:szCs w:val="24"/>
        </w:rPr>
        <w:lastRenderedPageBreak/>
        <w:t xml:space="preserve">teachers </w:t>
      </w:r>
      <w:r w:rsidR="004242AC" w:rsidRPr="008712F5">
        <w:rPr>
          <w:rFonts w:ascii="Times New Roman" w:hAnsi="Times New Roman" w:cs="Times New Roman"/>
          <w:sz w:val="24"/>
          <w:szCs w:val="24"/>
        </w:rPr>
        <w:t xml:space="preserve">are deemed </w:t>
      </w:r>
      <w:r w:rsidRPr="008712F5">
        <w:rPr>
          <w:rFonts w:ascii="Times New Roman" w:hAnsi="Times New Roman" w:cs="Times New Roman"/>
          <w:sz w:val="24"/>
          <w:szCs w:val="24"/>
        </w:rPr>
        <w:t>more trustworthy than that of students.</w:t>
      </w:r>
      <w:r w:rsidR="00322779" w:rsidRPr="008712F5">
        <w:rPr>
          <w:rFonts w:ascii="Times New Roman" w:hAnsi="Times New Roman" w:cs="Times New Roman"/>
          <w:sz w:val="24"/>
          <w:szCs w:val="24"/>
        </w:rPr>
        <w:t xml:space="preserve"> </w:t>
      </w:r>
      <w:r w:rsidR="001251CB" w:rsidRPr="008712F5">
        <w:rPr>
          <w:rFonts w:ascii="Times New Roman" w:hAnsi="Times New Roman" w:cs="Times New Roman"/>
          <w:sz w:val="24"/>
          <w:szCs w:val="24"/>
        </w:rPr>
        <w:t>A few</w:t>
      </w:r>
      <w:r w:rsidR="00382F8D" w:rsidRPr="008712F5">
        <w:rPr>
          <w:rFonts w:ascii="Times New Roman" w:hAnsi="Times New Roman" w:cs="Times New Roman"/>
          <w:sz w:val="24"/>
          <w:szCs w:val="24"/>
        </w:rPr>
        <w:t xml:space="preserve"> questions in the </w:t>
      </w:r>
      <w:r w:rsidR="00DB0FE6" w:rsidRPr="008712F5">
        <w:rPr>
          <w:rFonts w:ascii="Times New Roman" w:hAnsi="Times New Roman" w:cs="Times New Roman"/>
          <w:sz w:val="24"/>
          <w:szCs w:val="24"/>
        </w:rPr>
        <w:t>mathematics teacher questionnaire are particularly relevant for instructional approaches</w:t>
      </w:r>
      <w:r w:rsidR="00DB0FE6" w:rsidRPr="008712F5">
        <w:rPr>
          <w:rStyle w:val="EndnoteReference"/>
          <w:rFonts w:ascii="Times New Roman" w:hAnsi="Times New Roman" w:cs="Times New Roman"/>
          <w:sz w:val="24"/>
          <w:szCs w:val="24"/>
        </w:rPr>
        <w:endnoteReference w:id="4"/>
      </w:r>
      <w:r w:rsidR="00DB0FE6" w:rsidRPr="008712F5">
        <w:rPr>
          <w:rFonts w:ascii="Times New Roman" w:hAnsi="Times New Roman" w:cs="Times New Roman"/>
          <w:sz w:val="24"/>
          <w:szCs w:val="24"/>
        </w:rPr>
        <w:t>.</w:t>
      </w:r>
    </w:p>
    <w:p w14:paraId="3A2A9A94" w14:textId="489CB311" w:rsidR="00713863" w:rsidRPr="008712F5" w:rsidRDefault="001F6E35" w:rsidP="00F52178">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Firstly, question 12 </w:t>
      </w:r>
      <w:r w:rsidR="00F40412" w:rsidRPr="008712F5">
        <w:rPr>
          <w:rFonts w:ascii="Times New Roman" w:hAnsi="Times New Roman" w:cs="Times New Roman"/>
          <w:sz w:val="24"/>
          <w:szCs w:val="24"/>
        </w:rPr>
        <w:t xml:space="preserve">in the teacher questionnaire </w:t>
      </w:r>
      <w:r w:rsidRPr="008712F5">
        <w:rPr>
          <w:rFonts w:ascii="Times New Roman" w:hAnsi="Times New Roman" w:cs="Times New Roman"/>
          <w:sz w:val="24"/>
          <w:szCs w:val="24"/>
        </w:rPr>
        <w:t>asked “How often do you do the following in teaching this class” with teachers asked to answer on a four-point scale (1=Every or almost every lesson, 2=About half the lessons, 3=Some lessons, 4=None) for seven activities</w:t>
      </w:r>
      <w:r w:rsidR="009B4D51" w:rsidRPr="008712F5">
        <w:rPr>
          <w:rFonts w:ascii="Times New Roman" w:hAnsi="Times New Roman" w:cs="Times New Roman"/>
          <w:sz w:val="24"/>
          <w:szCs w:val="24"/>
        </w:rPr>
        <w:t xml:space="preserve">, as mentioned in Table </w:t>
      </w:r>
      <w:r w:rsidR="004D6766" w:rsidRPr="008712F5">
        <w:rPr>
          <w:rFonts w:ascii="Times New Roman" w:hAnsi="Times New Roman" w:cs="Times New Roman"/>
          <w:sz w:val="24"/>
          <w:szCs w:val="24"/>
        </w:rPr>
        <w:t>I</w:t>
      </w:r>
      <w:r w:rsidR="00713863" w:rsidRPr="008712F5">
        <w:rPr>
          <w:rFonts w:ascii="Times New Roman" w:hAnsi="Times New Roman" w:cs="Times New Roman"/>
          <w:sz w:val="24"/>
          <w:szCs w:val="24"/>
        </w:rPr>
        <w:t xml:space="preserve"> (BTBG12A-G)</w:t>
      </w:r>
      <w:r w:rsidR="009B4D51" w:rsidRPr="008712F5">
        <w:rPr>
          <w:rFonts w:ascii="Times New Roman" w:hAnsi="Times New Roman" w:cs="Times New Roman"/>
          <w:sz w:val="24"/>
          <w:szCs w:val="24"/>
        </w:rPr>
        <w:t>. A second question (question 15</w:t>
      </w:r>
      <w:r w:rsidR="00713863" w:rsidRPr="008712F5">
        <w:rPr>
          <w:rFonts w:ascii="Times New Roman" w:hAnsi="Times New Roman" w:cs="Times New Roman"/>
          <w:sz w:val="24"/>
          <w:szCs w:val="24"/>
        </w:rPr>
        <w:t>, BTBM15A-F</w:t>
      </w:r>
      <w:r w:rsidR="009B4D51" w:rsidRPr="008712F5">
        <w:rPr>
          <w:rFonts w:ascii="Times New Roman" w:hAnsi="Times New Roman" w:cs="Times New Roman"/>
          <w:sz w:val="24"/>
          <w:szCs w:val="24"/>
        </w:rPr>
        <w:t>) asked teachers “In teaching mathematics to this class, how often do you ask students to do the following” with the same answer options.</w:t>
      </w:r>
      <w:r w:rsidR="000F6707" w:rsidRPr="008712F5">
        <w:rPr>
          <w:rFonts w:ascii="Times New Roman" w:hAnsi="Times New Roman" w:cs="Times New Roman"/>
          <w:sz w:val="24"/>
          <w:szCs w:val="24"/>
        </w:rPr>
        <w:t xml:space="preserve"> Two items in question 15, pertaining to mixed or same-ability groups, were not used in this analysis, as they pertained to the way students were organised within the classroom, not specific instructional approaches.</w:t>
      </w:r>
      <w:r w:rsidR="00713863" w:rsidRPr="008712F5">
        <w:rPr>
          <w:rFonts w:ascii="Times New Roman" w:hAnsi="Times New Roman" w:cs="Times New Roman"/>
          <w:sz w:val="24"/>
          <w:szCs w:val="24"/>
        </w:rPr>
        <w:t xml:space="preserve"> </w:t>
      </w:r>
    </w:p>
    <w:p w14:paraId="7999C1DA" w14:textId="77777777" w:rsidR="00C93E17" w:rsidRPr="008712F5" w:rsidRDefault="00C93E17" w:rsidP="00D1040A">
      <w:pPr>
        <w:spacing w:line="276" w:lineRule="auto"/>
        <w:rPr>
          <w:rFonts w:ascii="Times New Roman" w:hAnsi="Times New Roman" w:cs="Times New Roman"/>
        </w:rPr>
      </w:pPr>
    </w:p>
    <w:p w14:paraId="673F239E" w14:textId="21A6D94D" w:rsidR="00BA0C2B" w:rsidRPr="008712F5" w:rsidRDefault="00BA0C2B" w:rsidP="00D1040A">
      <w:pPr>
        <w:pStyle w:val="ICMEReferences"/>
        <w:keepNext/>
        <w:spacing w:line="276" w:lineRule="auto"/>
        <w:jc w:val="center"/>
        <w:rPr>
          <w:rFonts w:cs="Times New Roman"/>
          <w:i/>
          <w:iCs/>
          <w:sz w:val="24"/>
          <w:szCs w:val="24"/>
        </w:rPr>
      </w:pPr>
      <w:r w:rsidRPr="008712F5">
        <w:rPr>
          <w:rFonts w:cs="Times New Roman"/>
          <w:sz w:val="24"/>
          <w:szCs w:val="24"/>
        </w:rPr>
        <w:t xml:space="preserve">Table </w:t>
      </w:r>
      <w:r w:rsidR="004D6766" w:rsidRPr="008712F5">
        <w:rPr>
          <w:rFonts w:cs="Times New Roman"/>
          <w:sz w:val="24"/>
          <w:szCs w:val="24"/>
        </w:rPr>
        <w:t>I</w:t>
      </w:r>
      <w:r w:rsidRPr="008712F5">
        <w:rPr>
          <w:rFonts w:cs="Times New Roman"/>
          <w:sz w:val="24"/>
          <w:szCs w:val="24"/>
        </w:rPr>
        <w:t xml:space="preserve"> </w:t>
      </w:r>
      <w:proofErr w:type="spellStart"/>
      <w:r w:rsidRPr="008712F5">
        <w:rPr>
          <w:rFonts w:cs="Times New Roman"/>
          <w:sz w:val="24"/>
          <w:szCs w:val="24"/>
        </w:rPr>
        <w:t>Operationalisation</w:t>
      </w:r>
      <w:proofErr w:type="spellEnd"/>
      <w:r w:rsidRPr="008712F5">
        <w:rPr>
          <w:rFonts w:cs="Times New Roman"/>
          <w:sz w:val="24"/>
          <w:szCs w:val="24"/>
        </w:rPr>
        <w:t xml:space="preserve"> of </w:t>
      </w:r>
      <w:r w:rsidR="00A3773D" w:rsidRPr="008712F5">
        <w:rPr>
          <w:rFonts w:cs="Times New Roman"/>
          <w:sz w:val="24"/>
          <w:szCs w:val="24"/>
        </w:rPr>
        <w:t>instructional scales</w:t>
      </w:r>
      <w:r w:rsidR="0037372A" w:rsidRPr="008712F5">
        <w:rPr>
          <w:rFonts w:cs="Times New Roman"/>
          <w:sz w:val="24"/>
          <w:szCs w:val="24"/>
        </w:rPr>
        <w:t xml:space="preserve"> GEN, TA and PO</w:t>
      </w:r>
    </w:p>
    <w:tbl>
      <w:tblPr>
        <w:tblStyle w:val="PlainTable2"/>
        <w:tblW w:w="7508" w:type="dxa"/>
        <w:jc w:val="center"/>
        <w:tblLook w:val="04A0" w:firstRow="1" w:lastRow="0" w:firstColumn="1" w:lastColumn="0" w:noHBand="0" w:noVBand="1"/>
      </w:tblPr>
      <w:tblGrid>
        <w:gridCol w:w="1793"/>
        <w:gridCol w:w="4247"/>
        <w:gridCol w:w="573"/>
        <w:gridCol w:w="437"/>
        <w:gridCol w:w="458"/>
      </w:tblGrid>
      <w:tr w:rsidR="008712F5" w:rsidRPr="008712F5" w14:paraId="62174387" w14:textId="5FD16D26" w:rsidTr="005C71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91" w:type="dxa"/>
            <w:gridSpan w:val="2"/>
          </w:tcPr>
          <w:p w14:paraId="0F4D55AD" w14:textId="1282207D" w:rsidR="005C7198" w:rsidRPr="008712F5" w:rsidRDefault="005C7198" w:rsidP="00D1040A">
            <w:pPr>
              <w:spacing w:line="276" w:lineRule="auto"/>
              <w:jc w:val="center"/>
              <w:rPr>
                <w:rFonts w:cstheme="minorHAnsi"/>
                <w:sz w:val="20"/>
                <w:szCs w:val="20"/>
              </w:rPr>
            </w:pPr>
            <w:r w:rsidRPr="008712F5">
              <w:rPr>
                <w:rFonts w:cstheme="minorHAnsi"/>
                <w:sz w:val="20"/>
                <w:szCs w:val="20"/>
              </w:rPr>
              <w:t>In TIMSS 2019</w:t>
            </w:r>
          </w:p>
        </w:tc>
        <w:tc>
          <w:tcPr>
            <w:tcW w:w="992" w:type="dxa"/>
            <w:gridSpan w:val="2"/>
          </w:tcPr>
          <w:p w14:paraId="39FB4318" w14:textId="7B3BEAB4" w:rsidR="005C7198" w:rsidRPr="008712F5" w:rsidRDefault="005C7198" w:rsidP="00D1040A">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Scale</w:t>
            </w:r>
          </w:p>
        </w:tc>
        <w:tc>
          <w:tcPr>
            <w:tcW w:w="425" w:type="dxa"/>
          </w:tcPr>
          <w:p w14:paraId="0055423F" w14:textId="77777777" w:rsidR="005C7198" w:rsidRPr="008712F5" w:rsidRDefault="005C7198" w:rsidP="00D1040A">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8712F5" w:rsidRPr="008712F5" w14:paraId="768F90E8" w14:textId="61DB0C87" w:rsidTr="005C71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3" w:type="dxa"/>
          </w:tcPr>
          <w:p w14:paraId="455F8E2D" w14:textId="70E840DF" w:rsidR="005C7198" w:rsidRPr="008712F5" w:rsidRDefault="005C7198" w:rsidP="00D1040A">
            <w:pPr>
              <w:spacing w:line="276" w:lineRule="auto"/>
              <w:rPr>
                <w:rFonts w:cstheme="minorHAnsi"/>
                <w:sz w:val="20"/>
                <w:szCs w:val="20"/>
              </w:rPr>
            </w:pPr>
            <w:r w:rsidRPr="008712F5">
              <w:rPr>
                <w:rFonts w:cstheme="minorHAnsi"/>
                <w:sz w:val="20"/>
                <w:szCs w:val="20"/>
              </w:rPr>
              <w:t>Name variable</w:t>
            </w:r>
          </w:p>
        </w:tc>
        <w:tc>
          <w:tcPr>
            <w:tcW w:w="4288" w:type="dxa"/>
          </w:tcPr>
          <w:p w14:paraId="7DDE2AF6" w14:textId="5C86DFF4"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8712F5">
              <w:rPr>
                <w:rFonts w:cstheme="minorHAnsi"/>
                <w:b/>
                <w:bCs/>
                <w:sz w:val="20"/>
                <w:szCs w:val="20"/>
              </w:rPr>
              <w:t>Item</w:t>
            </w:r>
          </w:p>
        </w:tc>
        <w:tc>
          <w:tcPr>
            <w:tcW w:w="567" w:type="dxa"/>
          </w:tcPr>
          <w:p w14:paraId="4F231EAB" w14:textId="1CF14E25" w:rsidR="005C7198" w:rsidRPr="008712F5" w:rsidRDefault="00667C46"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8712F5">
              <w:rPr>
                <w:rFonts w:cstheme="minorHAnsi"/>
                <w:b/>
                <w:bCs/>
                <w:sz w:val="20"/>
                <w:szCs w:val="20"/>
              </w:rPr>
              <w:t>G</w:t>
            </w:r>
            <w:r w:rsidR="00A86247" w:rsidRPr="008712F5">
              <w:rPr>
                <w:rFonts w:cstheme="minorHAnsi"/>
                <w:b/>
                <w:bCs/>
                <w:sz w:val="20"/>
                <w:szCs w:val="20"/>
              </w:rPr>
              <w:t>EN</w:t>
            </w:r>
          </w:p>
        </w:tc>
        <w:tc>
          <w:tcPr>
            <w:tcW w:w="425" w:type="dxa"/>
          </w:tcPr>
          <w:p w14:paraId="115C7757" w14:textId="61ACFD22" w:rsidR="005C7198" w:rsidRPr="008712F5" w:rsidRDefault="00A86247"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8712F5">
              <w:rPr>
                <w:rFonts w:cstheme="minorHAnsi"/>
                <w:b/>
                <w:bCs/>
                <w:sz w:val="20"/>
                <w:szCs w:val="20"/>
              </w:rPr>
              <w:t>TA</w:t>
            </w:r>
          </w:p>
        </w:tc>
        <w:tc>
          <w:tcPr>
            <w:tcW w:w="425" w:type="dxa"/>
          </w:tcPr>
          <w:p w14:paraId="2B7C863D" w14:textId="0DE28646" w:rsidR="005C7198" w:rsidRPr="008712F5" w:rsidRDefault="00A86247"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8712F5">
              <w:rPr>
                <w:rFonts w:cstheme="minorHAnsi"/>
                <w:b/>
                <w:bCs/>
                <w:sz w:val="20"/>
                <w:szCs w:val="20"/>
              </w:rPr>
              <w:t>P</w:t>
            </w:r>
            <w:r w:rsidR="00123C75" w:rsidRPr="008712F5">
              <w:rPr>
                <w:rFonts w:cstheme="minorHAnsi"/>
                <w:b/>
                <w:bCs/>
                <w:sz w:val="20"/>
                <w:szCs w:val="20"/>
              </w:rPr>
              <w:t>O</w:t>
            </w:r>
          </w:p>
        </w:tc>
      </w:tr>
      <w:tr w:rsidR="008712F5" w:rsidRPr="008712F5" w14:paraId="4B74A96C" w14:textId="6336A94D" w:rsidTr="005C7198">
        <w:trPr>
          <w:jc w:val="center"/>
        </w:trPr>
        <w:tc>
          <w:tcPr>
            <w:cnfStyle w:val="001000000000" w:firstRow="0" w:lastRow="0" w:firstColumn="1" w:lastColumn="0" w:oddVBand="0" w:evenVBand="0" w:oddHBand="0" w:evenHBand="0" w:firstRowFirstColumn="0" w:firstRowLastColumn="0" w:lastRowFirstColumn="0" w:lastRowLastColumn="0"/>
            <w:tcW w:w="1803" w:type="dxa"/>
          </w:tcPr>
          <w:p w14:paraId="3186855C" w14:textId="19669F9D" w:rsidR="005C7198" w:rsidRPr="008712F5" w:rsidRDefault="005C7198" w:rsidP="00D1040A">
            <w:pPr>
              <w:spacing w:line="276" w:lineRule="auto"/>
              <w:rPr>
                <w:rFonts w:cstheme="minorHAnsi"/>
                <w:sz w:val="20"/>
                <w:szCs w:val="20"/>
              </w:rPr>
            </w:pPr>
            <w:r w:rsidRPr="008712F5">
              <w:rPr>
                <w:rFonts w:cstheme="minorHAnsi"/>
                <w:sz w:val="20"/>
                <w:szCs w:val="20"/>
              </w:rPr>
              <w:t>BTBG12A</w:t>
            </w:r>
          </w:p>
        </w:tc>
        <w:tc>
          <w:tcPr>
            <w:tcW w:w="4288" w:type="dxa"/>
          </w:tcPr>
          <w:p w14:paraId="10B6E2CE" w14:textId="3FDB4BB6"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Relate the lesson to students’ daily lives</w:t>
            </w:r>
          </w:p>
        </w:tc>
        <w:tc>
          <w:tcPr>
            <w:tcW w:w="567" w:type="dxa"/>
          </w:tcPr>
          <w:p w14:paraId="5327BE25" w14:textId="142715A9"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X</w:t>
            </w:r>
          </w:p>
        </w:tc>
        <w:tc>
          <w:tcPr>
            <w:tcW w:w="425" w:type="dxa"/>
          </w:tcPr>
          <w:p w14:paraId="36B66BF5"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tcPr>
          <w:p w14:paraId="4309D254"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712F5" w:rsidRPr="008712F5" w14:paraId="209510E3" w14:textId="6AD6B4CF" w:rsidTr="005C71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3" w:type="dxa"/>
          </w:tcPr>
          <w:p w14:paraId="559465D5" w14:textId="02FC0868" w:rsidR="005C7198" w:rsidRPr="008712F5" w:rsidRDefault="005C7198" w:rsidP="00D1040A">
            <w:pPr>
              <w:spacing w:line="276" w:lineRule="auto"/>
              <w:rPr>
                <w:rFonts w:cstheme="minorHAnsi"/>
                <w:sz w:val="20"/>
                <w:szCs w:val="20"/>
              </w:rPr>
            </w:pPr>
            <w:r w:rsidRPr="008712F5">
              <w:rPr>
                <w:rFonts w:cstheme="minorHAnsi"/>
                <w:sz w:val="20"/>
                <w:szCs w:val="20"/>
              </w:rPr>
              <w:t>BTBG12B</w:t>
            </w:r>
          </w:p>
        </w:tc>
        <w:tc>
          <w:tcPr>
            <w:tcW w:w="4288" w:type="dxa"/>
          </w:tcPr>
          <w:p w14:paraId="39136ECD" w14:textId="47DCEA8E"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Ask students to explain their answers</w:t>
            </w:r>
          </w:p>
        </w:tc>
        <w:tc>
          <w:tcPr>
            <w:tcW w:w="567" w:type="dxa"/>
          </w:tcPr>
          <w:p w14:paraId="398E80D2" w14:textId="3A76B9C7"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X</w:t>
            </w:r>
          </w:p>
        </w:tc>
        <w:tc>
          <w:tcPr>
            <w:tcW w:w="425" w:type="dxa"/>
          </w:tcPr>
          <w:p w14:paraId="2AF0C3AB" w14:textId="77777777"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tcPr>
          <w:p w14:paraId="49E3504D" w14:textId="77777777"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712F5" w:rsidRPr="008712F5" w14:paraId="50F3C058" w14:textId="308C716A" w:rsidTr="005C7198">
        <w:trPr>
          <w:jc w:val="center"/>
        </w:trPr>
        <w:tc>
          <w:tcPr>
            <w:cnfStyle w:val="001000000000" w:firstRow="0" w:lastRow="0" w:firstColumn="1" w:lastColumn="0" w:oddVBand="0" w:evenVBand="0" w:oddHBand="0" w:evenHBand="0" w:firstRowFirstColumn="0" w:firstRowLastColumn="0" w:lastRowFirstColumn="0" w:lastRowLastColumn="0"/>
            <w:tcW w:w="1803" w:type="dxa"/>
          </w:tcPr>
          <w:p w14:paraId="11B5A71D" w14:textId="0A003704" w:rsidR="005C7198" w:rsidRPr="008712F5" w:rsidRDefault="005C7198" w:rsidP="00D1040A">
            <w:pPr>
              <w:spacing w:line="276" w:lineRule="auto"/>
              <w:rPr>
                <w:rFonts w:cstheme="minorHAnsi"/>
                <w:sz w:val="20"/>
                <w:szCs w:val="20"/>
              </w:rPr>
            </w:pPr>
            <w:r w:rsidRPr="008712F5">
              <w:rPr>
                <w:rFonts w:cstheme="minorHAnsi"/>
                <w:sz w:val="20"/>
                <w:szCs w:val="20"/>
              </w:rPr>
              <w:t>BTBG12C</w:t>
            </w:r>
          </w:p>
        </w:tc>
        <w:tc>
          <w:tcPr>
            <w:tcW w:w="4288" w:type="dxa"/>
          </w:tcPr>
          <w:p w14:paraId="00D8C46D" w14:textId="5842AC83"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Ask students to complete challenging exercises that require them to go beyond the instruction</w:t>
            </w:r>
          </w:p>
        </w:tc>
        <w:tc>
          <w:tcPr>
            <w:tcW w:w="567" w:type="dxa"/>
          </w:tcPr>
          <w:p w14:paraId="16F4489D" w14:textId="77C1E8C6"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X</w:t>
            </w:r>
          </w:p>
        </w:tc>
        <w:tc>
          <w:tcPr>
            <w:tcW w:w="425" w:type="dxa"/>
          </w:tcPr>
          <w:p w14:paraId="34927FA9"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tcPr>
          <w:p w14:paraId="16E7C860"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712F5" w:rsidRPr="008712F5" w14:paraId="0906C152" w14:textId="54FECEAF" w:rsidTr="005C71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3" w:type="dxa"/>
          </w:tcPr>
          <w:p w14:paraId="3226DD4A" w14:textId="739D6C6F" w:rsidR="005C7198" w:rsidRPr="008712F5" w:rsidRDefault="005C7198" w:rsidP="00D1040A">
            <w:pPr>
              <w:spacing w:line="276" w:lineRule="auto"/>
              <w:rPr>
                <w:rFonts w:cstheme="minorHAnsi"/>
                <w:sz w:val="20"/>
                <w:szCs w:val="20"/>
              </w:rPr>
            </w:pPr>
            <w:r w:rsidRPr="008712F5">
              <w:rPr>
                <w:rFonts w:cstheme="minorHAnsi"/>
                <w:sz w:val="20"/>
                <w:szCs w:val="20"/>
              </w:rPr>
              <w:t>BTBG12D</w:t>
            </w:r>
          </w:p>
        </w:tc>
        <w:tc>
          <w:tcPr>
            <w:tcW w:w="4288" w:type="dxa"/>
          </w:tcPr>
          <w:p w14:paraId="18043A40" w14:textId="0FAB1EB5"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Encourage classroom discussions among students</w:t>
            </w:r>
          </w:p>
        </w:tc>
        <w:tc>
          <w:tcPr>
            <w:tcW w:w="567" w:type="dxa"/>
          </w:tcPr>
          <w:p w14:paraId="753B5EF8" w14:textId="650BD9D5"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X</w:t>
            </w:r>
          </w:p>
        </w:tc>
        <w:tc>
          <w:tcPr>
            <w:tcW w:w="425" w:type="dxa"/>
          </w:tcPr>
          <w:p w14:paraId="01B7595E" w14:textId="77777777"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tcPr>
          <w:p w14:paraId="4E4BF82C" w14:textId="77777777"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712F5" w:rsidRPr="008712F5" w14:paraId="6B7180F1" w14:textId="537C9FB4" w:rsidTr="005C7198">
        <w:trPr>
          <w:jc w:val="center"/>
        </w:trPr>
        <w:tc>
          <w:tcPr>
            <w:cnfStyle w:val="001000000000" w:firstRow="0" w:lastRow="0" w:firstColumn="1" w:lastColumn="0" w:oddVBand="0" w:evenVBand="0" w:oddHBand="0" w:evenHBand="0" w:firstRowFirstColumn="0" w:firstRowLastColumn="0" w:lastRowFirstColumn="0" w:lastRowLastColumn="0"/>
            <w:tcW w:w="1803" w:type="dxa"/>
          </w:tcPr>
          <w:p w14:paraId="63332CB2" w14:textId="7E03DD66" w:rsidR="005C7198" w:rsidRPr="008712F5" w:rsidRDefault="005C7198" w:rsidP="00D1040A">
            <w:pPr>
              <w:spacing w:line="276" w:lineRule="auto"/>
              <w:rPr>
                <w:rFonts w:cstheme="minorHAnsi"/>
                <w:sz w:val="20"/>
                <w:szCs w:val="20"/>
              </w:rPr>
            </w:pPr>
            <w:r w:rsidRPr="008712F5">
              <w:rPr>
                <w:rFonts w:cstheme="minorHAnsi"/>
                <w:sz w:val="20"/>
                <w:szCs w:val="20"/>
              </w:rPr>
              <w:t>BTBG12E</w:t>
            </w:r>
          </w:p>
        </w:tc>
        <w:tc>
          <w:tcPr>
            <w:tcW w:w="4288" w:type="dxa"/>
          </w:tcPr>
          <w:p w14:paraId="3D469490" w14:textId="6111B9F0"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Link new content to students’ prior knowledge</w:t>
            </w:r>
          </w:p>
        </w:tc>
        <w:tc>
          <w:tcPr>
            <w:tcW w:w="567" w:type="dxa"/>
          </w:tcPr>
          <w:p w14:paraId="57BE215E" w14:textId="12B09B6B"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X</w:t>
            </w:r>
          </w:p>
        </w:tc>
        <w:tc>
          <w:tcPr>
            <w:tcW w:w="425" w:type="dxa"/>
          </w:tcPr>
          <w:p w14:paraId="3412F0CF"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tcPr>
          <w:p w14:paraId="6F078F8F"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712F5" w:rsidRPr="008712F5" w14:paraId="114B36CD" w14:textId="101B529E" w:rsidTr="005C71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3" w:type="dxa"/>
          </w:tcPr>
          <w:p w14:paraId="7C6C7EE1" w14:textId="57058CE5" w:rsidR="005C7198" w:rsidRPr="008712F5" w:rsidRDefault="005C7198" w:rsidP="00D1040A">
            <w:pPr>
              <w:spacing w:line="276" w:lineRule="auto"/>
              <w:rPr>
                <w:rFonts w:cstheme="minorHAnsi"/>
                <w:sz w:val="20"/>
                <w:szCs w:val="20"/>
              </w:rPr>
            </w:pPr>
            <w:r w:rsidRPr="008712F5">
              <w:rPr>
                <w:rFonts w:cstheme="minorHAnsi"/>
                <w:sz w:val="20"/>
                <w:szCs w:val="20"/>
              </w:rPr>
              <w:t>BTBG12F</w:t>
            </w:r>
          </w:p>
        </w:tc>
        <w:tc>
          <w:tcPr>
            <w:tcW w:w="4288" w:type="dxa"/>
          </w:tcPr>
          <w:p w14:paraId="694C7C24" w14:textId="7BD72EF6"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Ask students to decide their own problem solving procedures</w:t>
            </w:r>
          </w:p>
        </w:tc>
        <w:tc>
          <w:tcPr>
            <w:tcW w:w="567" w:type="dxa"/>
          </w:tcPr>
          <w:p w14:paraId="36435B67" w14:textId="1C4725F3"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X</w:t>
            </w:r>
          </w:p>
        </w:tc>
        <w:tc>
          <w:tcPr>
            <w:tcW w:w="425" w:type="dxa"/>
          </w:tcPr>
          <w:p w14:paraId="51164E97" w14:textId="77777777"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tcPr>
          <w:p w14:paraId="033D4002" w14:textId="77777777"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712F5" w:rsidRPr="008712F5" w14:paraId="2DB22A03" w14:textId="5FCD4093" w:rsidTr="005C7198">
        <w:trPr>
          <w:jc w:val="center"/>
        </w:trPr>
        <w:tc>
          <w:tcPr>
            <w:cnfStyle w:val="001000000000" w:firstRow="0" w:lastRow="0" w:firstColumn="1" w:lastColumn="0" w:oddVBand="0" w:evenVBand="0" w:oddHBand="0" w:evenHBand="0" w:firstRowFirstColumn="0" w:firstRowLastColumn="0" w:lastRowFirstColumn="0" w:lastRowLastColumn="0"/>
            <w:tcW w:w="1803" w:type="dxa"/>
          </w:tcPr>
          <w:p w14:paraId="0D821ABC" w14:textId="394B9E76" w:rsidR="005C7198" w:rsidRPr="008712F5" w:rsidRDefault="005C7198" w:rsidP="00D1040A">
            <w:pPr>
              <w:spacing w:line="276" w:lineRule="auto"/>
              <w:rPr>
                <w:rFonts w:cstheme="minorHAnsi"/>
                <w:sz w:val="20"/>
                <w:szCs w:val="20"/>
              </w:rPr>
            </w:pPr>
            <w:r w:rsidRPr="008712F5">
              <w:rPr>
                <w:rFonts w:cstheme="minorHAnsi"/>
                <w:sz w:val="20"/>
                <w:szCs w:val="20"/>
              </w:rPr>
              <w:t>BTBG12G</w:t>
            </w:r>
          </w:p>
        </w:tc>
        <w:tc>
          <w:tcPr>
            <w:tcW w:w="4288" w:type="dxa"/>
          </w:tcPr>
          <w:p w14:paraId="534863FB" w14:textId="38C5D0A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Encourage students to express their ideas in class</w:t>
            </w:r>
          </w:p>
        </w:tc>
        <w:tc>
          <w:tcPr>
            <w:tcW w:w="567" w:type="dxa"/>
          </w:tcPr>
          <w:p w14:paraId="1B306B2E" w14:textId="7087991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X</w:t>
            </w:r>
          </w:p>
        </w:tc>
        <w:tc>
          <w:tcPr>
            <w:tcW w:w="425" w:type="dxa"/>
          </w:tcPr>
          <w:p w14:paraId="2B8C72C4"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tcPr>
          <w:p w14:paraId="60333BEB"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712F5" w:rsidRPr="008712F5" w14:paraId="39D5E113" w14:textId="288E8229" w:rsidTr="005C71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3" w:type="dxa"/>
          </w:tcPr>
          <w:p w14:paraId="511DD3CB" w14:textId="697B11BE" w:rsidR="005C7198" w:rsidRPr="008712F5" w:rsidRDefault="005C7198" w:rsidP="00D1040A">
            <w:pPr>
              <w:spacing w:line="276" w:lineRule="auto"/>
              <w:rPr>
                <w:rFonts w:cstheme="minorHAnsi"/>
                <w:sz w:val="20"/>
                <w:szCs w:val="20"/>
              </w:rPr>
            </w:pPr>
            <w:r w:rsidRPr="008712F5">
              <w:rPr>
                <w:rFonts w:cstheme="minorHAnsi"/>
                <w:sz w:val="20"/>
                <w:szCs w:val="20"/>
              </w:rPr>
              <w:t>BTBM15A</w:t>
            </w:r>
          </w:p>
        </w:tc>
        <w:tc>
          <w:tcPr>
            <w:tcW w:w="4288" w:type="dxa"/>
          </w:tcPr>
          <w:p w14:paraId="00530158" w14:textId="582912FC"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Listen to me explain new mathematics content</w:t>
            </w:r>
          </w:p>
        </w:tc>
        <w:tc>
          <w:tcPr>
            <w:tcW w:w="567" w:type="dxa"/>
          </w:tcPr>
          <w:p w14:paraId="0B674458" w14:textId="1E4D3B32"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tcPr>
          <w:p w14:paraId="13B5A05E" w14:textId="13E4A55D"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X</w:t>
            </w:r>
          </w:p>
        </w:tc>
        <w:tc>
          <w:tcPr>
            <w:tcW w:w="425" w:type="dxa"/>
          </w:tcPr>
          <w:p w14:paraId="7E2425EC" w14:textId="77777777"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712F5" w:rsidRPr="008712F5" w14:paraId="4FF94A5E" w14:textId="4BCFD66E" w:rsidTr="005C7198">
        <w:trPr>
          <w:jc w:val="center"/>
        </w:trPr>
        <w:tc>
          <w:tcPr>
            <w:cnfStyle w:val="001000000000" w:firstRow="0" w:lastRow="0" w:firstColumn="1" w:lastColumn="0" w:oddVBand="0" w:evenVBand="0" w:oddHBand="0" w:evenHBand="0" w:firstRowFirstColumn="0" w:firstRowLastColumn="0" w:lastRowFirstColumn="0" w:lastRowLastColumn="0"/>
            <w:tcW w:w="1803" w:type="dxa"/>
          </w:tcPr>
          <w:p w14:paraId="7D3C3BD4" w14:textId="7CB77B6C" w:rsidR="005C7198" w:rsidRPr="008712F5" w:rsidRDefault="005C7198" w:rsidP="00D1040A">
            <w:pPr>
              <w:spacing w:line="276" w:lineRule="auto"/>
              <w:rPr>
                <w:rFonts w:cstheme="minorHAnsi"/>
                <w:sz w:val="20"/>
                <w:szCs w:val="20"/>
              </w:rPr>
            </w:pPr>
            <w:r w:rsidRPr="008712F5">
              <w:rPr>
                <w:rFonts w:cstheme="minorHAnsi"/>
                <w:sz w:val="20"/>
                <w:szCs w:val="20"/>
              </w:rPr>
              <w:t>BTBM15B</w:t>
            </w:r>
          </w:p>
        </w:tc>
        <w:tc>
          <w:tcPr>
            <w:tcW w:w="4288" w:type="dxa"/>
          </w:tcPr>
          <w:p w14:paraId="0AD03FE9" w14:textId="4C7148EA"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Listen to me explain how to solve problems</w:t>
            </w:r>
          </w:p>
        </w:tc>
        <w:tc>
          <w:tcPr>
            <w:tcW w:w="567" w:type="dxa"/>
          </w:tcPr>
          <w:p w14:paraId="723085EA"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tcPr>
          <w:p w14:paraId="4A8E4BA8" w14:textId="3F70BD72"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X</w:t>
            </w:r>
          </w:p>
        </w:tc>
        <w:tc>
          <w:tcPr>
            <w:tcW w:w="425" w:type="dxa"/>
          </w:tcPr>
          <w:p w14:paraId="7F621200"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8712F5" w:rsidRPr="008712F5" w14:paraId="0979A6C0" w14:textId="7059743F" w:rsidTr="005C71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3" w:type="dxa"/>
          </w:tcPr>
          <w:p w14:paraId="01B8CAFC" w14:textId="6E2927A5" w:rsidR="005C7198" w:rsidRPr="008712F5" w:rsidRDefault="005C7198" w:rsidP="00D1040A">
            <w:pPr>
              <w:spacing w:line="276" w:lineRule="auto"/>
              <w:rPr>
                <w:rFonts w:cstheme="minorHAnsi"/>
                <w:sz w:val="20"/>
                <w:szCs w:val="20"/>
              </w:rPr>
            </w:pPr>
            <w:r w:rsidRPr="008712F5">
              <w:rPr>
                <w:rFonts w:cstheme="minorHAnsi"/>
                <w:sz w:val="20"/>
                <w:szCs w:val="20"/>
              </w:rPr>
              <w:t>BTBM15C</w:t>
            </w:r>
          </w:p>
        </w:tc>
        <w:tc>
          <w:tcPr>
            <w:tcW w:w="4288" w:type="dxa"/>
          </w:tcPr>
          <w:p w14:paraId="294FD534" w14:textId="3365EE01"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Memorize rules, procedures, and facts</w:t>
            </w:r>
          </w:p>
        </w:tc>
        <w:tc>
          <w:tcPr>
            <w:tcW w:w="567" w:type="dxa"/>
          </w:tcPr>
          <w:p w14:paraId="76B2F372" w14:textId="77777777"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tcPr>
          <w:p w14:paraId="4A325F2A" w14:textId="632085E5"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X</w:t>
            </w:r>
          </w:p>
        </w:tc>
        <w:tc>
          <w:tcPr>
            <w:tcW w:w="425" w:type="dxa"/>
          </w:tcPr>
          <w:p w14:paraId="32CD849B" w14:textId="77777777"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8712F5" w:rsidRPr="008712F5" w14:paraId="34CB55E1" w14:textId="1165018F" w:rsidTr="005C7198">
        <w:trPr>
          <w:jc w:val="center"/>
        </w:trPr>
        <w:tc>
          <w:tcPr>
            <w:cnfStyle w:val="001000000000" w:firstRow="0" w:lastRow="0" w:firstColumn="1" w:lastColumn="0" w:oddVBand="0" w:evenVBand="0" w:oddHBand="0" w:evenHBand="0" w:firstRowFirstColumn="0" w:firstRowLastColumn="0" w:lastRowFirstColumn="0" w:lastRowLastColumn="0"/>
            <w:tcW w:w="1803" w:type="dxa"/>
          </w:tcPr>
          <w:p w14:paraId="269D4D54" w14:textId="0B3E259A" w:rsidR="005C7198" w:rsidRPr="008712F5" w:rsidRDefault="005C7198" w:rsidP="00D1040A">
            <w:pPr>
              <w:spacing w:line="276" w:lineRule="auto"/>
              <w:rPr>
                <w:rFonts w:cstheme="minorHAnsi"/>
                <w:sz w:val="20"/>
                <w:szCs w:val="20"/>
              </w:rPr>
            </w:pPr>
            <w:r w:rsidRPr="008712F5">
              <w:rPr>
                <w:rFonts w:cstheme="minorHAnsi"/>
                <w:sz w:val="20"/>
                <w:szCs w:val="20"/>
              </w:rPr>
              <w:t>BTBM15D</w:t>
            </w:r>
          </w:p>
        </w:tc>
        <w:tc>
          <w:tcPr>
            <w:tcW w:w="4288" w:type="dxa"/>
          </w:tcPr>
          <w:p w14:paraId="7BAC4D2E" w14:textId="4E265FED"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Practice procedures on their own</w:t>
            </w:r>
          </w:p>
        </w:tc>
        <w:tc>
          <w:tcPr>
            <w:tcW w:w="567" w:type="dxa"/>
          </w:tcPr>
          <w:p w14:paraId="1C19CA5C"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tcPr>
          <w:p w14:paraId="2474ED96" w14:textId="1B814055"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tcPr>
          <w:p w14:paraId="6AF976DB" w14:textId="7F0F609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X</w:t>
            </w:r>
          </w:p>
        </w:tc>
      </w:tr>
      <w:tr w:rsidR="008712F5" w:rsidRPr="008712F5" w14:paraId="0A7B778F" w14:textId="7F519A54" w:rsidTr="005C71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03" w:type="dxa"/>
          </w:tcPr>
          <w:p w14:paraId="03EB04D5" w14:textId="17A56EB1" w:rsidR="005C7198" w:rsidRPr="008712F5" w:rsidRDefault="005C7198" w:rsidP="00D1040A">
            <w:pPr>
              <w:spacing w:line="276" w:lineRule="auto"/>
              <w:rPr>
                <w:rFonts w:cstheme="minorHAnsi"/>
                <w:sz w:val="20"/>
                <w:szCs w:val="20"/>
              </w:rPr>
            </w:pPr>
            <w:r w:rsidRPr="008712F5">
              <w:rPr>
                <w:rFonts w:cstheme="minorHAnsi"/>
                <w:sz w:val="20"/>
                <w:szCs w:val="20"/>
              </w:rPr>
              <w:t>BTBM15E</w:t>
            </w:r>
          </w:p>
        </w:tc>
        <w:tc>
          <w:tcPr>
            <w:tcW w:w="4288" w:type="dxa"/>
          </w:tcPr>
          <w:p w14:paraId="6A2514F3" w14:textId="15649436"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Apply what they have learned to new problem situations on their own</w:t>
            </w:r>
          </w:p>
        </w:tc>
        <w:tc>
          <w:tcPr>
            <w:tcW w:w="567" w:type="dxa"/>
          </w:tcPr>
          <w:p w14:paraId="2BA1A99C" w14:textId="488DB2C1"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tcPr>
          <w:p w14:paraId="73F49EC2" w14:textId="77777777"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425" w:type="dxa"/>
          </w:tcPr>
          <w:p w14:paraId="789A8292" w14:textId="0BF96FD4" w:rsidR="005C7198" w:rsidRPr="008712F5" w:rsidRDefault="005C7198" w:rsidP="00D1040A">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712F5">
              <w:rPr>
                <w:rFonts w:cstheme="minorHAnsi"/>
                <w:sz w:val="20"/>
                <w:szCs w:val="20"/>
              </w:rPr>
              <w:t>X</w:t>
            </w:r>
          </w:p>
        </w:tc>
      </w:tr>
      <w:tr w:rsidR="008712F5" w:rsidRPr="008712F5" w14:paraId="72289681" w14:textId="5A901732" w:rsidTr="005C7198">
        <w:trPr>
          <w:jc w:val="center"/>
        </w:trPr>
        <w:tc>
          <w:tcPr>
            <w:cnfStyle w:val="001000000000" w:firstRow="0" w:lastRow="0" w:firstColumn="1" w:lastColumn="0" w:oddVBand="0" w:evenVBand="0" w:oddHBand="0" w:evenHBand="0" w:firstRowFirstColumn="0" w:firstRowLastColumn="0" w:lastRowFirstColumn="0" w:lastRowLastColumn="0"/>
            <w:tcW w:w="1803" w:type="dxa"/>
          </w:tcPr>
          <w:p w14:paraId="34908A7F" w14:textId="12DC75BB" w:rsidR="005C7198" w:rsidRPr="008712F5" w:rsidRDefault="005C7198" w:rsidP="00D1040A">
            <w:pPr>
              <w:spacing w:line="276" w:lineRule="auto"/>
              <w:rPr>
                <w:rFonts w:cstheme="minorHAnsi"/>
                <w:sz w:val="20"/>
                <w:szCs w:val="20"/>
              </w:rPr>
            </w:pPr>
            <w:r w:rsidRPr="008712F5">
              <w:rPr>
                <w:rFonts w:cstheme="minorHAnsi"/>
                <w:sz w:val="20"/>
                <w:szCs w:val="20"/>
              </w:rPr>
              <w:t>BTBM15F</w:t>
            </w:r>
          </w:p>
        </w:tc>
        <w:tc>
          <w:tcPr>
            <w:tcW w:w="4288" w:type="dxa"/>
          </w:tcPr>
          <w:p w14:paraId="281DEEEC" w14:textId="33A1233F"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Work problems together in the whole class with direct guidance from me</w:t>
            </w:r>
          </w:p>
        </w:tc>
        <w:tc>
          <w:tcPr>
            <w:tcW w:w="567" w:type="dxa"/>
          </w:tcPr>
          <w:p w14:paraId="1F63A3D6" w14:textId="77777777"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tcPr>
          <w:p w14:paraId="4C9102E3" w14:textId="72F3B1AB"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425" w:type="dxa"/>
          </w:tcPr>
          <w:p w14:paraId="64D6B240" w14:textId="7B43CBF0" w:rsidR="005C7198" w:rsidRPr="008712F5" w:rsidRDefault="005C7198" w:rsidP="00D1040A">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712F5">
              <w:rPr>
                <w:rFonts w:cstheme="minorHAnsi"/>
                <w:sz w:val="20"/>
                <w:szCs w:val="20"/>
              </w:rPr>
              <w:t>X</w:t>
            </w:r>
          </w:p>
        </w:tc>
      </w:tr>
    </w:tbl>
    <w:p w14:paraId="05B01046" w14:textId="77777777" w:rsidR="001F6E35" w:rsidRPr="008712F5" w:rsidRDefault="001F6E35" w:rsidP="00D1040A">
      <w:pPr>
        <w:spacing w:line="276" w:lineRule="auto"/>
        <w:rPr>
          <w:rFonts w:ascii="Times New Roman" w:hAnsi="Times New Roman" w:cs="Times New Roman"/>
        </w:rPr>
      </w:pPr>
    </w:p>
    <w:p w14:paraId="4F50AE02" w14:textId="03A508E2" w:rsidR="00F52178" w:rsidRPr="008712F5" w:rsidRDefault="00387E1C" w:rsidP="00EA0248">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All items were first </w:t>
      </w:r>
      <w:r w:rsidR="00F40412" w:rsidRPr="008712F5">
        <w:rPr>
          <w:rFonts w:ascii="Times New Roman" w:hAnsi="Times New Roman" w:cs="Times New Roman"/>
          <w:sz w:val="24"/>
          <w:szCs w:val="24"/>
        </w:rPr>
        <w:t xml:space="preserve">reverse </w:t>
      </w:r>
      <w:r w:rsidRPr="008712F5">
        <w:rPr>
          <w:rFonts w:ascii="Times New Roman" w:hAnsi="Times New Roman" w:cs="Times New Roman"/>
          <w:sz w:val="24"/>
          <w:szCs w:val="24"/>
        </w:rPr>
        <w:t>coded (4 became 1, 3 became 2, 2 became 3, 1 became 4) so that ‘higher’ denoted ‘more’. Then</w:t>
      </w:r>
      <w:r w:rsidR="000F6707" w:rsidRPr="008712F5">
        <w:rPr>
          <w:rFonts w:ascii="Times New Roman" w:hAnsi="Times New Roman" w:cs="Times New Roman"/>
          <w:sz w:val="24"/>
          <w:szCs w:val="24"/>
        </w:rPr>
        <w:t xml:space="preserve"> an Exploratory Factor Analysis </w:t>
      </w:r>
      <w:r w:rsidR="004344AF" w:rsidRPr="008712F5">
        <w:rPr>
          <w:rFonts w:ascii="Times New Roman" w:hAnsi="Times New Roman" w:cs="Times New Roman"/>
          <w:sz w:val="24"/>
          <w:szCs w:val="24"/>
        </w:rPr>
        <w:t xml:space="preserve">(EFA) </w:t>
      </w:r>
      <w:r w:rsidR="006358BC" w:rsidRPr="008712F5">
        <w:rPr>
          <w:rFonts w:ascii="Times New Roman" w:hAnsi="Times New Roman" w:cs="Times New Roman"/>
          <w:sz w:val="24"/>
          <w:szCs w:val="24"/>
        </w:rPr>
        <w:t xml:space="preserve">with varimax rotation </w:t>
      </w:r>
      <w:r w:rsidR="000F6707" w:rsidRPr="008712F5">
        <w:rPr>
          <w:rFonts w:ascii="Times New Roman" w:hAnsi="Times New Roman" w:cs="Times New Roman"/>
          <w:sz w:val="24"/>
          <w:szCs w:val="24"/>
        </w:rPr>
        <w:t>was conducted with the thirteen questionnaire items</w:t>
      </w:r>
      <w:r w:rsidR="006402FB" w:rsidRPr="008712F5">
        <w:rPr>
          <w:rFonts w:ascii="Times New Roman" w:hAnsi="Times New Roman" w:cs="Times New Roman"/>
          <w:sz w:val="24"/>
          <w:szCs w:val="24"/>
        </w:rPr>
        <w:t xml:space="preserve">, using the </w:t>
      </w:r>
      <w:r w:rsidR="006402FB" w:rsidRPr="008712F5">
        <w:rPr>
          <w:rFonts w:ascii="Times New Roman" w:hAnsi="Times New Roman" w:cs="Times New Roman"/>
          <w:i/>
          <w:iCs/>
          <w:sz w:val="24"/>
          <w:szCs w:val="24"/>
        </w:rPr>
        <w:t>psych</w:t>
      </w:r>
      <w:r w:rsidR="006402FB" w:rsidRPr="008712F5">
        <w:rPr>
          <w:rFonts w:ascii="Times New Roman" w:hAnsi="Times New Roman" w:cs="Times New Roman"/>
          <w:sz w:val="24"/>
          <w:szCs w:val="24"/>
        </w:rPr>
        <w:t xml:space="preserve"> package</w:t>
      </w:r>
      <w:r w:rsidR="004A595A" w:rsidRPr="008712F5">
        <w:rPr>
          <w:rFonts w:ascii="Times New Roman" w:hAnsi="Times New Roman" w:cs="Times New Roman"/>
          <w:sz w:val="24"/>
          <w:szCs w:val="24"/>
        </w:rPr>
        <w:t xml:space="preserve"> in R (</w:t>
      </w:r>
      <w:proofErr w:type="spellStart"/>
      <w:r w:rsidR="004A595A" w:rsidRPr="008712F5">
        <w:rPr>
          <w:rFonts w:ascii="Times New Roman" w:hAnsi="Times New Roman" w:cs="Times New Roman"/>
          <w:sz w:val="24"/>
          <w:szCs w:val="24"/>
        </w:rPr>
        <w:t>Revelle</w:t>
      </w:r>
      <w:proofErr w:type="spellEnd"/>
      <w:r w:rsidR="004A595A" w:rsidRPr="008712F5">
        <w:rPr>
          <w:rFonts w:ascii="Times New Roman" w:hAnsi="Times New Roman" w:cs="Times New Roman"/>
          <w:sz w:val="24"/>
          <w:szCs w:val="24"/>
        </w:rPr>
        <w:t xml:space="preserve">, </w:t>
      </w:r>
      <w:r w:rsidR="004A595A" w:rsidRPr="008712F5">
        <w:rPr>
          <w:rFonts w:ascii="Times New Roman" w:hAnsi="Times New Roman" w:cs="Times New Roman"/>
          <w:sz w:val="24"/>
          <w:szCs w:val="24"/>
        </w:rPr>
        <w:lastRenderedPageBreak/>
        <w:t>2022).</w:t>
      </w:r>
      <w:r w:rsidR="006402FB" w:rsidRPr="008712F5">
        <w:rPr>
          <w:rFonts w:ascii="Times New Roman" w:hAnsi="Times New Roman" w:cs="Times New Roman"/>
          <w:sz w:val="24"/>
          <w:szCs w:val="24"/>
        </w:rPr>
        <w:t xml:space="preserve"> A scree plot indicated that a three- or four-factor solution would fit best, but upon trying a four-factor solution, one </w:t>
      </w:r>
      <w:r w:rsidR="00667C46" w:rsidRPr="008712F5">
        <w:rPr>
          <w:rFonts w:ascii="Times New Roman" w:hAnsi="Times New Roman" w:cs="Times New Roman"/>
          <w:sz w:val="24"/>
          <w:szCs w:val="24"/>
        </w:rPr>
        <w:t xml:space="preserve">questionnaire </w:t>
      </w:r>
      <w:r w:rsidR="006402FB" w:rsidRPr="008712F5">
        <w:rPr>
          <w:rFonts w:ascii="Times New Roman" w:hAnsi="Times New Roman" w:cs="Times New Roman"/>
          <w:sz w:val="24"/>
          <w:szCs w:val="24"/>
        </w:rPr>
        <w:t xml:space="preserve">item (BTNM15F) </w:t>
      </w:r>
      <w:r w:rsidR="00667C46" w:rsidRPr="008712F5">
        <w:rPr>
          <w:rFonts w:ascii="Times New Roman" w:hAnsi="Times New Roman" w:cs="Times New Roman"/>
          <w:sz w:val="24"/>
          <w:szCs w:val="24"/>
        </w:rPr>
        <w:t xml:space="preserve">was not loaded on a factor. Furthermore, three questionnaire items loaded on two factors. </w:t>
      </w:r>
      <w:r w:rsidR="002C21FB" w:rsidRPr="008712F5">
        <w:rPr>
          <w:rFonts w:ascii="Times New Roman" w:hAnsi="Times New Roman" w:cs="Times New Roman"/>
          <w:sz w:val="24"/>
          <w:szCs w:val="24"/>
        </w:rPr>
        <w:t>Regarding model fit</w:t>
      </w:r>
      <w:r w:rsidR="00667C46" w:rsidRPr="008712F5">
        <w:rPr>
          <w:rFonts w:ascii="Times New Roman" w:hAnsi="Times New Roman" w:cs="Times New Roman"/>
          <w:sz w:val="24"/>
          <w:szCs w:val="24"/>
        </w:rPr>
        <w:t xml:space="preserve"> for the three-factor solution</w:t>
      </w:r>
      <w:r w:rsidR="002C21FB" w:rsidRPr="008712F5">
        <w:rPr>
          <w:rFonts w:ascii="Times New Roman" w:hAnsi="Times New Roman" w:cs="Times New Roman"/>
          <w:sz w:val="24"/>
          <w:szCs w:val="24"/>
        </w:rPr>
        <w:t xml:space="preserve">, the RMSEA index </w:t>
      </w:r>
      <w:r w:rsidR="004A595A" w:rsidRPr="008712F5">
        <w:rPr>
          <w:rFonts w:ascii="Times New Roman" w:hAnsi="Times New Roman" w:cs="Times New Roman"/>
          <w:sz w:val="24"/>
          <w:szCs w:val="24"/>
        </w:rPr>
        <w:t>was</w:t>
      </w:r>
      <w:r w:rsidR="002C21FB" w:rsidRPr="008712F5">
        <w:rPr>
          <w:rFonts w:ascii="Times New Roman" w:hAnsi="Times New Roman" w:cs="Times New Roman"/>
          <w:sz w:val="24"/>
          <w:szCs w:val="24"/>
        </w:rPr>
        <w:t xml:space="preserve"> 0.051; according to Hu and </w:t>
      </w:r>
      <w:proofErr w:type="spellStart"/>
      <w:r w:rsidR="002C21FB" w:rsidRPr="008712F5">
        <w:rPr>
          <w:rFonts w:ascii="Times New Roman" w:hAnsi="Times New Roman" w:cs="Times New Roman"/>
          <w:sz w:val="24"/>
          <w:szCs w:val="24"/>
        </w:rPr>
        <w:t>Bentler</w:t>
      </w:r>
      <w:proofErr w:type="spellEnd"/>
      <w:r w:rsidR="002C21FB" w:rsidRPr="008712F5">
        <w:rPr>
          <w:rFonts w:ascii="Times New Roman" w:hAnsi="Times New Roman" w:cs="Times New Roman"/>
          <w:sz w:val="24"/>
          <w:szCs w:val="24"/>
        </w:rPr>
        <w:t xml:space="preserve"> (1999) this indicates close fit. </w:t>
      </w:r>
      <w:r w:rsidR="004A595A" w:rsidRPr="008712F5">
        <w:rPr>
          <w:rFonts w:ascii="Times New Roman" w:hAnsi="Times New Roman" w:cs="Times New Roman"/>
          <w:sz w:val="24"/>
          <w:szCs w:val="24"/>
        </w:rPr>
        <w:t xml:space="preserve">The </w:t>
      </w:r>
      <w:r w:rsidR="006402FB" w:rsidRPr="008712F5">
        <w:rPr>
          <w:rFonts w:ascii="Times New Roman" w:hAnsi="Times New Roman" w:cs="Times New Roman"/>
          <w:sz w:val="24"/>
          <w:szCs w:val="24"/>
        </w:rPr>
        <w:t xml:space="preserve">Tucker-Lewis Index (TLI) </w:t>
      </w:r>
      <w:r w:rsidR="004A595A" w:rsidRPr="008712F5">
        <w:rPr>
          <w:rFonts w:ascii="Times New Roman" w:hAnsi="Times New Roman" w:cs="Times New Roman"/>
          <w:sz w:val="24"/>
          <w:szCs w:val="24"/>
        </w:rPr>
        <w:t>was</w:t>
      </w:r>
      <w:r w:rsidR="006402FB" w:rsidRPr="008712F5">
        <w:rPr>
          <w:rFonts w:ascii="Times New Roman" w:hAnsi="Times New Roman" w:cs="Times New Roman"/>
          <w:sz w:val="24"/>
          <w:szCs w:val="24"/>
        </w:rPr>
        <w:t xml:space="preserve"> 0.936 – an acceptable value considering it’s over 0.9. Finally</w:t>
      </w:r>
      <w:r w:rsidR="004A595A" w:rsidRPr="008712F5">
        <w:rPr>
          <w:rFonts w:ascii="Times New Roman" w:hAnsi="Times New Roman" w:cs="Times New Roman"/>
          <w:sz w:val="24"/>
          <w:szCs w:val="24"/>
        </w:rPr>
        <w:t>, the</w:t>
      </w:r>
      <w:r w:rsidR="006402FB" w:rsidRPr="008712F5">
        <w:rPr>
          <w:rFonts w:ascii="Times New Roman" w:hAnsi="Times New Roman" w:cs="Times New Roman"/>
          <w:sz w:val="24"/>
          <w:szCs w:val="24"/>
        </w:rPr>
        <w:t xml:space="preserve"> RMSR </w:t>
      </w:r>
      <w:r w:rsidR="004A595A" w:rsidRPr="008712F5">
        <w:rPr>
          <w:rFonts w:ascii="Times New Roman" w:hAnsi="Times New Roman" w:cs="Times New Roman"/>
          <w:sz w:val="24"/>
          <w:szCs w:val="24"/>
        </w:rPr>
        <w:t>was</w:t>
      </w:r>
      <w:r w:rsidR="006402FB" w:rsidRPr="008712F5">
        <w:rPr>
          <w:rFonts w:ascii="Times New Roman" w:hAnsi="Times New Roman" w:cs="Times New Roman"/>
          <w:sz w:val="24"/>
          <w:szCs w:val="24"/>
        </w:rPr>
        <w:t xml:space="preserve"> 0.05, with values up to .08 </w:t>
      </w:r>
      <w:r w:rsidR="004A595A" w:rsidRPr="008712F5">
        <w:rPr>
          <w:rFonts w:ascii="Times New Roman" w:hAnsi="Times New Roman" w:cs="Times New Roman"/>
          <w:sz w:val="24"/>
          <w:szCs w:val="24"/>
        </w:rPr>
        <w:t>being</w:t>
      </w:r>
      <w:r w:rsidR="006402FB" w:rsidRPr="008712F5">
        <w:rPr>
          <w:rFonts w:ascii="Times New Roman" w:hAnsi="Times New Roman" w:cs="Times New Roman"/>
          <w:sz w:val="24"/>
          <w:szCs w:val="24"/>
        </w:rPr>
        <w:t xml:space="preserve"> acceptable (Hu &amp; </w:t>
      </w:r>
      <w:proofErr w:type="spellStart"/>
      <w:r w:rsidR="006402FB" w:rsidRPr="008712F5">
        <w:rPr>
          <w:rFonts w:ascii="Times New Roman" w:hAnsi="Times New Roman" w:cs="Times New Roman"/>
          <w:sz w:val="24"/>
          <w:szCs w:val="24"/>
        </w:rPr>
        <w:t>Bentler</w:t>
      </w:r>
      <w:proofErr w:type="spellEnd"/>
      <w:r w:rsidR="006402FB" w:rsidRPr="008712F5">
        <w:rPr>
          <w:rFonts w:ascii="Times New Roman" w:hAnsi="Times New Roman" w:cs="Times New Roman"/>
          <w:sz w:val="24"/>
          <w:szCs w:val="24"/>
        </w:rPr>
        <w:t>, 1999).</w:t>
      </w:r>
      <w:r w:rsidR="00667C46" w:rsidRPr="008712F5">
        <w:rPr>
          <w:rFonts w:ascii="Times New Roman" w:hAnsi="Times New Roman" w:cs="Times New Roman"/>
          <w:sz w:val="24"/>
          <w:szCs w:val="24"/>
        </w:rPr>
        <w:t xml:space="preserve"> Using a threshold for loadings over .3, Table I indicates the three factors we translated in scales. BTBG12A-G </w:t>
      </w:r>
      <w:r w:rsidR="00A86247" w:rsidRPr="008712F5">
        <w:rPr>
          <w:rFonts w:ascii="Times New Roman" w:hAnsi="Times New Roman" w:cs="Times New Roman"/>
          <w:sz w:val="24"/>
          <w:szCs w:val="24"/>
        </w:rPr>
        <w:t xml:space="preserve">averaged </w:t>
      </w:r>
      <w:r w:rsidR="00667C46" w:rsidRPr="008712F5">
        <w:rPr>
          <w:rFonts w:ascii="Times New Roman" w:hAnsi="Times New Roman" w:cs="Times New Roman"/>
          <w:sz w:val="24"/>
          <w:szCs w:val="24"/>
        </w:rPr>
        <w:t>together make a scale we called ‘Generative’</w:t>
      </w:r>
      <w:r w:rsidR="00A86247" w:rsidRPr="008712F5">
        <w:rPr>
          <w:rFonts w:ascii="Times New Roman" w:hAnsi="Times New Roman" w:cs="Times New Roman"/>
          <w:sz w:val="24"/>
          <w:szCs w:val="24"/>
        </w:rPr>
        <w:t xml:space="preserve"> (GEN)</w:t>
      </w:r>
      <w:r w:rsidR="00667C46" w:rsidRPr="008712F5">
        <w:rPr>
          <w:rFonts w:ascii="Times New Roman" w:hAnsi="Times New Roman" w:cs="Times New Roman"/>
          <w:sz w:val="24"/>
          <w:szCs w:val="24"/>
        </w:rPr>
        <w:t xml:space="preserve"> as we felt the items asked students actively generate knowledge</w:t>
      </w:r>
      <w:r w:rsidR="00CA4F42" w:rsidRPr="008712F5">
        <w:rPr>
          <w:rFonts w:ascii="Times New Roman" w:hAnsi="Times New Roman" w:cs="Times New Roman"/>
          <w:sz w:val="24"/>
          <w:szCs w:val="24"/>
        </w:rPr>
        <w:t xml:space="preserve"> (alpha=.779).</w:t>
      </w:r>
      <w:r w:rsidR="00667C46" w:rsidRPr="008712F5">
        <w:rPr>
          <w:rFonts w:ascii="Times New Roman" w:hAnsi="Times New Roman" w:cs="Times New Roman"/>
          <w:sz w:val="24"/>
          <w:szCs w:val="24"/>
        </w:rPr>
        <w:t xml:space="preserve"> BTBM15A-C </w:t>
      </w:r>
      <w:r w:rsidR="00A86247" w:rsidRPr="008712F5">
        <w:rPr>
          <w:rFonts w:ascii="Times New Roman" w:hAnsi="Times New Roman" w:cs="Times New Roman"/>
          <w:sz w:val="24"/>
          <w:szCs w:val="24"/>
        </w:rPr>
        <w:t xml:space="preserve">averaged </w:t>
      </w:r>
      <w:r w:rsidR="00667C46" w:rsidRPr="008712F5">
        <w:rPr>
          <w:rFonts w:ascii="Times New Roman" w:hAnsi="Times New Roman" w:cs="Times New Roman"/>
          <w:sz w:val="24"/>
          <w:szCs w:val="24"/>
        </w:rPr>
        <w:t>together make a scale that refers to more teacher activity</w:t>
      </w:r>
      <w:r w:rsidR="004344AF" w:rsidRPr="008712F5">
        <w:rPr>
          <w:rFonts w:ascii="Times New Roman" w:hAnsi="Times New Roman" w:cs="Times New Roman"/>
          <w:sz w:val="24"/>
          <w:szCs w:val="24"/>
        </w:rPr>
        <w:t xml:space="preserve">, so we called it </w:t>
      </w:r>
      <w:r w:rsidR="00A86247" w:rsidRPr="008712F5">
        <w:rPr>
          <w:rFonts w:ascii="Times New Roman" w:hAnsi="Times New Roman" w:cs="Times New Roman"/>
          <w:sz w:val="24"/>
          <w:szCs w:val="24"/>
        </w:rPr>
        <w:t>‘Teacher-Active’ (TA</w:t>
      </w:r>
      <w:r w:rsidR="00CA4F42" w:rsidRPr="008712F5">
        <w:rPr>
          <w:rFonts w:ascii="Times New Roman" w:hAnsi="Times New Roman" w:cs="Times New Roman"/>
          <w:sz w:val="24"/>
          <w:szCs w:val="24"/>
        </w:rPr>
        <w:t>, alpha=.725</w:t>
      </w:r>
      <w:r w:rsidR="00A86247" w:rsidRPr="008712F5">
        <w:rPr>
          <w:rFonts w:ascii="Times New Roman" w:hAnsi="Times New Roman" w:cs="Times New Roman"/>
          <w:sz w:val="24"/>
          <w:szCs w:val="24"/>
        </w:rPr>
        <w:t xml:space="preserve">). Finally, we averaged BTBM15D-F to make a scale that </w:t>
      </w:r>
      <w:r w:rsidR="00123C75" w:rsidRPr="008712F5">
        <w:rPr>
          <w:rFonts w:ascii="Times New Roman" w:hAnsi="Times New Roman" w:cs="Times New Roman"/>
          <w:sz w:val="24"/>
          <w:szCs w:val="24"/>
        </w:rPr>
        <w:t>referred ‘Practice-on-</w:t>
      </w:r>
      <w:r w:rsidR="004A595A" w:rsidRPr="008712F5">
        <w:rPr>
          <w:rFonts w:ascii="Times New Roman" w:hAnsi="Times New Roman" w:cs="Times New Roman"/>
          <w:sz w:val="24"/>
          <w:szCs w:val="24"/>
        </w:rPr>
        <w:t>O</w:t>
      </w:r>
      <w:r w:rsidR="00123C75" w:rsidRPr="008712F5">
        <w:rPr>
          <w:rFonts w:ascii="Times New Roman" w:hAnsi="Times New Roman" w:cs="Times New Roman"/>
          <w:sz w:val="24"/>
          <w:szCs w:val="24"/>
        </w:rPr>
        <w:t>wn’ (PO</w:t>
      </w:r>
      <w:r w:rsidR="00CA4F42" w:rsidRPr="008712F5">
        <w:rPr>
          <w:rFonts w:ascii="Times New Roman" w:hAnsi="Times New Roman" w:cs="Times New Roman"/>
          <w:sz w:val="24"/>
          <w:szCs w:val="24"/>
        </w:rPr>
        <w:t>, alpha=.609</w:t>
      </w:r>
      <w:r w:rsidR="00123C75" w:rsidRPr="008712F5">
        <w:rPr>
          <w:rFonts w:ascii="Times New Roman" w:hAnsi="Times New Roman" w:cs="Times New Roman"/>
          <w:sz w:val="24"/>
          <w:szCs w:val="24"/>
        </w:rPr>
        <w:t>)</w:t>
      </w:r>
      <w:r w:rsidR="00123C75" w:rsidRPr="008712F5">
        <w:rPr>
          <w:rStyle w:val="EndnoteReference"/>
          <w:rFonts w:ascii="Times New Roman" w:hAnsi="Times New Roman" w:cs="Times New Roman"/>
          <w:sz w:val="24"/>
          <w:szCs w:val="24"/>
        </w:rPr>
        <w:endnoteReference w:id="5"/>
      </w:r>
      <w:r w:rsidR="00123C75" w:rsidRPr="008712F5">
        <w:rPr>
          <w:rFonts w:ascii="Times New Roman" w:hAnsi="Times New Roman" w:cs="Times New Roman"/>
          <w:sz w:val="24"/>
          <w:szCs w:val="24"/>
        </w:rPr>
        <w:t xml:space="preserve">. </w:t>
      </w:r>
      <w:r w:rsidR="00BA0C2B" w:rsidRPr="008712F5">
        <w:rPr>
          <w:rFonts w:ascii="Times New Roman" w:hAnsi="Times New Roman" w:cs="Times New Roman"/>
          <w:sz w:val="24"/>
          <w:szCs w:val="24"/>
        </w:rPr>
        <w:t xml:space="preserve">Note that </w:t>
      </w:r>
      <w:r w:rsidR="004344AF" w:rsidRPr="008712F5">
        <w:rPr>
          <w:rFonts w:ascii="Times New Roman" w:hAnsi="Times New Roman" w:cs="Times New Roman"/>
          <w:sz w:val="24"/>
          <w:szCs w:val="24"/>
        </w:rPr>
        <w:t xml:space="preserve">although the EFA resulted in disjunct scales, </w:t>
      </w:r>
      <w:r w:rsidR="00A1564A" w:rsidRPr="008712F5">
        <w:rPr>
          <w:rFonts w:ascii="Times New Roman" w:hAnsi="Times New Roman" w:cs="Times New Roman"/>
          <w:sz w:val="24"/>
          <w:szCs w:val="24"/>
        </w:rPr>
        <w:t>this study does not</w:t>
      </w:r>
      <w:r w:rsidR="00BA0C2B" w:rsidRPr="008712F5">
        <w:rPr>
          <w:rFonts w:ascii="Times New Roman" w:hAnsi="Times New Roman" w:cs="Times New Roman"/>
          <w:sz w:val="24"/>
          <w:szCs w:val="24"/>
        </w:rPr>
        <w:t xml:space="preserve"> see the scales as mutually exclusive, </w:t>
      </w:r>
      <w:r w:rsidR="004344AF" w:rsidRPr="008712F5">
        <w:rPr>
          <w:rFonts w:ascii="Times New Roman" w:hAnsi="Times New Roman" w:cs="Times New Roman"/>
          <w:sz w:val="24"/>
          <w:szCs w:val="24"/>
        </w:rPr>
        <w:t xml:space="preserve">as it is perfectly possible to employ generative instructional practices, </w:t>
      </w:r>
      <w:r w:rsidR="004A595A" w:rsidRPr="008712F5">
        <w:rPr>
          <w:rFonts w:ascii="Times New Roman" w:hAnsi="Times New Roman" w:cs="Times New Roman"/>
          <w:sz w:val="24"/>
          <w:szCs w:val="24"/>
        </w:rPr>
        <w:t>teacher direction</w:t>
      </w:r>
      <w:r w:rsidR="004344AF" w:rsidRPr="008712F5">
        <w:rPr>
          <w:rFonts w:ascii="Times New Roman" w:hAnsi="Times New Roman" w:cs="Times New Roman"/>
          <w:sz w:val="24"/>
          <w:szCs w:val="24"/>
        </w:rPr>
        <w:t xml:space="preserve"> and space for independent practice in the same lesson, something the TIMSS 1999 video study has also shown</w:t>
      </w:r>
      <w:r w:rsidR="004242AC" w:rsidRPr="008712F5">
        <w:rPr>
          <w:rFonts w:ascii="Times New Roman" w:hAnsi="Times New Roman" w:cs="Times New Roman"/>
          <w:sz w:val="24"/>
          <w:szCs w:val="24"/>
        </w:rPr>
        <w:t xml:space="preserve"> (Hiebert et al., 2005)</w:t>
      </w:r>
      <w:r w:rsidR="004344AF" w:rsidRPr="008712F5">
        <w:rPr>
          <w:rFonts w:ascii="Times New Roman" w:hAnsi="Times New Roman" w:cs="Times New Roman"/>
          <w:sz w:val="24"/>
          <w:szCs w:val="24"/>
        </w:rPr>
        <w:t>.</w:t>
      </w:r>
      <w:r w:rsidR="007A61BC" w:rsidRPr="008712F5">
        <w:rPr>
          <w:rFonts w:ascii="Times New Roman" w:hAnsi="Times New Roman" w:cs="Times New Roman"/>
          <w:sz w:val="24"/>
          <w:szCs w:val="24"/>
        </w:rPr>
        <w:t xml:space="preserve"> </w:t>
      </w:r>
      <w:r w:rsidR="00F52178" w:rsidRPr="008712F5">
        <w:rPr>
          <w:rFonts w:ascii="Times New Roman" w:hAnsi="Times New Roman" w:cs="Times New Roman"/>
          <w:sz w:val="24"/>
          <w:szCs w:val="24"/>
        </w:rPr>
        <w:t xml:space="preserve">Another question asked teachers “In a typical week, how much time do you spend teaching mathematics to the students in this class? (minutes)” (BTBM14), which </w:t>
      </w:r>
      <w:r w:rsidR="00FC3844" w:rsidRPr="008712F5">
        <w:rPr>
          <w:rFonts w:ascii="Times New Roman" w:hAnsi="Times New Roman" w:cs="Times New Roman"/>
          <w:sz w:val="24"/>
          <w:szCs w:val="24"/>
        </w:rPr>
        <w:t>is</w:t>
      </w:r>
      <w:r w:rsidR="00F52178" w:rsidRPr="008712F5">
        <w:rPr>
          <w:rFonts w:ascii="Times New Roman" w:hAnsi="Times New Roman" w:cs="Times New Roman"/>
          <w:sz w:val="24"/>
          <w:szCs w:val="24"/>
        </w:rPr>
        <w:t xml:space="preserve"> included as instructional time. As </w:t>
      </w:r>
      <w:r w:rsidR="004242AC" w:rsidRPr="008712F5">
        <w:rPr>
          <w:rFonts w:ascii="Times New Roman" w:hAnsi="Times New Roman" w:cs="Times New Roman"/>
          <w:sz w:val="24"/>
          <w:szCs w:val="24"/>
        </w:rPr>
        <w:t>the study</w:t>
      </w:r>
      <w:r w:rsidR="00F52178" w:rsidRPr="008712F5">
        <w:rPr>
          <w:rFonts w:ascii="Times New Roman" w:hAnsi="Times New Roman" w:cs="Times New Roman"/>
          <w:sz w:val="24"/>
          <w:szCs w:val="24"/>
        </w:rPr>
        <w:t xml:space="preserve"> focus</w:t>
      </w:r>
      <w:r w:rsidR="004242AC" w:rsidRPr="008712F5">
        <w:rPr>
          <w:rFonts w:ascii="Times New Roman" w:hAnsi="Times New Roman" w:cs="Times New Roman"/>
          <w:sz w:val="24"/>
          <w:szCs w:val="24"/>
        </w:rPr>
        <w:t>es</w:t>
      </w:r>
      <w:r w:rsidR="00F52178" w:rsidRPr="008712F5">
        <w:rPr>
          <w:rFonts w:ascii="Times New Roman" w:hAnsi="Times New Roman" w:cs="Times New Roman"/>
          <w:sz w:val="24"/>
          <w:szCs w:val="24"/>
        </w:rPr>
        <w:t xml:space="preserve"> on instruction</w:t>
      </w:r>
      <w:r w:rsidR="004242AC" w:rsidRPr="008712F5">
        <w:rPr>
          <w:rFonts w:ascii="Times New Roman" w:hAnsi="Times New Roman" w:cs="Times New Roman"/>
          <w:sz w:val="24"/>
          <w:szCs w:val="24"/>
        </w:rPr>
        <w:t>,</w:t>
      </w:r>
      <w:r w:rsidR="00F52178" w:rsidRPr="008712F5">
        <w:rPr>
          <w:rFonts w:ascii="Times New Roman" w:hAnsi="Times New Roman" w:cs="Times New Roman"/>
          <w:sz w:val="24"/>
          <w:szCs w:val="24"/>
        </w:rPr>
        <w:t xml:space="preserve"> homework</w:t>
      </w:r>
      <w:r w:rsidR="004242AC" w:rsidRPr="008712F5">
        <w:rPr>
          <w:rFonts w:ascii="Times New Roman" w:hAnsi="Times New Roman" w:cs="Times New Roman"/>
          <w:sz w:val="24"/>
          <w:szCs w:val="24"/>
        </w:rPr>
        <w:t xml:space="preserve"> was not included</w:t>
      </w:r>
      <w:r w:rsidR="00F52178" w:rsidRPr="008712F5">
        <w:rPr>
          <w:rFonts w:ascii="Times New Roman" w:hAnsi="Times New Roman" w:cs="Times New Roman"/>
          <w:sz w:val="24"/>
          <w:szCs w:val="24"/>
        </w:rPr>
        <w:t xml:space="preserve">. In line with literature on ‘Opportunity to Learn’, </w:t>
      </w:r>
      <w:r w:rsidR="00FC3844" w:rsidRPr="008712F5">
        <w:rPr>
          <w:rFonts w:ascii="Times New Roman" w:hAnsi="Times New Roman" w:cs="Times New Roman"/>
          <w:sz w:val="24"/>
          <w:szCs w:val="24"/>
        </w:rPr>
        <w:t>one</w:t>
      </w:r>
      <w:r w:rsidR="00F52178" w:rsidRPr="008712F5">
        <w:rPr>
          <w:rFonts w:ascii="Times New Roman" w:hAnsi="Times New Roman" w:cs="Times New Roman"/>
          <w:sz w:val="24"/>
          <w:szCs w:val="24"/>
        </w:rPr>
        <w:t xml:space="preserve"> expectation was that instructional time, might mediate both achievement and instructional practices (e.g. Carroll, 1963, Bokhove et al., 2019).</w:t>
      </w:r>
      <w:r w:rsidR="00651A61" w:rsidRPr="008712F5">
        <w:rPr>
          <w:rFonts w:ascii="Times New Roman" w:hAnsi="Times New Roman" w:cs="Times New Roman"/>
          <w:sz w:val="24"/>
          <w:szCs w:val="24"/>
        </w:rPr>
        <w:t xml:space="preserve"> </w:t>
      </w:r>
      <w:r w:rsidR="00F52178" w:rsidRPr="008712F5">
        <w:rPr>
          <w:rFonts w:ascii="Times New Roman" w:hAnsi="Times New Roman" w:cs="Times New Roman"/>
          <w:sz w:val="24"/>
          <w:szCs w:val="24"/>
        </w:rPr>
        <w:t xml:space="preserve">The IEA created the ‘Classroom Teaching Limited by Students Not Ready for Instruction’ (BTBGLSN) scale based on teachers’ responses to questions about barriers to teaching their class, including those on lacking prerequisite knowledge or skills, a lack of basic nutrition, a lack of sleep, absence from class, disruption by students, uninterested students, mental, emotional or psychological impairment; and students having </w:t>
      </w:r>
      <w:r w:rsidR="00F52178" w:rsidRPr="008712F5">
        <w:rPr>
          <w:rFonts w:ascii="Times New Roman" w:hAnsi="Times New Roman" w:cs="Times New Roman"/>
          <w:sz w:val="24"/>
          <w:szCs w:val="24"/>
        </w:rPr>
        <w:lastRenderedPageBreak/>
        <w:t>difficulties understanding the language of instruction. The scale was standardised to a mean of 10 and standard deviation of 2. With this scale, higher scores mean ‘better’, so in this case fewer barriers and limitations to teaching</w:t>
      </w:r>
      <w:r w:rsidR="00BD09CD" w:rsidRPr="008712F5">
        <w:rPr>
          <w:rStyle w:val="EndnoteReference"/>
          <w:rFonts w:ascii="Times New Roman" w:hAnsi="Times New Roman" w:cs="Times New Roman"/>
          <w:sz w:val="24"/>
          <w:szCs w:val="24"/>
        </w:rPr>
        <w:endnoteReference w:id="6"/>
      </w:r>
      <w:r w:rsidR="00F52178" w:rsidRPr="008712F5">
        <w:rPr>
          <w:rFonts w:ascii="Times New Roman" w:hAnsi="Times New Roman" w:cs="Times New Roman"/>
          <w:sz w:val="24"/>
          <w:szCs w:val="24"/>
        </w:rPr>
        <w:t xml:space="preserve">. </w:t>
      </w:r>
      <w:r w:rsidR="00FC3844" w:rsidRPr="008712F5">
        <w:rPr>
          <w:rFonts w:ascii="Times New Roman" w:hAnsi="Times New Roman" w:cs="Times New Roman"/>
          <w:sz w:val="24"/>
          <w:szCs w:val="24"/>
        </w:rPr>
        <w:t>This</w:t>
      </w:r>
      <w:r w:rsidR="00F52178" w:rsidRPr="008712F5">
        <w:rPr>
          <w:rFonts w:ascii="Times New Roman" w:hAnsi="Times New Roman" w:cs="Times New Roman"/>
          <w:sz w:val="24"/>
          <w:szCs w:val="24"/>
        </w:rPr>
        <w:t xml:space="preserve"> variable </w:t>
      </w:r>
      <w:r w:rsidR="00FC3844" w:rsidRPr="008712F5">
        <w:rPr>
          <w:rFonts w:ascii="Times New Roman" w:hAnsi="Times New Roman" w:cs="Times New Roman"/>
          <w:sz w:val="24"/>
          <w:szCs w:val="24"/>
        </w:rPr>
        <w:t xml:space="preserve">is included in the analyses </w:t>
      </w:r>
      <w:r w:rsidR="00F52178" w:rsidRPr="008712F5">
        <w:rPr>
          <w:rFonts w:ascii="Times New Roman" w:hAnsi="Times New Roman" w:cs="Times New Roman"/>
          <w:sz w:val="24"/>
          <w:szCs w:val="24"/>
        </w:rPr>
        <w:t xml:space="preserve">because </w:t>
      </w:r>
      <w:r w:rsidR="00FC3844" w:rsidRPr="008712F5">
        <w:rPr>
          <w:rFonts w:ascii="Times New Roman" w:hAnsi="Times New Roman" w:cs="Times New Roman"/>
          <w:sz w:val="24"/>
          <w:szCs w:val="24"/>
        </w:rPr>
        <w:t>it is</w:t>
      </w:r>
      <w:r w:rsidR="00F52178" w:rsidRPr="008712F5">
        <w:rPr>
          <w:rFonts w:ascii="Times New Roman" w:hAnsi="Times New Roman" w:cs="Times New Roman"/>
          <w:sz w:val="24"/>
          <w:szCs w:val="24"/>
        </w:rPr>
        <w:t xml:space="preserve"> expected that all instructional practices can potentially be influenced negatively because of such barriers.  </w:t>
      </w:r>
    </w:p>
    <w:p w14:paraId="4929BA0F" w14:textId="60E4BAF6" w:rsidR="00CA4F42" w:rsidRPr="008712F5" w:rsidRDefault="007D0C3E" w:rsidP="007D0C3E">
      <w:pPr>
        <w:pStyle w:val="Heading3"/>
      </w:pPr>
      <w:r w:rsidRPr="008712F5">
        <w:t>Control variables</w:t>
      </w:r>
    </w:p>
    <w:p w14:paraId="30AB8A4D" w14:textId="68C34EDC" w:rsidR="00B26BAC" w:rsidRPr="008712F5" w:rsidRDefault="00B26BAC" w:rsidP="00B26BAC">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The Home Educational Resources (BSBGHER) scale was created based on students’ reports regarding the availability of three home resources which </w:t>
      </w:r>
      <w:r w:rsidR="00FC3844" w:rsidRPr="008712F5">
        <w:rPr>
          <w:rFonts w:ascii="Times New Roman" w:hAnsi="Times New Roman" w:cs="Times New Roman"/>
          <w:sz w:val="24"/>
          <w:szCs w:val="24"/>
        </w:rPr>
        <w:t>is included</w:t>
      </w:r>
      <w:r w:rsidRPr="008712F5">
        <w:rPr>
          <w:rFonts w:ascii="Times New Roman" w:hAnsi="Times New Roman" w:cs="Times New Roman"/>
          <w:sz w:val="24"/>
          <w:szCs w:val="24"/>
        </w:rPr>
        <w:t xml:space="preserve"> as a proxy for Socio-economic Status (SES). </w:t>
      </w:r>
      <w:r w:rsidR="00BD09CD" w:rsidRPr="008712F5">
        <w:rPr>
          <w:rFonts w:ascii="Times New Roman" w:hAnsi="Times New Roman" w:cs="Times New Roman"/>
          <w:sz w:val="24"/>
          <w:szCs w:val="24"/>
        </w:rPr>
        <w:t xml:space="preserve">SES is a longstanding predictor of academic achievement (e.g. for a review see Sirin, 2005). </w:t>
      </w:r>
      <w:r w:rsidRPr="008712F5">
        <w:rPr>
          <w:rFonts w:ascii="Times New Roman" w:hAnsi="Times New Roman" w:cs="Times New Roman"/>
          <w:sz w:val="24"/>
          <w:szCs w:val="24"/>
        </w:rPr>
        <w:t xml:space="preserve">The scale contains items on the number of books at home, the highest level of education of either parent and the number of home study supports. </w:t>
      </w:r>
      <w:r w:rsidR="0015395C" w:rsidRPr="008712F5">
        <w:rPr>
          <w:rFonts w:ascii="Times New Roman" w:hAnsi="Times New Roman" w:cs="Times New Roman"/>
          <w:sz w:val="24"/>
          <w:szCs w:val="24"/>
        </w:rPr>
        <w:t>T</w:t>
      </w:r>
      <w:r w:rsidRPr="008712F5">
        <w:rPr>
          <w:rFonts w:ascii="Times New Roman" w:hAnsi="Times New Roman" w:cs="Times New Roman"/>
          <w:sz w:val="24"/>
          <w:szCs w:val="24"/>
        </w:rPr>
        <w:t>he scale was standardised to a mean of 10 and standard deviation of 2.</w:t>
      </w:r>
      <w:r w:rsidR="0015395C" w:rsidRPr="008712F5">
        <w:rPr>
          <w:rFonts w:ascii="Times New Roman" w:hAnsi="Times New Roman" w:cs="Times New Roman"/>
          <w:sz w:val="24"/>
          <w:szCs w:val="24"/>
        </w:rPr>
        <w:t xml:space="preserve"> With this scale, higher scores mean ‘better’: more resources and thus higher SES. Finally, gender </w:t>
      </w:r>
      <w:r w:rsidR="00FC3844" w:rsidRPr="008712F5">
        <w:rPr>
          <w:rFonts w:ascii="Times New Roman" w:hAnsi="Times New Roman" w:cs="Times New Roman"/>
          <w:sz w:val="24"/>
          <w:szCs w:val="24"/>
        </w:rPr>
        <w:t xml:space="preserve">is included </w:t>
      </w:r>
      <w:r w:rsidR="0015395C" w:rsidRPr="008712F5">
        <w:rPr>
          <w:rFonts w:ascii="Times New Roman" w:hAnsi="Times New Roman" w:cs="Times New Roman"/>
          <w:sz w:val="24"/>
          <w:szCs w:val="24"/>
        </w:rPr>
        <w:t>as a control variable (ITSEX</w:t>
      </w:r>
      <w:r w:rsidR="00BC1E5B" w:rsidRPr="008712F5">
        <w:rPr>
          <w:rFonts w:ascii="Times New Roman" w:hAnsi="Times New Roman" w:cs="Times New Roman"/>
          <w:sz w:val="24"/>
          <w:szCs w:val="24"/>
        </w:rPr>
        <w:t>, 1=Female, 2=Male</w:t>
      </w:r>
      <w:r w:rsidR="0015395C" w:rsidRPr="008712F5">
        <w:rPr>
          <w:rFonts w:ascii="Times New Roman" w:hAnsi="Times New Roman" w:cs="Times New Roman"/>
          <w:sz w:val="24"/>
          <w:szCs w:val="24"/>
        </w:rPr>
        <w:t>).</w:t>
      </w:r>
    </w:p>
    <w:p w14:paraId="34E4751F" w14:textId="3F20C664" w:rsidR="00713863" w:rsidRPr="008712F5" w:rsidRDefault="00713863" w:rsidP="00A37F9A">
      <w:pPr>
        <w:pStyle w:val="Heading3"/>
      </w:pPr>
      <w:r w:rsidRPr="008712F5">
        <w:t>Model building</w:t>
      </w:r>
    </w:p>
    <w:p w14:paraId="6919DD19" w14:textId="2F43AAB8" w:rsidR="00651A61" w:rsidRPr="008712F5" w:rsidRDefault="00FC3844" w:rsidP="00EA0248">
      <w:pPr>
        <w:spacing w:line="480" w:lineRule="auto"/>
        <w:rPr>
          <w:rFonts w:ascii="Times New Roman" w:hAnsi="Times New Roman" w:cs="Times New Roman"/>
          <w:sz w:val="24"/>
          <w:szCs w:val="24"/>
        </w:rPr>
      </w:pPr>
      <w:r w:rsidRPr="008712F5">
        <w:rPr>
          <w:rFonts w:ascii="Times New Roman" w:hAnsi="Times New Roman" w:cs="Times New Roman"/>
          <w:sz w:val="24"/>
          <w:szCs w:val="24"/>
        </w:rPr>
        <w:t>S</w:t>
      </w:r>
      <w:r w:rsidR="00651A61" w:rsidRPr="008712F5">
        <w:rPr>
          <w:rFonts w:ascii="Times New Roman" w:hAnsi="Times New Roman" w:cs="Times New Roman"/>
          <w:sz w:val="24"/>
          <w:szCs w:val="24"/>
        </w:rPr>
        <w:t>everal models per country</w:t>
      </w:r>
      <w:r w:rsidR="00A43F2E" w:rsidRPr="008712F5">
        <w:rPr>
          <w:rFonts w:ascii="Times New Roman" w:hAnsi="Times New Roman" w:cs="Times New Roman"/>
          <w:sz w:val="24"/>
          <w:szCs w:val="24"/>
        </w:rPr>
        <w:t xml:space="preserve"> </w:t>
      </w:r>
      <w:r w:rsidRPr="008712F5">
        <w:rPr>
          <w:rFonts w:ascii="Times New Roman" w:hAnsi="Times New Roman" w:cs="Times New Roman"/>
          <w:sz w:val="24"/>
          <w:szCs w:val="24"/>
        </w:rPr>
        <w:t xml:space="preserve">are created </w:t>
      </w:r>
      <w:r w:rsidR="00A43F2E" w:rsidRPr="008712F5">
        <w:rPr>
          <w:rFonts w:ascii="Times New Roman" w:hAnsi="Times New Roman" w:cs="Times New Roman"/>
          <w:sz w:val="24"/>
          <w:szCs w:val="24"/>
        </w:rPr>
        <w:t>with the five PVs for mathematics achievement</w:t>
      </w:r>
      <w:r w:rsidRPr="008712F5">
        <w:rPr>
          <w:rFonts w:ascii="Times New Roman" w:hAnsi="Times New Roman" w:cs="Times New Roman"/>
          <w:sz w:val="24"/>
          <w:szCs w:val="24"/>
        </w:rPr>
        <w:t xml:space="preserve"> as dependent variables</w:t>
      </w:r>
      <w:r w:rsidR="00651A61" w:rsidRPr="008712F5">
        <w:rPr>
          <w:rFonts w:ascii="Times New Roman" w:hAnsi="Times New Roman" w:cs="Times New Roman"/>
          <w:sz w:val="24"/>
          <w:szCs w:val="24"/>
        </w:rPr>
        <w:t xml:space="preserve">: a null model, model 1 </w:t>
      </w:r>
      <w:r w:rsidR="00BD09CD" w:rsidRPr="008712F5">
        <w:rPr>
          <w:rFonts w:ascii="Times New Roman" w:hAnsi="Times New Roman" w:cs="Times New Roman"/>
          <w:sz w:val="24"/>
          <w:szCs w:val="24"/>
        </w:rPr>
        <w:t>which adds</w:t>
      </w:r>
      <w:r w:rsidR="00651A61" w:rsidRPr="008712F5">
        <w:rPr>
          <w:rFonts w:ascii="Times New Roman" w:hAnsi="Times New Roman" w:cs="Times New Roman"/>
          <w:sz w:val="24"/>
          <w:szCs w:val="24"/>
        </w:rPr>
        <w:t xml:space="preserve"> two student</w:t>
      </w:r>
      <w:r w:rsidR="00BD09CD" w:rsidRPr="008712F5">
        <w:rPr>
          <w:rFonts w:ascii="Times New Roman" w:hAnsi="Times New Roman" w:cs="Times New Roman"/>
          <w:sz w:val="24"/>
          <w:szCs w:val="24"/>
        </w:rPr>
        <w:t xml:space="preserve"> control</w:t>
      </w:r>
      <w:r w:rsidR="00651A61" w:rsidRPr="008712F5">
        <w:rPr>
          <w:rFonts w:ascii="Times New Roman" w:hAnsi="Times New Roman" w:cs="Times New Roman"/>
          <w:sz w:val="24"/>
          <w:szCs w:val="24"/>
        </w:rPr>
        <w:t xml:space="preserve"> level variables BSBGHER and ITSEX, model 2 </w:t>
      </w:r>
      <w:r w:rsidR="00BD09CD" w:rsidRPr="008712F5">
        <w:rPr>
          <w:rFonts w:ascii="Times New Roman" w:hAnsi="Times New Roman" w:cs="Times New Roman"/>
          <w:sz w:val="24"/>
          <w:szCs w:val="24"/>
        </w:rPr>
        <w:t>which adds</w:t>
      </w:r>
      <w:r w:rsidR="00A37F9A" w:rsidRPr="008712F5">
        <w:rPr>
          <w:rFonts w:ascii="Times New Roman" w:hAnsi="Times New Roman" w:cs="Times New Roman"/>
          <w:sz w:val="24"/>
          <w:szCs w:val="24"/>
        </w:rPr>
        <w:t xml:space="preserve"> </w:t>
      </w:r>
      <w:r w:rsidR="00651A61" w:rsidRPr="008712F5">
        <w:rPr>
          <w:rFonts w:ascii="Times New Roman" w:hAnsi="Times New Roman" w:cs="Times New Roman"/>
          <w:sz w:val="24"/>
          <w:szCs w:val="24"/>
        </w:rPr>
        <w:t xml:space="preserve">the three newly created instructional scales GEN, TA and PO, and a model 3 </w:t>
      </w:r>
      <w:r w:rsidR="00BD09CD" w:rsidRPr="008712F5">
        <w:rPr>
          <w:rFonts w:ascii="Times New Roman" w:hAnsi="Times New Roman" w:cs="Times New Roman"/>
          <w:sz w:val="24"/>
          <w:szCs w:val="24"/>
        </w:rPr>
        <w:t>which further adds</w:t>
      </w:r>
      <w:r w:rsidR="00A37F9A" w:rsidRPr="008712F5">
        <w:rPr>
          <w:rFonts w:ascii="Times New Roman" w:hAnsi="Times New Roman" w:cs="Times New Roman"/>
          <w:sz w:val="24"/>
          <w:szCs w:val="24"/>
        </w:rPr>
        <w:t xml:space="preserve"> </w:t>
      </w:r>
      <w:r w:rsidR="00BD09CD" w:rsidRPr="008712F5">
        <w:rPr>
          <w:rFonts w:ascii="Times New Roman" w:hAnsi="Times New Roman" w:cs="Times New Roman"/>
          <w:sz w:val="24"/>
          <w:szCs w:val="24"/>
        </w:rPr>
        <w:t xml:space="preserve">the limitations to teaching scale and </w:t>
      </w:r>
      <w:r w:rsidR="00A37F9A" w:rsidRPr="008712F5">
        <w:rPr>
          <w:rFonts w:ascii="Times New Roman" w:hAnsi="Times New Roman" w:cs="Times New Roman"/>
          <w:sz w:val="24"/>
          <w:szCs w:val="24"/>
        </w:rPr>
        <w:t xml:space="preserve">instructional time. </w:t>
      </w:r>
      <w:r w:rsidR="00651A61" w:rsidRPr="008712F5">
        <w:rPr>
          <w:rFonts w:ascii="Times New Roman" w:hAnsi="Times New Roman" w:cs="Times New Roman"/>
          <w:sz w:val="24"/>
          <w:szCs w:val="24"/>
        </w:rPr>
        <w:t>Although our analysis script contains code for all interim models, this paper only reports on the final model.</w:t>
      </w:r>
      <w:r w:rsidR="00A37F9A" w:rsidRPr="008712F5">
        <w:rPr>
          <w:rFonts w:ascii="Times New Roman" w:hAnsi="Times New Roman" w:cs="Times New Roman"/>
          <w:sz w:val="24"/>
          <w:szCs w:val="24"/>
        </w:rPr>
        <w:t xml:space="preserve"> </w:t>
      </w:r>
      <w:r w:rsidR="00651A61" w:rsidRPr="008712F5">
        <w:rPr>
          <w:rFonts w:ascii="Times New Roman" w:hAnsi="Times New Roman" w:cs="Times New Roman"/>
          <w:sz w:val="24"/>
          <w:szCs w:val="24"/>
        </w:rPr>
        <w:t xml:space="preserve">We do not treat missing data, but use listwise deletion. </w:t>
      </w:r>
      <w:r w:rsidR="00496730" w:rsidRPr="008712F5">
        <w:rPr>
          <w:rFonts w:ascii="Times New Roman" w:hAnsi="Times New Roman" w:cs="Times New Roman"/>
          <w:sz w:val="24"/>
          <w:szCs w:val="24"/>
        </w:rPr>
        <w:t xml:space="preserve">No centring was used. </w:t>
      </w:r>
      <w:r w:rsidR="00651A61" w:rsidRPr="008712F5">
        <w:rPr>
          <w:rFonts w:ascii="Times New Roman" w:hAnsi="Times New Roman" w:cs="Times New Roman"/>
          <w:sz w:val="24"/>
          <w:szCs w:val="24"/>
        </w:rPr>
        <w:t>As two countries’ models did not converge, the final sample included 44 countries with 260111 students</w:t>
      </w:r>
      <w:r w:rsidR="00496730" w:rsidRPr="008712F5">
        <w:rPr>
          <w:rFonts w:ascii="Times New Roman" w:hAnsi="Times New Roman" w:cs="Times New Roman"/>
          <w:sz w:val="24"/>
          <w:szCs w:val="24"/>
        </w:rPr>
        <w:t xml:space="preserve"> for the descriptive statistics</w:t>
      </w:r>
      <w:r w:rsidR="00651A61" w:rsidRPr="008712F5">
        <w:rPr>
          <w:rFonts w:ascii="Times New Roman" w:hAnsi="Times New Roman" w:cs="Times New Roman"/>
          <w:sz w:val="24"/>
          <w:szCs w:val="24"/>
        </w:rPr>
        <w:t>.</w:t>
      </w:r>
    </w:p>
    <w:p w14:paraId="4DDB368A" w14:textId="77777777" w:rsidR="007D4E67" w:rsidRPr="008712F5" w:rsidRDefault="007D4E67" w:rsidP="00D1040A">
      <w:pPr>
        <w:spacing w:line="276" w:lineRule="auto"/>
        <w:rPr>
          <w:rFonts w:ascii="Times New Roman" w:hAnsi="Times New Roman" w:cs="Times New Roman"/>
          <w:b/>
          <w:bCs/>
        </w:rPr>
      </w:pPr>
    </w:p>
    <w:p w14:paraId="1605CF1A" w14:textId="1888775E" w:rsidR="00C73853" w:rsidRPr="008712F5" w:rsidRDefault="00C73853" w:rsidP="00FE3D40">
      <w:pPr>
        <w:pStyle w:val="Heading2"/>
      </w:pPr>
      <w:r w:rsidRPr="008712F5">
        <w:t>Results</w:t>
      </w:r>
    </w:p>
    <w:p w14:paraId="2B17987A" w14:textId="5D801FC7" w:rsidR="00505886" w:rsidRPr="008712F5" w:rsidRDefault="009272FA" w:rsidP="00FE3D40">
      <w:pPr>
        <w:spacing w:line="480" w:lineRule="auto"/>
        <w:rPr>
          <w:rFonts w:ascii="Times New Roman" w:hAnsi="Times New Roman" w:cs="Times New Roman"/>
          <w:sz w:val="24"/>
          <w:szCs w:val="24"/>
        </w:rPr>
        <w:sectPr w:rsidR="00505886" w:rsidRPr="008712F5">
          <w:headerReference w:type="default" r:id="rId10"/>
          <w:endnotePr>
            <w:numFmt w:val="decimal"/>
          </w:endnotePr>
          <w:pgSz w:w="11906" w:h="16838"/>
          <w:pgMar w:top="1440" w:right="1440" w:bottom="1440" w:left="1440" w:header="708" w:footer="708" w:gutter="0"/>
          <w:cols w:space="708"/>
          <w:docGrid w:linePitch="360"/>
        </w:sectPr>
      </w:pPr>
      <w:r w:rsidRPr="008712F5">
        <w:rPr>
          <w:rFonts w:ascii="Times New Roman" w:hAnsi="Times New Roman" w:cs="Times New Roman"/>
          <w:sz w:val="24"/>
          <w:szCs w:val="24"/>
        </w:rPr>
        <w:lastRenderedPageBreak/>
        <w:t xml:space="preserve">Table </w:t>
      </w:r>
      <w:r w:rsidR="004D6766" w:rsidRPr="008712F5">
        <w:rPr>
          <w:rFonts w:ascii="Times New Roman" w:hAnsi="Times New Roman" w:cs="Times New Roman"/>
          <w:sz w:val="24"/>
          <w:szCs w:val="24"/>
        </w:rPr>
        <w:t>II</w:t>
      </w:r>
      <w:r w:rsidRPr="008712F5">
        <w:rPr>
          <w:rFonts w:ascii="Times New Roman" w:hAnsi="Times New Roman" w:cs="Times New Roman"/>
          <w:sz w:val="24"/>
          <w:szCs w:val="24"/>
        </w:rPr>
        <w:t xml:space="preserve"> presents descriptive statistics for </w:t>
      </w:r>
      <w:r w:rsidR="00713863" w:rsidRPr="008712F5">
        <w:rPr>
          <w:rFonts w:ascii="Times New Roman" w:hAnsi="Times New Roman" w:cs="Times New Roman"/>
          <w:sz w:val="24"/>
          <w:szCs w:val="24"/>
        </w:rPr>
        <w:t>all included variables</w:t>
      </w:r>
      <w:r w:rsidRPr="008712F5">
        <w:rPr>
          <w:rFonts w:ascii="Times New Roman" w:hAnsi="Times New Roman" w:cs="Times New Roman"/>
          <w:sz w:val="24"/>
          <w:szCs w:val="24"/>
        </w:rPr>
        <w:t xml:space="preserve">. </w:t>
      </w:r>
      <w:r w:rsidR="00D86E36" w:rsidRPr="008712F5">
        <w:rPr>
          <w:rFonts w:ascii="Times New Roman" w:hAnsi="Times New Roman" w:cs="Times New Roman"/>
          <w:sz w:val="24"/>
          <w:szCs w:val="24"/>
        </w:rPr>
        <w:t xml:space="preserve">Firstly, we can confirm that mathematics achievement in five of the six East Asian jurisdictions, namely Chinese Taipei, Hong Kong SAR, Japan, Korea and Singapore are among the highest. Only Malaysia scores much lower, but this is in line with Malaysia not typically being included (yet) as example of East Asian higher mathematics achievement. We can see substantial differences in instructional time between countries as well with Japan and Korea at the low end of total instructional time per week This might give the impression that </w:t>
      </w:r>
      <w:r w:rsidR="005E28A5" w:rsidRPr="008712F5">
        <w:rPr>
          <w:rFonts w:ascii="Times New Roman" w:hAnsi="Times New Roman" w:cs="Times New Roman"/>
          <w:sz w:val="24"/>
          <w:szCs w:val="24"/>
        </w:rPr>
        <w:t xml:space="preserve">East Asian countries have less instructional time across the board, but that is not the case with the other jurisdictions more in the middle of the pack. Nevertheless, it’s notable that more instructional time is often associated with higher achievement, but just like Japan in Bokhove et al. (2019) this is not necessarily the case. </w:t>
      </w:r>
      <w:r w:rsidRPr="008712F5">
        <w:rPr>
          <w:rFonts w:ascii="Times New Roman" w:hAnsi="Times New Roman" w:cs="Times New Roman"/>
          <w:sz w:val="24"/>
          <w:szCs w:val="24"/>
        </w:rPr>
        <w:t>A</w:t>
      </w:r>
      <w:r w:rsidR="004F5E55" w:rsidRPr="008712F5">
        <w:rPr>
          <w:rFonts w:ascii="Times New Roman" w:hAnsi="Times New Roman" w:cs="Times New Roman"/>
          <w:sz w:val="24"/>
          <w:szCs w:val="24"/>
        </w:rPr>
        <w:t xml:space="preserve">ll values </w:t>
      </w:r>
      <w:r w:rsidRPr="008712F5">
        <w:rPr>
          <w:rFonts w:ascii="Times New Roman" w:hAnsi="Times New Roman" w:cs="Times New Roman"/>
          <w:sz w:val="24"/>
          <w:szCs w:val="24"/>
        </w:rPr>
        <w:t xml:space="preserve">for </w:t>
      </w:r>
      <w:r w:rsidR="00283473" w:rsidRPr="008712F5">
        <w:rPr>
          <w:rFonts w:ascii="Times New Roman" w:hAnsi="Times New Roman" w:cs="Times New Roman"/>
          <w:sz w:val="24"/>
          <w:szCs w:val="24"/>
        </w:rPr>
        <w:t xml:space="preserve">the </w:t>
      </w:r>
      <w:r w:rsidR="00D52F55" w:rsidRPr="008712F5">
        <w:rPr>
          <w:rFonts w:ascii="Times New Roman" w:hAnsi="Times New Roman" w:cs="Times New Roman"/>
          <w:sz w:val="24"/>
          <w:szCs w:val="24"/>
        </w:rPr>
        <w:t>three</w:t>
      </w:r>
      <w:r w:rsidR="00283473" w:rsidRPr="008712F5">
        <w:rPr>
          <w:rFonts w:ascii="Times New Roman" w:hAnsi="Times New Roman" w:cs="Times New Roman"/>
          <w:sz w:val="24"/>
          <w:szCs w:val="24"/>
        </w:rPr>
        <w:t xml:space="preserve"> </w:t>
      </w:r>
      <w:r w:rsidR="00D52F55" w:rsidRPr="008712F5">
        <w:rPr>
          <w:rFonts w:ascii="Times New Roman" w:hAnsi="Times New Roman" w:cs="Times New Roman"/>
          <w:sz w:val="24"/>
          <w:szCs w:val="24"/>
        </w:rPr>
        <w:t>instructional practices</w:t>
      </w:r>
      <w:r w:rsidR="00283473" w:rsidRPr="008712F5">
        <w:rPr>
          <w:rFonts w:ascii="Times New Roman" w:hAnsi="Times New Roman" w:cs="Times New Roman"/>
          <w:sz w:val="24"/>
          <w:szCs w:val="24"/>
        </w:rPr>
        <w:t xml:space="preserve"> scales </w:t>
      </w:r>
      <w:r w:rsidR="005E28A5" w:rsidRPr="008712F5">
        <w:rPr>
          <w:rFonts w:ascii="Times New Roman" w:hAnsi="Times New Roman" w:cs="Times New Roman"/>
          <w:sz w:val="24"/>
          <w:szCs w:val="24"/>
        </w:rPr>
        <w:t xml:space="preserve">GEN, TA and PO, </w:t>
      </w:r>
      <w:r w:rsidR="00283473" w:rsidRPr="008712F5">
        <w:rPr>
          <w:rFonts w:ascii="Times New Roman" w:hAnsi="Times New Roman" w:cs="Times New Roman"/>
          <w:sz w:val="24"/>
          <w:szCs w:val="24"/>
        </w:rPr>
        <w:t xml:space="preserve">are </w:t>
      </w:r>
      <w:r w:rsidR="004F5E55" w:rsidRPr="008712F5">
        <w:rPr>
          <w:rFonts w:ascii="Times New Roman" w:hAnsi="Times New Roman" w:cs="Times New Roman"/>
          <w:sz w:val="24"/>
          <w:szCs w:val="24"/>
        </w:rPr>
        <w:t>over the midpoint 2.5</w:t>
      </w:r>
      <w:r w:rsidR="005E28A5" w:rsidRPr="008712F5">
        <w:rPr>
          <w:rFonts w:ascii="Times New Roman" w:hAnsi="Times New Roman" w:cs="Times New Roman"/>
          <w:sz w:val="24"/>
          <w:szCs w:val="24"/>
        </w:rPr>
        <w:t xml:space="preserve"> for all jurisdictions</w:t>
      </w:r>
      <w:r w:rsidR="004F5E55" w:rsidRPr="008712F5">
        <w:rPr>
          <w:rFonts w:ascii="Times New Roman" w:hAnsi="Times New Roman" w:cs="Times New Roman"/>
          <w:sz w:val="24"/>
          <w:szCs w:val="24"/>
        </w:rPr>
        <w:t xml:space="preserve">, suggesting that these </w:t>
      </w:r>
      <w:r w:rsidR="00283473" w:rsidRPr="008712F5">
        <w:rPr>
          <w:rFonts w:ascii="Times New Roman" w:hAnsi="Times New Roman" w:cs="Times New Roman"/>
          <w:sz w:val="24"/>
          <w:szCs w:val="24"/>
        </w:rPr>
        <w:t>practices occur frequently and</w:t>
      </w:r>
      <w:r w:rsidR="004F5E55" w:rsidRPr="008712F5">
        <w:rPr>
          <w:rFonts w:ascii="Times New Roman" w:hAnsi="Times New Roman" w:cs="Times New Roman"/>
          <w:sz w:val="24"/>
          <w:szCs w:val="24"/>
        </w:rPr>
        <w:t xml:space="preserve"> are not mutually exclusive</w:t>
      </w:r>
      <w:r w:rsidR="000D7610" w:rsidRPr="008712F5">
        <w:rPr>
          <w:rFonts w:ascii="Times New Roman" w:hAnsi="Times New Roman" w:cs="Times New Roman"/>
          <w:sz w:val="24"/>
          <w:szCs w:val="24"/>
        </w:rPr>
        <w:t xml:space="preserve"> (i.e. when one score is high, the other </w:t>
      </w:r>
      <w:r w:rsidR="008C4582" w:rsidRPr="008712F5">
        <w:rPr>
          <w:rFonts w:ascii="Times New Roman" w:hAnsi="Times New Roman" w:cs="Times New Roman"/>
          <w:sz w:val="24"/>
          <w:szCs w:val="24"/>
        </w:rPr>
        <w:t>can also be high</w:t>
      </w:r>
      <w:r w:rsidR="000D7610" w:rsidRPr="008712F5">
        <w:rPr>
          <w:rFonts w:ascii="Times New Roman" w:hAnsi="Times New Roman" w:cs="Times New Roman"/>
          <w:sz w:val="24"/>
          <w:szCs w:val="24"/>
        </w:rPr>
        <w:t>)</w:t>
      </w:r>
      <w:r w:rsidR="004F5E55" w:rsidRPr="008712F5">
        <w:rPr>
          <w:rFonts w:ascii="Times New Roman" w:hAnsi="Times New Roman" w:cs="Times New Roman"/>
          <w:sz w:val="24"/>
          <w:szCs w:val="24"/>
        </w:rPr>
        <w:t xml:space="preserve">. </w:t>
      </w:r>
      <w:r w:rsidR="00D52F55" w:rsidRPr="008712F5">
        <w:rPr>
          <w:rFonts w:ascii="Times New Roman" w:hAnsi="Times New Roman" w:cs="Times New Roman"/>
          <w:sz w:val="24"/>
          <w:szCs w:val="24"/>
        </w:rPr>
        <w:t>However</w:t>
      </w:r>
      <w:r w:rsidR="004F5E55" w:rsidRPr="008712F5">
        <w:rPr>
          <w:rFonts w:ascii="Times New Roman" w:hAnsi="Times New Roman" w:cs="Times New Roman"/>
          <w:sz w:val="24"/>
          <w:szCs w:val="24"/>
        </w:rPr>
        <w:t xml:space="preserve">, </w:t>
      </w:r>
      <w:r w:rsidR="00D52F55" w:rsidRPr="008712F5">
        <w:rPr>
          <w:rFonts w:ascii="Times New Roman" w:hAnsi="Times New Roman" w:cs="Times New Roman"/>
          <w:sz w:val="24"/>
          <w:szCs w:val="24"/>
        </w:rPr>
        <w:t xml:space="preserve">it also is clear that </w:t>
      </w:r>
      <w:r w:rsidR="00283473" w:rsidRPr="008712F5">
        <w:rPr>
          <w:rFonts w:ascii="Times New Roman" w:hAnsi="Times New Roman" w:cs="Times New Roman"/>
          <w:sz w:val="24"/>
          <w:szCs w:val="24"/>
        </w:rPr>
        <w:t>practices vary considerably across countries. For example, Dubai and Bahrain score high</w:t>
      </w:r>
      <w:r w:rsidR="00D52F55" w:rsidRPr="008712F5">
        <w:rPr>
          <w:rFonts w:ascii="Times New Roman" w:hAnsi="Times New Roman" w:cs="Times New Roman"/>
          <w:sz w:val="24"/>
          <w:szCs w:val="24"/>
        </w:rPr>
        <w:t>est</w:t>
      </w:r>
      <w:r w:rsidR="00283473" w:rsidRPr="008712F5">
        <w:rPr>
          <w:rFonts w:ascii="Times New Roman" w:hAnsi="Times New Roman" w:cs="Times New Roman"/>
          <w:sz w:val="24"/>
          <w:szCs w:val="24"/>
        </w:rPr>
        <w:t xml:space="preserve"> for </w:t>
      </w:r>
      <w:r w:rsidR="00D52F55" w:rsidRPr="008712F5">
        <w:rPr>
          <w:rFonts w:ascii="Times New Roman" w:hAnsi="Times New Roman" w:cs="Times New Roman"/>
          <w:sz w:val="24"/>
          <w:szCs w:val="24"/>
        </w:rPr>
        <w:t>generative practices (GEN)</w:t>
      </w:r>
      <w:r w:rsidR="00283473" w:rsidRPr="008712F5">
        <w:rPr>
          <w:rFonts w:ascii="Times New Roman" w:hAnsi="Times New Roman" w:cs="Times New Roman"/>
          <w:sz w:val="24"/>
          <w:szCs w:val="24"/>
        </w:rPr>
        <w:t xml:space="preserve"> with little spread, with Chinese Taipei and Hong Kong SAR scoring lowest.</w:t>
      </w:r>
      <w:r w:rsidR="00BB67AE" w:rsidRPr="008712F5">
        <w:rPr>
          <w:rFonts w:ascii="Times New Roman" w:hAnsi="Times New Roman" w:cs="Times New Roman"/>
          <w:sz w:val="24"/>
          <w:szCs w:val="24"/>
        </w:rPr>
        <w:t xml:space="preserve"> </w:t>
      </w:r>
      <w:r w:rsidR="00446E31" w:rsidRPr="008712F5">
        <w:rPr>
          <w:rFonts w:ascii="Times New Roman" w:hAnsi="Times New Roman" w:cs="Times New Roman"/>
          <w:sz w:val="24"/>
          <w:szCs w:val="24"/>
        </w:rPr>
        <w:t xml:space="preserve">In fact, it is notable that </w:t>
      </w:r>
      <w:r w:rsidR="00BB67AE" w:rsidRPr="008712F5">
        <w:rPr>
          <w:rFonts w:ascii="Times New Roman" w:hAnsi="Times New Roman" w:cs="Times New Roman"/>
          <w:sz w:val="24"/>
          <w:szCs w:val="24"/>
        </w:rPr>
        <w:t xml:space="preserve">East Asian countries all </w:t>
      </w:r>
      <w:r w:rsidR="00446E31" w:rsidRPr="008712F5">
        <w:rPr>
          <w:rFonts w:ascii="Times New Roman" w:hAnsi="Times New Roman" w:cs="Times New Roman"/>
          <w:sz w:val="24"/>
          <w:szCs w:val="24"/>
        </w:rPr>
        <w:t>score well below average, with five out of six jurisdictions, under 3.</w:t>
      </w:r>
      <w:r w:rsidR="00B61CBA" w:rsidRPr="008712F5">
        <w:rPr>
          <w:rFonts w:ascii="Times New Roman" w:hAnsi="Times New Roman" w:cs="Times New Roman"/>
          <w:sz w:val="24"/>
          <w:szCs w:val="24"/>
        </w:rPr>
        <w:t xml:space="preserve"> </w:t>
      </w:r>
      <w:r w:rsidR="00446E31" w:rsidRPr="008712F5">
        <w:rPr>
          <w:rFonts w:ascii="Times New Roman" w:hAnsi="Times New Roman" w:cs="Times New Roman"/>
          <w:sz w:val="24"/>
          <w:szCs w:val="24"/>
        </w:rPr>
        <w:t xml:space="preserve">In contrast, </w:t>
      </w:r>
      <w:r w:rsidR="00B61CBA" w:rsidRPr="008712F5">
        <w:rPr>
          <w:rFonts w:ascii="Times New Roman" w:hAnsi="Times New Roman" w:cs="Times New Roman"/>
          <w:sz w:val="24"/>
          <w:szCs w:val="24"/>
        </w:rPr>
        <w:t xml:space="preserve">Middle Eastern countries, except Georgia, have higher than average </w:t>
      </w:r>
      <w:r w:rsidR="00446E31" w:rsidRPr="008712F5">
        <w:rPr>
          <w:rFonts w:ascii="Times New Roman" w:hAnsi="Times New Roman" w:cs="Times New Roman"/>
          <w:sz w:val="24"/>
          <w:szCs w:val="24"/>
        </w:rPr>
        <w:t>GEN</w:t>
      </w:r>
      <w:r w:rsidR="00B61CBA" w:rsidRPr="008712F5">
        <w:rPr>
          <w:rFonts w:ascii="Times New Roman" w:hAnsi="Times New Roman" w:cs="Times New Roman"/>
          <w:sz w:val="24"/>
          <w:szCs w:val="24"/>
        </w:rPr>
        <w:t xml:space="preserve"> scores. For </w:t>
      </w:r>
      <w:r w:rsidR="00C35C2B" w:rsidRPr="008712F5">
        <w:rPr>
          <w:rFonts w:ascii="Times New Roman" w:hAnsi="Times New Roman" w:cs="Times New Roman"/>
          <w:sz w:val="24"/>
          <w:szCs w:val="24"/>
        </w:rPr>
        <w:t xml:space="preserve">the </w:t>
      </w:r>
      <w:r w:rsidR="00494437" w:rsidRPr="008712F5">
        <w:rPr>
          <w:rFonts w:ascii="Times New Roman" w:hAnsi="Times New Roman" w:cs="Times New Roman"/>
          <w:sz w:val="24"/>
          <w:szCs w:val="24"/>
        </w:rPr>
        <w:t>‘T</w:t>
      </w:r>
      <w:r w:rsidR="00446E31" w:rsidRPr="008712F5">
        <w:rPr>
          <w:rFonts w:ascii="Times New Roman" w:hAnsi="Times New Roman" w:cs="Times New Roman"/>
          <w:sz w:val="24"/>
          <w:szCs w:val="24"/>
        </w:rPr>
        <w:t>eacher-</w:t>
      </w:r>
      <w:r w:rsidR="00494437" w:rsidRPr="008712F5">
        <w:rPr>
          <w:rFonts w:ascii="Times New Roman" w:hAnsi="Times New Roman" w:cs="Times New Roman"/>
          <w:sz w:val="24"/>
          <w:szCs w:val="24"/>
        </w:rPr>
        <w:t>A</w:t>
      </w:r>
      <w:r w:rsidR="00446E31" w:rsidRPr="008712F5">
        <w:rPr>
          <w:rFonts w:ascii="Times New Roman" w:hAnsi="Times New Roman" w:cs="Times New Roman"/>
          <w:sz w:val="24"/>
          <w:szCs w:val="24"/>
        </w:rPr>
        <w:t>ctive</w:t>
      </w:r>
      <w:r w:rsidR="00494437" w:rsidRPr="008712F5">
        <w:rPr>
          <w:rFonts w:ascii="Times New Roman" w:hAnsi="Times New Roman" w:cs="Times New Roman"/>
          <w:sz w:val="24"/>
          <w:szCs w:val="24"/>
        </w:rPr>
        <w:t>’</w:t>
      </w:r>
      <w:r w:rsidR="00446E31" w:rsidRPr="008712F5">
        <w:rPr>
          <w:rFonts w:ascii="Times New Roman" w:hAnsi="Times New Roman" w:cs="Times New Roman"/>
          <w:sz w:val="24"/>
          <w:szCs w:val="24"/>
        </w:rPr>
        <w:t xml:space="preserve"> scale (TA)</w:t>
      </w:r>
      <w:r w:rsidR="00B61CBA" w:rsidRPr="008712F5">
        <w:rPr>
          <w:rFonts w:ascii="Times New Roman" w:hAnsi="Times New Roman" w:cs="Times New Roman"/>
          <w:sz w:val="24"/>
          <w:szCs w:val="24"/>
        </w:rPr>
        <w:t>, Bahrain</w:t>
      </w:r>
      <w:r w:rsidR="00446E31" w:rsidRPr="008712F5">
        <w:rPr>
          <w:rFonts w:ascii="Times New Roman" w:hAnsi="Times New Roman" w:cs="Times New Roman"/>
          <w:sz w:val="24"/>
          <w:szCs w:val="24"/>
        </w:rPr>
        <w:t>, Kazakhstan</w:t>
      </w:r>
      <w:r w:rsidR="00B61CBA" w:rsidRPr="008712F5">
        <w:rPr>
          <w:rFonts w:ascii="Times New Roman" w:hAnsi="Times New Roman" w:cs="Times New Roman"/>
          <w:sz w:val="24"/>
          <w:szCs w:val="24"/>
        </w:rPr>
        <w:t xml:space="preserve"> and Oman score highest, </w:t>
      </w:r>
      <w:r w:rsidR="00C35C2B" w:rsidRPr="008712F5">
        <w:rPr>
          <w:rFonts w:ascii="Times New Roman" w:hAnsi="Times New Roman" w:cs="Times New Roman"/>
          <w:sz w:val="24"/>
          <w:szCs w:val="24"/>
        </w:rPr>
        <w:t xml:space="preserve">while </w:t>
      </w:r>
      <w:r w:rsidR="00B61CBA" w:rsidRPr="008712F5">
        <w:rPr>
          <w:rFonts w:ascii="Times New Roman" w:hAnsi="Times New Roman" w:cs="Times New Roman"/>
          <w:sz w:val="24"/>
          <w:szCs w:val="24"/>
        </w:rPr>
        <w:t>Norway and Hong Kong SAR score lowest for the measure</w:t>
      </w:r>
      <w:r w:rsidR="00446E31" w:rsidRPr="008712F5">
        <w:rPr>
          <w:rFonts w:ascii="Times New Roman" w:hAnsi="Times New Roman" w:cs="Times New Roman"/>
          <w:sz w:val="24"/>
          <w:szCs w:val="24"/>
        </w:rPr>
        <w:t>. Finally the ‘</w:t>
      </w:r>
      <w:r w:rsidR="00494437" w:rsidRPr="008712F5">
        <w:rPr>
          <w:rFonts w:ascii="Times New Roman" w:hAnsi="Times New Roman" w:cs="Times New Roman"/>
          <w:sz w:val="24"/>
          <w:szCs w:val="24"/>
        </w:rPr>
        <w:t>Practice-</w:t>
      </w:r>
      <w:r w:rsidR="00446E31" w:rsidRPr="008712F5">
        <w:rPr>
          <w:rFonts w:ascii="Times New Roman" w:hAnsi="Times New Roman" w:cs="Times New Roman"/>
          <w:sz w:val="24"/>
          <w:szCs w:val="24"/>
        </w:rPr>
        <w:t>on</w:t>
      </w:r>
      <w:r w:rsidR="00494437" w:rsidRPr="008712F5">
        <w:rPr>
          <w:rFonts w:ascii="Times New Roman" w:hAnsi="Times New Roman" w:cs="Times New Roman"/>
          <w:sz w:val="24"/>
          <w:szCs w:val="24"/>
        </w:rPr>
        <w:t>-O</w:t>
      </w:r>
      <w:r w:rsidR="00446E31" w:rsidRPr="008712F5">
        <w:rPr>
          <w:rFonts w:ascii="Times New Roman" w:hAnsi="Times New Roman" w:cs="Times New Roman"/>
          <w:sz w:val="24"/>
          <w:szCs w:val="24"/>
        </w:rPr>
        <w:t xml:space="preserve">wn’ scale (PO) shows Chinese Taipei and Hong Kong SAR </w:t>
      </w:r>
      <w:r w:rsidR="00932728" w:rsidRPr="008712F5">
        <w:rPr>
          <w:rFonts w:ascii="Times New Roman" w:hAnsi="Times New Roman" w:cs="Times New Roman"/>
          <w:sz w:val="24"/>
          <w:szCs w:val="24"/>
        </w:rPr>
        <w:t>as lowest</w:t>
      </w:r>
      <w:r w:rsidR="005E28A5" w:rsidRPr="008712F5">
        <w:rPr>
          <w:rFonts w:ascii="Times New Roman" w:hAnsi="Times New Roman" w:cs="Times New Roman"/>
          <w:sz w:val="24"/>
          <w:szCs w:val="24"/>
        </w:rPr>
        <w:t>;</w:t>
      </w:r>
      <w:r w:rsidR="00932728" w:rsidRPr="008712F5">
        <w:rPr>
          <w:rFonts w:ascii="Times New Roman" w:hAnsi="Times New Roman" w:cs="Times New Roman"/>
          <w:sz w:val="24"/>
          <w:szCs w:val="24"/>
        </w:rPr>
        <w:t xml:space="preserve"> and</w:t>
      </w:r>
      <w:r w:rsidR="005E28A5" w:rsidRPr="008712F5">
        <w:rPr>
          <w:rFonts w:ascii="Times New Roman" w:hAnsi="Times New Roman" w:cs="Times New Roman"/>
          <w:sz w:val="24"/>
          <w:szCs w:val="24"/>
        </w:rPr>
        <w:t xml:space="preserve"> Bahrain and Qatar as highest</w:t>
      </w:r>
      <w:r w:rsidR="00932728" w:rsidRPr="008712F5">
        <w:rPr>
          <w:rFonts w:ascii="Times New Roman" w:hAnsi="Times New Roman" w:cs="Times New Roman"/>
          <w:sz w:val="24"/>
          <w:szCs w:val="24"/>
        </w:rPr>
        <w:t xml:space="preserve"> </w:t>
      </w:r>
      <w:r w:rsidR="005067B5" w:rsidRPr="008712F5">
        <w:rPr>
          <w:rFonts w:ascii="Times New Roman" w:hAnsi="Times New Roman" w:cs="Times New Roman"/>
          <w:sz w:val="24"/>
          <w:szCs w:val="24"/>
        </w:rPr>
        <w:t xml:space="preserve"> These findings show that relatively high or low scores for </w:t>
      </w:r>
      <w:r w:rsidR="00932728" w:rsidRPr="008712F5">
        <w:rPr>
          <w:rFonts w:ascii="Times New Roman" w:hAnsi="Times New Roman" w:cs="Times New Roman"/>
          <w:sz w:val="24"/>
          <w:szCs w:val="24"/>
        </w:rPr>
        <w:t>the scales</w:t>
      </w:r>
      <w:r w:rsidR="005067B5" w:rsidRPr="008712F5">
        <w:rPr>
          <w:rFonts w:ascii="Times New Roman" w:hAnsi="Times New Roman" w:cs="Times New Roman"/>
          <w:sz w:val="24"/>
          <w:szCs w:val="24"/>
        </w:rPr>
        <w:t xml:space="preserve"> can co-exist; in other words, the teaching practices are not mutually exclusive.</w:t>
      </w:r>
      <w:r w:rsidR="005E28A5" w:rsidRPr="008712F5">
        <w:rPr>
          <w:rFonts w:ascii="Times New Roman" w:hAnsi="Times New Roman" w:cs="Times New Roman"/>
          <w:sz w:val="24"/>
          <w:szCs w:val="24"/>
        </w:rPr>
        <w:t xml:space="preserve"> They further show that although there are substantial differences between countries, clusters of countries seem to be apparent. However, a lower or higher level of practices does not say much about the predictive value of </w:t>
      </w:r>
    </w:p>
    <w:p w14:paraId="41620F0E" w14:textId="77C36F16" w:rsidR="004F5E55" w:rsidRPr="008712F5" w:rsidRDefault="004F5E55" w:rsidP="00D1040A">
      <w:pPr>
        <w:spacing w:line="276" w:lineRule="auto"/>
        <w:rPr>
          <w:rFonts w:ascii="Times New Roman" w:hAnsi="Times New Roman" w:cs="Times New Roman"/>
        </w:rPr>
      </w:pPr>
    </w:p>
    <w:p w14:paraId="58AB72B6" w14:textId="1FFE7501" w:rsidR="00505886" w:rsidRPr="008712F5" w:rsidRDefault="005067B5" w:rsidP="00D40C31">
      <w:pPr>
        <w:jc w:val="center"/>
        <w:rPr>
          <w:rFonts w:ascii="Times New Roman" w:hAnsi="Times New Roman" w:cs="Times New Roman"/>
          <w:sz w:val="24"/>
          <w:szCs w:val="24"/>
        </w:rPr>
      </w:pPr>
      <w:r w:rsidRPr="008712F5">
        <w:rPr>
          <w:rFonts w:ascii="Times New Roman" w:hAnsi="Times New Roman" w:cs="Times New Roman"/>
          <w:sz w:val="24"/>
          <w:szCs w:val="24"/>
        </w:rPr>
        <w:t xml:space="preserve">Table </w:t>
      </w:r>
      <w:r w:rsidR="004D6766" w:rsidRPr="008712F5">
        <w:rPr>
          <w:rFonts w:ascii="Times New Roman" w:hAnsi="Times New Roman" w:cs="Times New Roman"/>
          <w:sz w:val="24"/>
          <w:szCs w:val="24"/>
        </w:rPr>
        <w:t>II</w:t>
      </w:r>
      <w:r w:rsidRPr="008712F5">
        <w:rPr>
          <w:rFonts w:ascii="Times New Roman" w:hAnsi="Times New Roman" w:cs="Times New Roman"/>
          <w:sz w:val="24"/>
          <w:szCs w:val="24"/>
        </w:rPr>
        <w:t xml:space="preserve"> Descriptive statistics for key variables</w:t>
      </w:r>
      <w:r w:rsidR="00D40C31" w:rsidRPr="008712F5">
        <w:rPr>
          <w:rFonts w:ascii="Times New Roman" w:hAnsi="Times New Roman" w:cs="Times New Roman"/>
          <w:sz w:val="24"/>
          <w:szCs w:val="24"/>
        </w:rPr>
        <w:t>. East Asian jurisdictions in grey. N refers to the maximum sample size. M=Mean. SD=Standard Deviation. BSMMAT=mathematics achievement. BSBGHER=Home Educational Resources scale. ITSEX=Gender (Female=1, Male=2). GEN=Generative scale. TA=Teacher-Active scale. PO=Practice-on-Own scale. BTBGLSN=’Classroom Teaching Limited by Students Not Ready for Instruction’ scale. BTBM14=instructional time in minutes per week.</w:t>
      </w:r>
    </w:p>
    <w:p w14:paraId="304A2977" w14:textId="77777777" w:rsidR="00505886" w:rsidRPr="008712F5" w:rsidRDefault="00505886" w:rsidP="00505886">
      <w:pPr>
        <w:rPr>
          <w:rFonts w:ascii="Times New Roman" w:hAnsi="Times New Roman" w:cs="Times New Roman"/>
          <w:sz w:val="24"/>
          <w:szCs w:val="24"/>
        </w:rPr>
      </w:pPr>
    </w:p>
    <w:p w14:paraId="442A0E29" w14:textId="77777777" w:rsidR="00505886" w:rsidRPr="008712F5" w:rsidRDefault="00505886" w:rsidP="00505886">
      <w:pPr>
        <w:rPr>
          <w:rFonts w:ascii="Times New Roman" w:hAnsi="Times New Roman" w:cs="Times New Roman"/>
          <w:sz w:val="24"/>
          <w:szCs w:val="24"/>
        </w:rPr>
      </w:pPr>
    </w:p>
    <w:tbl>
      <w:tblPr>
        <w:tblStyle w:val="PlainTable2"/>
        <w:tblW w:w="0" w:type="auto"/>
        <w:tblLook w:val="04A0" w:firstRow="1" w:lastRow="0" w:firstColumn="1" w:lastColumn="0" w:noHBand="0" w:noVBand="1"/>
      </w:tblPr>
      <w:tblGrid>
        <w:gridCol w:w="3026"/>
        <w:gridCol w:w="673"/>
        <w:gridCol w:w="718"/>
        <w:gridCol w:w="718"/>
        <w:gridCol w:w="627"/>
        <w:gridCol w:w="536"/>
        <w:gridCol w:w="536"/>
        <w:gridCol w:w="536"/>
        <w:gridCol w:w="536"/>
        <w:gridCol w:w="536"/>
        <w:gridCol w:w="536"/>
        <w:gridCol w:w="536"/>
        <w:gridCol w:w="536"/>
        <w:gridCol w:w="536"/>
        <w:gridCol w:w="627"/>
        <w:gridCol w:w="536"/>
        <w:gridCol w:w="718"/>
        <w:gridCol w:w="718"/>
      </w:tblGrid>
      <w:tr w:rsidR="008712F5" w:rsidRPr="008712F5" w14:paraId="28FBB98F" w14:textId="77777777" w:rsidTr="00A43F2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A3E616C"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Country</w:t>
            </w:r>
          </w:p>
        </w:tc>
        <w:tc>
          <w:tcPr>
            <w:tcW w:w="0" w:type="auto"/>
            <w:noWrap/>
            <w:hideMark/>
          </w:tcPr>
          <w:p w14:paraId="762C62FE" w14:textId="26AD764E" w:rsidR="006D3639" w:rsidRPr="008712F5" w:rsidRDefault="006D3639" w:rsidP="006D36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N</w:t>
            </w:r>
          </w:p>
        </w:tc>
        <w:tc>
          <w:tcPr>
            <w:tcW w:w="0" w:type="auto"/>
            <w:gridSpan w:val="2"/>
            <w:noWrap/>
            <w:hideMark/>
          </w:tcPr>
          <w:p w14:paraId="1FDEA6A8" w14:textId="77777777" w:rsidR="006D3639" w:rsidRPr="008712F5" w:rsidRDefault="006D3639" w:rsidP="006D36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BSMMAT</w:t>
            </w:r>
          </w:p>
        </w:tc>
        <w:tc>
          <w:tcPr>
            <w:tcW w:w="0" w:type="auto"/>
            <w:gridSpan w:val="2"/>
            <w:noWrap/>
            <w:hideMark/>
          </w:tcPr>
          <w:p w14:paraId="3BAC4297" w14:textId="77777777" w:rsidR="006D3639" w:rsidRPr="008712F5" w:rsidRDefault="006D3639" w:rsidP="006D36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BSBGHER</w:t>
            </w:r>
          </w:p>
        </w:tc>
        <w:tc>
          <w:tcPr>
            <w:tcW w:w="0" w:type="auto"/>
            <w:gridSpan w:val="2"/>
            <w:noWrap/>
            <w:hideMark/>
          </w:tcPr>
          <w:p w14:paraId="7D0FE5A3" w14:textId="537630F1" w:rsidR="006D3639" w:rsidRPr="008712F5" w:rsidRDefault="006D3639" w:rsidP="006D36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ITSEX</w:t>
            </w:r>
          </w:p>
        </w:tc>
        <w:tc>
          <w:tcPr>
            <w:tcW w:w="0" w:type="auto"/>
            <w:gridSpan w:val="2"/>
            <w:noWrap/>
            <w:hideMark/>
          </w:tcPr>
          <w:p w14:paraId="503E0BB9" w14:textId="7B9C3D05" w:rsidR="006D3639" w:rsidRPr="008712F5" w:rsidRDefault="006D3639" w:rsidP="006D36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GEN</w:t>
            </w:r>
          </w:p>
        </w:tc>
        <w:tc>
          <w:tcPr>
            <w:tcW w:w="0" w:type="auto"/>
            <w:gridSpan w:val="2"/>
            <w:noWrap/>
            <w:hideMark/>
          </w:tcPr>
          <w:p w14:paraId="00B05C57" w14:textId="371C51F5" w:rsidR="006D3639" w:rsidRPr="008712F5" w:rsidRDefault="006D3639" w:rsidP="006D36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TA</w:t>
            </w:r>
          </w:p>
        </w:tc>
        <w:tc>
          <w:tcPr>
            <w:tcW w:w="0" w:type="auto"/>
            <w:gridSpan w:val="2"/>
            <w:noWrap/>
            <w:hideMark/>
          </w:tcPr>
          <w:p w14:paraId="270725E0" w14:textId="47234FAD" w:rsidR="006D3639" w:rsidRPr="008712F5" w:rsidRDefault="006D3639" w:rsidP="006D36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PO</w:t>
            </w:r>
          </w:p>
        </w:tc>
        <w:tc>
          <w:tcPr>
            <w:tcW w:w="0" w:type="auto"/>
            <w:gridSpan w:val="2"/>
            <w:noWrap/>
            <w:hideMark/>
          </w:tcPr>
          <w:p w14:paraId="5844BEF4" w14:textId="77777777" w:rsidR="006D3639" w:rsidRPr="008712F5" w:rsidRDefault="006D3639" w:rsidP="006D36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BTBGLSN</w:t>
            </w:r>
          </w:p>
        </w:tc>
        <w:tc>
          <w:tcPr>
            <w:tcW w:w="0" w:type="auto"/>
            <w:gridSpan w:val="2"/>
            <w:noWrap/>
            <w:hideMark/>
          </w:tcPr>
          <w:p w14:paraId="241A88B8" w14:textId="3984800D" w:rsidR="006D3639" w:rsidRPr="008712F5" w:rsidRDefault="006D3639" w:rsidP="006D363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BTBM14</w:t>
            </w:r>
          </w:p>
        </w:tc>
      </w:tr>
      <w:tr w:rsidR="008712F5" w:rsidRPr="008712F5" w14:paraId="68A984A7"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tcPr>
          <w:p w14:paraId="6500252B" w14:textId="77777777" w:rsidR="00FD3970" w:rsidRPr="008712F5" w:rsidRDefault="00FD3970" w:rsidP="006D3639">
            <w:pPr>
              <w:rPr>
                <w:rFonts w:ascii="Calibri" w:eastAsia="Times New Roman" w:hAnsi="Calibri" w:cs="Calibri"/>
                <w:sz w:val="18"/>
                <w:szCs w:val="18"/>
              </w:rPr>
            </w:pPr>
          </w:p>
        </w:tc>
        <w:tc>
          <w:tcPr>
            <w:tcW w:w="0" w:type="auto"/>
            <w:noWrap/>
          </w:tcPr>
          <w:p w14:paraId="519ED9D5" w14:textId="77777777" w:rsidR="00FD3970" w:rsidRPr="008712F5" w:rsidRDefault="00FD3970" w:rsidP="006D36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gridSpan w:val="6"/>
            <w:noWrap/>
          </w:tcPr>
          <w:p w14:paraId="5B9FE963" w14:textId="294BC898" w:rsidR="00FD3970" w:rsidRPr="008712F5" w:rsidRDefault="00FD3970" w:rsidP="006D36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STUDENT LEVEL</w:t>
            </w:r>
          </w:p>
        </w:tc>
        <w:tc>
          <w:tcPr>
            <w:tcW w:w="0" w:type="auto"/>
            <w:gridSpan w:val="10"/>
            <w:noWrap/>
          </w:tcPr>
          <w:p w14:paraId="4F28BB62" w14:textId="5B87EBF6" w:rsidR="00FD3970" w:rsidRPr="008712F5" w:rsidRDefault="00FD3970" w:rsidP="006D363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INSTRUCTIONAL VARIABLES TEACHER LEVEL</w:t>
            </w:r>
          </w:p>
        </w:tc>
      </w:tr>
      <w:tr w:rsidR="008712F5" w:rsidRPr="008712F5" w14:paraId="7364B53D"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C0A7E10" w14:textId="77777777" w:rsidR="006D3639" w:rsidRPr="008712F5" w:rsidRDefault="006D3639" w:rsidP="006D3639">
            <w:pPr>
              <w:rPr>
                <w:rFonts w:ascii="Times New Roman" w:eastAsia="Times New Roman" w:hAnsi="Times New Roman" w:cs="Times New Roman"/>
                <w:sz w:val="18"/>
                <w:szCs w:val="18"/>
              </w:rPr>
            </w:pPr>
          </w:p>
        </w:tc>
        <w:tc>
          <w:tcPr>
            <w:tcW w:w="0" w:type="auto"/>
            <w:noWrap/>
            <w:hideMark/>
          </w:tcPr>
          <w:p w14:paraId="199300DC" w14:textId="77777777" w:rsidR="006D3639" w:rsidRPr="008712F5" w:rsidRDefault="006D3639" w:rsidP="006D363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0" w:type="auto"/>
            <w:noWrap/>
            <w:hideMark/>
          </w:tcPr>
          <w:p w14:paraId="3794B19E"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M</w:t>
            </w:r>
          </w:p>
        </w:tc>
        <w:tc>
          <w:tcPr>
            <w:tcW w:w="0" w:type="auto"/>
            <w:noWrap/>
            <w:hideMark/>
          </w:tcPr>
          <w:p w14:paraId="5E6ECEFE"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SD</w:t>
            </w:r>
          </w:p>
        </w:tc>
        <w:tc>
          <w:tcPr>
            <w:tcW w:w="0" w:type="auto"/>
            <w:noWrap/>
            <w:hideMark/>
          </w:tcPr>
          <w:p w14:paraId="5C07C2E2"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M</w:t>
            </w:r>
          </w:p>
        </w:tc>
        <w:tc>
          <w:tcPr>
            <w:tcW w:w="0" w:type="auto"/>
            <w:noWrap/>
            <w:hideMark/>
          </w:tcPr>
          <w:p w14:paraId="30CC456C"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SD</w:t>
            </w:r>
          </w:p>
        </w:tc>
        <w:tc>
          <w:tcPr>
            <w:tcW w:w="0" w:type="auto"/>
            <w:noWrap/>
            <w:hideMark/>
          </w:tcPr>
          <w:p w14:paraId="27901A9A"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M</w:t>
            </w:r>
          </w:p>
        </w:tc>
        <w:tc>
          <w:tcPr>
            <w:tcW w:w="0" w:type="auto"/>
            <w:noWrap/>
            <w:hideMark/>
          </w:tcPr>
          <w:p w14:paraId="5E593BAB"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SD</w:t>
            </w:r>
          </w:p>
        </w:tc>
        <w:tc>
          <w:tcPr>
            <w:tcW w:w="0" w:type="auto"/>
            <w:noWrap/>
            <w:hideMark/>
          </w:tcPr>
          <w:p w14:paraId="2052F207"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M</w:t>
            </w:r>
          </w:p>
        </w:tc>
        <w:tc>
          <w:tcPr>
            <w:tcW w:w="0" w:type="auto"/>
            <w:noWrap/>
            <w:hideMark/>
          </w:tcPr>
          <w:p w14:paraId="291BC764"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SD</w:t>
            </w:r>
          </w:p>
        </w:tc>
        <w:tc>
          <w:tcPr>
            <w:tcW w:w="0" w:type="auto"/>
            <w:noWrap/>
            <w:hideMark/>
          </w:tcPr>
          <w:p w14:paraId="29BD20CB"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M</w:t>
            </w:r>
          </w:p>
        </w:tc>
        <w:tc>
          <w:tcPr>
            <w:tcW w:w="0" w:type="auto"/>
            <w:noWrap/>
            <w:hideMark/>
          </w:tcPr>
          <w:p w14:paraId="579FE0F0"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SD</w:t>
            </w:r>
          </w:p>
        </w:tc>
        <w:tc>
          <w:tcPr>
            <w:tcW w:w="0" w:type="auto"/>
            <w:noWrap/>
            <w:hideMark/>
          </w:tcPr>
          <w:p w14:paraId="2B85452F"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M</w:t>
            </w:r>
          </w:p>
        </w:tc>
        <w:tc>
          <w:tcPr>
            <w:tcW w:w="0" w:type="auto"/>
            <w:noWrap/>
            <w:hideMark/>
          </w:tcPr>
          <w:p w14:paraId="32BBE86D"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SD</w:t>
            </w:r>
          </w:p>
        </w:tc>
        <w:tc>
          <w:tcPr>
            <w:tcW w:w="0" w:type="auto"/>
            <w:noWrap/>
            <w:hideMark/>
          </w:tcPr>
          <w:p w14:paraId="6DD07AF5"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M</w:t>
            </w:r>
          </w:p>
        </w:tc>
        <w:tc>
          <w:tcPr>
            <w:tcW w:w="0" w:type="auto"/>
            <w:noWrap/>
            <w:hideMark/>
          </w:tcPr>
          <w:p w14:paraId="7209EF47"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SD</w:t>
            </w:r>
          </w:p>
        </w:tc>
        <w:tc>
          <w:tcPr>
            <w:tcW w:w="0" w:type="auto"/>
            <w:noWrap/>
            <w:hideMark/>
          </w:tcPr>
          <w:p w14:paraId="022D74C0"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M</w:t>
            </w:r>
          </w:p>
        </w:tc>
        <w:tc>
          <w:tcPr>
            <w:tcW w:w="0" w:type="auto"/>
            <w:noWrap/>
            <w:hideMark/>
          </w:tcPr>
          <w:p w14:paraId="24E4AA44" w14:textId="77777777" w:rsidR="006D3639" w:rsidRPr="008712F5" w:rsidRDefault="006D3639" w:rsidP="006D363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rPr>
            </w:pPr>
            <w:r w:rsidRPr="008712F5">
              <w:rPr>
                <w:rFonts w:ascii="Calibri" w:eastAsia="Times New Roman" w:hAnsi="Calibri" w:cs="Calibri"/>
                <w:b/>
                <w:bCs/>
                <w:sz w:val="18"/>
                <w:szCs w:val="18"/>
              </w:rPr>
              <w:t>SD</w:t>
            </w:r>
          </w:p>
        </w:tc>
      </w:tr>
      <w:tr w:rsidR="008712F5" w:rsidRPr="008712F5" w14:paraId="5BA21D0D"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989E163"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Australia</w:t>
            </w:r>
          </w:p>
        </w:tc>
        <w:tc>
          <w:tcPr>
            <w:tcW w:w="0" w:type="auto"/>
            <w:noWrap/>
            <w:hideMark/>
          </w:tcPr>
          <w:p w14:paraId="3998997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9281</w:t>
            </w:r>
          </w:p>
        </w:tc>
        <w:tc>
          <w:tcPr>
            <w:tcW w:w="0" w:type="auto"/>
            <w:noWrap/>
            <w:hideMark/>
          </w:tcPr>
          <w:p w14:paraId="2E441F8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517.56</w:t>
            </w:r>
          </w:p>
        </w:tc>
        <w:tc>
          <w:tcPr>
            <w:tcW w:w="0" w:type="auto"/>
            <w:noWrap/>
            <w:hideMark/>
          </w:tcPr>
          <w:p w14:paraId="0679775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88.99</w:t>
            </w:r>
          </w:p>
        </w:tc>
        <w:tc>
          <w:tcPr>
            <w:tcW w:w="0" w:type="auto"/>
            <w:noWrap/>
            <w:hideMark/>
          </w:tcPr>
          <w:p w14:paraId="7CE36E5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11.12</w:t>
            </w:r>
          </w:p>
        </w:tc>
        <w:tc>
          <w:tcPr>
            <w:tcW w:w="0" w:type="auto"/>
            <w:noWrap/>
            <w:hideMark/>
          </w:tcPr>
          <w:p w14:paraId="3C0DBD0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1.44</w:t>
            </w:r>
          </w:p>
        </w:tc>
        <w:tc>
          <w:tcPr>
            <w:tcW w:w="0" w:type="auto"/>
            <w:noWrap/>
            <w:hideMark/>
          </w:tcPr>
          <w:p w14:paraId="7618935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w:t>
            </w:r>
          </w:p>
        </w:tc>
        <w:tc>
          <w:tcPr>
            <w:tcW w:w="0" w:type="auto"/>
            <w:noWrap/>
            <w:hideMark/>
          </w:tcPr>
          <w:p w14:paraId="27D8A75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3D9802C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3.18</w:t>
            </w:r>
          </w:p>
        </w:tc>
        <w:tc>
          <w:tcPr>
            <w:tcW w:w="0" w:type="auto"/>
            <w:noWrap/>
            <w:hideMark/>
          </w:tcPr>
          <w:p w14:paraId="0BAF6E2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0.47</w:t>
            </w:r>
          </w:p>
        </w:tc>
        <w:tc>
          <w:tcPr>
            <w:tcW w:w="0" w:type="auto"/>
            <w:noWrap/>
            <w:hideMark/>
          </w:tcPr>
          <w:p w14:paraId="64218A2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3.28</w:t>
            </w:r>
          </w:p>
        </w:tc>
        <w:tc>
          <w:tcPr>
            <w:tcW w:w="0" w:type="auto"/>
            <w:noWrap/>
            <w:hideMark/>
          </w:tcPr>
          <w:p w14:paraId="75BF19D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0.59</w:t>
            </w:r>
          </w:p>
        </w:tc>
        <w:tc>
          <w:tcPr>
            <w:tcW w:w="0" w:type="auto"/>
            <w:noWrap/>
            <w:hideMark/>
          </w:tcPr>
          <w:p w14:paraId="3F504FF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3.35</w:t>
            </w:r>
          </w:p>
        </w:tc>
        <w:tc>
          <w:tcPr>
            <w:tcW w:w="0" w:type="auto"/>
            <w:noWrap/>
            <w:hideMark/>
          </w:tcPr>
          <w:p w14:paraId="0718630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0.53</w:t>
            </w:r>
          </w:p>
        </w:tc>
        <w:tc>
          <w:tcPr>
            <w:tcW w:w="0" w:type="auto"/>
            <w:noWrap/>
            <w:hideMark/>
          </w:tcPr>
          <w:p w14:paraId="4D9B515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9.86</w:t>
            </w:r>
          </w:p>
        </w:tc>
        <w:tc>
          <w:tcPr>
            <w:tcW w:w="0" w:type="auto"/>
            <w:noWrap/>
            <w:hideMark/>
          </w:tcPr>
          <w:p w14:paraId="5A8C5BF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2.04</w:t>
            </w:r>
          </w:p>
        </w:tc>
        <w:tc>
          <w:tcPr>
            <w:tcW w:w="0" w:type="auto"/>
            <w:noWrap/>
            <w:hideMark/>
          </w:tcPr>
          <w:p w14:paraId="55B1A32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213.90</w:t>
            </w:r>
          </w:p>
        </w:tc>
        <w:tc>
          <w:tcPr>
            <w:tcW w:w="0" w:type="auto"/>
            <w:noWrap/>
            <w:hideMark/>
          </w:tcPr>
          <w:p w14:paraId="1ACD938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46.36</w:t>
            </w:r>
          </w:p>
        </w:tc>
      </w:tr>
      <w:tr w:rsidR="008712F5" w:rsidRPr="008712F5" w14:paraId="5B7FFD58"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5416897"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Bahrain</w:t>
            </w:r>
          </w:p>
        </w:tc>
        <w:tc>
          <w:tcPr>
            <w:tcW w:w="0" w:type="auto"/>
            <w:noWrap/>
            <w:hideMark/>
          </w:tcPr>
          <w:p w14:paraId="6956662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5725</w:t>
            </w:r>
          </w:p>
        </w:tc>
        <w:tc>
          <w:tcPr>
            <w:tcW w:w="0" w:type="auto"/>
            <w:noWrap/>
            <w:hideMark/>
          </w:tcPr>
          <w:p w14:paraId="32991B2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481.09</w:t>
            </w:r>
          </w:p>
        </w:tc>
        <w:tc>
          <w:tcPr>
            <w:tcW w:w="0" w:type="auto"/>
            <w:noWrap/>
            <w:hideMark/>
          </w:tcPr>
          <w:p w14:paraId="36B3FAE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95.26</w:t>
            </w:r>
          </w:p>
        </w:tc>
        <w:tc>
          <w:tcPr>
            <w:tcW w:w="0" w:type="auto"/>
            <w:noWrap/>
            <w:hideMark/>
          </w:tcPr>
          <w:p w14:paraId="31ADC8F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10.20</w:t>
            </w:r>
          </w:p>
        </w:tc>
        <w:tc>
          <w:tcPr>
            <w:tcW w:w="0" w:type="auto"/>
            <w:noWrap/>
            <w:hideMark/>
          </w:tcPr>
          <w:p w14:paraId="73044D8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1.42</w:t>
            </w:r>
          </w:p>
        </w:tc>
        <w:tc>
          <w:tcPr>
            <w:tcW w:w="0" w:type="auto"/>
            <w:noWrap/>
            <w:hideMark/>
          </w:tcPr>
          <w:p w14:paraId="07200A8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734134C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2791F48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3.59</w:t>
            </w:r>
          </w:p>
        </w:tc>
        <w:tc>
          <w:tcPr>
            <w:tcW w:w="0" w:type="auto"/>
            <w:noWrap/>
            <w:hideMark/>
          </w:tcPr>
          <w:p w14:paraId="255DE6C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0.38</w:t>
            </w:r>
          </w:p>
        </w:tc>
        <w:tc>
          <w:tcPr>
            <w:tcW w:w="0" w:type="auto"/>
            <w:noWrap/>
            <w:hideMark/>
          </w:tcPr>
          <w:p w14:paraId="1E6B726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3.63</w:t>
            </w:r>
          </w:p>
        </w:tc>
        <w:tc>
          <w:tcPr>
            <w:tcW w:w="0" w:type="auto"/>
            <w:noWrap/>
            <w:hideMark/>
          </w:tcPr>
          <w:p w14:paraId="1B10BAE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0.54</w:t>
            </w:r>
          </w:p>
        </w:tc>
        <w:tc>
          <w:tcPr>
            <w:tcW w:w="0" w:type="auto"/>
            <w:noWrap/>
            <w:hideMark/>
          </w:tcPr>
          <w:p w14:paraId="6BDEEF7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3.60</w:t>
            </w:r>
          </w:p>
        </w:tc>
        <w:tc>
          <w:tcPr>
            <w:tcW w:w="0" w:type="auto"/>
            <w:noWrap/>
            <w:hideMark/>
          </w:tcPr>
          <w:p w14:paraId="6295368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0.47</w:t>
            </w:r>
          </w:p>
        </w:tc>
        <w:tc>
          <w:tcPr>
            <w:tcW w:w="0" w:type="auto"/>
            <w:noWrap/>
            <w:hideMark/>
          </w:tcPr>
          <w:p w14:paraId="115A40A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9.91</w:t>
            </w:r>
          </w:p>
        </w:tc>
        <w:tc>
          <w:tcPr>
            <w:tcW w:w="0" w:type="auto"/>
            <w:noWrap/>
            <w:hideMark/>
          </w:tcPr>
          <w:p w14:paraId="4E6EE51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1.46</w:t>
            </w:r>
          </w:p>
        </w:tc>
        <w:tc>
          <w:tcPr>
            <w:tcW w:w="0" w:type="auto"/>
            <w:noWrap/>
            <w:hideMark/>
          </w:tcPr>
          <w:p w14:paraId="0F57737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265.67</w:t>
            </w:r>
          </w:p>
        </w:tc>
        <w:tc>
          <w:tcPr>
            <w:tcW w:w="0" w:type="auto"/>
            <w:noWrap/>
            <w:hideMark/>
          </w:tcPr>
          <w:p w14:paraId="28F509A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52.34</w:t>
            </w:r>
          </w:p>
        </w:tc>
      </w:tr>
      <w:tr w:rsidR="008712F5" w:rsidRPr="008712F5" w14:paraId="77604E30"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8270337"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Chile</w:t>
            </w:r>
          </w:p>
        </w:tc>
        <w:tc>
          <w:tcPr>
            <w:tcW w:w="0" w:type="auto"/>
            <w:noWrap/>
            <w:hideMark/>
          </w:tcPr>
          <w:p w14:paraId="6BB3448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4319</w:t>
            </w:r>
          </w:p>
        </w:tc>
        <w:tc>
          <w:tcPr>
            <w:tcW w:w="0" w:type="auto"/>
            <w:noWrap/>
            <w:hideMark/>
          </w:tcPr>
          <w:p w14:paraId="57599A7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441.56</w:t>
            </w:r>
          </w:p>
        </w:tc>
        <w:tc>
          <w:tcPr>
            <w:tcW w:w="0" w:type="auto"/>
            <w:noWrap/>
            <w:hideMark/>
          </w:tcPr>
          <w:p w14:paraId="23874E0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76.61</w:t>
            </w:r>
          </w:p>
        </w:tc>
        <w:tc>
          <w:tcPr>
            <w:tcW w:w="0" w:type="auto"/>
            <w:noWrap/>
            <w:hideMark/>
          </w:tcPr>
          <w:p w14:paraId="18CA108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9.88</w:t>
            </w:r>
          </w:p>
        </w:tc>
        <w:tc>
          <w:tcPr>
            <w:tcW w:w="0" w:type="auto"/>
            <w:noWrap/>
            <w:hideMark/>
          </w:tcPr>
          <w:p w14:paraId="1AE7FF2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1.39</w:t>
            </w:r>
          </w:p>
        </w:tc>
        <w:tc>
          <w:tcPr>
            <w:tcW w:w="0" w:type="auto"/>
            <w:noWrap/>
            <w:hideMark/>
          </w:tcPr>
          <w:p w14:paraId="5134504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5EF8E78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0DD7B65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3.47</w:t>
            </w:r>
          </w:p>
        </w:tc>
        <w:tc>
          <w:tcPr>
            <w:tcW w:w="0" w:type="auto"/>
            <w:noWrap/>
            <w:hideMark/>
          </w:tcPr>
          <w:p w14:paraId="277AB7D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0.46</w:t>
            </w:r>
          </w:p>
        </w:tc>
        <w:tc>
          <w:tcPr>
            <w:tcW w:w="0" w:type="auto"/>
            <w:noWrap/>
            <w:hideMark/>
          </w:tcPr>
          <w:p w14:paraId="29EC831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3.33</w:t>
            </w:r>
          </w:p>
        </w:tc>
        <w:tc>
          <w:tcPr>
            <w:tcW w:w="0" w:type="auto"/>
            <w:noWrap/>
            <w:hideMark/>
          </w:tcPr>
          <w:p w14:paraId="716DA8B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0.62</w:t>
            </w:r>
          </w:p>
        </w:tc>
        <w:tc>
          <w:tcPr>
            <w:tcW w:w="0" w:type="auto"/>
            <w:noWrap/>
            <w:hideMark/>
          </w:tcPr>
          <w:p w14:paraId="16EFABB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3.46</w:t>
            </w:r>
          </w:p>
        </w:tc>
        <w:tc>
          <w:tcPr>
            <w:tcW w:w="0" w:type="auto"/>
            <w:noWrap/>
            <w:hideMark/>
          </w:tcPr>
          <w:p w14:paraId="039B369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0.56</w:t>
            </w:r>
          </w:p>
        </w:tc>
        <w:tc>
          <w:tcPr>
            <w:tcW w:w="0" w:type="auto"/>
            <w:noWrap/>
            <w:hideMark/>
          </w:tcPr>
          <w:p w14:paraId="74891D2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9.20</w:t>
            </w:r>
          </w:p>
        </w:tc>
        <w:tc>
          <w:tcPr>
            <w:tcW w:w="0" w:type="auto"/>
            <w:noWrap/>
            <w:hideMark/>
          </w:tcPr>
          <w:p w14:paraId="4B30887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1.87</w:t>
            </w:r>
          </w:p>
        </w:tc>
        <w:tc>
          <w:tcPr>
            <w:tcW w:w="0" w:type="auto"/>
            <w:noWrap/>
            <w:hideMark/>
          </w:tcPr>
          <w:p w14:paraId="1FF0C7C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306.38</w:t>
            </w:r>
          </w:p>
        </w:tc>
        <w:tc>
          <w:tcPr>
            <w:tcW w:w="0" w:type="auto"/>
            <w:noWrap/>
            <w:hideMark/>
          </w:tcPr>
          <w:p w14:paraId="732BEE4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106.93</w:t>
            </w:r>
          </w:p>
        </w:tc>
      </w:tr>
      <w:tr w:rsidR="008712F5" w:rsidRPr="008712F5" w14:paraId="774274F1"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4A47D26"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Chinese Taipei</w:t>
            </w:r>
          </w:p>
        </w:tc>
        <w:tc>
          <w:tcPr>
            <w:tcW w:w="0" w:type="auto"/>
            <w:noWrap/>
            <w:hideMark/>
          </w:tcPr>
          <w:p w14:paraId="7562026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4929</w:t>
            </w:r>
          </w:p>
        </w:tc>
        <w:tc>
          <w:tcPr>
            <w:tcW w:w="0" w:type="auto"/>
            <w:noWrap/>
            <w:hideMark/>
          </w:tcPr>
          <w:p w14:paraId="4C0417D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612.12</w:t>
            </w:r>
          </w:p>
        </w:tc>
        <w:tc>
          <w:tcPr>
            <w:tcW w:w="0" w:type="auto"/>
            <w:noWrap/>
            <w:hideMark/>
          </w:tcPr>
          <w:p w14:paraId="54128F7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98.20</w:t>
            </w:r>
          </w:p>
        </w:tc>
        <w:tc>
          <w:tcPr>
            <w:tcW w:w="0" w:type="auto"/>
            <w:noWrap/>
            <w:hideMark/>
          </w:tcPr>
          <w:p w14:paraId="67164FD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10.37</w:t>
            </w:r>
          </w:p>
        </w:tc>
        <w:tc>
          <w:tcPr>
            <w:tcW w:w="0" w:type="auto"/>
            <w:noWrap/>
            <w:hideMark/>
          </w:tcPr>
          <w:p w14:paraId="5E030C1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1.59</w:t>
            </w:r>
          </w:p>
        </w:tc>
        <w:tc>
          <w:tcPr>
            <w:tcW w:w="0" w:type="auto"/>
            <w:noWrap/>
            <w:hideMark/>
          </w:tcPr>
          <w:p w14:paraId="35F354F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w:t>
            </w:r>
          </w:p>
        </w:tc>
        <w:tc>
          <w:tcPr>
            <w:tcW w:w="0" w:type="auto"/>
            <w:noWrap/>
            <w:hideMark/>
          </w:tcPr>
          <w:p w14:paraId="530EC78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7908F99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2.78</w:t>
            </w:r>
          </w:p>
        </w:tc>
        <w:tc>
          <w:tcPr>
            <w:tcW w:w="0" w:type="auto"/>
            <w:noWrap/>
            <w:hideMark/>
          </w:tcPr>
          <w:p w14:paraId="685C834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402612A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3.27</w:t>
            </w:r>
          </w:p>
        </w:tc>
        <w:tc>
          <w:tcPr>
            <w:tcW w:w="0" w:type="auto"/>
            <w:noWrap/>
            <w:hideMark/>
          </w:tcPr>
          <w:p w14:paraId="0FA5E61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0.62</w:t>
            </w:r>
          </w:p>
        </w:tc>
        <w:tc>
          <w:tcPr>
            <w:tcW w:w="0" w:type="auto"/>
            <w:noWrap/>
            <w:hideMark/>
          </w:tcPr>
          <w:p w14:paraId="6A79936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2.84</w:t>
            </w:r>
          </w:p>
        </w:tc>
        <w:tc>
          <w:tcPr>
            <w:tcW w:w="0" w:type="auto"/>
            <w:noWrap/>
            <w:hideMark/>
          </w:tcPr>
          <w:p w14:paraId="5519422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0.63</w:t>
            </w:r>
          </w:p>
        </w:tc>
        <w:tc>
          <w:tcPr>
            <w:tcW w:w="0" w:type="auto"/>
            <w:noWrap/>
            <w:hideMark/>
          </w:tcPr>
          <w:p w14:paraId="450B49D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9.58</w:t>
            </w:r>
          </w:p>
        </w:tc>
        <w:tc>
          <w:tcPr>
            <w:tcW w:w="0" w:type="auto"/>
            <w:noWrap/>
            <w:hideMark/>
          </w:tcPr>
          <w:p w14:paraId="5D1D03D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1.95</w:t>
            </w:r>
          </w:p>
        </w:tc>
        <w:tc>
          <w:tcPr>
            <w:tcW w:w="0" w:type="auto"/>
            <w:noWrap/>
            <w:hideMark/>
          </w:tcPr>
          <w:p w14:paraId="3D2837A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233.71</w:t>
            </w:r>
          </w:p>
        </w:tc>
        <w:tc>
          <w:tcPr>
            <w:tcW w:w="0" w:type="auto"/>
            <w:noWrap/>
            <w:hideMark/>
          </w:tcPr>
          <w:p w14:paraId="4AECBE0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43.19</w:t>
            </w:r>
          </w:p>
        </w:tc>
      </w:tr>
      <w:tr w:rsidR="008712F5" w:rsidRPr="008712F5" w14:paraId="122F8E29"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B8D4B6B"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Cyprus</w:t>
            </w:r>
          </w:p>
        </w:tc>
        <w:tc>
          <w:tcPr>
            <w:tcW w:w="0" w:type="auto"/>
            <w:noWrap/>
            <w:hideMark/>
          </w:tcPr>
          <w:p w14:paraId="06932A1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3521</w:t>
            </w:r>
          </w:p>
        </w:tc>
        <w:tc>
          <w:tcPr>
            <w:tcW w:w="0" w:type="auto"/>
            <w:noWrap/>
            <w:hideMark/>
          </w:tcPr>
          <w:p w14:paraId="56C3064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501.08</w:t>
            </w:r>
          </w:p>
        </w:tc>
        <w:tc>
          <w:tcPr>
            <w:tcW w:w="0" w:type="auto"/>
            <w:noWrap/>
            <w:hideMark/>
          </w:tcPr>
          <w:p w14:paraId="12D5B68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81.53</w:t>
            </w:r>
          </w:p>
        </w:tc>
        <w:tc>
          <w:tcPr>
            <w:tcW w:w="0" w:type="auto"/>
            <w:noWrap/>
            <w:hideMark/>
          </w:tcPr>
          <w:p w14:paraId="2BC82AD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10.93</w:t>
            </w:r>
          </w:p>
        </w:tc>
        <w:tc>
          <w:tcPr>
            <w:tcW w:w="0" w:type="auto"/>
            <w:noWrap/>
            <w:hideMark/>
          </w:tcPr>
          <w:p w14:paraId="3921479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1.40</w:t>
            </w:r>
          </w:p>
        </w:tc>
        <w:tc>
          <w:tcPr>
            <w:tcW w:w="0" w:type="auto"/>
            <w:noWrap/>
            <w:hideMark/>
          </w:tcPr>
          <w:p w14:paraId="4CC5180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4037445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2344C2B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3.34</w:t>
            </w:r>
          </w:p>
        </w:tc>
        <w:tc>
          <w:tcPr>
            <w:tcW w:w="0" w:type="auto"/>
            <w:noWrap/>
            <w:hideMark/>
          </w:tcPr>
          <w:p w14:paraId="1FEF113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0.42</w:t>
            </w:r>
          </w:p>
        </w:tc>
        <w:tc>
          <w:tcPr>
            <w:tcW w:w="0" w:type="auto"/>
            <w:noWrap/>
            <w:hideMark/>
          </w:tcPr>
          <w:p w14:paraId="31754FC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3.49</w:t>
            </w:r>
          </w:p>
        </w:tc>
        <w:tc>
          <w:tcPr>
            <w:tcW w:w="0" w:type="auto"/>
            <w:noWrap/>
            <w:hideMark/>
          </w:tcPr>
          <w:p w14:paraId="7C82D12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0.48</w:t>
            </w:r>
          </w:p>
        </w:tc>
        <w:tc>
          <w:tcPr>
            <w:tcW w:w="0" w:type="auto"/>
            <w:noWrap/>
            <w:hideMark/>
          </w:tcPr>
          <w:p w14:paraId="419F683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3.31</w:t>
            </w:r>
          </w:p>
        </w:tc>
        <w:tc>
          <w:tcPr>
            <w:tcW w:w="0" w:type="auto"/>
            <w:noWrap/>
            <w:hideMark/>
          </w:tcPr>
          <w:p w14:paraId="1B6CE62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0.56</w:t>
            </w:r>
          </w:p>
        </w:tc>
        <w:tc>
          <w:tcPr>
            <w:tcW w:w="0" w:type="auto"/>
            <w:noWrap/>
            <w:hideMark/>
          </w:tcPr>
          <w:p w14:paraId="3BC67BE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9.54</w:t>
            </w:r>
          </w:p>
        </w:tc>
        <w:tc>
          <w:tcPr>
            <w:tcW w:w="0" w:type="auto"/>
            <w:noWrap/>
            <w:hideMark/>
          </w:tcPr>
          <w:p w14:paraId="488B171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1.97</w:t>
            </w:r>
          </w:p>
        </w:tc>
        <w:tc>
          <w:tcPr>
            <w:tcW w:w="0" w:type="auto"/>
            <w:noWrap/>
            <w:hideMark/>
          </w:tcPr>
          <w:p w14:paraId="1B00C71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185.20</w:t>
            </w:r>
          </w:p>
        </w:tc>
        <w:tc>
          <w:tcPr>
            <w:tcW w:w="0" w:type="auto"/>
            <w:noWrap/>
            <w:hideMark/>
          </w:tcPr>
          <w:p w14:paraId="07E25DA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57.23</w:t>
            </w:r>
          </w:p>
        </w:tc>
      </w:tr>
      <w:tr w:rsidR="008712F5" w:rsidRPr="008712F5" w14:paraId="499B4DE7"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56D811A"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Finland</w:t>
            </w:r>
          </w:p>
        </w:tc>
        <w:tc>
          <w:tcPr>
            <w:tcW w:w="0" w:type="auto"/>
            <w:noWrap/>
            <w:hideMark/>
          </w:tcPr>
          <w:p w14:paraId="14FEA3D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5045</w:t>
            </w:r>
          </w:p>
        </w:tc>
        <w:tc>
          <w:tcPr>
            <w:tcW w:w="0" w:type="auto"/>
            <w:noWrap/>
            <w:hideMark/>
          </w:tcPr>
          <w:p w14:paraId="07E0C12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508.10</w:t>
            </w:r>
          </w:p>
        </w:tc>
        <w:tc>
          <w:tcPr>
            <w:tcW w:w="0" w:type="auto"/>
            <w:noWrap/>
            <w:hideMark/>
          </w:tcPr>
          <w:p w14:paraId="545DEE2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73.40</w:t>
            </w:r>
          </w:p>
        </w:tc>
        <w:tc>
          <w:tcPr>
            <w:tcW w:w="0" w:type="auto"/>
            <w:noWrap/>
            <w:hideMark/>
          </w:tcPr>
          <w:p w14:paraId="3285F58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11.14</w:t>
            </w:r>
          </w:p>
        </w:tc>
        <w:tc>
          <w:tcPr>
            <w:tcW w:w="0" w:type="auto"/>
            <w:noWrap/>
            <w:hideMark/>
          </w:tcPr>
          <w:p w14:paraId="58283D9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1.35</w:t>
            </w:r>
          </w:p>
        </w:tc>
        <w:tc>
          <w:tcPr>
            <w:tcW w:w="0" w:type="auto"/>
            <w:noWrap/>
            <w:hideMark/>
          </w:tcPr>
          <w:p w14:paraId="1ACEA62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04C86AF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17BCBFA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3.07</w:t>
            </w:r>
          </w:p>
        </w:tc>
        <w:tc>
          <w:tcPr>
            <w:tcW w:w="0" w:type="auto"/>
            <w:noWrap/>
            <w:hideMark/>
          </w:tcPr>
          <w:p w14:paraId="3F104FE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0.47</w:t>
            </w:r>
          </w:p>
        </w:tc>
        <w:tc>
          <w:tcPr>
            <w:tcW w:w="0" w:type="auto"/>
            <w:noWrap/>
            <w:hideMark/>
          </w:tcPr>
          <w:p w14:paraId="6FD6A85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3.20</w:t>
            </w:r>
          </w:p>
        </w:tc>
        <w:tc>
          <w:tcPr>
            <w:tcW w:w="0" w:type="auto"/>
            <w:noWrap/>
            <w:hideMark/>
          </w:tcPr>
          <w:p w14:paraId="1904CD6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0.52</w:t>
            </w:r>
          </w:p>
        </w:tc>
        <w:tc>
          <w:tcPr>
            <w:tcW w:w="0" w:type="auto"/>
            <w:noWrap/>
            <w:hideMark/>
          </w:tcPr>
          <w:p w14:paraId="68489A1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3.14</w:t>
            </w:r>
          </w:p>
        </w:tc>
        <w:tc>
          <w:tcPr>
            <w:tcW w:w="0" w:type="auto"/>
            <w:noWrap/>
            <w:hideMark/>
          </w:tcPr>
          <w:p w14:paraId="444C74F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0.52</w:t>
            </w:r>
          </w:p>
        </w:tc>
        <w:tc>
          <w:tcPr>
            <w:tcW w:w="0" w:type="auto"/>
            <w:noWrap/>
            <w:hideMark/>
          </w:tcPr>
          <w:p w14:paraId="4430174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10.30</w:t>
            </w:r>
          </w:p>
        </w:tc>
        <w:tc>
          <w:tcPr>
            <w:tcW w:w="0" w:type="auto"/>
            <w:noWrap/>
            <w:hideMark/>
          </w:tcPr>
          <w:p w14:paraId="03FAAA3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1.68</w:t>
            </w:r>
          </w:p>
        </w:tc>
        <w:tc>
          <w:tcPr>
            <w:tcW w:w="0" w:type="auto"/>
            <w:noWrap/>
            <w:hideMark/>
          </w:tcPr>
          <w:p w14:paraId="426086C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175.39</w:t>
            </w:r>
          </w:p>
        </w:tc>
        <w:tc>
          <w:tcPr>
            <w:tcW w:w="0" w:type="auto"/>
            <w:noWrap/>
            <w:hideMark/>
          </w:tcPr>
          <w:p w14:paraId="0C202E4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49.34</w:t>
            </w:r>
          </w:p>
        </w:tc>
      </w:tr>
      <w:tr w:rsidR="008712F5" w:rsidRPr="008712F5" w14:paraId="2FBBB2DC"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6086C09"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France</w:t>
            </w:r>
          </w:p>
        </w:tc>
        <w:tc>
          <w:tcPr>
            <w:tcW w:w="0" w:type="auto"/>
            <w:noWrap/>
            <w:hideMark/>
          </w:tcPr>
          <w:p w14:paraId="6C257C4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4094</w:t>
            </w:r>
          </w:p>
        </w:tc>
        <w:tc>
          <w:tcPr>
            <w:tcW w:w="0" w:type="auto"/>
            <w:noWrap/>
            <w:hideMark/>
          </w:tcPr>
          <w:p w14:paraId="751E401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481.99</w:t>
            </w:r>
          </w:p>
        </w:tc>
        <w:tc>
          <w:tcPr>
            <w:tcW w:w="0" w:type="auto"/>
            <w:noWrap/>
            <w:hideMark/>
          </w:tcPr>
          <w:p w14:paraId="248D42C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68.53</w:t>
            </w:r>
          </w:p>
        </w:tc>
        <w:tc>
          <w:tcPr>
            <w:tcW w:w="0" w:type="auto"/>
            <w:noWrap/>
            <w:hideMark/>
          </w:tcPr>
          <w:p w14:paraId="5A472AA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10.56</w:t>
            </w:r>
          </w:p>
        </w:tc>
        <w:tc>
          <w:tcPr>
            <w:tcW w:w="0" w:type="auto"/>
            <w:noWrap/>
            <w:hideMark/>
          </w:tcPr>
          <w:p w14:paraId="773C0D2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1.47</w:t>
            </w:r>
          </w:p>
        </w:tc>
        <w:tc>
          <w:tcPr>
            <w:tcW w:w="0" w:type="auto"/>
            <w:noWrap/>
            <w:hideMark/>
          </w:tcPr>
          <w:p w14:paraId="55D16BC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5E1FBC2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02830E3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3.00</w:t>
            </w:r>
          </w:p>
        </w:tc>
        <w:tc>
          <w:tcPr>
            <w:tcW w:w="0" w:type="auto"/>
            <w:noWrap/>
            <w:hideMark/>
          </w:tcPr>
          <w:p w14:paraId="78C56E8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0.34</w:t>
            </w:r>
          </w:p>
        </w:tc>
        <w:tc>
          <w:tcPr>
            <w:tcW w:w="0" w:type="auto"/>
            <w:noWrap/>
            <w:hideMark/>
          </w:tcPr>
          <w:p w14:paraId="492F333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3.27</w:t>
            </w:r>
          </w:p>
        </w:tc>
        <w:tc>
          <w:tcPr>
            <w:tcW w:w="0" w:type="auto"/>
            <w:noWrap/>
            <w:hideMark/>
          </w:tcPr>
          <w:p w14:paraId="32CD095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0.59</w:t>
            </w:r>
          </w:p>
        </w:tc>
        <w:tc>
          <w:tcPr>
            <w:tcW w:w="0" w:type="auto"/>
            <w:noWrap/>
            <w:hideMark/>
          </w:tcPr>
          <w:p w14:paraId="7EED380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3.11</w:t>
            </w:r>
          </w:p>
        </w:tc>
        <w:tc>
          <w:tcPr>
            <w:tcW w:w="0" w:type="auto"/>
            <w:noWrap/>
            <w:hideMark/>
          </w:tcPr>
          <w:p w14:paraId="6D8C7A4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413BE61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9.78</w:t>
            </w:r>
          </w:p>
        </w:tc>
        <w:tc>
          <w:tcPr>
            <w:tcW w:w="0" w:type="auto"/>
            <w:noWrap/>
            <w:hideMark/>
          </w:tcPr>
          <w:p w14:paraId="31F7A4C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1.59</w:t>
            </w:r>
          </w:p>
        </w:tc>
        <w:tc>
          <w:tcPr>
            <w:tcW w:w="0" w:type="auto"/>
            <w:noWrap/>
            <w:hideMark/>
          </w:tcPr>
          <w:p w14:paraId="047A242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191.35</w:t>
            </w:r>
          </w:p>
        </w:tc>
        <w:tc>
          <w:tcPr>
            <w:tcW w:w="0" w:type="auto"/>
            <w:noWrap/>
            <w:hideMark/>
          </w:tcPr>
          <w:p w14:paraId="5CC9407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49.36</w:t>
            </w:r>
          </w:p>
        </w:tc>
      </w:tr>
      <w:tr w:rsidR="008712F5" w:rsidRPr="008712F5" w14:paraId="44137634"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EC96548"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Georgia</w:t>
            </w:r>
          </w:p>
        </w:tc>
        <w:tc>
          <w:tcPr>
            <w:tcW w:w="0" w:type="auto"/>
            <w:noWrap/>
            <w:hideMark/>
          </w:tcPr>
          <w:p w14:paraId="1F3F605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3315</w:t>
            </w:r>
          </w:p>
        </w:tc>
        <w:tc>
          <w:tcPr>
            <w:tcW w:w="0" w:type="auto"/>
            <w:noWrap/>
            <w:hideMark/>
          </w:tcPr>
          <w:p w14:paraId="5D5E98C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461.30</w:t>
            </w:r>
          </w:p>
        </w:tc>
        <w:tc>
          <w:tcPr>
            <w:tcW w:w="0" w:type="auto"/>
            <w:noWrap/>
            <w:hideMark/>
          </w:tcPr>
          <w:p w14:paraId="1118019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88.05</w:t>
            </w:r>
          </w:p>
        </w:tc>
        <w:tc>
          <w:tcPr>
            <w:tcW w:w="0" w:type="auto"/>
            <w:noWrap/>
            <w:hideMark/>
          </w:tcPr>
          <w:p w14:paraId="61016B3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10.83</w:t>
            </w:r>
          </w:p>
        </w:tc>
        <w:tc>
          <w:tcPr>
            <w:tcW w:w="0" w:type="auto"/>
            <w:noWrap/>
            <w:hideMark/>
          </w:tcPr>
          <w:p w14:paraId="0E7A549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1.48</w:t>
            </w:r>
          </w:p>
        </w:tc>
        <w:tc>
          <w:tcPr>
            <w:tcW w:w="0" w:type="auto"/>
            <w:noWrap/>
            <w:hideMark/>
          </w:tcPr>
          <w:p w14:paraId="060C5FF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23C9DC7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121BD6B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3.31</w:t>
            </w:r>
          </w:p>
        </w:tc>
        <w:tc>
          <w:tcPr>
            <w:tcW w:w="0" w:type="auto"/>
            <w:noWrap/>
            <w:hideMark/>
          </w:tcPr>
          <w:p w14:paraId="5108EC4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0.36</w:t>
            </w:r>
          </w:p>
        </w:tc>
        <w:tc>
          <w:tcPr>
            <w:tcW w:w="0" w:type="auto"/>
            <w:noWrap/>
            <w:hideMark/>
          </w:tcPr>
          <w:p w14:paraId="5E5CD8F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3.49</w:t>
            </w:r>
          </w:p>
        </w:tc>
        <w:tc>
          <w:tcPr>
            <w:tcW w:w="0" w:type="auto"/>
            <w:noWrap/>
            <w:hideMark/>
          </w:tcPr>
          <w:p w14:paraId="2AFCB45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0.70</w:t>
            </w:r>
          </w:p>
        </w:tc>
        <w:tc>
          <w:tcPr>
            <w:tcW w:w="0" w:type="auto"/>
            <w:noWrap/>
            <w:hideMark/>
          </w:tcPr>
          <w:p w14:paraId="3B9FD01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3.26</w:t>
            </w:r>
          </w:p>
        </w:tc>
        <w:tc>
          <w:tcPr>
            <w:tcW w:w="0" w:type="auto"/>
            <w:noWrap/>
            <w:hideMark/>
          </w:tcPr>
          <w:p w14:paraId="7CFFC63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0.57</w:t>
            </w:r>
          </w:p>
        </w:tc>
        <w:tc>
          <w:tcPr>
            <w:tcW w:w="0" w:type="auto"/>
            <w:noWrap/>
            <w:hideMark/>
          </w:tcPr>
          <w:p w14:paraId="7B6347F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9.77</w:t>
            </w:r>
          </w:p>
        </w:tc>
        <w:tc>
          <w:tcPr>
            <w:tcW w:w="0" w:type="auto"/>
            <w:noWrap/>
            <w:hideMark/>
          </w:tcPr>
          <w:p w14:paraId="2ACC22C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1.44</w:t>
            </w:r>
          </w:p>
        </w:tc>
        <w:tc>
          <w:tcPr>
            <w:tcW w:w="0" w:type="auto"/>
            <w:noWrap/>
            <w:hideMark/>
          </w:tcPr>
          <w:p w14:paraId="745DE1C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193.99</w:t>
            </w:r>
          </w:p>
        </w:tc>
        <w:tc>
          <w:tcPr>
            <w:tcW w:w="0" w:type="auto"/>
            <w:noWrap/>
            <w:hideMark/>
          </w:tcPr>
          <w:p w14:paraId="50AAD0A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46.25</w:t>
            </w:r>
          </w:p>
        </w:tc>
      </w:tr>
      <w:tr w:rsidR="008712F5" w:rsidRPr="008712F5" w14:paraId="6A38DDBA"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9AA7312"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Hong Kong SAR</w:t>
            </w:r>
          </w:p>
        </w:tc>
        <w:tc>
          <w:tcPr>
            <w:tcW w:w="0" w:type="auto"/>
            <w:noWrap/>
            <w:hideMark/>
          </w:tcPr>
          <w:p w14:paraId="5B0D4CA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3282</w:t>
            </w:r>
          </w:p>
        </w:tc>
        <w:tc>
          <w:tcPr>
            <w:tcW w:w="0" w:type="auto"/>
            <w:noWrap/>
            <w:hideMark/>
          </w:tcPr>
          <w:p w14:paraId="2841CD8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579.70</w:t>
            </w:r>
          </w:p>
        </w:tc>
        <w:tc>
          <w:tcPr>
            <w:tcW w:w="0" w:type="auto"/>
            <w:noWrap/>
            <w:hideMark/>
          </w:tcPr>
          <w:p w14:paraId="7F7766D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90.99</w:t>
            </w:r>
          </w:p>
        </w:tc>
        <w:tc>
          <w:tcPr>
            <w:tcW w:w="0" w:type="auto"/>
            <w:noWrap/>
            <w:hideMark/>
          </w:tcPr>
          <w:p w14:paraId="22B2723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10.31</w:t>
            </w:r>
          </w:p>
        </w:tc>
        <w:tc>
          <w:tcPr>
            <w:tcW w:w="0" w:type="auto"/>
            <w:noWrap/>
            <w:hideMark/>
          </w:tcPr>
          <w:p w14:paraId="32D5B0D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1.56</w:t>
            </w:r>
          </w:p>
        </w:tc>
        <w:tc>
          <w:tcPr>
            <w:tcW w:w="0" w:type="auto"/>
            <w:noWrap/>
            <w:hideMark/>
          </w:tcPr>
          <w:p w14:paraId="4AED9BF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1.54</w:t>
            </w:r>
          </w:p>
        </w:tc>
        <w:tc>
          <w:tcPr>
            <w:tcW w:w="0" w:type="auto"/>
            <w:noWrap/>
            <w:hideMark/>
          </w:tcPr>
          <w:p w14:paraId="1885429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4B58C8B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2.74</w:t>
            </w:r>
          </w:p>
        </w:tc>
        <w:tc>
          <w:tcPr>
            <w:tcW w:w="0" w:type="auto"/>
            <w:noWrap/>
            <w:hideMark/>
          </w:tcPr>
          <w:p w14:paraId="2817F15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3993461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2.98</w:t>
            </w:r>
          </w:p>
        </w:tc>
        <w:tc>
          <w:tcPr>
            <w:tcW w:w="0" w:type="auto"/>
            <w:noWrap/>
            <w:hideMark/>
          </w:tcPr>
          <w:p w14:paraId="61F3C66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0.60</w:t>
            </w:r>
          </w:p>
        </w:tc>
        <w:tc>
          <w:tcPr>
            <w:tcW w:w="0" w:type="auto"/>
            <w:noWrap/>
            <w:hideMark/>
          </w:tcPr>
          <w:p w14:paraId="600E46A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2.86</w:t>
            </w:r>
          </w:p>
        </w:tc>
        <w:tc>
          <w:tcPr>
            <w:tcW w:w="0" w:type="auto"/>
            <w:noWrap/>
            <w:hideMark/>
          </w:tcPr>
          <w:p w14:paraId="1EB9AFE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0.59</w:t>
            </w:r>
          </w:p>
        </w:tc>
        <w:tc>
          <w:tcPr>
            <w:tcW w:w="0" w:type="auto"/>
            <w:noWrap/>
            <w:hideMark/>
          </w:tcPr>
          <w:p w14:paraId="549E7AC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10.47</w:t>
            </w:r>
          </w:p>
        </w:tc>
        <w:tc>
          <w:tcPr>
            <w:tcW w:w="0" w:type="auto"/>
            <w:noWrap/>
            <w:hideMark/>
          </w:tcPr>
          <w:p w14:paraId="5ED8E4C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1.56</w:t>
            </w:r>
          </w:p>
        </w:tc>
        <w:tc>
          <w:tcPr>
            <w:tcW w:w="0" w:type="auto"/>
            <w:noWrap/>
            <w:hideMark/>
          </w:tcPr>
          <w:p w14:paraId="41CE9BB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241.88</w:t>
            </w:r>
          </w:p>
        </w:tc>
        <w:tc>
          <w:tcPr>
            <w:tcW w:w="0" w:type="auto"/>
            <w:noWrap/>
            <w:hideMark/>
          </w:tcPr>
          <w:p w14:paraId="2E39608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79.88</w:t>
            </w:r>
          </w:p>
        </w:tc>
      </w:tr>
      <w:tr w:rsidR="008712F5" w:rsidRPr="008712F5" w14:paraId="4FE9B1A7"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29F1BBD"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Hungary</w:t>
            </w:r>
          </w:p>
        </w:tc>
        <w:tc>
          <w:tcPr>
            <w:tcW w:w="0" w:type="auto"/>
            <w:noWrap/>
            <w:hideMark/>
          </w:tcPr>
          <w:p w14:paraId="4CF7DC1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4569</w:t>
            </w:r>
          </w:p>
        </w:tc>
        <w:tc>
          <w:tcPr>
            <w:tcW w:w="0" w:type="auto"/>
            <w:noWrap/>
            <w:hideMark/>
          </w:tcPr>
          <w:p w14:paraId="5BC3C55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516.54</w:t>
            </w:r>
          </w:p>
        </w:tc>
        <w:tc>
          <w:tcPr>
            <w:tcW w:w="0" w:type="auto"/>
            <w:noWrap/>
            <w:hideMark/>
          </w:tcPr>
          <w:p w14:paraId="0077343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89.41</w:t>
            </w:r>
          </w:p>
        </w:tc>
        <w:tc>
          <w:tcPr>
            <w:tcW w:w="0" w:type="auto"/>
            <w:noWrap/>
            <w:hideMark/>
          </w:tcPr>
          <w:p w14:paraId="7819E02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10.91</w:t>
            </w:r>
          </w:p>
        </w:tc>
        <w:tc>
          <w:tcPr>
            <w:tcW w:w="0" w:type="auto"/>
            <w:noWrap/>
            <w:hideMark/>
          </w:tcPr>
          <w:p w14:paraId="13B8A29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2D42543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w:t>
            </w:r>
          </w:p>
        </w:tc>
        <w:tc>
          <w:tcPr>
            <w:tcW w:w="0" w:type="auto"/>
            <w:noWrap/>
            <w:hideMark/>
          </w:tcPr>
          <w:p w14:paraId="64A6C31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6C97FB4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3.23</w:t>
            </w:r>
          </w:p>
        </w:tc>
        <w:tc>
          <w:tcPr>
            <w:tcW w:w="0" w:type="auto"/>
            <w:noWrap/>
            <w:hideMark/>
          </w:tcPr>
          <w:p w14:paraId="1D9011D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0.44</w:t>
            </w:r>
          </w:p>
        </w:tc>
        <w:tc>
          <w:tcPr>
            <w:tcW w:w="0" w:type="auto"/>
            <w:noWrap/>
            <w:hideMark/>
          </w:tcPr>
          <w:p w14:paraId="3B0A05F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3.01</w:t>
            </w:r>
          </w:p>
        </w:tc>
        <w:tc>
          <w:tcPr>
            <w:tcW w:w="0" w:type="auto"/>
            <w:noWrap/>
            <w:hideMark/>
          </w:tcPr>
          <w:p w14:paraId="0A93441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0.65</w:t>
            </w:r>
          </w:p>
        </w:tc>
        <w:tc>
          <w:tcPr>
            <w:tcW w:w="0" w:type="auto"/>
            <w:noWrap/>
            <w:hideMark/>
          </w:tcPr>
          <w:p w14:paraId="4EA8407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3.28</w:t>
            </w:r>
          </w:p>
        </w:tc>
        <w:tc>
          <w:tcPr>
            <w:tcW w:w="0" w:type="auto"/>
            <w:noWrap/>
            <w:hideMark/>
          </w:tcPr>
          <w:p w14:paraId="27BEA0E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0.57</w:t>
            </w:r>
          </w:p>
        </w:tc>
        <w:tc>
          <w:tcPr>
            <w:tcW w:w="0" w:type="auto"/>
            <w:noWrap/>
            <w:hideMark/>
          </w:tcPr>
          <w:p w14:paraId="572E845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10.61</w:t>
            </w:r>
          </w:p>
        </w:tc>
        <w:tc>
          <w:tcPr>
            <w:tcW w:w="0" w:type="auto"/>
            <w:noWrap/>
            <w:hideMark/>
          </w:tcPr>
          <w:p w14:paraId="2E971A8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1.94</w:t>
            </w:r>
          </w:p>
        </w:tc>
        <w:tc>
          <w:tcPr>
            <w:tcW w:w="0" w:type="auto"/>
            <w:noWrap/>
            <w:hideMark/>
          </w:tcPr>
          <w:p w14:paraId="75E2681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192.45</w:t>
            </w:r>
          </w:p>
        </w:tc>
        <w:tc>
          <w:tcPr>
            <w:tcW w:w="0" w:type="auto"/>
            <w:noWrap/>
            <w:hideMark/>
          </w:tcPr>
          <w:p w14:paraId="09C1190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52.16</w:t>
            </w:r>
          </w:p>
        </w:tc>
      </w:tr>
      <w:tr w:rsidR="008712F5" w:rsidRPr="008712F5" w14:paraId="2DAD5767"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3512F87"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Iran, Islamic Republic of</w:t>
            </w:r>
          </w:p>
        </w:tc>
        <w:tc>
          <w:tcPr>
            <w:tcW w:w="0" w:type="auto"/>
            <w:noWrap/>
            <w:hideMark/>
          </w:tcPr>
          <w:p w14:paraId="6C99426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5980</w:t>
            </w:r>
          </w:p>
        </w:tc>
        <w:tc>
          <w:tcPr>
            <w:tcW w:w="0" w:type="auto"/>
            <w:noWrap/>
            <w:hideMark/>
          </w:tcPr>
          <w:p w14:paraId="4E956CF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446.17</w:t>
            </w:r>
          </w:p>
        </w:tc>
        <w:tc>
          <w:tcPr>
            <w:tcW w:w="0" w:type="auto"/>
            <w:noWrap/>
            <w:hideMark/>
          </w:tcPr>
          <w:p w14:paraId="5583249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92.80</w:t>
            </w:r>
          </w:p>
        </w:tc>
        <w:tc>
          <w:tcPr>
            <w:tcW w:w="0" w:type="auto"/>
            <w:noWrap/>
            <w:hideMark/>
          </w:tcPr>
          <w:p w14:paraId="23207AC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9.50</w:t>
            </w:r>
          </w:p>
        </w:tc>
        <w:tc>
          <w:tcPr>
            <w:tcW w:w="0" w:type="auto"/>
            <w:noWrap/>
            <w:hideMark/>
          </w:tcPr>
          <w:p w14:paraId="30139CD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1.79</w:t>
            </w:r>
          </w:p>
        </w:tc>
        <w:tc>
          <w:tcPr>
            <w:tcW w:w="0" w:type="auto"/>
            <w:noWrap/>
            <w:hideMark/>
          </w:tcPr>
          <w:p w14:paraId="7B745E1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1.53</w:t>
            </w:r>
          </w:p>
        </w:tc>
        <w:tc>
          <w:tcPr>
            <w:tcW w:w="0" w:type="auto"/>
            <w:noWrap/>
            <w:hideMark/>
          </w:tcPr>
          <w:p w14:paraId="3A4B43F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747C4FC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3.24</w:t>
            </w:r>
          </w:p>
        </w:tc>
        <w:tc>
          <w:tcPr>
            <w:tcW w:w="0" w:type="auto"/>
            <w:noWrap/>
            <w:hideMark/>
          </w:tcPr>
          <w:p w14:paraId="600E2DD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0.45</w:t>
            </w:r>
          </w:p>
        </w:tc>
        <w:tc>
          <w:tcPr>
            <w:tcW w:w="0" w:type="auto"/>
            <w:noWrap/>
            <w:hideMark/>
          </w:tcPr>
          <w:p w14:paraId="1B02285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3.53</w:t>
            </w:r>
          </w:p>
        </w:tc>
        <w:tc>
          <w:tcPr>
            <w:tcW w:w="0" w:type="auto"/>
            <w:noWrap/>
            <w:hideMark/>
          </w:tcPr>
          <w:p w14:paraId="3CD350A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0.47</w:t>
            </w:r>
          </w:p>
        </w:tc>
        <w:tc>
          <w:tcPr>
            <w:tcW w:w="0" w:type="auto"/>
            <w:noWrap/>
            <w:hideMark/>
          </w:tcPr>
          <w:p w14:paraId="11C9DA7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2.99</w:t>
            </w:r>
          </w:p>
        </w:tc>
        <w:tc>
          <w:tcPr>
            <w:tcW w:w="0" w:type="auto"/>
            <w:noWrap/>
            <w:hideMark/>
          </w:tcPr>
          <w:p w14:paraId="07CF62E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0.57</w:t>
            </w:r>
          </w:p>
        </w:tc>
        <w:tc>
          <w:tcPr>
            <w:tcW w:w="0" w:type="auto"/>
            <w:noWrap/>
            <w:hideMark/>
          </w:tcPr>
          <w:p w14:paraId="3A12C11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8.92</w:t>
            </w:r>
          </w:p>
        </w:tc>
        <w:tc>
          <w:tcPr>
            <w:tcW w:w="0" w:type="auto"/>
            <w:noWrap/>
            <w:hideMark/>
          </w:tcPr>
          <w:p w14:paraId="7C86628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1.77</w:t>
            </w:r>
          </w:p>
        </w:tc>
        <w:tc>
          <w:tcPr>
            <w:tcW w:w="0" w:type="auto"/>
            <w:noWrap/>
            <w:hideMark/>
          </w:tcPr>
          <w:p w14:paraId="4A7EA05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185.53</w:t>
            </w:r>
          </w:p>
        </w:tc>
        <w:tc>
          <w:tcPr>
            <w:tcW w:w="0" w:type="auto"/>
            <w:noWrap/>
            <w:hideMark/>
          </w:tcPr>
          <w:p w14:paraId="76DA3EE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63.27</w:t>
            </w:r>
          </w:p>
        </w:tc>
      </w:tr>
      <w:tr w:rsidR="008712F5" w:rsidRPr="008712F5" w14:paraId="6E98B363"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DFED891"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Israel</w:t>
            </w:r>
          </w:p>
        </w:tc>
        <w:tc>
          <w:tcPr>
            <w:tcW w:w="0" w:type="auto"/>
            <w:noWrap/>
            <w:hideMark/>
          </w:tcPr>
          <w:p w14:paraId="64C71DD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3778</w:t>
            </w:r>
          </w:p>
        </w:tc>
        <w:tc>
          <w:tcPr>
            <w:tcW w:w="0" w:type="auto"/>
            <w:noWrap/>
            <w:hideMark/>
          </w:tcPr>
          <w:p w14:paraId="45CFF7E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520.95</w:t>
            </w:r>
          </w:p>
        </w:tc>
        <w:tc>
          <w:tcPr>
            <w:tcW w:w="0" w:type="auto"/>
            <w:noWrap/>
            <w:hideMark/>
          </w:tcPr>
          <w:p w14:paraId="566620F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100.37</w:t>
            </w:r>
          </w:p>
        </w:tc>
        <w:tc>
          <w:tcPr>
            <w:tcW w:w="0" w:type="auto"/>
            <w:noWrap/>
            <w:hideMark/>
          </w:tcPr>
          <w:p w14:paraId="270CCCC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11.08</w:t>
            </w:r>
          </w:p>
        </w:tc>
        <w:tc>
          <w:tcPr>
            <w:tcW w:w="0" w:type="auto"/>
            <w:noWrap/>
            <w:hideMark/>
          </w:tcPr>
          <w:p w14:paraId="3119991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1.45</w:t>
            </w:r>
          </w:p>
        </w:tc>
        <w:tc>
          <w:tcPr>
            <w:tcW w:w="0" w:type="auto"/>
            <w:noWrap/>
            <w:hideMark/>
          </w:tcPr>
          <w:p w14:paraId="3E13895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1.48</w:t>
            </w:r>
          </w:p>
        </w:tc>
        <w:tc>
          <w:tcPr>
            <w:tcW w:w="0" w:type="auto"/>
            <w:noWrap/>
            <w:hideMark/>
          </w:tcPr>
          <w:p w14:paraId="0E886AA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226F79C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3.30</w:t>
            </w:r>
          </w:p>
        </w:tc>
        <w:tc>
          <w:tcPr>
            <w:tcW w:w="0" w:type="auto"/>
            <w:noWrap/>
            <w:hideMark/>
          </w:tcPr>
          <w:p w14:paraId="299FB89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6F791E8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3.26</w:t>
            </w:r>
          </w:p>
        </w:tc>
        <w:tc>
          <w:tcPr>
            <w:tcW w:w="0" w:type="auto"/>
            <w:noWrap/>
            <w:hideMark/>
          </w:tcPr>
          <w:p w14:paraId="1495A25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0.63</w:t>
            </w:r>
          </w:p>
        </w:tc>
        <w:tc>
          <w:tcPr>
            <w:tcW w:w="0" w:type="auto"/>
            <w:noWrap/>
            <w:hideMark/>
          </w:tcPr>
          <w:p w14:paraId="4B8200E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3.42</w:t>
            </w:r>
          </w:p>
        </w:tc>
        <w:tc>
          <w:tcPr>
            <w:tcW w:w="0" w:type="auto"/>
            <w:noWrap/>
            <w:hideMark/>
          </w:tcPr>
          <w:p w14:paraId="55689BB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0.55</w:t>
            </w:r>
          </w:p>
        </w:tc>
        <w:tc>
          <w:tcPr>
            <w:tcW w:w="0" w:type="auto"/>
            <w:noWrap/>
            <w:hideMark/>
          </w:tcPr>
          <w:p w14:paraId="2929BAF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9.01</w:t>
            </w:r>
          </w:p>
        </w:tc>
        <w:tc>
          <w:tcPr>
            <w:tcW w:w="0" w:type="auto"/>
            <w:noWrap/>
            <w:hideMark/>
          </w:tcPr>
          <w:p w14:paraId="40F6F55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2.47</w:t>
            </w:r>
          </w:p>
        </w:tc>
        <w:tc>
          <w:tcPr>
            <w:tcW w:w="0" w:type="auto"/>
            <w:noWrap/>
            <w:hideMark/>
          </w:tcPr>
          <w:p w14:paraId="5D2DFED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250.77</w:t>
            </w:r>
          </w:p>
        </w:tc>
        <w:tc>
          <w:tcPr>
            <w:tcW w:w="0" w:type="auto"/>
            <w:noWrap/>
            <w:hideMark/>
          </w:tcPr>
          <w:p w14:paraId="4897475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58.78</w:t>
            </w:r>
          </w:p>
        </w:tc>
      </w:tr>
      <w:tr w:rsidR="008712F5" w:rsidRPr="008712F5" w14:paraId="59C3B685"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326D48C"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Italy</w:t>
            </w:r>
          </w:p>
        </w:tc>
        <w:tc>
          <w:tcPr>
            <w:tcW w:w="0" w:type="auto"/>
            <w:noWrap/>
            <w:hideMark/>
          </w:tcPr>
          <w:p w14:paraId="33B4FB2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3619</w:t>
            </w:r>
          </w:p>
        </w:tc>
        <w:tc>
          <w:tcPr>
            <w:tcW w:w="0" w:type="auto"/>
            <w:noWrap/>
            <w:hideMark/>
          </w:tcPr>
          <w:p w14:paraId="4114614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497.48</w:t>
            </w:r>
          </w:p>
        </w:tc>
        <w:tc>
          <w:tcPr>
            <w:tcW w:w="0" w:type="auto"/>
            <w:noWrap/>
            <w:hideMark/>
          </w:tcPr>
          <w:p w14:paraId="45E4FDF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71.28</w:t>
            </w:r>
          </w:p>
        </w:tc>
        <w:tc>
          <w:tcPr>
            <w:tcW w:w="0" w:type="auto"/>
            <w:noWrap/>
            <w:hideMark/>
          </w:tcPr>
          <w:p w14:paraId="7CF0D64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10.33</w:t>
            </w:r>
          </w:p>
        </w:tc>
        <w:tc>
          <w:tcPr>
            <w:tcW w:w="0" w:type="auto"/>
            <w:noWrap/>
            <w:hideMark/>
          </w:tcPr>
          <w:p w14:paraId="3E588BC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1.55</w:t>
            </w:r>
          </w:p>
        </w:tc>
        <w:tc>
          <w:tcPr>
            <w:tcW w:w="0" w:type="auto"/>
            <w:noWrap/>
            <w:hideMark/>
          </w:tcPr>
          <w:p w14:paraId="65F7170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w:t>
            </w:r>
          </w:p>
        </w:tc>
        <w:tc>
          <w:tcPr>
            <w:tcW w:w="0" w:type="auto"/>
            <w:noWrap/>
            <w:hideMark/>
          </w:tcPr>
          <w:p w14:paraId="533C2BA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4664A9D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3.38</w:t>
            </w:r>
          </w:p>
        </w:tc>
        <w:tc>
          <w:tcPr>
            <w:tcW w:w="0" w:type="auto"/>
            <w:noWrap/>
            <w:hideMark/>
          </w:tcPr>
          <w:p w14:paraId="1ED5ACE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0.49</w:t>
            </w:r>
          </w:p>
        </w:tc>
        <w:tc>
          <w:tcPr>
            <w:tcW w:w="0" w:type="auto"/>
            <w:noWrap/>
            <w:hideMark/>
          </w:tcPr>
          <w:p w14:paraId="0657BC9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3.37</w:t>
            </w:r>
          </w:p>
        </w:tc>
        <w:tc>
          <w:tcPr>
            <w:tcW w:w="0" w:type="auto"/>
            <w:noWrap/>
            <w:hideMark/>
          </w:tcPr>
          <w:p w14:paraId="6EE9D08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0.67</w:t>
            </w:r>
          </w:p>
        </w:tc>
        <w:tc>
          <w:tcPr>
            <w:tcW w:w="0" w:type="auto"/>
            <w:noWrap/>
            <w:hideMark/>
          </w:tcPr>
          <w:p w14:paraId="1AF2B52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3.27</w:t>
            </w:r>
          </w:p>
        </w:tc>
        <w:tc>
          <w:tcPr>
            <w:tcW w:w="0" w:type="auto"/>
            <w:noWrap/>
            <w:hideMark/>
          </w:tcPr>
          <w:p w14:paraId="6C1D2DE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0.56</w:t>
            </w:r>
          </w:p>
        </w:tc>
        <w:tc>
          <w:tcPr>
            <w:tcW w:w="0" w:type="auto"/>
            <w:noWrap/>
            <w:hideMark/>
          </w:tcPr>
          <w:p w14:paraId="3675E2D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10.40</w:t>
            </w:r>
          </w:p>
        </w:tc>
        <w:tc>
          <w:tcPr>
            <w:tcW w:w="0" w:type="auto"/>
            <w:noWrap/>
            <w:hideMark/>
          </w:tcPr>
          <w:p w14:paraId="638CEEC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2.01</w:t>
            </w:r>
          </w:p>
        </w:tc>
        <w:tc>
          <w:tcPr>
            <w:tcW w:w="0" w:type="auto"/>
            <w:noWrap/>
            <w:hideMark/>
          </w:tcPr>
          <w:p w14:paraId="30B0645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233.56</w:t>
            </w:r>
          </w:p>
        </w:tc>
        <w:tc>
          <w:tcPr>
            <w:tcW w:w="0" w:type="auto"/>
            <w:noWrap/>
            <w:hideMark/>
          </w:tcPr>
          <w:p w14:paraId="7A062B9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60.33</w:t>
            </w:r>
          </w:p>
        </w:tc>
      </w:tr>
      <w:tr w:rsidR="008712F5" w:rsidRPr="008712F5" w14:paraId="0BAF607A"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43DE4A8"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Japan</w:t>
            </w:r>
          </w:p>
        </w:tc>
        <w:tc>
          <w:tcPr>
            <w:tcW w:w="0" w:type="auto"/>
            <w:noWrap/>
            <w:hideMark/>
          </w:tcPr>
          <w:p w14:paraId="1579E0C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6113</w:t>
            </w:r>
          </w:p>
        </w:tc>
        <w:tc>
          <w:tcPr>
            <w:tcW w:w="0" w:type="auto"/>
            <w:noWrap/>
            <w:hideMark/>
          </w:tcPr>
          <w:p w14:paraId="7FB1847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595.25</w:t>
            </w:r>
          </w:p>
        </w:tc>
        <w:tc>
          <w:tcPr>
            <w:tcW w:w="0" w:type="auto"/>
            <w:noWrap/>
            <w:hideMark/>
          </w:tcPr>
          <w:p w14:paraId="5833B65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84.16</w:t>
            </w:r>
          </w:p>
        </w:tc>
        <w:tc>
          <w:tcPr>
            <w:tcW w:w="0" w:type="auto"/>
            <w:noWrap/>
            <w:hideMark/>
          </w:tcPr>
          <w:p w14:paraId="52E679F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10.89</w:t>
            </w:r>
          </w:p>
        </w:tc>
        <w:tc>
          <w:tcPr>
            <w:tcW w:w="0" w:type="auto"/>
            <w:noWrap/>
            <w:hideMark/>
          </w:tcPr>
          <w:p w14:paraId="6EE22DE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1.32</w:t>
            </w:r>
          </w:p>
        </w:tc>
        <w:tc>
          <w:tcPr>
            <w:tcW w:w="0" w:type="auto"/>
            <w:noWrap/>
            <w:hideMark/>
          </w:tcPr>
          <w:p w14:paraId="7607FF0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1.48</w:t>
            </w:r>
          </w:p>
        </w:tc>
        <w:tc>
          <w:tcPr>
            <w:tcW w:w="0" w:type="auto"/>
            <w:noWrap/>
            <w:hideMark/>
          </w:tcPr>
          <w:p w14:paraId="2BD0E44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07D32F9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2.75</w:t>
            </w:r>
          </w:p>
        </w:tc>
        <w:tc>
          <w:tcPr>
            <w:tcW w:w="0" w:type="auto"/>
            <w:noWrap/>
            <w:hideMark/>
          </w:tcPr>
          <w:p w14:paraId="4BD4C67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0.52</w:t>
            </w:r>
          </w:p>
        </w:tc>
        <w:tc>
          <w:tcPr>
            <w:tcW w:w="0" w:type="auto"/>
            <w:noWrap/>
            <w:hideMark/>
          </w:tcPr>
          <w:p w14:paraId="3CCE6F3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3.33</w:t>
            </w:r>
          </w:p>
        </w:tc>
        <w:tc>
          <w:tcPr>
            <w:tcW w:w="0" w:type="auto"/>
            <w:noWrap/>
            <w:hideMark/>
          </w:tcPr>
          <w:p w14:paraId="568D5C5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0.70</w:t>
            </w:r>
          </w:p>
        </w:tc>
        <w:tc>
          <w:tcPr>
            <w:tcW w:w="0" w:type="auto"/>
            <w:noWrap/>
            <w:hideMark/>
          </w:tcPr>
          <w:p w14:paraId="081D04E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3.26</w:t>
            </w:r>
          </w:p>
        </w:tc>
        <w:tc>
          <w:tcPr>
            <w:tcW w:w="0" w:type="auto"/>
            <w:noWrap/>
            <w:hideMark/>
          </w:tcPr>
          <w:p w14:paraId="5C52A0D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0.60</w:t>
            </w:r>
          </w:p>
        </w:tc>
        <w:tc>
          <w:tcPr>
            <w:tcW w:w="0" w:type="auto"/>
            <w:noWrap/>
            <w:hideMark/>
          </w:tcPr>
          <w:p w14:paraId="68F1EA9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12.30</w:t>
            </w:r>
          </w:p>
        </w:tc>
        <w:tc>
          <w:tcPr>
            <w:tcW w:w="0" w:type="auto"/>
            <w:noWrap/>
            <w:hideMark/>
          </w:tcPr>
          <w:p w14:paraId="23C0A3E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2.07</w:t>
            </w:r>
          </w:p>
        </w:tc>
        <w:tc>
          <w:tcPr>
            <w:tcW w:w="0" w:type="auto"/>
            <w:noWrap/>
            <w:hideMark/>
          </w:tcPr>
          <w:p w14:paraId="305DA07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154.25</w:t>
            </w:r>
          </w:p>
        </w:tc>
        <w:tc>
          <w:tcPr>
            <w:tcW w:w="0" w:type="auto"/>
            <w:noWrap/>
            <w:hideMark/>
          </w:tcPr>
          <w:p w14:paraId="12E238F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28.75</w:t>
            </w:r>
          </w:p>
        </w:tc>
      </w:tr>
      <w:tr w:rsidR="008712F5" w:rsidRPr="008712F5" w14:paraId="2561A600"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214E383"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Kazakhstan</w:t>
            </w:r>
          </w:p>
        </w:tc>
        <w:tc>
          <w:tcPr>
            <w:tcW w:w="0" w:type="auto"/>
            <w:noWrap/>
            <w:hideMark/>
          </w:tcPr>
          <w:p w14:paraId="5669057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4532</w:t>
            </w:r>
          </w:p>
        </w:tc>
        <w:tc>
          <w:tcPr>
            <w:tcW w:w="0" w:type="auto"/>
            <w:noWrap/>
            <w:hideMark/>
          </w:tcPr>
          <w:p w14:paraId="160356C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488.68</w:t>
            </w:r>
          </w:p>
        </w:tc>
        <w:tc>
          <w:tcPr>
            <w:tcW w:w="0" w:type="auto"/>
            <w:noWrap/>
            <w:hideMark/>
          </w:tcPr>
          <w:p w14:paraId="19252B7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82.37</w:t>
            </w:r>
          </w:p>
        </w:tc>
        <w:tc>
          <w:tcPr>
            <w:tcW w:w="0" w:type="auto"/>
            <w:noWrap/>
            <w:hideMark/>
          </w:tcPr>
          <w:p w14:paraId="42017B4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10.20</w:t>
            </w:r>
          </w:p>
        </w:tc>
        <w:tc>
          <w:tcPr>
            <w:tcW w:w="0" w:type="auto"/>
            <w:noWrap/>
            <w:hideMark/>
          </w:tcPr>
          <w:p w14:paraId="4DE22C3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1.27</w:t>
            </w:r>
          </w:p>
        </w:tc>
        <w:tc>
          <w:tcPr>
            <w:tcW w:w="0" w:type="auto"/>
            <w:noWrap/>
            <w:hideMark/>
          </w:tcPr>
          <w:p w14:paraId="78C78F1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1AC8BC3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21E994F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3.55</w:t>
            </w:r>
          </w:p>
        </w:tc>
        <w:tc>
          <w:tcPr>
            <w:tcW w:w="0" w:type="auto"/>
            <w:noWrap/>
            <w:hideMark/>
          </w:tcPr>
          <w:p w14:paraId="1904EC2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0.37</w:t>
            </w:r>
          </w:p>
        </w:tc>
        <w:tc>
          <w:tcPr>
            <w:tcW w:w="0" w:type="auto"/>
            <w:noWrap/>
            <w:hideMark/>
          </w:tcPr>
          <w:p w14:paraId="6CE34F0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3.63</w:t>
            </w:r>
          </w:p>
        </w:tc>
        <w:tc>
          <w:tcPr>
            <w:tcW w:w="0" w:type="auto"/>
            <w:noWrap/>
            <w:hideMark/>
          </w:tcPr>
          <w:p w14:paraId="675BC3B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0.61</w:t>
            </w:r>
          </w:p>
        </w:tc>
        <w:tc>
          <w:tcPr>
            <w:tcW w:w="0" w:type="auto"/>
            <w:noWrap/>
            <w:hideMark/>
          </w:tcPr>
          <w:p w14:paraId="46702D3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3.51</w:t>
            </w:r>
          </w:p>
        </w:tc>
        <w:tc>
          <w:tcPr>
            <w:tcW w:w="0" w:type="auto"/>
            <w:noWrap/>
            <w:hideMark/>
          </w:tcPr>
          <w:p w14:paraId="5883090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0.46</w:t>
            </w:r>
          </w:p>
        </w:tc>
        <w:tc>
          <w:tcPr>
            <w:tcW w:w="0" w:type="auto"/>
            <w:noWrap/>
            <w:hideMark/>
          </w:tcPr>
          <w:p w14:paraId="35FECD1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10.34</w:t>
            </w:r>
          </w:p>
        </w:tc>
        <w:tc>
          <w:tcPr>
            <w:tcW w:w="0" w:type="auto"/>
            <w:noWrap/>
            <w:hideMark/>
          </w:tcPr>
          <w:p w14:paraId="0B0E493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2.17</w:t>
            </w:r>
          </w:p>
        </w:tc>
        <w:tc>
          <w:tcPr>
            <w:tcW w:w="0" w:type="auto"/>
            <w:noWrap/>
            <w:hideMark/>
          </w:tcPr>
          <w:p w14:paraId="3E1A96D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207.15</w:t>
            </w:r>
          </w:p>
        </w:tc>
        <w:tc>
          <w:tcPr>
            <w:tcW w:w="0" w:type="auto"/>
            <w:noWrap/>
            <w:hideMark/>
          </w:tcPr>
          <w:p w14:paraId="1D1ABA1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57.39</w:t>
            </w:r>
          </w:p>
        </w:tc>
      </w:tr>
      <w:tr w:rsidR="008712F5" w:rsidRPr="008712F5" w14:paraId="756FA5B3"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E2A16D5"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Jordan</w:t>
            </w:r>
          </w:p>
        </w:tc>
        <w:tc>
          <w:tcPr>
            <w:tcW w:w="0" w:type="auto"/>
            <w:noWrap/>
            <w:hideMark/>
          </w:tcPr>
          <w:p w14:paraId="1FBAB22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7176</w:t>
            </w:r>
          </w:p>
        </w:tc>
        <w:tc>
          <w:tcPr>
            <w:tcW w:w="0" w:type="auto"/>
            <w:noWrap/>
            <w:hideMark/>
          </w:tcPr>
          <w:p w14:paraId="5850AA8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420.27</w:t>
            </w:r>
          </w:p>
        </w:tc>
        <w:tc>
          <w:tcPr>
            <w:tcW w:w="0" w:type="auto"/>
            <w:noWrap/>
            <w:hideMark/>
          </w:tcPr>
          <w:p w14:paraId="29A9DCC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86.66</w:t>
            </w:r>
          </w:p>
        </w:tc>
        <w:tc>
          <w:tcPr>
            <w:tcW w:w="0" w:type="auto"/>
            <w:noWrap/>
            <w:hideMark/>
          </w:tcPr>
          <w:p w14:paraId="74875D7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9.63</w:t>
            </w:r>
          </w:p>
        </w:tc>
        <w:tc>
          <w:tcPr>
            <w:tcW w:w="0" w:type="auto"/>
            <w:noWrap/>
            <w:hideMark/>
          </w:tcPr>
          <w:p w14:paraId="0819674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1.41</w:t>
            </w:r>
          </w:p>
        </w:tc>
        <w:tc>
          <w:tcPr>
            <w:tcW w:w="0" w:type="auto"/>
            <w:noWrap/>
            <w:hideMark/>
          </w:tcPr>
          <w:p w14:paraId="519C394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714D555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3ED0E06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3.39</w:t>
            </w:r>
          </w:p>
        </w:tc>
        <w:tc>
          <w:tcPr>
            <w:tcW w:w="0" w:type="auto"/>
            <w:noWrap/>
            <w:hideMark/>
          </w:tcPr>
          <w:p w14:paraId="6E3E710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0.41</w:t>
            </w:r>
          </w:p>
        </w:tc>
        <w:tc>
          <w:tcPr>
            <w:tcW w:w="0" w:type="auto"/>
            <w:noWrap/>
            <w:hideMark/>
          </w:tcPr>
          <w:p w14:paraId="6C8281D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3.61</w:t>
            </w:r>
          </w:p>
        </w:tc>
        <w:tc>
          <w:tcPr>
            <w:tcW w:w="0" w:type="auto"/>
            <w:noWrap/>
            <w:hideMark/>
          </w:tcPr>
          <w:p w14:paraId="65BCEC3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0.58</w:t>
            </w:r>
          </w:p>
        </w:tc>
        <w:tc>
          <w:tcPr>
            <w:tcW w:w="0" w:type="auto"/>
            <w:noWrap/>
            <w:hideMark/>
          </w:tcPr>
          <w:p w14:paraId="1BBE568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3.39</w:t>
            </w:r>
          </w:p>
        </w:tc>
        <w:tc>
          <w:tcPr>
            <w:tcW w:w="0" w:type="auto"/>
            <w:noWrap/>
            <w:hideMark/>
          </w:tcPr>
          <w:p w14:paraId="700AC93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0.54</w:t>
            </w:r>
          </w:p>
        </w:tc>
        <w:tc>
          <w:tcPr>
            <w:tcW w:w="0" w:type="auto"/>
            <w:noWrap/>
            <w:hideMark/>
          </w:tcPr>
          <w:p w14:paraId="68D54D9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9.33</w:t>
            </w:r>
          </w:p>
        </w:tc>
        <w:tc>
          <w:tcPr>
            <w:tcW w:w="0" w:type="auto"/>
            <w:noWrap/>
            <w:hideMark/>
          </w:tcPr>
          <w:p w14:paraId="5A0D9BC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1.49</w:t>
            </w:r>
          </w:p>
        </w:tc>
        <w:tc>
          <w:tcPr>
            <w:tcW w:w="0" w:type="auto"/>
            <w:noWrap/>
            <w:hideMark/>
          </w:tcPr>
          <w:p w14:paraId="571CFA0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216.32</w:t>
            </w:r>
          </w:p>
        </w:tc>
        <w:tc>
          <w:tcPr>
            <w:tcW w:w="0" w:type="auto"/>
            <w:noWrap/>
            <w:hideMark/>
          </w:tcPr>
          <w:p w14:paraId="0DB1B4B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58.33</w:t>
            </w:r>
          </w:p>
        </w:tc>
      </w:tr>
      <w:tr w:rsidR="008712F5" w:rsidRPr="008712F5" w14:paraId="53690ED3"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734CB92"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Korea, Republic of</w:t>
            </w:r>
          </w:p>
        </w:tc>
        <w:tc>
          <w:tcPr>
            <w:tcW w:w="0" w:type="auto"/>
            <w:noWrap/>
            <w:hideMark/>
          </w:tcPr>
          <w:p w14:paraId="1F72908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4125</w:t>
            </w:r>
          </w:p>
        </w:tc>
        <w:tc>
          <w:tcPr>
            <w:tcW w:w="0" w:type="auto"/>
            <w:noWrap/>
            <w:hideMark/>
          </w:tcPr>
          <w:p w14:paraId="091E975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607.08</w:t>
            </w:r>
          </w:p>
        </w:tc>
        <w:tc>
          <w:tcPr>
            <w:tcW w:w="0" w:type="auto"/>
            <w:noWrap/>
            <w:hideMark/>
          </w:tcPr>
          <w:p w14:paraId="75A1468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97.07</w:t>
            </w:r>
          </w:p>
        </w:tc>
        <w:tc>
          <w:tcPr>
            <w:tcW w:w="0" w:type="auto"/>
            <w:noWrap/>
            <w:hideMark/>
          </w:tcPr>
          <w:p w14:paraId="471B023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11.63</w:t>
            </w:r>
          </w:p>
        </w:tc>
        <w:tc>
          <w:tcPr>
            <w:tcW w:w="0" w:type="auto"/>
            <w:noWrap/>
            <w:hideMark/>
          </w:tcPr>
          <w:p w14:paraId="723167F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1.45</w:t>
            </w:r>
          </w:p>
        </w:tc>
        <w:tc>
          <w:tcPr>
            <w:tcW w:w="0" w:type="auto"/>
            <w:noWrap/>
            <w:hideMark/>
          </w:tcPr>
          <w:p w14:paraId="6C6EB3C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6DF441C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4E8CFAD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2.92</w:t>
            </w:r>
          </w:p>
        </w:tc>
        <w:tc>
          <w:tcPr>
            <w:tcW w:w="0" w:type="auto"/>
            <w:noWrap/>
            <w:hideMark/>
          </w:tcPr>
          <w:p w14:paraId="1180BC5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0.54</w:t>
            </w:r>
          </w:p>
        </w:tc>
        <w:tc>
          <w:tcPr>
            <w:tcW w:w="0" w:type="auto"/>
            <w:noWrap/>
            <w:hideMark/>
          </w:tcPr>
          <w:p w14:paraId="12C6171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3.34</w:t>
            </w:r>
          </w:p>
        </w:tc>
        <w:tc>
          <w:tcPr>
            <w:tcW w:w="0" w:type="auto"/>
            <w:noWrap/>
            <w:hideMark/>
          </w:tcPr>
          <w:p w14:paraId="5470C41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0.53</w:t>
            </w:r>
          </w:p>
        </w:tc>
        <w:tc>
          <w:tcPr>
            <w:tcW w:w="0" w:type="auto"/>
            <w:noWrap/>
            <w:hideMark/>
          </w:tcPr>
          <w:p w14:paraId="052088E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3.49</w:t>
            </w:r>
          </w:p>
        </w:tc>
        <w:tc>
          <w:tcPr>
            <w:tcW w:w="0" w:type="auto"/>
            <w:noWrap/>
            <w:hideMark/>
          </w:tcPr>
          <w:p w14:paraId="4C3166E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0.51</w:t>
            </w:r>
          </w:p>
        </w:tc>
        <w:tc>
          <w:tcPr>
            <w:tcW w:w="0" w:type="auto"/>
            <w:noWrap/>
            <w:hideMark/>
          </w:tcPr>
          <w:p w14:paraId="1E467DD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9.08</w:t>
            </w:r>
          </w:p>
        </w:tc>
        <w:tc>
          <w:tcPr>
            <w:tcW w:w="0" w:type="auto"/>
            <w:noWrap/>
            <w:hideMark/>
          </w:tcPr>
          <w:p w14:paraId="1156A8F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1.80</w:t>
            </w:r>
          </w:p>
        </w:tc>
        <w:tc>
          <w:tcPr>
            <w:tcW w:w="0" w:type="auto"/>
            <w:noWrap/>
            <w:hideMark/>
          </w:tcPr>
          <w:p w14:paraId="449C582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163.56</w:t>
            </w:r>
          </w:p>
        </w:tc>
        <w:tc>
          <w:tcPr>
            <w:tcW w:w="0" w:type="auto"/>
            <w:noWrap/>
            <w:hideMark/>
          </w:tcPr>
          <w:p w14:paraId="3CEFB7C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54.04</w:t>
            </w:r>
          </w:p>
        </w:tc>
      </w:tr>
      <w:tr w:rsidR="008712F5" w:rsidRPr="008712F5" w14:paraId="61806ABC"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06A98D6"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Kuwait</w:t>
            </w:r>
          </w:p>
        </w:tc>
        <w:tc>
          <w:tcPr>
            <w:tcW w:w="0" w:type="auto"/>
            <w:noWrap/>
            <w:hideMark/>
          </w:tcPr>
          <w:p w14:paraId="1475F79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4574</w:t>
            </w:r>
          </w:p>
        </w:tc>
        <w:tc>
          <w:tcPr>
            <w:tcW w:w="0" w:type="auto"/>
            <w:noWrap/>
            <w:hideMark/>
          </w:tcPr>
          <w:p w14:paraId="0CA888B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402.75</w:t>
            </w:r>
          </w:p>
        </w:tc>
        <w:tc>
          <w:tcPr>
            <w:tcW w:w="0" w:type="auto"/>
            <w:noWrap/>
            <w:hideMark/>
          </w:tcPr>
          <w:p w14:paraId="3891BB8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87.72</w:t>
            </w:r>
          </w:p>
        </w:tc>
        <w:tc>
          <w:tcPr>
            <w:tcW w:w="0" w:type="auto"/>
            <w:noWrap/>
            <w:hideMark/>
          </w:tcPr>
          <w:p w14:paraId="49D4AAA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9.92</w:t>
            </w:r>
          </w:p>
        </w:tc>
        <w:tc>
          <w:tcPr>
            <w:tcW w:w="0" w:type="auto"/>
            <w:noWrap/>
            <w:hideMark/>
          </w:tcPr>
          <w:p w14:paraId="7EA2F6F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1.40</w:t>
            </w:r>
          </w:p>
        </w:tc>
        <w:tc>
          <w:tcPr>
            <w:tcW w:w="0" w:type="auto"/>
            <w:noWrap/>
            <w:hideMark/>
          </w:tcPr>
          <w:p w14:paraId="4CEA6EE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1.47</w:t>
            </w:r>
          </w:p>
        </w:tc>
        <w:tc>
          <w:tcPr>
            <w:tcW w:w="0" w:type="auto"/>
            <w:noWrap/>
            <w:hideMark/>
          </w:tcPr>
          <w:p w14:paraId="58AE4F4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3224B7E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3.23</w:t>
            </w:r>
          </w:p>
        </w:tc>
        <w:tc>
          <w:tcPr>
            <w:tcW w:w="0" w:type="auto"/>
            <w:noWrap/>
            <w:hideMark/>
          </w:tcPr>
          <w:p w14:paraId="45AEFF1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0.46</w:t>
            </w:r>
          </w:p>
        </w:tc>
        <w:tc>
          <w:tcPr>
            <w:tcW w:w="0" w:type="auto"/>
            <w:noWrap/>
            <w:hideMark/>
          </w:tcPr>
          <w:p w14:paraId="657CF2B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3.48</w:t>
            </w:r>
          </w:p>
        </w:tc>
        <w:tc>
          <w:tcPr>
            <w:tcW w:w="0" w:type="auto"/>
            <w:noWrap/>
            <w:hideMark/>
          </w:tcPr>
          <w:p w14:paraId="05783CC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0.63</w:t>
            </w:r>
          </w:p>
        </w:tc>
        <w:tc>
          <w:tcPr>
            <w:tcW w:w="0" w:type="auto"/>
            <w:noWrap/>
            <w:hideMark/>
          </w:tcPr>
          <w:p w14:paraId="70BFB5F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3.42</w:t>
            </w:r>
          </w:p>
        </w:tc>
        <w:tc>
          <w:tcPr>
            <w:tcW w:w="0" w:type="auto"/>
            <w:noWrap/>
            <w:hideMark/>
          </w:tcPr>
          <w:p w14:paraId="05B5B11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0.58</w:t>
            </w:r>
          </w:p>
        </w:tc>
        <w:tc>
          <w:tcPr>
            <w:tcW w:w="0" w:type="auto"/>
            <w:noWrap/>
            <w:hideMark/>
          </w:tcPr>
          <w:p w14:paraId="26583EF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9.68</w:t>
            </w:r>
          </w:p>
        </w:tc>
        <w:tc>
          <w:tcPr>
            <w:tcW w:w="0" w:type="auto"/>
            <w:noWrap/>
            <w:hideMark/>
          </w:tcPr>
          <w:p w14:paraId="227346C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1.44</w:t>
            </w:r>
          </w:p>
        </w:tc>
        <w:tc>
          <w:tcPr>
            <w:tcW w:w="0" w:type="auto"/>
            <w:noWrap/>
            <w:hideMark/>
          </w:tcPr>
          <w:p w14:paraId="3B6EB54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232.78</w:t>
            </w:r>
          </w:p>
        </w:tc>
        <w:tc>
          <w:tcPr>
            <w:tcW w:w="0" w:type="auto"/>
            <w:noWrap/>
            <w:hideMark/>
          </w:tcPr>
          <w:p w14:paraId="212D4A1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66.31</w:t>
            </w:r>
          </w:p>
        </w:tc>
      </w:tr>
      <w:tr w:rsidR="008712F5" w:rsidRPr="008712F5" w14:paraId="5C5A6EA7"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68B9D58"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Lebanon</w:t>
            </w:r>
          </w:p>
        </w:tc>
        <w:tc>
          <w:tcPr>
            <w:tcW w:w="0" w:type="auto"/>
            <w:noWrap/>
            <w:hideMark/>
          </w:tcPr>
          <w:p w14:paraId="051FF3C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4730</w:t>
            </w:r>
          </w:p>
        </w:tc>
        <w:tc>
          <w:tcPr>
            <w:tcW w:w="0" w:type="auto"/>
            <w:noWrap/>
            <w:hideMark/>
          </w:tcPr>
          <w:p w14:paraId="35D8566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429.31</w:t>
            </w:r>
          </w:p>
        </w:tc>
        <w:tc>
          <w:tcPr>
            <w:tcW w:w="0" w:type="auto"/>
            <w:noWrap/>
            <w:hideMark/>
          </w:tcPr>
          <w:p w14:paraId="4777E5A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72.49</w:t>
            </w:r>
          </w:p>
        </w:tc>
        <w:tc>
          <w:tcPr>
            <w:tcW w:w="0" w:type="auto"/>
            <w:noWrap/>
            <w:hideMark/>
          </w:tcPr>
          <w:p w14:paraId="5DB29DB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9.74</w:t>
            </w:r>
          </w:p>
        </w:tc>
        <w:tc>
          <w:tcPr>
            <w:tcW w:w="0" w:type="auto"/>
            <w:noWrap/>
            <w:hideMark/>
          </w:tcPr>
          <w:p w14:paraId="2858A7E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1.56</w:t>
            </w:r>
          </w:p>
        </w:tc>
        <w:tc>
          <w:tcPr>
            <w:tcW w:w="0" w:type="auto"/>
            <w:noWrap/>
            <w:hideMark/>
          </w:tcPr>
          <w:p w14:paraId="6C2F2F5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69394E8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5685F34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3.31</w:t>
            </w:r>
          </w:p>
        </w:tc>
        <w:tc>
          <w:tcPr>
            <w:tcW w:w="0" w:type="auto"/>
            <w:noWrap/>
            <w:hideMark/>
          </w:tcPr>
          <w:p w14:paraId="6BD3802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2BE928D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3.57</w:t>
            </w:r>
          </w:p>
        </w:tc>
        <w:tc>
          <w:tcPr>
            <w:tcW w:w="0" w:type="auto"/>
            <w:noWrap/>
            <w:hideMark/>
          </w:tcPr>
          <w:p w14:paraId="2ACFDE7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0.56</w:t>
            </w:r>
          </w:p>
        </w:tc>
        <w:tc>
          <w:tcPr>
            <w:tcW w:w="0" w:type="auto"/>
            <w:noWrap/>
            <w:hideMark/>
          </w:tcPr>
          <w:p w14:paraId="0396AE2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3.20</w:t>
            </w:r>
          </w:p>
        </w:tc>
        <w:tc>
          <w:tcPr>
            <w:tcW w:w="0" w:type="auto"/>
            <w:noWrap/>
            <w:hideMark/>
          </w:tcPr>
          <w:p w14:paraId="46A42B7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0.63</w:t>
            </w:r>
          </w:p>
        </w:tc>
        <w:tc>
          <w:tcPr>
            <w:tcW w:w="0" w:type="auto"/>
            <w:noWrap/>
            <w:hideMark/>
          </w:tcPr>
          <w:p w14:paraId="2323720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9.51</w:t>
            </w:r>
          </w:p>
        </w:tc>
        <w:tc>
          <w:tcPr>
            <w:tcW w:w="0" w:type="auto"/>
            <w:noWrap/>
            <w:hideMark/>
          </w:tcPr>
          <w:p w14:paraId="21D9760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1.53</w:t>
            </w:r>
          </w:p>
        </w:tc>
        <w:tc>
          <w:tcPr>
            <w:tcW w:w="0" w:type="auto"/>
            <w:noWrap/>
            <w:hideMark/>
          </w:tcPr>
          <w:p w14:paraId="2E924A2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305.68</w:t>
            </w:r>
          </w:p>
        </w:tc>
        <w:tc>
          <w:tcPr>
            <w:tcW w:w="0" w:type="auto"/>
            <w:noWrap/>
            <w:hideMark/>
          </w:tcPr>
          <w:p w14:paraId="3D32AE6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74.58</w:t>
            </w:r>
          </w:p>
        </w:tc>
      </w:tr>
      <w:tr w:rsidR="008712F5" w:rsidRPr="008712F5" w14:paraId="6223D3A8"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453DB75"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Lithuania</w:t>
            </w:r>
          </w:p>
        </w:tc>
        <w:tc>
          <w:tcPr>
            <w:tcW w:w="0" w:type="auto"/>
            <w:noWrap/>
            <w:hideMark/>
          </w:tcPr>
          <w:p w14:paraId="7016C25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3826</w:t>
            </w:r>
          </w:p>
        </w:tc>
        <w:tc>
          <w:tcPr>
            <w:tcW w:w="0" w:type="auto"/>
            <w:noWrap/>
            <w:hideMark/>
          </w:tcPr>
          <w:p w14:paraId="342B3FB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520.43</w:t>
            </w:r>
          </w:p>
        </w:tc>
        <w:tc>
          <w:tcPr>
            <w:tcW w:w="0" w:type="auto"/>
            <w:noWrap/>
            <w:hideMark/>
          </w:tcPr>
          <w:p w14:paraId="7A38A99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81.64</w:t>
            </w:r>
          </w:p>
        </w:tc>
        <w:tc>
          <w:tcPr>
            <w:tcW w:w="0" w:type="auto"/>
            <w:noWrap/>
            <w:hideMark/>
          </w:tcPr>
          <w:p w14:paraId="6ACF230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10.82</w:t>
            </w:r>
          </w:p>
        </w:tc>
        <w:tc>
          <w:tcPr>
            <w:tcW w:w="0" w:type="auto"/>
            <w:noWrap/>
            <w:hideMark/>
          </w:tcPr>
          <w:p w14:paraId="2780AD3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1.27</w:t>
            </w:r>
          </w:p>
        </w:tc>
        <w:tc>
          <w:tcPr>
            <w:tcW w:w="0" w:type="auto"/>
            <w:noWrap/>
            <w:hideMark/>
          </w:tcPr>
          <w:p w14:paraId="0E82352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w:t>
            </w:r>
          </w:p>
        </w:tc>
        <w:tc>
          <w:tcPr>
            <w:tcW w:w="0" w:type="auto"/>
            <w:noWrap/>
            <w:hideMark/>
          </w:tcPr>
          <w:p w14:paraId="343E040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4A2CE80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3.18</w:t>
            </w:r>
          </w:p>
        </w:tc>
        <w:tc>
          <w:tcPr>
            <w:tcW w:w="0" w:type="auto"/>
            <w:noWrap/>
            <w:hideMark/>
          </w:tcPr>
          <w:p w14:paraId="37CEB8A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0.41</w:t>
            </w:r>
          </w:p>
        </w:tc>
        <w:tc>
          <w:tcPr>
            <w:tcW w:w="0" w:type="auto"/>
            <w:noWrap/>
            <w:hideMark/>
          </w:tcPr>
          <w:p w14:paraId="108DA8A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3.56</w:t>
            </w:r>
          </w:p>
        </w:tc>
        <w:tc>
          <w:tcPr>
            <w:tcW w:w="0" w:type="auto"/>
            <w:noWrap/>
            <w:hideMark/>
          </w:tcPr>
          <w:p w14:paraId="258C7A1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0.61</w:t>
            </w:r>
          </w:p>
        </w:tc>
        <w:tc>
          <w:tcPr>
            <w:tcW w:w="0" w:type="auto"/>
            <w:noWrap/>
            <w:hideMark/>
          </w:tcPr>
          <w:p w14:paraId="1934B99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3.13</w:t>
            </w:r>
          </w:p>
        </w:tc>
        <w:tc>
          <w:tcPr>
            <w:tcW w:w="0" w:type="auto"/>
            <w:noWrap/>
            <w:hideMark/>
          </w:tcPr>
          <w:p w14:paraId="16C1C68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0.56</w:t>
            </w:r>
          </w:p>
        </w:tc>
        <w:tc>
          <w:tcPr>
            <w:tcW w:w="0" w:type="auto"/>
            <w:noWrap/>
            <w:hideMark/>
          </w:tcPr>
          <w:p w14:paraId="22E9101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9.33</w:t>
            </w:r>
          </w:p>
        </w:tc>
        <w:tc>
          <w:tcPr>
            <w:tcW w:w="0" w:type="auto"/>
            <w:noWrap/>
            <w:hideMark/>
          </w:tcPr>
          <w:p w14:paraId="621C0CC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2.09</w:t>
            </w:r>
          </w:p>
        </w:tc>
        <w:tc>
          <w:tcPr>
            <w:tcW w:w="0" w:type="auto"/>
            <w:noWrap/>
            <w:hideMark/>
          </w:tcPr>
          <w:p w14:paraId="69237C9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203.06</w:t>
            </w:r>
          </w:p>
        </w:tc>
        <w:tc>
          <w:tcPr>
            <w:tcW w:w="0" w:type="auto"/>
            <w:noWrap/>
            <w:hideMark/>
          </w:tcPr>
          <w:p w14:paraId="116EC90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44.43</w:t>
            </w:r>
          </w:p>
        </w:tc>
      </w:tr>
      <w:tr w:rsidR="008712F5" w:rsidRPr="008712F5" w14:paraId="5CCAB431"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37BCF5E"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lastRenderedPageBreak/>
              <w:t>Malaysia</w:t>
            </w:r>
          </w:p>
        </w:tc>
        <w:tc>
          <w:tcPr>
            <w:tcW w:w="0" w:type="auto"/>
            <w:noWrap/>
            <w:hideMark/>
          </w:tcPr>
          <w:p w14:paraId="0FCEFBE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7065</w:t>
            </w:r>
          </w:p>
        </w:tc>
        <w:tc>
          <w:tcPr>
            <w:tcW w:w="0" w:type="auto"/>
            <w:noWrap/>
            <w:hideMark/>
          </w:tcPr>
          <w:p w14:paraId="12A1991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460.57</w:t>
            </w:r>
          </w:p>
        </w:tc>
        <w:tc>
          <w:tcPr>
            <w:tcW w:w="0" w:type="auto"/>
            <w:noWrap/>
            <w:hideMark/>
          </w:tcPr>
          <w:p w14:paraId="5C7AE39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90.67</w:t>
            </w:r>
          </w:p>
        </w:tc>
        <w:tc>
          <w:tcPr>
            <w:tcW w:w="0" w:type="auto"/>
            <w:noWrap/>
            <w:hideMark/>
          </w:tcPr>
          <w:p w14:paraId="717A08B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9.60</w:t>
            </w:r>
          </w:p>
        </w:tc>
        <w:tc>
          <w:tcPr>
            <w:tcW w:w="0" w:type="auto"/>
            <w:noWrap/>
            <w:hideMark/>
          </w:tcPr>
          <w:p w14:paraId="71AC83A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0242B82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1.49</w:t>
            </w:r>
          </w:p>
        </w:tc>
        <w:tc>
          <w:tcPr>
            <w:tcW w:w="0" w:type="auto"/>
            <w:noWrap/>
            <w:hideMark/>
          </w:tcPr>
          <w:p w14:paraId="549F124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758CCF0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3.10</w:t>
            </w:r>
          </w:p>
        </w:tc>
        <w:tc>
          <w:tcPr>
            <w:tcW w:w="0" w:type="auto"/>
            <w:noWrap/>
            <w:hideMark/>
          </w:tcPr>
          <w:p w14:paraId="35F07C2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0.54</w:t>
            </w:r>
          </w:p>
        </w:tc>
        <w:tc>
          <w:tcPr>
            <w:tcW w:w="0" w:type="auto"/>
            <w:noWrap/>
            <w:hideMark/>
          </w:tcPr>
          <w:p w14:paraId="65D8521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3.08</w:t>
            </w:r>
          </w:p>
        </w:tc>
        <w:tc>
          <w:tcPr>
            <w:tcW w:w="0" w:type="auto"/>
            <w:noWrap/>
            <w:hideMark/>
          </w:tcPr>
          <w:p w14:paraId="36D124D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0.66</w:t>
            </w:r>
          </w:p>
        </w:tc>
        <w:tc>
          <w:tcPr>
            <w:tcW w:w="0" w:type="auto"/>
            <w:noWrap/>
            <w:hideMark/>
          </w:tcPr>
          <w:p w14:paraId="107F8E6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3.04</w:t>
            </w:r>
          </w:p>
        </w:tc>
        <w:tc>
          <w:tcPr>
            <w:tcW w:w="0" w:type="auto"/>
            <w:noWrap/>
            <w:hideMark/>
          </w:tcPr>
          <w:p w14:paraId="0886924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0.61</w:t>
            </w:r>
          </w:p>
        </w:tc>
        <w:tc>
          <w:tcPr>
            <w:tcW w:w="0" w:type="auto"/>
            <w:noWrap/>
            <w:hideMark/>
          </w:tcPr>
          <w:p w14:paraId="2DA79D7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9.34</w:t>
            </w:r>
          </w:p>
        </w:tc>
        <w:tc>
          <w:tcPr>
            <w:tcW w:w="0" w:type="auto"/>
            <w:noWrap/>
            <w:hideMark/>
          </w:tcPr>
          <w:p w14:paraId="1250C3F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1.95</w:t>
            </w:r>
          </w:p>
        </w:tc>
        <w:tc>
          <w:tcPr>
            <w:tcW w:w="0" w:type="auto"/>
            <w:noWrap/>
            <w:hideMark/>
          </w:tcPr>
          <w:p w14:paraId="3F7B67A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194.41</w:t>
            </w:r>
          </w:p>
        </w:tc>
        <w:tc>
          <w:tcPr>
            <w:tcW w:w="0" w:type="auto"/>
            <w:noWrap/>
            <w:hideMark/>
          </w:tcPr>
          <w:p w14:paraId="7C44219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48.54</w:t>
            </w:r>
          </w:p>
        </w:tc>
      </w:tr>
      <w:tr w:rsidR="008712F5" w:rsidRPr="008712F5" w14:paraId="55D4B14E"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76F9723"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Morocco</w:t>
            </w:r>
          </w:p>
        </w:tc>
        <w:tc>
          <w:tcPr>
            <w:tcW w:w="0" w:type="auto"/>
            <w:noWrap/>
            <w:hideMark/>
          </w:tcPr>
          <w:p w14:paraId="3F0603A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8458</w:t>
            </w:r>
          </w:p>
        </w:tc>
        <w:tc>
          <w:tcPr>
            <w:tcW w:w="0" w:type="auto"/>
            <w:noWrap/>
            <w:hideMark/>
          </w:tcPr>
          <w:p w14:paraId="64C7647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388.19</w:t>
            </w:r>
          </w:p>
        </w:tc>
        <w:tc>
          <w:tcPr>
            <w:tcW w:w="0" w:type="auto"/>
            <w:noWrap/>
            <w:hideMark/>
          </w:tcPr>
          <w:p w14:paraId="50658BD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71.64</w:t>
            </w:r>
          </w:p>
        </w:tc>
        <w:tc>
          <w:tcPr>
            <w:tcW w:w="0" w:type="auto"/>
            <w:noWrap/>
            <w:hideMark/>
          </w:tcPr>
          <w:p w14:paraId="62B348F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8.28</w:t>
            </w:r>
          </w:p>
        </w:tc>
        <w:tc>
          <w:tcPr>
            <w:tcW w:w="0" w:type="auto"/>
            <w:noWrap/>
            <w:hideMark/>
          </w:tcPr>
          <w:p w14:paraId="130327F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1.96</w:t>
            </w:r>
          </w:p>
        </w:tc>
        <w:tc>
          <w:tcPr>
            <w:tcW w:w="0" w:type="auto"/>
            <w:noWrap/>
            <w:hideMark/>
          </w:tcPr>
          <w:p w14:paraId="7B20E85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w:t>
            </w:r>
          </w:p>
        </w:tc>
        <w:tc>
          <w:tcPr>
            <w:tcW w:w="0" w:type="auto"/>
            <w:noWrap/>
            <w:hideMark/>
          </w:tcPr>
          <w:p w14:paraId="387E925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6AC0348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3.14</w:t>
            </w:r>
          </w:p>
        </w:tc>
        <w:tc>
          <w:tcPr>
            <w:tcW w:w="0" w:type="auto"/>
            <w:noWrap/>
            <w:hideMark/>
          </w:tcPr>
          <w:p w14:paraId="6AABBF4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0.47</w:t>
            </w:r>
          </w:p>
        </w:tc>
        <w:tc>
          <w:tcPr>
            <w:tcW w:w="0" w:type="auto"/>
            <w:noWrap/>
            <w:hideMark/>
          </w:tcPr>
          <w:p w14:paraId="59D54B3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3.56</w:t>
            </w:r>
          </w:p>
        </w:tc>
        <w:tc>
          <w:tcPr>
            <w:tcW w:w="0" w:type="auto"/>
            <w:noWrap/>
            <w:hideMark/>
          </w:tcPr>
          <w:p w14:paraId="66B3BA6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0.57</w:t>
            </w:r>
          </w:p>
        </w:tc>
        <w:tc>
          <w:tcPr>
            <w:tcW w:w="0" w:type="auto"/>
            <w:noWrap/>
            <w:hideMark/>
          </w:tcPr>
          <w:p w14:paraId="1802BC1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3.36</w:t>
            </w:r>
          </w:p>
        </w:tc>
        <w:tc>
          <w:tcPr>
            <w:tcW w:w="0" w:type="auto"/>
            <w:noWrap/>
            <w:hideMark/>
          </w:tcPr>
          <w:p w14:paraId="3BF67A7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0.61</w:t>
            </w:r>
          </w:p>
        </w:tc>
        <w:tc>
          <w:tcPr>
            <w:tcW w:w="0" w:type="auto"/>
            <w:noWrap/>
            <w:hideMark/>
          </w:tcPr>
          <w:p w14:paraId="79C45B2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9.20</w:t>
            </w:r>
          </w:p>
        </w:tc>
        <w:tc>
          <w:tcPr>
            <w:tcW w:w="0" w:type="auto"/>
            <w:noWrap/>
            <w:hideMark/>
          </w:tcPr>
          <w:p w14:paraId="7CEABF8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54C2E41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241.94</w:t>
            </w:r>
          </w:p>
        </w:tc>
        <w:tc>
          <w:tcPr>
            <w:tcW w:w="0" w:type="auto"/>
            <w:noWrap/>
            <w:hideMark/>
          </w:tcPr>
          <w:p w14:paraId="53B4B01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52.03</w:t>
            </w:r>
          </w:p>
        </w:tc>
      </w:tr>
      <w:tr w:rsidR="008712F5" w:rsidRPr="008712F5" w14:paraId="4A361D0C"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BA2F1B3"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Oman</w:t>
            </w:r>
          </w:p>
        </w:tc>
        <w:tc>
          <w:tcPr>
            <w:tcW w:w="0" w:type="auto"/>
            <w:noWrap/>
            <w:hideMark/>
          </w:tcPr>
          <w:p w14:paraId="151F3D3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6751</w:t>
            </w:r>
          </w:p>
        </w:tc>
        <w:tc>
          <w:tcPr>
            <w:tcW w:w="0" w:type="auto"/>
            <w:noWrap/>
            <w:hideMark/>
          </w:tcPr>
          <w:p w14:paraId="6A7D258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410.66</w:t>
            </w:r>
          </w:p>
        </w:tc>
        <w:tc>
          <w:tcPr>
            <w:tcW w:w="0" w:type="auto"/>
            <w:noWrap/>
            <w:hideMark/>
          </w:tcPr>
          <w:p w14:paraId="5E147F4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98.96</w:t>
            </w:r>
          </w:p>
        </w:tc>
        <w:tc>
          <w:tcPr>
            <w:tcW w:w="0" w:type="auto"/>
            <w:noWrap/>
            <w:hideMark/>
          </w:tcPr>
          <w:p w14:paraId="5362E60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9.73</w:t>
            </w:r>
          </w:p>
        </w:tc>
        <w:tc>
          <w:tcPr>
            <w:tcW w:w="0" w:type="auto"/>
            <w:noWrap/>
            <w:hideMark/>
          </w:tcPr>
          <w:p w14:paraId="1420BA8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1.63</w:t>
            </w:r>
          </w:p>
        </w:tc>
        <w:tc>
          <w:tcPr>
            <w:tcW w:w="0" w:type="auto"/>
            <w:noWrap/>
            <w:hideMark/>
          </w:tcPr>
          <w:p w14:paraId="46A1525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35DFD5E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671CD42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3.43</w:t>
            </w:r>
          </w:p>
        </w:tc>
        <w:tc>
          <w:tcPr>
            <w:tcW w:w="0" w:type="auto"/>
            <w:noWrap/>
            <w:hideMark/>
          </w:tcPr>
          <w:p w14:paraId="5803DDF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0.38</w:t>
            </w:r>
          </w:p>
        </w:tc>
        <w:tc>
          <w:tcPr>
            <w:tcW w:w="0" w:type="auto"/>
            <w:noWrap/>
            <w:hideMark/>
          </w:tcPr>
          <w:p w14:paraId="2766577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3.70</w:t>
            </w:r>
          </w:p>
        </w:tc>
        <w:tc>
          <w:tcPr>
            <w:tcW w:w="0" w:type="auto"/>
            <w:noWrap/>
            <w:hideMark/>
          </w:tcPr>
          <w:p w14:paraId="1C36662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0.52</w:t>
            </w:r>
          </w:p>
        </w:tc>
        <w:tc>
          <w:tcPr>
            <w:tcW w:w="0" w:type="auto"/>
            <w:noWrap/>
            <w:hideMark/>
          </w:tcPr>
          <w:p w14:paraId="6DFA55B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3.48</w:t>
            </w:r>
          </w:p>
        </w:tc>
        <w:tc>
          <w:tcPr>
            <w:tcW w:w="0" w:type="auto"/>
            <w:noWrap/>
            <w:hideMark/>
          </w:tcPr>
          <w:p w14:paraId="37B71C0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0.48</w:t>
            </w:r>
          </w:p>
        </w:tc>
        <w:tc>
          <w:tcPr>
            <w:tcW w:w="0" w:type="auto"/>
            <w:noWrap/>
            <w:hideMark/>
          </w:tcPr>
          <w:p w14:paraId="06BA39F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9.14</w:t>
            </w:r>
          </w:p>
        </w:tc>
        <w:tc>
          <w:tcPr>
            <w:tcW w:w="0" w:type="auto"/>
            <w:noWrap/>
            <w:hideMark/>
          </w:tcPr>
          <w:p w14:paraId="314F80C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1.68</w:t>
            </w:r>
          </w:p>
        </w:tc>
        <w:tc>
          <w:tcPr>
            <w:tcW w:w="0" w:type="auto"/>
            <w:noWrap/>
            <w:hideMark/>
          </w:tcPr>
          <w:p w14:paraId="520BC19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279.99</w:t>
            </w:r>
          </w:p>
        </w:tc>
        <w:tc>
          <w:tcPr>
            <w:tcW w:w="0" w:type="auto"/>
            <w:noWrap/>
            <w:hideMark/>
          </w:tcPr>
          <w:p w14:paraId="280E5DE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57.16</w:t>
            </w:r>
          </w:p>
        </w:tc>
      </w:tr>
      <w:tr w:rsidR="008712F5" w:rsidRPr="008712F5" w14:paraId="4EC4E7FC"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90527EF"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Norway</w:t>
            </w:r>
          </w:p>
        </w:tc>
        <w:tc>
          <w:tcPr>
            <w:tcW w:w="0" w:type="auto"/>
            <w:noWrap/>
            <w:hideMark/>
          </w:tcPr>
          <w:p w14:paraId="75D9B5B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5142</w:t>
            </w:r>
          </w:p>
        </w:tc>
        <w:tc>
          <w:tcPr>
            <w:tcW w:w="0" w:type="auto"/>
            <w:noWrap/>
            <w:hideMark/>
          </w:tcPr>
          <w:p w14:paraId="3C1E238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501.35</w:t>
            </w:r>
          </w:p>
        </w:tc>
        <w:tc>
          <w:tcPr>
            <w:tcW w:w="0" w:type="auto"/>
            <w:noWrap/>
            <w:hideMark/>
          </w:tcPr>
          <w:p w14:paraId="6B459BE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78.10</w:t>
            </w:r>
          </w:p>
        </w:tc>
        <w:tc>
          <w:tcPr>
            <w:tcW w:w="0" w:type="auto"/>
            <w:noWrap/>
            <w:hideMark/>
          </w:tcPr>
          <w:p w14:paraId="687BC18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11.36</w:t>
            </w:r>
          </w:p>
        </w:tc>
        <w:tc>
          <w:tcPr>
            <w:tcW w:w="0" w:type="auto"/>
            <w:noWrap/>
            <w:hideMark/>
          </w:tcPr>
          <w:p w14:paraId="6EBCC17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1.37</w:t>
            </w:r>
          </w:p>
        </w:tc>
        <w:tc>
          <w:tcPr>
            <w:tcW w:w="0" w:type="auto"/>
            <w:noWrap/>
            <w:hideMark/>
          </w:tcPr>
          <w:p w14:paraId="5A5604F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310A17F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6B46C94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3.00</w:t>
            </w:r>
          </w:p>
        </w:tc>
        <w:tc>
          <w:tcPr>
            <w:tcW w:w="0" w:type="auto"/>
            <w:noWrap/>
            <w:hideMark/>
          </w:tcPr>
          <w:p w14:paraId="15A3B0F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0.43</w:t>
            </w:r>
          </w:p>
        </w:tc>
        <w:tc>
          <w:tcPr>
            <w:tcW w:w="0" w:type="auto"/>
            <w:noWrap/>
            <w:hideMark/>
          </w:tcPr>
          <w:p w14:paraId="43C97C7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2.69</w:t>
            </w:r>
          </w:p>
        </w:tc>
        <w:tc>
          <w:tcPr>
            <w:tcW w:w="0" w:type="auto"/>
            <w:noWrap/>
            <w:hideMark/>
          </w:tcPr>
          <w:p w14:paraId="23B83DD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0.58</w:t>
            </w:r>
          </w:p>
        </w:tc>
        <w:tc>
          <w:tcPr>
            <w:tcW w:w="0" w:type="auto"/>
            <w:noWrap/>
            <w:hideMark/>
          </w:tcPr>
          <w:p w14:paraId="6E2A2B5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2.99</w:t>
            </w:r>
          </w:p>
        </w:tc>
        <w:tc>
          <w:tcPr>
            <w:tcW w:w="0" w:type="auto"/>
            <w:noWrap/>
            <w:hideMark/>
          </w:tcPr>
          <w:p w14:paraId="62CC88B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0.56</w:t>
            </w:r>
          </w:p>
        </w:tc>
        <w:tc>
          <w:tcPr>
            <w:tcW w:w="0" w:type="auto"/>
            <w:noWrap/>
            <w:hideMark/>
          </w:tcPr>
          <w:p w14:paraId="5BA5704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9.87</w:t>
            </w:r>
          </w:p>
        </w:tc>
        <w:tc>
          <w:tcPr>
            <w:tcW w:w="0" w:type="auto"/>
            <w:noWrap/>
            <w:hideMark/>
          </w:tcPr>
          <w:p w14:paraId="74D13C8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1.66</w:t>
            </w:r>
          </w:p>
        </w:tc>
        <w:tc>
          <w:tcPr>
            <w:tcW w:w="0" w:type="auto"/>
            <w:noWrap/>
            <w:hideMark/>
          </w:tcPr>
          <w:p w14:paraId="1A0C77C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168.24</w:t>
            </w:r>
          </w:p>
        </w:tc>
        <w:tc>
          <w:tcPr>
            <w:tcW w:w="0" w:type="auto"/>
            <w:noWrap/>
            <w:hideMark/>
          </w:tcPr>
          <w:p w14:paraId="6B5C4B6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49.89</w:t>
            </w:r>
          </w:p>
        </w:tc>
      </w:tr>
      <w:tr w:rsidR="008712F5" w:rsidRPr="008712F5" w14:paraId="57F4C329"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3049246"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Portugal</w:t>
            </w:r>
          </w:p>
        </w:tc>
        <w:tc>
          <w:tcPr>
            <w:tcW w:w="0" w:type="auto"/>
            <w:noWrap/>
            <w:hideMark/>
          </w:tcPr>
          <w:p w14:paraId="116C7E9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3377</w:t>
            </w:r>
          </w:p>
        </w:tc>
        <w:tc>
          <w:tcPr>
            <w:tcW w:w="0" w:type="auto"/>
            <w:noWrap/>
            <w:hideMark/>
          </w:tcPr>
          <w:p w14:paraId="0A40535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500.32</w:t>
            </w:r>
          </w:p>
        </w:tc>
        <w:tc>
          <w:tcPr>
            <w:tcW w:w="0" w:type="auto"/>
            <w:noWrap/>
            <w:hideMark/>
          </w:tcPr>
          <w:p w14:paraId="60C9580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74.02</w:t>
            </w:r>
          </w:p>
        </w:tc>
        <w:tc>
          <w:tcPr>
            <w:tcW w:w="0" w:type="auto"/>
            <w:noWrap/>
            <w:hideMark/>
          </w:tcPr>
          <w:p w14:paraId="27435D0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10.24</w:t>
            </w:r>
          </w:p>
        </w:tc>
        <w:tc>
          <w:tcPr>
            <w:tcW w:w="0" w:type="auto"/>
            <w:noWrap/>
            <w:hideMark/>
          </w:tcPr>
          <w:p w14:paraId="5E540CB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1.61</w:t>
            </w:r>
          </w:p>
        </w:tc>
        <w:tc>
          <w:tcPr>
            <w:tcW w:w="0" w:type="auto"/>
            <w:noWrap/>
            <w:hideMark/>
          </w:tcPr>
          <w:p w14:paraId="59788D0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w:t>
            </w:r>
          </w:p>
        </w:tc>
        <w:tc>
          <w:tcPr>
            <w:tcW w:w="0" w:type="auto"/>
            <w:noWrap/>
            <w:hideMark/>
          </w:tcPr>
          <w:p w14:paraId="00C79A3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0473105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3.16</w:t>
            </w:r>
          </w:p>
        </w:tc>
        <w:tc>
          <w:tcPr>
            <w:tcW w:w="0" w:type="auto"/>
            <w:noWrap/>
            <w:hideMark/>
          </w:tcPr>
          <w:p w14:paraId="4D457D9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0.47</w:t>
            </w:r>
          </w:p>
        </w:tc>
        <w:tc>
          <w:tcPr>
            <w:tcW w:w="0" w:type="auto"/>
            <w:noWrap/>
            <w:hideMark/>
          </w:tcPr>
          <w:p w14:paraId="7DF0F05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3.39</w:t>
            </w:r>
          </w:p>
        </w:tc>
        <w:tc>
          <w:tcPr>
            <w:tcW w:w="0" w:type="auto"/>
            <w:noWrap/>
            <w:hideMark/>
          </w:tcPr>
          <w:p w14:paraId="1F4147A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0.56</w:t>
            </w:r>
          </w:p>
        </w:tc>
        <w:tc>
          <w:tcPr>
            <w:tcW w:w="0" w:type="auto"/>
            <w:noWrap/>
            <w:hideMark/>
          </w:tcPr>
          <w:p w14:paraId="266753F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3.41</w:t>
            </w:r>
          </w:p>
        </w:tc>
        <w:tc>
          <w:tcPr>
            <w:tcW w:w="0" w:type="auto"/>
            <w:noWrap/>
            <w:hideMark/>
          </w:tcPr>
          <w:p w14:paraId="650C492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0.54</w:t>
            </w:r>
          </w:p>
        </w:tc>
        <w:tc>
          <w:tcPr>
            <w:tcW w:w="0" w:type="auto"/>
            <w:noWrap/>
            <w:hideMark/>
          </w:tcPr>
          <w:p w14:paraId="23600A2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9.49</w:t>
            </w:r>
          </w:p>
        </w:tc>
        <w:tc>
          <w:tcPr>
            <w:tcW w:w="0" w:type="auto"/>
            <w:noWrap/>
            <w:hideMark/>
          </w:tcPr>
          <w:p w14:paraId="36726CF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1.53</w:t>
            </w:r>
          </w:p>
        </w:tc>
        <w:tc>
          <w:tcPr>
            <w:tcW w:w="0" w:type="auto"/>
            <w:noWrap/>
            <w:hideMark/>
          </w:tcPr>
          <w:p w14:paraId="5ECAD75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218.21</w:t>
            </w:r>
          </w:p>
        </w:tc>
        <w:tc>
          <w:tcPr>
            <w:tcW w:w="0" w:type="auto"/>
            <w:noWrap/>
            <w:hideMark/>
          </w:tcPr>
          <w:p w14:paraId="26B3BA0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52.43</w:t>
            </w:r>
          </w:p>
        </w:tc>
      </w:tr>
      <w:tr w:rsidR="008712F5" w:rsidRPr="008712F5" w14:paraId="1CF14171"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3EFD834"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Qatar</w:t>
            </w:r>
          </w:p>
        </w:tc>
        <w:tc>
          <w:tcPr>
            <w:tcW w:w="0" w:type="auto"/>
            <w:noWrap/>
            <w:hideMark/>
          </w:tcPr>
          <w:p w14:paraId="03463AB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4078</w:t>
            </w:r>
          </w:p>
        </w:tc>
        <w:tc>
          <w:tcPr>
            <w:tcW w:w="0" w:type="auto"/>
            <w:noWrap/>
            <w:hideMark/>
          </w:tcPr>
          <w:p w14:paraId="3846CFE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447.63</w:t>
            </w:r>
          </w:p>
        </w:tc>
        <w:tc>
          <w:tcPr>
            <w:tcW w:w="0" w:type="auto"/>
            <w:noWrap/>
            <w:hideMark/>
          </w:tcPr>
          <w:p w14:paraId="0FA19EF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95.68</w:t>
            </w:r>
          </w:p>
        </w:tc>
        <w:tc>
          <w:tcPr>
            <w:tcW w:w="0" w:type="auto"/>
            <w:noWrap/>
            <w:hideMark/>
          </w:tcPr>
          <w:p w14:paraId="465C4B5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10.37</w:t>
            </w:r>
          </w:p>
        </w:tc>
        <w:tc>
          <w:tcPr>
            <w:tcW w:w="0" w:type="auto"/>
            <w:noWrap/>
            <w:hideMark/>
          </w:tcPr>
          <w:p w14:paraId="5DC3FC4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1.45</w:t>
            </w:r>
          </w:p>
        </w:tc>
        <w:tc>
          <w:tcPr>
            <w:tcW w:w="0" w:type="auto"/>
            <w:noWrap/>
            <w:hideMark/>
          </w:tcPr>
          <w:p w14:paraId="42B1692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2B1B328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4D6EB54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3.49</w:t>
            </w:r>
          </w:p>
        </w:tc>
        <w:tc>
          <w:tcPr>
            <w:tcW w:w="0" w:type="auto"/>
            <w:noWrap/>
            <w:hideMark/>
          </w:tcPr>
          <w:p w14:paraId="2B2CE97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0.46</w:t>
            </w:r>
          </w:p>
        </w:tc>
        <w:tc>
          <w:tcPr>
            <w:tcW w:w="0" w:type="auto"/>
            <w:noWrap/>
            <w:hideMark/>
          </w:tcPr>
          <w:p w14:paraId="7504519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3.41</w:t>
            </w:r>
          </w:p>
        </w:tc>
        <w:tc>
          <w:tcPr>
            <w:tcW w:w="0" w:type="auto"/>
            <w:noWrap/>
            <w:hideMark/>
          </w:tcPr>
          <w:p w14:paraId="41BA066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0.71</w:t>
            </w:r>
          </w:p>
        </w:tc>
        <w:tc>
          <w:tcPr>
            <w:tcW w:w="0" w:type="auto"/>
            <w:noWrap/>
            <w:hideMark/>
          </w:tcPr>
          <w:p w14:paraId="1893CE3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3.52</w:t>
            </w:r>
          </w:p>
        </w:tc>
        <w:tc>
          <w:tcPr>
            <w:tcW w:w="0" w:type="auto"/>
            <w:noWrap/>
            <w:hideMark/>
          </w:tcPr>
          <w:p w14:paraId="795B146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0.58</w:t>
            </w:r>
          </w:p>
        </w:tc>
        <w:tc>
          <w:tcPr>
            <w:tcW w:w="0" w:type="auto"/>
            <w:noWrap/>
            <w:hideMark/>
          </w:tcPr>
          <w:p w14:paraId="362AC05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9.80</w:t>
            </w:r>
          </w:p>
        </w:tc>
        <w:tc>
          <w:tcPr>
            <w:tcW w:w="0" w:type="auto"/>
            <w:noWrap/>
            <w:hideMark/>
          </w:tcPr>
          <w:p w14:paraId="2122568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1.70</w:t>
            </w:r>
          </w:p>
        </w:tc>
        <w:tc>
          <w:tcPr>
            <w:tcW w:w="0" w:type="auto"/>
            <w:noWrap/>
            <w:hideMark/>
          </w:tcPr>
          <w:p w14:paraId="3D5E28F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239.22</w:t>
            </w:r>
          </w:p>
        </w:tc>
        <w:tc>
          <w:tcPr>
            <w:tcW w:w="0" w:type="auto"/>
            <w:noWrap/>
            <w:hideMark/>
          </w:tcPr>
          <w:p w14:paraId="6057A21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85.08</w:t>
            </w:r>
          </w:p>
        </w:tc>
      </w:tr>
      <w:tr w:rsidR="008712F5" w:rsidRPr="008712F5" w14:paraId="090FFD7C"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E6848AA"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Romania</w:t>
            </w:r>
          </w:p>
        </w:tc>
        <w:tc>
          <w:tcPr>
            <w:tcW w:w="0" w:type="auto"/>
            <w:noWrap/>
            <w:hideMark/>
          </w:tcPr>
          <w:p w14:paraId="31B89FF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4494</w:t>
            </w:r>
          </w:p>
        </w:tc>
        <w:tc>
          <w:tcPr>
            <w:tcW w:w="0" w:type="auto"/>
            <w:noWrap/>
            <w:hideMark/>
          </w:tcPr>
          <w:p w14:paraId="12DC8F8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478.98</w:t>
            </w:r>
          </w:p>
        </w:tc>
        <w:tc>
          <w:tcPr>
            <w:tcW w:w="0" w:type="auto"/>
            <w:noWrap/>
            <w:hideMark/>
          </w:tcPr>
          <w:p w14:paraId="327B29F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97.59</w:t>
            </w:r>
          </w:p>
        </w:tc>
        <w:tc>
          <w:tcPr>
            <w:tcW w:w="0" w:type="auto"/>
            <w:noWrap/>
            <w:hideMark/>
          </w:tcPr>
          <w:p w14:paraId="3A061FE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10.28</w:t>
            </w:r>
          </w:p>
        </w:tc>
        <w:tc>
          <w:tcPr>
            <w:tcW w:w="0" w:type="auto"/>
            <w:noWrap/>
            <w:hideMark/>
          </w:tcPr>
          <w:p w14:paraId="1803CB9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64A57F4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1.49</w:t>
            </w:r>
          </w:p>
        </w:tc>
        <w:tc>
          <w:tcPr>
            <w:tcW w:w="0" w:type="auto"/>
            <w:noWrap/>
            <w:hideMark/>
          </w:tcPr>
          <w:p w14:paraId="3C10751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5E6923A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3.34</w:t>
            </w:r>
          </w:p>
        </w:tc>
        <w:tc>
          <w:tcPr>
            <w:tcW w:w="0" w:type="auto"/>
            <w:noWrap/>
            <w:hideMark/>
          </w:tcPr>
          <w:p w14:paraId="0289F39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0.45</w:t>
            </w:r>
          </w:p>
        </w:tc>
        <w:tc>
          <w:tcPr>
            <w:tcW w:w="0" w:type="auto"/>
            <w:noWrap/>
            <w:hideMark/>
          </w:tcPr>
          <w:p w14:paraId="0152E8F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3.41</w:t>
            </w:r>
          </w:p>
        </w:tc>
        <w:tc>
          <w:tcPr>
            <w:tcW w:w="0" w:type="auto"/>
            <w:noWrap/>
            <w:hideMark/>
          </w:tcPr>
          <w:p w14:paraId="64BFD79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0.59</w:t>
            </w:r>
          </w:p>
        </w:tc>
        <w:tc>
          <w:tcPr>
            <w:tcW w:w="0" w:type="auto"/>
            <w:noWrap/>
            <w:hideMark/>
          </w:tcPr>
          <w:p w14:paraId="2EBDE15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3.38</w:t>
            </w:r>
          </w:p>
        </w:tc>
        <w:tc>
          <w:tcPr>
            <w:tcW w:w="0" w:type="auto"/>
            <w:noWrap/>
            <w:hideMark/>
          </w:tcPr>
          <w:p w14:paraId="457A7D2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0.63</w:t>
            </w:r>
          </w:p>
        </w:tc>
        <w:tc>
          <w:tcPr>
            <w:tcW w:w="0" w:type="auto"/>
            <w:noWrap/>
            <w:hideMark/>
          </w:tcPr>
          <w:p w14:paraId="0720240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10.29</w:t>
            </w:r>
          </w:p>
        </w:tc>
        <w:tc>
          <w:tcPr>
            <w:tcW w:w="0" w:type="auto"/>
            <w:noWrap/>
            <w:hideMark/>
          </w:tcPr>
          <w:p w14:paraId="7711DDE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1.83</w:t>
            </w:r>
          </w:p>
        </w:tc>
        <w:tc>
          <w:tcPr>
            <w:tcW w:w="0" w:type="auto"/>
            <w:noWrap/>
            <w:hideMark/>
          </w:tcPr>
          <w:p w14:paraId="0379DE5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222.71</w:t>
            </w:r>
          </w:p>
        </w:tc>
        <w:tc>
          <w:tcPr>
            <w:tcW w:w="0" w:type="auto"/>
            <w:noWrap/>
            <w:hideMark/>
          </w:tcPr>
          <w:p w14:paraId="7552EB0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72.56</w:t>
            </w:r>
          </w:p>
        </w:tc>
      </w:tr>
      <w:tr w:rsidR="008712F5" w:rsidRPr="008712F5" w14:paraId="7F11B87E"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57C3485"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Russian Federation</w:t>
            </w:r>
          </w:p>
        </w:tc>
        <w:tc>
          <w:tcPr>
            <w:tcW w:w="0" w:type="auto"/>
            <w:noWrap/>
            <w:hideMark/>
          </w:tcPr>
          <w:p w14:paraId="48F7AE2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3946</w:t>
            </w:r>
          </w:p>
        </w:tc>
        <w:tc>
          <w:tcPr>
            <w:tcW w:w="0" w:type="auto"/>
            <w:noWrap/>
            <w:hideMark/>
          </w:tcPr>
          <w:p w14:paraId="60E1E8B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543.42</w:t>
            </w:r>
          </w:p>
        </w:tc>
        <w:tc>
          <w:tcPr>
            <w:tcW w:w="0" w:type="auto"/>
            <w:noWrap/>
            <w:hideMark/>
          </w:tcPr>
          <w:p w14:paraId="55A96B5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81.03</w:t>
            </w:r>
          </w:p>
        </w:tc>
        <w:tc>
          <w:tcPr>
            <w:tcW w:w="0" w:type="auto"/>
            <w:noWrap/>
            <w:hideMark/>
          </w:tcPr>
          <w:p w14:paraId="5F874DD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10.56</w:t>
            </w:r>
          </w:p>
        </w:tc>
        <w:tc>
          <w:tcPr>
            <w:tcW w:w="0" w:type="auto"/>
            <w:noWrap/>
            <w:hideMark/>
          </w:tcPr>
          <w:p w14:paraId="64C2AA5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1.31</w:t>
            </w:r>
          </w:p>
        </w:tc>
        <w:tc>
          <w:tcPr>
            <w:tcW w:w="0" w:type="auto"/>
            <w:noWrap/>
            <w:hideMark/>
          </w:tcPr>
          <w:p w14:paraId="1B0CC48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53DB9C5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2B08E19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3.24</w:t>
            </w:r>
          </w:p>
        </w:tc>
        <w:tc>
          <w:tcPr>
            <w:tcW w:w="0" w:type="auto"/>
            <w:noWrap/>
            <w:hideMark/>
          </w:tcPr>
          <w:p w14:paraId="0EC4062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0.42</w:t>
            </w:r>
          </w:p>
        </w:tc>
        <w:tc>
          <w:tcPr>
            <w:tcW w:w="0" w:type="auto"/>
            <w:noWrap/>
            <w:hideMark/>
          </w:tcPr>
          <w:p w14:paraId="112BB50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3.28</w:t>
            </w:r>
          </w:p>
        </w:tc>
        <w:tc>
          <w:tcPr>
            <w:tcW w:w="0" w:type="auto"/>
            <w:noWrap/>
            <w:hideMark/>
          </w:tcPr>
          <w:p w14:paraId="54CD426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0.60</w:t>
            </w:r>
          </w:p>
        </w:tc>
        <w:tc>
          <w:tcPr>
            <w:tcW w:w="0" w:type="auto"/>
            <w:noWrap/>
            <w:hideMark/>
          </w:tcPr>
          <w:p w14:paraId="617980B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3.05</w:t>
            </w:r>
          </w:p>
        </w:tc>
        <w:tc>
          <w:tcPr>
            <w:tcW w:w="0" w:type="auto"/>
            <w:noWrap/>
            <w:hideMark/>
          </w:tcPr>
          <w:p w14:paraId="0D4B229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0.53</w:t>
            </w:r>
          </w:p>
        </w:tc>
        <w:tc>
          <w:tcPr>
            <w:tcW w:w="0" w:type="auto"/>
            <w:noWrap/>
            <w:hideMark/>
          </w:tcPr>
          <w:p w14:paraId="167B440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9.86</w:t>
            </w:r>
          </w:p>
        </w:tc>
        <w:tc>
          <w:tcPr>
            <w:tcW w:w="0" w:type="auto"/>
            <w:noWrap/>
            <w:hideMark/>
          </w:tcPr>
          <w:p w14:paraId="11EE022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2.24</w:t>
            </w:r>
          </w:p>
        </w:tc>
        <w:tc>
          <w:tcPr>
            <w:tcW w:w="0" w:type="auto"/>
            <w:noWrap/>
            <w:hideMark/>
          </w:tcPr>
          <w:p w14:paraId="72D5A02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241.68</w:t>
            </w:r>
          </w:p>
        </w:tc>
        <w:tc>
          <w:tcPr>
            <w:tcW w:w="0" w:type="auto"/>
            <w:noWrap/>
            <w:hideMark/>
          </w:tcPr>
          <w:p w14:paraId="086E006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73.94</w:t>
            </w:r>
          </w:p>
        </w:tc>
      </w:tr>
      <w:tr w:rsidR="008712F5" w:rsidRPr="008712F5" w14:paraId="188BF097"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5DFB481"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Saudi Arabia</w:t>
            </w:r>
          </w:p>
        </w:tc>
        <w:tc>
          <w:tcPr>
            <w:tcW w:w="0" w:type="auto"/>
            <w:noWrap/>
            <w:hideMark/>
          </w:tcPr>
          <w:p w14:paraId="521CA71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5680</w:t>
            </w:r>
          </w:p>
        </w:tc>
        <w:tc>
          <w:tcPr>
            <w:tcW w:w="0" w:type="auto"/>
            <w:noWrap/>
            <w:hideMark/>
          </w:tcPr>
          <w:p w14:paraId="3042B1E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393.77</w:t>
            </w:r>
          </w:p>
        </w:tc>
        <w:tc>
          <w:tcPr>
            <w:tcW w:w="0" w:type="auto"/>
            <w:noWrap/>
            <w:hideMark/>
          </w:tcPr>
          <w:p w14:paraId="09AF227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77.97</w:t>
            </w:r>
          </w:p>
        </w:tc>
        <w:tc>
          <w:tcPr>
            <w:tcW w:w="0" w:type="auto"/>
            <w:noWrap/>
            <w:hideMark/>
          </w:tcPr>
          <w:p w14:paraId="1EC9F04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9.47</w:t>
            </w:r>
          </w:p>
        </w:tc>
        <w:tc>
          <w:tcPr>
            <w:tcW w:w="0" w:type="auto"/>
            <w:noWrap/>
            <w:hideMark/>
          </w:tcPr>
          <w:p w14:paraId="4413540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1.55</w:t>
            </w:r>
          </w:p>
        </w:tc>
        <w:tc>
          <w:tcPr>
            <w:tcW w:w="0" w:type="auto"/>
            <w:noWrap/>
            <w:hideMark/>
          </w:tcPr>
          <w:p w14:paraId="348B0C3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555FC5D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56357D4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3.44</w:t>
            </w:r>
          </w:p>
        </w:tc>
        <w:tc>
          <w:tcPr>
            <w:tcW w:w="0" w:type="auto"/>
            <w:noWrap/>
            <w:hideMark/>
          </w:tcPr>
          <w:p w14:paraId="5D1310A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0.45</w:t>
            </w:r>
          </w:p>
        </w:tc>
        <w:tc>
          <w:tcPr>
            <w:tcW w:w="0" w:type="auto"/>
            <w:noWrap/>
            <w:hideMark/>
          </w:tcPr>
          <w:p w14:paraId="3F7217E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3.52</w:t>
            </w:r>
          </w:p>
        </w:tc>
        <w:tc>
          <w:tcPr>
            <w:tcW w:w="0" w:type="auto"/>
            <w:noWrap/>
            <w:hideMark/>
          </w:tcPr>
          <w:p w14:paraId="170AE45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0.63</w:t>
            </w:r>
          </w:p>
        </w:tc>
        <w:tc>
          <w:tcPr>
            <w:tcW w:w="0" w:type="auto"/>
            <w:noWrap/>
            <w:hideMark/>
          </w:tcPr>
          <w:p w14:paraId="17E689A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3.45</w:t>
            </w:r>
          </w:p>
        </w:tc>
        <w:tc>
          <w:tcPr>
            <w:tcW w:w="0" w:type="auto"/>
            <w:noWrap/>
            <w:hideMark/>
          </w:tcPr>
          <w:p w14:paraId="023C111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0.53</w:t>
            </w:r>
          </w:p>
        </w:tc>
        <w:tc>
          <w:tcPr>
            <w:tcW w:w="0" w:type="auto"/>
            <w:noWrap/>
            <w:hideMark/>
          </w:tcPr>
          <w:p w14:paraId="5569042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9.52</w:t>
            </w:r>
          </w:p>
        </w:tc>
        <w:tc>
          <w:tcPr>
            <w:tcW w:w="0" w:type="auto"/>
            <w:noWrap/>
            <w:hideMark/>
          </w:tcPr>
          <w:p w14:paraId="38D274F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1.72</w:t>
            </w:r>
          </w:p>
        </w:tc>
        <w:tc>
          <w:tcPr>
            <w:tcW w:w="0" w:type="auto"/>
            <w:noWrap/>
            <w:hideMark/>
          </w:tcPr>
          <w:p w14:paraId="7CDD015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222.02</w:t>
            </w:r>
          </w:p>
        </w:tc>
        <w:tc>
          <w:tcPr>
            <w:tcW w:w="0" w:type="auto"/>
            <w:noWrap/>
            <w:hideMark/>
          </w:tcPr>
          <w:p w14:paraId="45884A0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99.62</w:t>
            </w:r>
          </w:p>
        </w:tc>
      </w:tr>
      <w:tr w:rsidR="008712F5" w:rsidRPr="008712F5" w14:paraId="1018A39A"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B999DBB"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Singapore</w:t>
            </w:r>
          </w:p>
        </w:tc>
        <w:tc>
          <w:tcPr>
            <w:tcW w:w="0" w:type="auto"/>
            <w:noWrap/>
            <w:hideMark/>
          </w:tcPr>
          <w:p w14:paraId="5F44F6B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4853</w:t>
            </w:r>
          </w:p>
        </w:tc>
        <w:tc>
          <w:tcPr>
            <w:tcW w:w="0" w:type="auto"/>
            <w:noWrap/>
            <w:hideMark/>
          </w:tcPr>
          <w:p w14:paraId="73B96D8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615.77</w:t>
            </w:r>
          </w:p>
        </w:tc>
        <w:tc>
          <w:tcPr>
            <w:tcW w:w="0" w:type="auto"/>
            <w:noWrap/>
            <w:hideMark/>
          </w:tcPr>
          <w:p w14:paraId="2BAC6E0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88.69</w:t>
            </w:r>
          </w:p>
        </w:tc>
        <w:tc>
          <w:tcPr>
            <w:tcW w:w="0" w:type="auto"/>
            <w:noWrap/>
            <w:hideMark/>
          </w:tcPr>
          <w:p w14:paraId="1104BD4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10.56</w:t>
            </w:r>
          </w:p>
        </w:tc>
        <w:tc>
          <w:tcPr>
            <w:tcW w:w="0" w:type="auto"/>
            <w:noWrap/>
            <w:hideMark/>
          </w:tcPr>
          <w:p w14:paraId="7DDD5CD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1.46</w:t>
            </w:r>
          </w:p>
        </w:tc>
        <w:tc>
          <w:tcPr>
            <w:tcW w:w="0" w:type="auto"/>
            <w:noWrap/>
            <w:hideMark/>
          </w:tcPr>
          <w:p w14:paraId="303FE2C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1DEC909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1773BA9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2.82</w:t>
            </w:r>
          </w:p>
        </w:tc>
        <w:tc>
          <w:tcPr>
            <w:tcW w:w="0" w:type="auto"/>
            <w:noWrap/>
            <w:hideMark/>
          </w:tcPr>
          <w:p w14:paraId="4DC9DC2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0.52</w:t>
            </w:r>
          </w:p>
        </w:tc>
        <w:tc>
          <w:tcPr>
            <w:tcW w:w="0" w:type="auto"/>
            <w:noWrap/>
            <w:hideMark/>
          </w:tcPr>
          <w:p w14:paraId="540F2E2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3.18</w:t>
            </w:r>
          </w:p>
        </w:tc>
        <w:tc>
          <w:tcPr>
            <w:tcW w:w="0" w:type="auto"/>
            <w:noWrap/>
            <w:hideMark/>
          </w:tcPr>
          <w:p w14:paraId="6569E57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0.58</w:t>
            </w:r>
          </w:p>
        </w:tc>
        <w:tc>
          <w:tcPr>
            <w:tcW w:w="0" w:type="auto"/>
            <w:noWrap/>
            <w:hideMark/>
          </w:tcPr>
          <w:p w14:paraId="2A9587B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3.20</w:t>
            </w:r>
          </w:p>
        </w:tc>
        <w:tc>
          <w:tcPr>
            <w:tcW w:w="0" w:type="auto"/>
            <w:noWrap/>
            <w:hideMark/>
          </w:tcPr>
          <w:p w14:paraId="458322E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0.58</w:t>
            </w:r>
          </w:p>
        </w:tc>
        <w:tc>
          <w:tcPr>
            <w:tcW w:w="0" w:type="auto"/>
            <w:noWrap/>
            <w:hideMark/>
          </w:tcPr>
          <w:p w14:paraId="52DF126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10.60</w:t>
            </w:r>
          </w:p>
        </w:tc>
        <w:tc>
          <w:tcPr>
            <w:tcW w:w="0" w:type="auto"/>
            <w:noWrap/>
            <w:hideMark/>
          </w:tcPr>
          <w:p w14:paraId="52D2818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1.82</w:t>
            </w:r>
          </w:p>
        </w:tc>
        <w:tc>
          <w:tcPr>
            <w:tcW w:w="0" w:type="auto"/>
            <w:noWrap/>
            <w:hideMark/>
          </w:tcPr>
          <w:p w14:paraId="70C06FD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217.96</w:t>
            </w:r>
          </w:p>
        </w:tc>
        <w:tc>
          <w:tcPr>
            <w:tcW w:w="0" w:type="auto"/>
            <w:noWrap/>
            <w:hideMark/>
          </w:tcPr>
          <w:p w14:paraId="218F436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72.01</w:t>
            </w:r>
          </w:p>
        </w:tc>
      </w:tr>
      <w:tr w:rsidR="008712F5" w:rsidRPr="008712F5" w14:paraId="13983986"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C4909BD"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South Africa</w:t>
            </w:r>
          </w:p>
        </w:tc>
        <w:tc>
          <w:tcPr>
            <w:tcW w:w="0" w:type="auto"/>
            <w:noWrap/>
            <w:hideMark/>
          </w:tcPr>
          <w:p w14:paraId="3907536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20936</w:t>
            </w:r>
          </w:p>
        </w:tc>
        <w:tc>
          <w:tcPr>
            <w:tcW w:w="0" w:type="auto"/>
            <w:noWrap/>
            <w:hideMark/>
          </w:tcPr>
          <w:p w14:paraId="6916812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389.55</w:t>
            </w:r>
          </w:p>
        </w:tc>
        <w:tc>
          <w:tcPr>
            <w:tcW w:w="0" w:type="auto"/>
            <w:noWrap/>
            <w:hideMark/>
          </w:tcPr>
          <w:p w14:paraId="1F65E25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76.90</w:t>
            </w:r>
          </w:p>
        </w:tc>
        <w:tc>
          <w:tcPr>
            <w:tcW w:w="0" w:type="auto"/>
            <w:noWrap/>
            <w:hideMark/>
          </w:tcPr>
          <w:p w14:paraId="22A8819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9.06</w:t>
            </w:r>
          </w:p>
        </w:tc>
        <w:tc>
          <w:tcPr>
            <w:tcW w:w="0" w:type="auto"/>
            <w:noWrap/>
            <w:hideMark/>
          </w:tcPr>
          <w:p w14:paraId="358045D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1.54</w:t>
            </w:r>
          </w:p>
        </w:tc>
        <w:tc>
          <w:tcPr>
            <w:tcW w:w="0" w:type="auto"/>
            <w:noWrap/>
            <w:hideMark/>
          </w:tcPr>
          <w:p w14:paraId="1504F81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1.48</w:t>
            </w:r>
          </w:p>
        </w:tc>
        <w:tc>
          <w:tcPr>
            <w:tcW w:w="0" w:type="auto"/>
            <w:noWrap/>
            <w:hideMark/>
          </w:tcPr>
          <w:p w14:paraId="7AAF5FA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34F571D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3.19</w:t>
            </w:r>
          </w:p>
        </w:tc>
        <w:tc>
          <w:tcPr>
            <w:tcW w:w="0" w:type="auto"/>
            <w:noWrap/>
            <w:hideMark/>
          </w:tcPr>
          <w:p w14:paraId="471C4B5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0.51</w:t>
            </w:r>
          </w:p>
        </w:tc>
        <w:tc>
          <w:tcPr>
            <w:tcW w:w="0" w:type="auto"/>
            <w:noWrap/>
            <w:hideMark/>
          </w:tcPr>
          <w:p w14:paraId="238368C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3.25</w:t>
            </w:r>
          </w:p>
        </w:tc>
        <w:tc>
          <w:tcPr>
            <w:tcW w:w="0" w:type="auto"/>
            <w:noWrap/>
            <w:hideMark/>
          </w:tcPr>
          <w:p w14:paraId="035867A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0.66</w:t>
            </w:r>
          </w:p>
        </w:tc>
        <w:tc>
          <w:tcPr>
            <w:tcW w:w="0" w:type="auto"/>
            <w:noWrap/>
            <w:hideMark/>
          </w:tcPr>
          <w:p w14:paraId="718D29B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3.37</w:t>
            </w:r>
          </w:p>
        </w:tc>
        <w:tc>
          <w:tcPr>
            <w:tcW w:w="0" w:type="auto"/>
            <w:noWrap/>
            <w:hideMark/>
          </w:tcPr>
          <w:p w14:paraId="4F86263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0.59</w:t>
            </w:r>
          </w:p>
        </w:tc>
        <w:tc>
          <w:tcPr>
            <w:tcW w:w="0" w:type="auto"/>
            <w:noWrap/>
            <w:hideMark/>
          </w:tcPr>
          <w:p w14:paraId="6875435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8.93</w:t>
            </w:r>
          </w:p>
        </w:tc>
        <w:tc>
          <w:tcPr>
            <w:tcW w:w="0" w:type="auto"/>
            <w:noWrap/>
            <w:hideMark/>
          </w:tcPr>
          <w:p w14:paraId="75A4D98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1.53</w:t>
            </w:r>
          </w:p>
        </w:tc>
        <w:tc>
          <w:tcPr>
            <w:tcW w:w="0" w:type="auto"/>
            <w:noWrap/>
            <w:hideMark/>
          </w:tcPr>
          <w:p w14:paraId="503B404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277.19</w:t>
            </w:r>
          </w:p>
        </w:tc>
        <w:tc>
          <w:tcPr>
            <w:tcW w:w="0" w:type="auto"/>
            <w:noWrap/>
            <w:hideMark/>
          </w:tcPr>
          <w:p w14:paraId="0C1EC5D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64.26</w:t>
            </w:r>
          </w:p>
        </w:tc>
      </w:tr>
      <w:tr w:rsidR="008712F5" w:rsidRPr="008712F5" w14:paraId="2D10C21D"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1E3858C"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Sweden</w:t>
            </w:r>
          </w:p>
        </w:tc>
        <w:tc>
          <w:tcPr>
            <w:tcW w:w="0" w:type="auto"/>
            <w:noWrap/>
            <w:hideMark/>
          </w:tcPr>
          <w:p w14:paraId="20872AB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3996</w:t>
            </w:r>
          </w:p>
        </w:tc>
        <w:tc>
          <w:tcPr>
            <w:tcW w:w="0" w:type="auto"/>
            <w:noWrap/>
            <w:hideMark/>
          </w:tcPr>
          <w:p w14:paraId="7C7EAD0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502.52</w:t>
            </w:r>
          </w:p>
        </w:tc>
        <w:tc>
          <w:tcPr>
            <w:tcW w:w="0" w:type="auto"/>
            <w:noWrap/>
            <w:hideMark/>
          </w:tcPr>
          <w:p w14:paraId="22C1041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76.53</w:t>
            </w:r>
          </w:p>
        </w:tc>
        <w:tc>
          <w:tcPr>
            <w:tcW w:w="0" w:type="auto"/>
            <w:noWrap/>
            <w:hideMark/>
          </w:tcPr>
          <w:p w14:paraId="61C6CDA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10.98</w:t>
            </w:r>
          </w:p>
        </w:tc>
        <w:tc>
          <w:tcPr>
            <w:tcW w:w="0" w:type="auto"/>
            <w:noWrap/>
            <w:hideMark/>
          </w:tcPr>
          <w:p w14:paraId="22CD788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3F96D27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1814711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6342C3E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3.13</w:t>
            </w:r>
          </w:p>
        </w:tc>
        <w:tc>
          <w:tcPr>
            <w:tcW w:w="0" w:type="auto"/>
            <w:noWrap/>
            <w:hideMark/>
          </w:tcPr>
          <w:p w14:paraId="1363A67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0.47</w:t>
            </w:r>
          </w:p>
        </w:tc>
        <w:tc>
          <w:tcPr>
            <w:tcW w:w="0" w:type="auto"/>
            <w:noWrap/>
            <w:hideMark/>
          </w:tcPr>
          <w:p w14:paraId="70F588E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3.10</w:t>
            </w:r>
          </w:p>
        </w:tc>
        <w:tc>
          <w:tcPr>
            <w:tcW w:w="0" w:type="auto"/>
            <w:noWrap/>
            <w:hideMark/>
          </w:tcPr>
          <w:p w14:paraId="1692F5A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0.62</w:t>
            </w:r>
          </w:p>
        </w:tc>
        <w:tc>
          <w:tcPr>
            <w:tcW w:w="0" w:type="auto"/>
            <w:noWrap/>
            <w:hideMark/>
          </w:tcPr>
          <w:p w14:paraId="1EE7677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3.11</w:t>
            </w:r>
          </w:p>
        </w:tc>
        <w:tc>
          <w:tcPr>
            <w:tcW w:w="0" w:type="auto"/>
            <w:noWrap/>
            <w:hideMark/>
          </w:tcPr>
          <w:p w14:paraId="2E79A2A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0.51</w:t>
            </w:r>
          </w:p>
        </w:tc>
        <w:tc>
          <w:tcPr>
            <w:tcW w:w="0" w:type="auto"/>
            <w:noWrap/>
            <w:hideMark/>
          </w:tcPr>
          <w:p w14:paraId="0B622A7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10.27</w:t>
            </w:r>
          </w:p>
        </w:tc>
        <w:tc>
          <w:tcPr>
            <w:tcW w:w="0" w:type="auto"/>
            <w:noWrap/>
            <w:hideMark/>
          </w:tcPr>
          <w:p w14:paraId="50035DA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1.67</w:t>
            </w:r>
          </w:p>
        </w:tc>
        <w:tc>
          <w:tcPr>
            <w:tcW w:w="0" w:type="auto"/>
            <w:noWrap/>
            <w:hideMark/>
          </w:tcPr>
          <w:p w14:paraId="2C2DEF9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174.50</w:t>
            </w:r>
          </w:p>
        </w:tc>
        <w:tc>
          <w:tcPr>
            <w:tcW w:w="0" w:type="auto"/>
            <w:noWrap/>
            <w:hideMark/>
          </w:tcPr>
          <w:p w14:paraId="794D7F1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25.20</w:t>
            </w:r>
          </w:p>
        </w:tc>
      </w:tr>
      <w:tr w:rsidR="008712F5" w:rsidRPr="008712F5" w14:paraId="174E6D49"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6F38DA7"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United Arab Emirates</w:t>
            </w:r>
          </w:p>
        </w:tc>
        <w:tc>
          <w:tcPr>
            <w:tcW w:w="0" w:type="auto"/>
            <w:noWrap/>
            <w:hideMark/>
          </w:tcPr>
          <w:p w14:paraId="788E259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23950</w:t>
            </w:r>
          </w:p>
        </w:tc>
        <w:tc>
          <w:tcPr>
            <w:tcW w:w="0" w:type="auto"/>
            <w:noWrap/>
            <w:hideMark/>
          </w:tcPr>
          <w:p w14:paraId="00442D1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478.72</w:t>
            </w:r>
          </w:p>
        </w:tc>
        <w:tc>
          <w:tcPr>
            <w:tcW w:w="0" w:type="auto"/>
            <w:noWrap/>
            <w:hideMark/>
          </w:tcPr>
          <w:p w14:paraId="5282266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103.32</w:t>
            </w:r>
          </w:p>
        </w:tc>
        <w:tc>
          <w:tcPr>
            <w:tcW w:w="0" w:type="auto"/>
            <w:noWrap/>
            <w:hideMark/>
          </w:tcPr>
          <w:p w14:paraId="66089BA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10.42</w:t>
            </w:r>
          </w:p>
        </w:tc>
        <w:tc>
          <w:tcPr>
            <w:tcW w:w="0" w:type="auto"/>
            <w:noWrap/>
            <w:hideMark/>
          </w:tcPr>
          <w:p w14:paraId="73485A8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w:t>
            </w:r>
          </w:p>
        </w:tc>
        <w:tc>
          <w:tcPr>
            <w:tcW w:w="0" w:type="auto"/>
            <w:noWrap/>
            <w:hideMark/>
          </w:tcPr>
          <w:p w14:paraId="39C555A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6274412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20F58D8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3.59</w:t>
            </w:r>
          </w:p>
        </w:tc>
        <w:tc>
          <w:tcPr>
            <w:tcW w:w="0" w:type="auto"/>
            <w:noWrap/>
            <w:hideMark/>
          </w:tcPr>
          <w:p w14:paraId="07434BA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0.43</w:t>
            </w:r>
          </w:p>
        </w:tc>
        <w:tc>
          <w:tcPr>
            <w:tcW w:w="0" w:type="auto"/>
            <w:noWrap/>
            <w:hideMark/>
          </w:tcPr>
          <w:p w14:paraId="3BB96CA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3.16</w:t>
            </w:r>
          </w:p>
        </w:tc>
        <w:tc>
          <w:tcPr>
            <w:tcW w:w="0" w:type="auto"/>
            <w:noWrap/>
            <w:hideMark/>
          </w:tcPr>
          <w:p w14:paraId="538A249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0.75</w:t>
            </w:r>
          </w:p>
        </w:tc>
        <w:tc>
          <w:tcPr>
            <w:tcW w:w="0" w:type="auto"/>
            <w:noWrap/>
            <w:hideMark/>
          </w:tcPr>
          <w:p w14:paraId="75AAEAE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3.47</w:t>
            </w:r>
          </w:p>
        </w:tc>
        <w:tc>
          <w:tcPr>
            <w:tcW w:w="0" w:type="auto"/>
            <w:noWrap/>
            <w:hideMark/>
          </w:tcPr>
          <w:p w14:paraId="3903952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0.57</w:t>
            </w:r>
          </w:p>
        </w:tc>
        <w:tc>
          <w:tcPr>
            <w:tcW w:w="0" w:type="auto"/>
            <w:noWrap/>
            <w:hideMark/>
          </w:tcPr>
          <w:p w14:paraId="597D301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10.43</w:t>
            </w:r>
          </w:p>
        </w:tc>
        <w:tc>
          <w:tcPr>
            <w:tcW w:w="0" w:type="auto"/>
            <w:noWrap/>
            <w:hideMark/>
          </w:tcPr>
          <w:p w14:paraId="32AB9E8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2.09</w:t>
            </w:r>
          </w:p>
        </w:tc>
        <w:tc>
          <w:tcPr>
            <w:tcW w:w="0" w:type="auto"/>
            <w:noWrap/>
            <w:hideMark/>
          </w:tcPr>
          <w:p w14:paraId="7CEE752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280.14</w:t>
            </w:r>
          </w:p>
        </w:tc>
        <w:tc>
          <w:tcPr>
            <w:tcW w:w="0" w:type="auto"/>
            <w:noWrap/>
            <w:hideMark/>
          </w:tcPr>
          <w:p w14:paraId="6310D1D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93.92</w:t>
            </w:r>
          </w:p>
        </w:tc>
      </w:tr>
      <w:tr w:rsidR="008712F5" w:rsidRPr="008712F5" w14:paraId="30DF52F8"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6C356FF"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Turkey</w:t>
            </w:r>
          </w:p>
        </w:tc>
        <w:tc>
          <w:tcPr>
            <w:tcW w:w="0" w:type="auto"/>
            <w:noWrap/>
            <w:hideMark/>
          </w:tcPr>
          <w:p w14:paraId="7EED476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4077</w:t>
            </w:r>
          </w:p>
        </w:tc>
        <w:tc>
          <w:tcPr>
            <w:tcW w:w="0" w:type="auto"/>
            <w:noWrap/>
            <w:hideMark/>
          </w:tcPr>
          <w:p w14:paraId="6FDA3C2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495.63</w:t>
            </w:r>
          </w:p>
        </w:tc>
        <w:tc>
          <w:tcPr>
            <w:tcW w:w="0" w:type="auto"/>
            <w:noWrap/>
            <w:hideMark/>
          </w:tcPr>
          <w:p w14:paraId="22425AF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109.36</w:t>
            </w:r>
          </w:p>
        </w:tc>
        <w:tc>
          <w:tcPr>
            <w:tcW w:w="0" w:type="auto"/>
            <w:noWrap/>
            <w:hideMark/>
          </w:tcPr>
          <w:p w14:paraId="66A7A0F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9.47</w:t>
            </w:r>
          </w:p>
        </w:tc>
        <w:tc>
          <w:tcPr>
            <w:tcW w:w="0" w:type="auto"/>
            <w:noWrap/>
            <w:hideMark/>
          </w:tcPr>
          <w:p w14:paraId="47D8417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1.83</w:t>
            </w:r>
          </w:p>
        </w:tc>
        <w:tc>
          <w:tcPr>
            <w:tcW w:w="0" w:type="auto"/>
            <w:noWrap/>
            <w:hideMark/>
          </w:tcPr>
          <w:p w14:paraId="4E550CA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w:t>
            </w:r>
          </w:p>
        </w:tc>
        <w:tc>
          <w:tcPr>
            <w:tcW w:w="0" w:type="auto"/>
            <w:noWrap/>
            <w:hideMark/>
          </w:tcPr>
          <w:p w14:paraId="2FD293D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3C7E9C0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3.38</w:t>
            </w:r>
          </w:p>
        </w:tc>
        <w:tc>
          <w:tcPr>
            <w:tcW w:w="0" w:type="auto"/>
            <w:noWrap/>
            <w:hideMark/>
          </w:tcPr>
          <w:p w14:paraId="6033F10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0.46</w:t>
            </w:r>
          </w:p>
        </w:tc>
        <w:tc>
          <w:tcPr>
            <w:tcW w:w="0" w:type="auto"/>
            <w:noWrap/>
            <w:hideMark/>
          </w:tcPr>
          <w:p w14:paraId="43B3C1B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3.35</w:t>
            </w:r>
          </w:p>
        </w:tc>
        <w:tc>
          <w:tcPr>
            <w:tcW w:w="0" w:type="auto"/>
            <w:noWrap/>
            <w:hideMark/>
          </w:tcPr>
          <w:p w14:paraId="621B473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0.48</w:t>
            </w:r>
          </w:p>
        </w:tc>
        <w:tc>
          <w:tcPr>
            <w:tcW w:w="0" w:type="auto"/>
            <w:noWrap/>
            <w:hideMark/>
          </w:tcPr>
          <w:p w14:paraId="4B8822F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3.51</w:t>
            </w:r>
          </w:p>
        </w:tc>
        <w:tc>
          <w:tcPr>
            <w:tcW w:w="0" w:type="auto"/>
            <w:noWrap/>
            <w:hideMark/>
          </w:tcPr>
          <w:p w14:paraId="40B1F54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0.55</w:t>
            </w:r>
          </w:p>
        </w:tc>
        <w:tc>
          <w:tcPr>
            <w:tcW w:w="0" w:type="auto"/>
            <w:noWrap/>
            <w:hideMark/>
          </w:tcPr>
          <w:p w14:paraId="061AC02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9.32</w:t>
            </w:r>
          </w:p>
        </w:tc>
        <w:tc>
          <w:tcPr>
            <w:tcW w:w="0" w:type="auto"/>
            <w:noWrap/>
            <w:hideMark/>
          </w:tcPr>
          <w:p w14:paraId="4B4AE74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2.07</w:t>
            </w:r>
          </w:p>
        </w:tc>
        <w:tc>
          <w:tcPr>
            <w:tcW w:w="0" w:type="auto"/>
            <w:noWrap/>
            <w:hideMark/>
          </w:tcPr>
          <w:p w14:paraId="13971E0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238.09</w:t>
            </w:r>
          </w:p>
        </w:tc>
        <w:tc>
          <w:tcPr>
            <w:tcW w:w="0" w:type="auto"/>
            <w:noWrap/>
            <w:hideMark/>
          </w:tcPr>
          <w:p w14:paraId="2766E15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89.40</w:t>
            </w:r>
          </w:p>
        </w:tc>
      </w:tr>
      <w:tr w:rsidR="008712F5" w:rsidRPr="008712F5" w14:paraId="003EBF70"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27ECCD0"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Egypt</w:t>
            </w:r>
          </w:p>
        </w:tc>
        <w:tc>
          <w:tcPr>
            <w:tcW w:w="0" w:type="auto"/>
            <w:noWrap/>
            <w:hideMark/>
          </w:tcPr>
          <w:p w14:paraId="5583FD6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7210</w:t>
            </w:r>
          </w:p>
        </w:tc>
        <w:tc>
          <w:tcPr>
            <w:tcW w:w="0" w:type="auto"/>
            <w:noWrap/>
            <w:hideMark/>
          </w:tcPr>
          <w:p w14:paraId="439E7C2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412.88</w:t>
            </w:r>
          </w:p>
        </w:tc>
        <w:tc>
          <w:tcPr>
            <w:tcW w:w="0" w:type="auto"/>
            <w:noWrap/>
            <w:hideMark/>
          </w:tcPr>
          <w:p w14:paraId="320E5D3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95.45</w:t>
            </w:r>
          </w:p>
        </w:tc>
        <w:tc>
          <w:tcPr>
            <w:tcW w:w="0" w:type="auto"/>
            <w:noWrap/>
            <w:hideMark/>
          </w:tcPr>
          <w:p w14:paraId="6C1B719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9.45</w:t>
            </w:r>
          </w:p>
        </w:tc>
        <w:tc>
          <w:tcPr>
            <w:tcW w:w="0" w:type="auto"/>
            <w:noWrap/>
            <w:hideMark/>
          </w:tcPr>
          <w:p w14:paraId="73E1301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1.62</w:t>
            </w:r>
          </w:p>
        </w:tc>
        <w:tc>
          <w:tcPr>
            <w:tcW w:w="0" w:type="auto"/>
            <w:noWrap/>
            <w:hideMark/>
          </w:tcPr>
          <w:p w14:paraId="20FF40A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1.45</w:t>
            </w:r>
          </w:p>
        </w:tc>
        <w:tc>
          <w:tcPr>
            <w:tcW w:w="0" w:type="auto"/>
            <w:noWrap/>
            <w:hideMark/>
          </w:tcPr>
          <w:p w14:paraId="7B60B74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486368B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3.27</w:t>
            </w:r>
          </w:p>
        </w:tc>
        <w:tc>
          <w:tcPr>
            <w:tcW w:w="0" w:type="auto"/>
            <w:noWrap/>
            <w:hideMark/>
          </w:tcPr>
          <w:p w14:paraId="28B4491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0.43</w:t>
            </w:r>
          </w:p>
        </w:tc>
        <w:tc>
          <w:tcPr>
            <w:tcW w:w="0" w:type="auto"/>
            <w:noWrap/>
            <w:hideMark/>
          </w:tcPr>
          <w:p w14:paraId="276585D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3.56</w:t>
            </w:r>
          </w:p>
        </w:tc>
        <w:tc>
          <w:tcPr>
            <w:tcW w:w="0" w:type="auto"/>
            <w:noWrap/>
            <w:hideMark/>
          </w:tcPr>
          <w:p w14:paraId="7CCCA50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0.49</w:t>
            </w:r>
          </w:p>
        </w:tc>
        <w:tc>
          <w:tcPr>
            <w:tcW w:w="0" w:type="auto"/>
            <w:noWrap/>
            <w:hideMark/>
          </w:tcPr>
          <w:p w14:paraId="51E3FD8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3.42</w:t>
            </w:r>
          </w:p>
        </w:tc>
        <w:tc>
          <w:tcPr>
            <w:tcW w:w="0" w:type="auto"/>
            <w:noWrap/>
            <w:hideMark/>
          </w:tcPr>
          <w:p w14:paraId="3281BA7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0.55</w:t>
            </w:r>
          </w:p>
        </w:tc>
        <w:tc>
          <w:tcPr>
            <w:tcW w:w="0" w:type="auto"/>
            <w:noWrap/>
            <w:hideMark/>
          </w:tcPr>
          <w:p w14:paraId="35DA8D2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9.35</w:t>
            </w:r>
          </w:p>
        </w:tc>
        <w:tc>
          <w:tcPr>
            <w:tcW w:w="0" w:type="auto"/>
            <w:noWrap/>
            <w:hideMark/>
          </w:tcPr>
          <w:p w14:paraId="1C6677B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1.49</w:t>
            </w:r>
          </w:p>
        </w:tc>
        <w:tc>
          <w:tcPr>
            <w:tcW w:w="0" w:type="auto"/>
            <w:noWrap/>
            <w:hideMark/>
          </w:tcPr>
          <w:p w14:paraId="220BCA8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214.79</w:t>
            </w:r>
          </w:p>
        </w:tc>
        <w:tc>
          <w:tcPr>
            <w:tcW w:w="0" w:type="auto"/>
            <w:noWrap/>
            <w:hideMark/>
          </w:tcPr>
          <w:p w14:paraId="39655A1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40.91</w:t>
            </w:r>
          </w:p>
        </w:tc>
      </w:tr>
      <w:tr w:rsidR="008712F5" w:rsidRPr="008712F5" w14:paraId="29FCD3AB"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242E84F"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United States</w:t>
            </w:r>
          </w:p>
        </w:tc>
        <w:tc>
          <w:tcPr>
            <w:tcW w:w="0" w:type="auto"/>
            <w:noWrap/>
            <w:hideMark/>
          </w:tcPr>
          <w:p w14:paraId="5BD6D02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8698</w:t>
            </w:r>
          </w:p>
        </w:tc>
        <w:tc>
          <w:tcPr>
            <w:tcW w:w="0" w:type="auto"/>
            <w:noWrap/>
            <w:hideMark/>
          </w:tcPr>
          <w:p w14:paraId="5AFC4BE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515.44</w:t>
            </w:r>
          </w:p>
        </w:tc>
        <w:tc>
          <w:tcPr>
            <w:tcW w:w="0" w:type="auto"/>
            <w:noWrap/>
            <w:hideMark/>
          </w:tcPr>
          <w:p w14:paraId="1BF8145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98.93</w:t>
            </w:r>
          </w:p>
        </w:tc>
        <w:tc>
          <w:tcPr>
            <w:tcW w:w="0" w:type="auto"/>
            <w:noWrap/>
            <w:hideMark/>
          </w:tcPr>
          <w:p w14:paraId="17301A8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10.70</w:t>
            </w:r>
          </w:p>
        </w:tc>
        <w:tc>
          <w:tcPr>
            <w:tcW w:w="0" w:type="auto"/>
            <w:noWrap/>
            <w:hideMark/>
          </w:tcPr>
          <w:p w14:paraId="2B76823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1.56</w:t>
            </w:r>
          </w:p>
        </w:tc>
        <w:tc>
          <w:tcPr>
            <w:tcW w:w="0" w:type="auto"/>
            <w:noWrap/>
            <w:hideMark/>
          </w:tcPr>
          <w:p w14:paraId="7C6F25C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1.51</w:t>
            </w:r>
          </w:p>
        </w:tc>
        <w:tc>
          <w:tcPr>
            <w:tcW w:w="0" w:type="auto"/>
            <w:noWrap/>
            <w:hideMark/>
          </w:tcPr>
          <w:p w14:paraId="4F09A91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40A9018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3.38</w:t>
            </w:r>
          </w:p>
        </w:tc>
        <w:tc>
          <w:tcPr>
            <w:tcW w:w="0" w:type="auto"/>
            <w:noWrap/>
            <w:hideMark/>
          </w:tcPr>
          <w:p w14:paraId="2EAC123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0.45</w:t>
            </w:r>
          </w:p>
        </w:tc>
        <w:tc>
          <w:tcPr>
            <w:tcW w:w="0" w:type="auto"/>
            <w:noWrap/>
            <w:hideMark/>
          </w:tcPr>
          <w:p w14:paraId="1A4301E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3.10</w:t>
            </w:r>
          </w:p>
        </w:tc>
        <w:tc>
          <w:tcPr>
            <w:tcW w:w="0" w:type="auto"/>
            <w:noWrap/>
            <w:hideMark/>
          </w:tcPr>
          <w:p w14:paraId="17AD9AF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0.65</w:t>
            </w:r>
          </w:p>
        </w:tc>
        <w:tc>
          <w:tcPr>
            <w:tcW w:w="0" w:type="auto"/>
            <w:noWrap/>
            <w:hideMark/>
          </w:tcPr>
          <w:p w14:paraId="7A1DF21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3.50</w:t>
            </w:r>
          </w:p>
        </w:tc>
        <w:tc>
          <w:tcPr>
            <w:tcW w:w="0" w:type="auto"/>
            <w:noWrap/>
            <w:hideMark/>
          </w:tcPr>
          <w:p w14:paraId="69DCE3F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5A239BD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9.72</w:t>
            </w:r>
          </w:p>
        </w:tc>
        <w:tc>
          <w:tcPr>
            <w:tcW w:w="0" w:type="auto"/>
            <w:noWrap/>
            <w:hideMark/>
          </w:tcPr>
          <w:p w14:paraId="231F01D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1.82</w:t>
            </w:r>
          </w:p>
        </w:tc>
        <w:tc>
          <w:tcPr>
            <w:tcW w:w="0" w:type="auto"/>
            <w:noWrap/>
            <w:hideMark/>
          </w:tcPr>
          <w:p w14:paraId="77957FE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255.65</w:t>
            </w:r>
          </w:p>
        </w:tc>
        <w:tc>
          <w:tcPr>
            <w:tcW w:w="0" w:type="auto"/>
            <w:noWrap/>
            <w:hideMark/>
          </w:tcPr>
          <w:p w14:paraId="3D59682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91.02</w:t>
            </w:r>
          </w:p>
        </w:tc>
      </w:tr>
      <w:tr w:rsidR="008712F5" w:rsidRPr="008712F5" w14:paraId="236D5848"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3510F80"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England</w:t>
            </w:r>
          </w:p>
        </w:tc>
        <w:tc>
          <w:tcPr>
            <w:tcW w:w="0" w:type="auto"/>
            <w:noWrap/>
            <w:hideMark/>
          </w:tcPr>
          <w:p w14:paraId="37CC8D2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3445</w:t>
            </w:r>
          </w:p>
        </w:tc>
        <w:tc>
          <w:tcPr>
            <w:tcW w:w="0" w:type="auto"/>
            <w:noWrap/>
            <w:hideMark/>
          </w:tcPr>
          <w:p w14:paraId="3D50AB8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514.52</w:t>
            </w:r>
          </w:p>
        </w:tc>
        <w:tc>
          <w:tcPr>
            <w:tcW w:w="0" w:type="auto"/>
            <w:noWrap/>
            <w:hideMark/>
          </w:tcPr>
          <w:p w14:paraId="5AD0112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89.29</w:t>
            </w:r>
          </w:p>
        </w:tc>
        <w:tc>
          <w:tcPr>
            <w:tcW w:w="0" w:type="auto"/>
            <w:noWrap/>
            <w:hideMark/>
          </w:tcPr>
          <w:p w14:paraId="7B2F2C8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10.73</w:t>
            </w:r>
          </w:p>
        </w:tc>
        <w:tc>
          <w:tcPr>
            <w:tcW w:w="0" w:type="auto"/>
            <w:noWrap/>
            <w:hideMark/>
          </w:tcPr>
          <w:p w14:paraId="5BCD3B8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1.49</w:t>
            </w:r>
          </w:p>
        </w:tc>
        <w:tc>
          <w:tcPr>
            <w:tcW w:w="0" w:type="auto"/>
            <w:noWrap/>
            <w:hideMark/>
          </w:tcPr>
          <w:p w14:paraId="6B723C5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1.47</w:t>
            </w:r>
          </w:p>
        </w:tc>
        <w:tc>
          <w:tcPr>
            <w:tcW w:w="0" w:type="auto"/>
            <w:noWrap/>
            <w:hideMark/>
          </w:tcPr>
          <w:p w14:paraId="1882486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591F522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3.14</w:t>
            </w:r>
          </w:p>
        </w:tc>
        <w:tc>
          <w:tcPr>
            <w:tcW w:w="0" w:type="auto"/>
            <w:noWrap/>
            <w:hideMark/>
          </w:tcPr>
          <w:p w14:paraId="219EB23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0.44</w:t>
            </w:r>
          </w:p>
        </w:tc>
        <w:tc>
          <w:tcPr>
            <w:tcW w:w="0" w:type="auto"/>
            <w:noWrap/>
            <w:hideMark/>
          </w:tcPr>
          <w:p w14:paraId="602826A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3.21</w:t>
            </w:r>
          </w:p>
        </w:tc>
        <w:tc>
          <w:tcPr>
            <w:tcW w:w="0" w:type="auto"/>
            <w:noWrap/>
            <w:hideMark/>
          </w:tcPr>
          <w:p w14:paraId="7F6078E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0.51</w:t>
            </w:r>
          </w:p>
        </w:tc>
        <w:tc>
          <w:tcPr>
            <w:tcW w:w="0" w:type="auto"/>
            <w:noWrap/>
            <w:hideMark/>
          </w:tcPr>
          <w:p w14:paraId="330A859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3.31</w:t>
            </w:r>
          </w:p>
        </w:tc>
        <w:tc>
          <w:tcPr>
            <w:tcW w:w="0" w:type="auto"/>
            <w:noWrap/>
            <w:hideMark/>
          </w:tcPr>
          <w:p w14:paraId="35B3C5B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0.53</w:t>
            </w:r>
          </w:p>
        </w:tc>
        <w:tc>
          <w:tcPr>
            <w:tcW w:w="0" w:type="auto"/>
            <w:noWrap/>
            <w:hideMark/>
          </w:tcPr>
          <w:p w14:paraId="4CB447A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10.39</w:t>
            </w:r>
          </w:p>
        </w:tc>
        <w:tc>
          <w:tcPr>
            <w:tcW w:w="0" w:type="auto"/>
            <w:noWrap/>
            <w:hideMark/>
          </w:tcPr>
          <w:p w14:paraId="3B2ECE6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1.90</w:t>
            </w:r>
          </w:p>
        </w:tc>
        <w:tc>
          <w:tcPr>
            <w:tcW w:w="0" w:type="auto"/>
            <w:noWrap/>
            <w:hideMark/>
          </w:tcPr>
          <w:p w14:paraId="0DB035D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200.81</w:t>
            </w:r>
          </w:p>
        </w:tc>
        <w:tc>
          <w:tcPr>
            <w:tcW w:w="0" w:type="auto"/>
            <w:noWrap/>
            <w:hideMark/>
          </w:tcPr>
          <w:p w14:paraId="3C0EEB80"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53.47</w:t>
            </w:r>
          </w:p>
        </w:tc>
      </w:tr>
      <w:tr w:rsidR="008712F5" w:rsidRPr="008712F5" w14:paraId="08CC6864"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4E08046"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United Arab Emirates (Dubai)</w:t>
            </w:r>
          </w:p>
        </w:tc>
        <w:tc>
          <w:tcPr>
            <w:tcW w:w="0" w:type="auto"/>
            <w:noWrap/>
            <w:hideMark/>
          </w:tcPr>
          <w:p w14:paraId="23A5C72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6725</w:t>
            </w:r>
          </w:p>
        </w:tc>
        <w:tc>
          <w:tcPr>
            <w:tcW w:w="0" w:type="auto"/>
            <w:noWrap/>
            <w:hideMark/>
          </w:tcPr>
          <w:p w14:paraId="29D63F8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540.22</w:t>
            </w:r>
          </w:p>
        </w:tc>
        <w:tc>
          <w:tcPr>
            <w:tcW w:w="0" w:type="auto"/>
            <w:noWrap/>
            <w:hideMark/>
          </w:tcPr>
          <w:p w14:paraId="1B50948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89.87</w:t>
            </w:r>
          </w:p>
        </w:tc>
        <w:tc>
          <w:tcPr>
            <w:tcW w:w="0" w:type="auto"/>
            <w:noWrap/>
            <w:hideMark/>
          </w:tcPr>
          <w:p w14:paraId="7D5FFC5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10.80</w:t>
            </w:r>
          </w:p>
        </w:tc>
        <w:tc>
          <w:tcPr>
            <w:tcW w:w="0" w:type="auto"/>
            <w:noWrap/>
            <w:hideMark/>
          </w:tcPr>
          <w:p w14:paraId="6660F0B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1.42</w:t>
            </w:r>
          </w:p>
        </w:tc>
        <w:tc>
          <w:tcPr>
            <w:tcW w:w="0" w:type="auto"/>
            <w:noWrap/>
            <w:hideMark/>
          </w:tcPr>
          <w:p w14:paraId="2FFEBB0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w:t>
            </w:r>
          </w:p>
        </w:tc>
        <w:tc>
          <w:tcPr>
            <w:tcW w:w="0" w:type="auto"/>
            <w:noWrap/>
            <w:hideMark/>
          </w:tcPr>
          <w:p w14:paraId="5A58BCC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194EE69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3.68</w:t>
            </w:r>
          </w:p>
        </w:tc>
        <w:tc>
          <w:tcPr>
            <w:tcW w:w="0" w:type="auto"/>
            <w:noWrap/>
            <w:hideMark/>
          </w:tcPr>
          <w:p w14:paraId="02F1604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0.34</w:t>
            </w:r>
          </w:p>
        </w:tc>
        <w:tc>
          <w:tcPr>
            <w:tcW w:w="0" w:type="auto"/>
            <w:noWrap/>
            <w:hideMark/>
          </w:tcPr>
          <w:p w14:paraId="0107AF2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3.02</w:t>
            </w:r>
          </w:p>
        </w:tc>
        <w:tc>
          <w:tcPr>
            <w:tcW w:w="0" w:type="auto"/>
            <w:noWrap/>
            <w:hideMark/>
          </w:tcPr>
          <w:p w14:paraId="1ED754D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0.78</w:t>
            </w:r>
          </w:p>
        </w:tc>
        <w:tc>
          <w:tcPr>
            <w:tcW w:w="0" w:type="auto"/>
            <w:noWrap/>
            <w:hideMark/>
          </w:tcPr>
          <w:p w14:paraId="45DDCB1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3.51</w:t>
            </w:r>
          </w:p>
        </w:tc>
        <w:tc>
          <w:tcPr>
            <w:tcW w:w="0" w:type="auto"/>
            <w:noWrap/>
            <w:hideMark/>
          </w:tcPr>
          <w:p w14:paraId="68C5BB2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0.55</w:t>
            </w:r>
          </w:p>
        </w:tc>
        <w:tc>
          <w:tcPr>
            <w:tcW w:w="0" w:type="auto"/>
            <w:noWrap/>
            <w:hideMark/>
          </w:tcPr>
          <w:p w14:paraId="04AA0F1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11.05</w:t>
            </w:r>
          </w:p>
        </w:tc>
        <w:tc>
          <w:tcPr>
            <w:tcW w:w="0" w:type="auto"/>
            <w:noWrap/>
            <w:hideMark/>
          </w:tcPr>
          <w:p w14:paraId="0B113D6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2.09</w:t>
            </w:r>
          </w:p>
        </w:tc>
        <w:tc>
          <w:tcPr>
            <w:tcW w:w="0" w:type="auto"/>
            <w:noWrap/>
            <w:hideMark/>
          </w:tcPr>
          <w:p w14:paraId="2F6E12D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254.17</w:t>
            </w:r>
          </w:p>
        </w:tc>
        <w:tc>
          <w:tcPr>
            <w:tcW w:w="0" w:type="auto"/>
            <w:noWrap/>
            <w:hideMark/>
          </w:tcPr>
          <w:p w14:paraId="2CD52A8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74.28</w:t>
            </w:r>
          </w:p>
        </w:tc>
      </w:tr>
      <w:tr w:rsidR="008712F5" w:rsidRPr="008712F5" w14:paraId="16E2FCD4"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4CD696B"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United Arab Emirates (Abu Dhabi)</w:t>
            </w:r>
          </w:p>
        </w:tc>
        <w:tc>
          <w:tcPr>
            <w:tcW w:w="0" w:type="auto"/>
            <w:noWrap/>
            <w:hideMark/>
          </w:tcPr>
          <w:p w14:paraId="7752045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8656</w:t>
            </w:r>
          </w:p>
        </w:tc>
        <w:tc>
          <w:tcPr>
            <w:tcW w:w="0" w:type="auto"/>
            <w:noWrap/>
            <w:hideMark/>
          </w:tcPr>
          <w:p w14:paraId="207D489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441.00</w:t>
            </w:r>
          </w:p>
        </w:tc>
        <w:tc>
          <w:tcPr>
            <w:tcW w:w="0" w:type="auto"/>
            <w:noWrap/>
            <w:hideMark/>
          </w:tcPr>
          <w:p w14:paraId="01575BC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105.13</w:t>
            </w:r>
          </w:p>
        </w:tc>
        <w:tc>
          <w:tcPr>
            <w:tcW w:w="0" w:type="auto"/>
            <w:noWrap/>
            <w:hideMark/>
          </w:tcPr>
          <w:p w14:paraId="0F6858E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10.28</w:t>
            </w:r>
          </w:p>
        </w:tc>
        <w:tc>
          <w:tcPr>
            <w:tcW w:w="0" w:type="auto"/>
            <w:noWrap/>
            <w:hideMark/>
          </w:tcPr>
          <w:p w14:paraId="3127629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4EFD596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1.53</w:t>
            </w:r>
          </w:p>
        </w:tc>
        <w:tc>
          <w:tcPr>
            <w:tcW w:w="0" w:type="auto"/>
            <w:noWrap/>
            <w:hideMark/>
          </w:tcPr>
          <w:p w14:paraId="685BF59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2AE954F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3.45</w:t>
            </w:r>
          </w:p>
        </w:tc>
        <w:tc>
          <w:tcPr>
            <w:tcW w:w="0" w:type="auto"/>
            <w:noWrap/>
            <w:hideMark/>
          </w:tcPr>
          <w:p w14:paraId="546D103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0.49</w:t>
            </w:r>
          </w:p>
        </w:tc>
        <w:tc>
          <w:tcPr>
            <w:tcW w:w="0" w:type="auto"/>
            <w:noWrap/>
            <w:hideMark/>
          </w:tcPr>
          <w:p w14:paraId="77133C2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3.13</w:t>
            </w:r>
          </w:p>
        </w:tc>
        <w:tc>
          <w:tcPr>
            <w:tcW w:w="0" w:type="auto"/>
            <w:noWrap/>
            <w:hideMark/>
          </w:tcPr>
          <w:p w14:paraId="37F7BD3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0.73</w:t>
            </w:r>
          </w:p>
        </w:tc>
        <w:tc>
          <w:tcPr>
            <w:tcW w:w="0" w:type="auto"/>
            <w:noWrap/>
            <w:hideMark/>
          </w:tcPr>
          <w:p w14:paraId="3623F75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3.41</w:t>
            </w:r>
          </w:p>
        </w:tc>
        <w:tc>
          <w:tcPr>
            <w:tcW w:w="0" w:type="auto"/>
            <w:noWrap/>
            <w:hideMark/>
          </w:tcPr>
          <w:p w14:paraId="1CD3F209"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0.57</w:t>
            </w:r>
          </w:p>
        </w:tc>
        <w:tc>
          <w:tcPr>
            <w:tcW w:w="0" w:type="auto"/>
            <w:noWrap/>
            <w:hideMark/>
          </w:tcPr>
          <w:p w14:paraId="09F916A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9.82</w:t>
            </w:r>
          </w:p>
        </w:tc>
        <w:tc>
          <w:tcPr>
            <w:tcW w:w="0" w:type="auto"/>
            <w:noWrap/>
            <w:hideMark/>
          </w:tcPr>
          <w:p w14:paraId="33E757F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1.91</w:t>
            </w:r>
          </w:p>
        </w:tc>
        <w:tc>
          <w:tcPr>
            <w:tcW w:w="0" w:type="auto"/>
            <w:noWrap/>
            <w:hideMark/>
          </w:tcPr>
          <w:p w14:paraId="4D26814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293.83</w:t>
            </w:r>
          </w:p>
        </w:tc>
        <w:tc>
          <w:tcPr>
            <w:tcW w:w="0" w:type="auto"/>
            <w:noWrap/>
            <w:hideMark/>
          </w:tcPr>
          <w:p w14:paraId="5939BBB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103.98</w:t>
            </w:r>
          </w:p>
        </w:tc>
      </w:tr>
      <w:tr w:rsidR="008712F5" w:rsidRPr="008712F5" w14:paraId="04DF6A99"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D09FDFA"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Canada (Ontario)</w:t>
            </w:r>
          </w:p>
        </w:tc>
        <w:tc>
          <w:tcPr>
            <w:tcW w:w="0" w:type="auto"/>
            <w:noWrap/>
            <w:hideMark/>
          </w:tcPr>
          <w:p w14:paraId="236112B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3776</w:t>
            </w:r>
          </w:p>
        </w:tc>
        <w:tc>
          <w:tcPr>
            <w:tcW w:w="0" w:type="auto"/>
            <w:noWrap/>
            <w:hideMark/>
          </w:tcPr>
          <w:p w14:paraId="5E171D5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529.75</w:t>
            </w:r>
          </w:p>
        </w:tc>
        <w:tc>
          <w:tcPr>
            <w:tcW w:w="0" w:type="auto"/>
            <w:noWrap/>
            <w:hideMark/>
          </w:tcPr>
          <w:p w14:paraId="37CC806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78.80</w:t>
            </w:r>
          </w:p>
        </w:tc>
        <w:tc>
          <w:tcPr>
            <w:tcW w:w="0" w:type="auto"/>
            <w:noWrap/>
            <w:hideMark/>
          </w:tcPr>
          <w:p w14:paraId="3B677A7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11.22</w:t>
            </w:r>
          </w:p>
        </w:tc>
        <w:tc>
          <w:tcPr>
            <w:tcW w:w="0" w:type="auto"/>
            <w:noWrap/>
            <w:hideMark/>
          </w:tcPr>
          <w:p w14:paraId="0BD1E8C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1.31</w:t>
            </w:r>
          </w:p>
        </w:tc>
        <w:tc>
          <w:tcPr>
            <w:tcW w:w="0" w:type="auto"/>
            <w:noWrap/>
            <w:hideMark/>
          </w:tcPr>
          <w:p w14:paraId="0EDC8B1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w:t>
            </w:r>
          </w:p>
        </w:tc>
        <w:tc>
          <w:tcPr>
            <w:tcW w:w="0" w:type="auto"/>
            <w:noWrap/>
            <w:hideMark/>
          </w:tcPr>
          <w:p w14:paraId="3DD1A96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2F5DCF4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3.51</w:t>
            </w:r>
          </w:p>
        </w:tc>
        <w:tc>
          <w:tcPr>
            <w:tcW w:w="0" w:type="auto"/>
            <w:noWrap/>
            <w:hideMark/>
          </w:tcPr>
          <w:p w14:paraId="3CE4D8D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0.43</w:t>
            </w:r>
          </w:p>
        </w:tc>
        <w:tc>
          <w:tcPr>
            <w:tcW w:w="0" w:type="auto"/>
            <w:noWrap/>
            <w:hideMark/>
          </w:tcPr>
          <w:p w14:paraId="325F7CF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2.84</w:t>
            </w:r>
          </w:p>
        </w:tc>
        <w:tc>
          <w:tcPr>
            <w:tcW w:w="0" w:type="auto"/>
            <w:noWrap/>
            <w:hideMark/>
          </w:tcPr>
          <w:p w14:paraId="144A90F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0.65</w:t>
            </w:r>
          </w:p>
        </w:tc>
        <w:tc>
          <w:tcPr>
            <w:tcW w:w="0" w:type="auto"/>
            <w:noWrap/>
            <w:hideMark/>
          </w:tcPr>
          <w:p w14:paraId="0BA7F6C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3.48</w:t>
            </w:r>
          </w:p>
        </w:tc>
        <w:tc>
          <w:tcPr>
            <w:tcW w:w="0" w:type="auto"/>
            <w:noWrap/>
            <w:hideMark/>
          </w:tcPr>
          <w:p w14:paraId="45B3CA4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0.49</w:t>
            </w:r>
          </w:p>
        </w:tc>
        <w:tc>
          <w:tcPr>
            <w:tcW w:w="0" w:type="auto"/>
            <w:noWrap/>
            <w:hideMark/>
          </w:tcPr>
          <w:p w14:paraId="1D62C06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9.70</w:t>
            </w:r>
          </w:p>
        </w:tc>
        <w:tc>
          <w:tcPr>
            <w:tcW w:w="0" w:type="auto"/>
            <w:noWrap/>
            <w:hideMark/>
          </w:tcPr>
          <w:p w14:paraId="707D2B3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1.73</w:t>
            </w:r>
          </w:p>
        </w:tc>
        <w:tc>
          <w:tcPr>
            <w:tcW w:w="0" w:type="auto"/>
            <w:noWrap/>
            <w:hideMark/>
          </w:tcPr>
          <w:p w14:paraId="0CF04629"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298.20</w:t>
            </w:r>
          </w:p>
        </w:tc>
        <w:tc>
          <w:tcPr>
            <w:tcW w:w="0" w:type="auto"/>
            <w:noWrap/>
            <w:hideMark/>
          </w:tcPr>
          <w:p w14:paraId="78C0508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55.85</w:t>
            </w:r>
          </w:p>
        </w:tc>
      </w:tr>
      <w:tr w:rsidR="008712F5" w:rsidRPr="008712F5" w14:paraId="57D154CD"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A0931BF"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Canada (Quebec)</w:t>
            </w:r>
          </w:p>
        </w:tc>
        <w:tc>
          <w:tcPr>
            <w:tcW w:w="0" w:type="auto"/>
            <w:noWrap/>
            <w:hideMark/>
          </w:tcPr>
          <w:p w14:paraId="1DC62EC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3201</w:t>
            </w:r>
          </w:p>
        </w:tc>
        <w:tc>
          <w:tcPr>
            <w:tcW w:w="0" w:type="auto"/>
            <w:noWrap/>
            <w:hideMark/>
          </w:tcPr>
          <w:p w14:paraId="56FD393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542.72</w:t>
            </w:r>
          </w:p>
        </w:tc>
        <w:tc>
          <w:tcPr>
            <w:tcW w:w="0" w:type="auto"/>
            <w:noWrap/>
            <w:hideMark/>
          </w:tcPr>
          <w:p w14:paraId="4B890AA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66.74</w:t>
            </w:r>
          </w:p>
        </w:tc>
        <w:tc>
          <w:tcPr>
            <w:tcW w:w="0" w:type="auto"/>
            <w:noWrap/>
            <w:hideMark/>
          </w:tcPr>
          <w:p w14:paraId="6369DB4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10.91</w:t>
            </w:r>
          </w:p>
        </w:tc>
        <w:tc>
          <w:tcPr>
            <w:tcW w:w="0" w:type="auto"/>
            <w:noWrap/>
            <w:hideMark/>
          </w:tcPr>
          <w:p w14:paraId="6F0DA78D"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1.26</w:t>
            </w:r>
          </w:p>
        </w:tc>
        <w:tc>
          <w:tcPr>
            <w:tcW w:w="0" w:type="auto"/>
            <w:noWrap/>
            <w:hideMark/>
          </w:tcPr>
          <w:p w14:paraId="79E1C2F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1.49</w:t>
            </w:r>
          </w:p>
        </w:tc>
        <w:tc>
          <w:tcPr>
            <w:tcW w:w="0" w:type="auto"/>
            <w:noWrap/>
            <w:hideMark/>
          </w:tcPr>
          <w:p w14:paraId="650213A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1BB8492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2.93</w:t>
            </w:r>
          </w:p>
        </w:tc>
        <w:tc>
          <w:tcPr>
            <w:tcW w:w="0" w:type="auto"/>
            <w:noWrap/>
            <w:hideMark/>
          </w:tcPr>
          <w:p w14:paraId="07DC31F2"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0.53</w:t>
            </w:r>
          </w:p>
        </w:tc>
        <w:tc>
          <w:tcPr>
            <w:tcW w:w="0" w:type="auto"/>
            <w:noWrap/>
            <w:hideMark/>
          </w:tcPr>
          <w:p w14:paraId="2574C84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3.21</w:t>
            </w:r>
          </w:p>
        </w:tc>
        <w:tc>
          <w:tcPr>
            <w:tcW w:w="0" w:type="auto"/>
            <w:noWrap/>
            <w:hideMark/>
          </w:tcPr>
          <w:p w14:paraId="0C347B4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0.61</w:t>
            </w:r>
          </w:p>
        </w:tc>
        <w:tc>
          <w:tcPr>
            <w:tcW w:w="0" w:type="auto"/>
            <w:noWrap/>
            <w:hideMark/>
          </w:tcPr>
          <w:p w14:paraId="546A15B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3.04</w:t>
            </w:r>
          </w:p>
        </w:tc>
        <w:tc>
          <w:tcPr>
            <w:tcW w:w="0" w:type="auto"/>
            <w:noWrap/>
            <w:hideMark/>
          </w:tcPr>
          <w:p w14:paraId="04CF7C1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0.68</w:t>
            </w:r>
          </w:p>
        </w:tc>
        <w:tc>
          <w:tcPr>
            <w:tcW w:w="0" w:type="auto"/>
            <w:noWrap/>
            <w:hideMark/>
          </w:tcPr>
          <w:p w14:paraId="26D89F8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10.54</w:t>
            </w:r>
          </w:p>
        </w:tc>
        <w:tc>
          <w:tcPr>
            <w:tcW w:w="0" w:type="auto"/>
            <w:noWrap/>
            <w:hideMark/>
          </w:tcPr>
          <w:p w14:paraId="5F6CCCB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1.91</w:t>
            </w:r>
          </w:p>
        </w:tc>
        <w:tc>
          <w:tcPr>
            <w:tcW w:w="0" w:type="auto"/>
            <w:noWrap/>
            <w:hideMark/>
          </w:tcPr>
          <w:p w14:paraId="6BF67E0A"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246.75</w:t>
            </w:r>
          </w:p>
        </w:tc>
        <w:tc>
          <w:tcPr>
            <w:tcW w:w="0" w:type="auto"/>
            <w:noWrap/>
            <w:hideMark/>
          </w:tcPr>
          <w:p w14:paraId="6A4E459C"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60.75</w:t>
            </w:r>
          </w:p>
        </w:tc>
      </w:tr>
      <w:tr w:rsidR="008712F5" w:rsidRPr="008712F5" w14:paraId="567474DF"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4AF223A"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Russian Federation, Moscow</w:t>
            </w:r>
          </w:p>
        </w:tc>
        <w:tc>
          <w:tcPr>
            <w:tcW w:w="0" w:type="auto"/>
            <w:noWrap/>
            <w:hideMark/>
          </w:tcPr>
          <w:p w14:paraId="1DC0D82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3972</w:t>
            </w:r>
          </w:p>
        </w:tc>
        <w:tc>
          <w:tcPr>
            <w:tcW w:w="0" w:type="auto"/>
            <w:noWrap/>
            <w:hideMark/>
          </w:tcPr>
          <w:p w14:paraId="0A31E64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578.85</w:t>
            </w:r>
          </w:p>
        </w:tc>
        <w:tc>
          <w:tcPr>
            <w:tcW w:w="0" w:type="auto"/>
            <w:noWrap/>
            <w:hideMark/>
          </w:tcPr>
          <w:p w14:paraId="375CFB6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85.83</w:t>
            </w:r>
          </w:p>
        </w:tc>
        <w:tc>
          <w:tcPr>
            <w:tcW w:w="0" w:type="auto"/>
            <w:noWrap/>
            <w:hideMark/>
          </w:tcPr>
          <w:p w14:paraId="052579AF"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11.36</w:t>
            </w:r>
          </w:p>
        </w:tc>
        <w:tc>
          <w:tcPr>
            <w:tcW w:w="0" w:type="auto"/>
            <w:noWrap/>
            <w:hideMark/>
          </w:tcPr>
          <w:p w14:paraId="09B9EB32"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1.26</w:t>
            </w:r>
          </w:p>
        </w:tc>
        <w:tc>
          <w:tcPr>
            <w:tcW w:w="0" w:type="auto"/>
            <w:noWrap/>
            <w:hideMark/>
          </w:tcPr>
          <w:p w14:paraId="3C808E9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2AEC18B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3E7E0698"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3.31</w:t>
            </w:r>
          </w:p>
        </w:tc>
        <w:tc>
          <w:tcPr>
            <w:tcW w:w="0" w:type="auto"/>
            <w:noWrap/>
            <w:hideMark/>
          </w:tcPr>
          <w:p w14:paraId="03CFB95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0.43</w:t>
            </w:r>
          </w:p>
        </w:tc>
        <w:tc>
          <w:tcPr>
            <w:tcW w:w="0" w:type="auto"/>
            <w:noWrap/>
            <w:hideMark/>
          </w:tcPr>
          <w:p w14:paraId="5305A9A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3.24</w:t>
            </w:r>
          </w:p>
        </w:tc>
        <w:tc>
          <w:tcPr>
            <w:tcW w:w="0" w:type="auto"/>
            <w:noWrap/>
            <w:hideMark/>
          </w:tcPr>
          <w:p w14:paraId="1B493E5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0.62</w:t>
            </w:r>
          </w:p>
        </w:tc>
        <w:tc>
          <w:tcPr>
            <w:tcW w:w="0" w:type="auto"/>
            <w:noWrap/>
            <w:hideMark/>
          </w:tcPr>
          <w:p w14:paraId="63EA241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3.21</w:t>
            </w:r>
          </w:p>
        </w:tc>
        <w:tc>
          <w:tcPr>
            <w:tcW w:w="0" w:type="auto"/>
            <w:noWrap/>
            <w:hideMark/>
          </w:tcPr>
          <w:p w14:paraId="287769F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0.55</w:t>
            </w:r>
          </w:p>
        </w:tc>
        <w:tc>
          <w:tcPr>
            <w:tcW w:w="0" w:type="auto"/>
            <w:noWrap/>
            <w:hideMark/>
          </w:tcPr>
          <w:p w14:paraId="0827DF0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9.94</w:t>
            </w:r>
          </w:p>
        </w:tc>
        <w:tc>
          <w:tcPr>
            <w:tcW w:w="0" w:type="auto"/>
            <w:noWrap/>
            <w:hideMark/>
          </w:tcPr>
          <w:p w14:paraId="7CA3C3EA"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2.40</w:t>
            </w:r>
          </w:p>
        </w:tc>
        <w:tc>
          <w:tcPr>
            <w:tcW w:w="0" w:type="auto"/>
            <w:noWrap/>
            <w:hideMark/>
          </w:tcPr>
          <w:p w14:paraId="319FE6F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267.64</w:t>
            </w:r>
          </w:p>
        </w:tc>
        <w:tc>
          <w:tcPr>
            <w:tcW w:w="0" w:type="auto"/>
            <w:noWrap/>
            <w:hideMark/>
          </w:tcPr>
          <w:p w14:paraId="5E6B53A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80.52</w:t>
            </w:r>
          </w:p>
        </w:tc>
      </w:tr>
      <w:tr w:rsidR="008712F5" w:rsidRPr="008712F5" w14:paraId="0E91B787"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CB474FD"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South Africa (Gauteng)</w:t>
            </w:r>
          </w:p>
        </w:tc>
        <w:tc>
          <w:tcPr>
            <w:tcW w:w="0" w:type="auto"/>
            <w:noWrap/>
            <w:hideMark/>
          </w:tcPr>
          <w:p w14:paraId="41F8EFE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5633</w:t>
            </w:r>
          </w:p>
        </w:tc>
        <w:tc>
          <w:tcPr>
            <w:tcW w:w="0" w:type="auto"/>
            <w:noWrap/>
            <w:hideMark/>
          </w:tcPr>
          <w:p w14:paraId="0618D45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420.70</w:t>
            </w:r>
          </w:p>
        </w:tc>
        <w:tc>
          <w:tcPr>
            <w:tcW w:w="0" w:type="auto"/>
            <w:noWrap/>
            <w:hideMark/>
          </w:tcPr>
          <w:p w14:paraId="019658B6"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76.67</w:t>
            </w:r>
          </w:p>
        </w:tc>
        <w:tc>
          <w:tcPr>
            <w:tcW w:w="0" w:type="auto"/>
            <w:noWrap/>
            <w:hideMark/>
          </w:tcPr>
          <w:p w14:paraId="7FD5E873"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9.49</w:t>
            </w:r>
          </w:p>
        </w:tc>
        <w:tc>
          <w:tcPr>
            <w:tcW w:w="0" w:type="auto"/>
            <w:noWrap/>
            <w:hideMark/>
          </w:tcPr>
          <w:p w14:paraId="4C4375A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1.49</w:t>
            </w:r>
          </w:p>
        </w:tc>
        <w:tc>
          <w:tcPr>
            <w:tcW w:w="0" w:type="auto"/>
            <w:noWrap/>
            <w:hideMark/>
          </w:tcPr>
          <w:p w14:paraId="53060A1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1.45</w:t>
            </w:r>
          </w:p>
        </w:tc>
        <w:tc>
          <w:tcPr>
            <w:tcW w:w="0" w:type="auto"/>
            <w:noWrap/>
            <w:hideMark/>
          </w:tcPr>
          <w:p w14:paraId="29BE26E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7EE7C3EF"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3.24</w:t>
            </w:r>
          </w:p>
        </w:tc>
        <w:tc>
          <w:tcPr>
            <w:tcW w:w="0" w:type="auto"/>
            <w:noWrap/>
            <w:hideMark/>
          </w:tcPr>
          <w:p w14:paraId="1C549B5E"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0.52</w:t>
            </w:r>
          </w:p>
        </w:tc>
        <w:tc>
          <w:tcPr>
            <w:tcW w:w="0" w:type="auto"/>
            <w:noWrap/>
            <w:hideMark/>
          </w:tcPr>
          <w:p w14:paraId="74D91C38"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3.26</w:t>
            </w:r>
          </w:p>
        </w:tc>
        <w:tc>
          <w:tcPr>
            <w:tcW w:w="0" w:type="auto"/>
            <w:noWrap/>
            <w:hideMark/>
          </w:tcPr>
          <w:p w14:paraId="481C7D9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0.65</w:t>
            </w:r>
          </w:p>
        </w:tc>
        <w:tc>
          <w:tcPr>
            <w:tcW w:w="0" w:type="auto"/>
            <w:noWrap/>
            <w:hideMark/>
          </w:tcPr>
          <w:p w14:paraId="080ADD67"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3.33</w:t>
            </w:r>
          </w:p>
        </w:tc>
        <w:tc>
          <w:tcPr>
            <w:tcW w:w="0" w:type="auto"/>
            <w:noWrap/>
            <w:hideMark/>
          </w:tcPr>
          <w:p w14:paraId="23DC8034"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0.59</w:t>
            </w:r>
          </w:p>
        </w:tc>
        <w:tc>
          <w:tcPr>
            <w:tcW w:w="0" w:type="auto"/>
            <w:noWrap/>
            <w:hideMark/>
          </w:tcPr>
          <w:p w14:paraId="5D2EFED1"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8.93</w:t>
            </w:r>
          </w:p>
        </w:tc>
        <w:tc>
          <w:tcPr>
            <w:tcW w:w="0" w:type="auto"/>
            <w:noWrap/>
            <w:hideMark/>
          </w:tcPr>
          <w:p w14:paraId="6EF26D0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1.61</w:t>
            </w:r>
          </w:p>
        </w:tc>
        <w:tc>
          <w:tcPr>
            <w:tcW w:w="0" w:type="auto"/>
            <w:noWrap/>
            <w:hideMark/>
          </w:tcPr>
          <w:p w14:paraId="654E2605"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279.64</w:t>
            </w:r>
          </w:p>
        </w:tc>
        <w:tc>
          <w:tcPr>
            <w:tcW w:w="0" w:type="auto"/>
            <w:noWrap/>
            <w:hideMark/>
          </w:tcPr>
          <w:p w14:paraId="021584BB" w14:textId="77777777" w:rsidR="006D3639" w:rsidRPr="008712F5" w:rsidRDefault="006D3639" w:rsidP="006D363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81.86</w:t>
            </w:r>
          </w:p>
        </w:tc>
      </w:tr>
      <w:tr w:rsidR="008712F5" w:rsidRPr="008712F5" w14:paraId="05C9C109"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73A755D" w14:textId="77777777" w:rsidR="006D3639" w:rsidRPr="008712F5" w:rsidRDefault="006D3639" w:rsidP="006D3639">
            <w:pPr>
              <w:rPr>
                <w:rFonts w:ascii="Calibri" w:eastAsia="Times New Roman" w:hAnsi="Calibri" w:cs="Calibri"/>
                <w:sz w:val="18"/>
                <w:szCs w:val="18"/>
              </w:rPr>
            </w:pPr>
            <w:r w:rsidRPr="008712F5">
              <w:rPr>
                <w:rFonts w:ascii="Calibri" w:eastAsia="Times New Roman" w:hAnsi="Calibri" w:cs="Calibri"/>
                <w:sz w:val="18"/>
                <w:szCs w:val="18"/>
              </w:rPr>
              <w:t>South Africa (Western Cape Province)</w:t>
            </w:r>
          </w:p>
        </w:tc>
        <w:tc>
          <w:tcPr>
            <w:tcW w:w="0" w:type="auto"/>
            <w:noWrap/>
            <w:hideMark/>
          </w:tcPr>
          <w:p w14:paraId="68B5278E"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5458</w:t>
            </w:r>
          </w:p>
        </w:tc>
        <w:tc>
          <w:tcPr>
            <w:tcW w:w="0" w:type="auto"/>
            <w:noWrap/>
            <w:hideMark/>
          </w:tcPr>
          <w:p w14:paraId="08BB6A5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440.74</w:t>
            </w:r>
          </w:p>
        </w:tc>
        <w:tc>
          <w:tcPr>
            <w:tcW w:w="0" w:type="auto"/>
            <w:noWrap/>
            <w:hideMark/>
          </w:tcPr>
          <w:p w14:paraId="18EAAFAC"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88.72</w:t>
            </w:r>
          </w:p>
        </w:tc>
        <w:tc>
          <w:tcPr>
            <w:tcW w:w="0" w:type="auto"/>
            <w:noWrap/>
            <w:hideMark/>
          </w:tcPr>
          <w:p w14:paraId="7E6211D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9.30</w:t>
            </w:r>
          </w:p>
        </w:tc>
        <w:tc>
          <w:tcPr>
            <w:tcW w:w="0" w:type="auto"/>
            <w:noWrap/>
            <w:hideMark/>
          </w:tcPr>
          <w:p w14:paraId="1352E2A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1.72</w:t>
            </w:r>
          </w:p>
        </w:tc>
        <w:tc>
          <w:tcPr>
            <w:tcW w:w="0" w:type="auto"/>
            <w:noWrap/>
            <w:hideMark/>
          </w:tcPr>
          <w:p w14:paraId="6DCD3AF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1.45</w:t>
            </w:r>
          </w:p>
        </w:tc>
        <w:tc>
          <w:tcPr>
            <w:tcW w:w="0" w:type="auto"/>
            <w:noWrap/>
            <w:hideMark/>
          </w:tcPr>
          <w:p w14:paraId="755CE974"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0874F69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2.97</w:t>
            </w:r>
          </w:p>
        </w:tc>
        <w:tc>
          <w:tcPr>
            <w:tcW w:w="0" w:type="auto"/>
            <w:noWrap/>
            <w:hideMark/>
          </w:tcPr>
          <w:p w14:paraId="0A23A9B0"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0.50</w:t>
            </w:r>
          </w:p>
        </w:tc>
        <w:tc>
          <w:tcPr>
            <w:tcW w:w="0" w:type="auto"/>
            <w:noWrap/>
            <w:hideMark/>
          </w:tcPr>
          <w:p w14:paraId="15318155"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3.32</w:t>
            </w:r>
          </w:p>
        </w:tc>
        <w:tc>
          <w:tcPr>
            <w:tcW w:w="0" w:type="auto"/>
            <w:noWrap/>
            <w:hideMark/>
          </w:tcPr>
          <w:p w14:paraId="273B5CC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0.65</w:t>
            </w:r>
          </w:p>
        </w:tc>
        <w:tc>
          <w:tcPr>
            <w:tcW w:w="0" w:type="auto"/>
            <w:noWrap/>
            <w:hideMark/>
          </w:tcPr>
          <w:p w14:paraId="2B639317"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3.28</w:t>
            </w:r>
          </w:p>
        </w:tc>
        <w:tc>
          <w:tcPr>
            <w:tcW w:w="0" w:type="auto"/>
            <w:noWrap/>
            <w:hideMark/>
          </w:tcPr>
          <w:p w14:paraId="260EADCD"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0.64</w:t>
            </w:r>
          </w:p>
        </w:tc>
        <w:tc>
          <w:tcPr>
            <w:tcW w:w="0" w:type="auto"/>
            <w:noWrap/>
            <w:hideMark/>
          </w:tcPr>
          <w:p w14:paraId="1C2E6026"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8.91</w:t>
            </w:r>
          </w:p>
        </w:tc>
        <w:tc>
          <w:tcPr>
            <w:tcW w:w="0" w:type="auto"/>
            <w:noWrap/>
            <w:hideMark/>
          </w:tcPr>
          <w:p w14:paraId="3A2B6101"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1.88</w:t>
            </w:r>
          </w:p>
        </w:tc>
        <w:tc>
          <w:tcPr>
            <w:tcW w:w="0" w:type="auto"/>
            <w:noWrap/>
            <w:hideMark/>
          </w:tcPr>
          <w:p w14:paraId="2D353CFB"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264.74</w:t>
            </w:r>
          </w:p>
        </w:tc>
        <w:tc>
          <w:tcPr>
            <w:tcW w:w="0" w:type="auto"/>
            <w:noWrap/>
            <w:hideMark/>
          </w:tcPr>
          <w:p w14:paraId="6E7125F3" w14:textId="77777777" w:rsidR="006D3639" w:rsidRPr="008712F5" w:rsidRDefault="006D3639" w:rsidP="006D363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60.15</w:t>
            </w:r>
          </w:p>
        </w:tc>
      </w:tr>
    </w:tbl>
    <w:p w14:paraId="7C40625F" w14:textId="282590A0" w:rsidR="00505886" w:rsidRPr="008712F5" w:rsidRDefault="00505886" w:rsidP="00505886">
      <w:pPr>
        <w:rPr>
          <w:rFonts w:ascii="Times New Roman" w:hAnsi="Times New Roman" w:cs="Times New Roman"/>
          <w:sz w:val="24"/>
          <w:szCs w:val="24"/>
        </w:rPr>
        <w:sectPr w:rsidR="00505886" w:rsidRPr="008712F5" w:rsidSect="00505886">
          <w:endnotePr>
            <w:numFmt w:val="decimal"/>
          </w:endnotePr>
          <w:pgSz w:w="16838" w:h="11906" w:orient="landscape"/>
          <w:pgMar w:top="1440" w:right="1440" w:bottom="1440" w:left="1440" w:header="709" w:footer="709" w:gutter="0"/>
          <w:cols w:space="708"/>
          <w:docGrid w:linePitch="360"/>
        </w:sectPr>
      </w:pPr>
    </w:p>
    <w:p w14:paraId="37869450" w14:textId="7F8068C6" w:rsidR="00505886" w:rsidRPr="008712F5" w:rsidRDefault="00505886" w:rsidP="00505886">
      <w:pPr>
        <w:rPr>
          <w:rFonts w:ascii="Times New Roman" w:hAnsi="Times New Roman" w:cs="Times New Roman"/>
          <w:sz w:val="24"/>
          <w:szCs w:val="24"/>
        </w:rPr>
      </w:pPr>
    </w:p>
    <w:p w14:paraId="02AD39D9" w14:textId="416C128E" w:rsidR="00E02644" w:rsidRPr="008712F5" w:rsidRDefault="00E02644" w:rsidP="00D1040A">
      <w:pPr>
        <w:spacing w:line="276" w:lineRule="auto"/>
        <w:rPr>
          <w:rFonts w:ascii="Times New Roman" w:hAnsi="Times New Roman" w:cs="Times New Roman"/>
        </w:rPr>
      </w:pPr>
    </w:p>
    <w:p w14:paraId="70EAEAAF" w14:textId="02640CDF" w:rsidR="00A15883" w:rsidRPr="008712F5" w:rsidRDefault="00624BD2" w:rsidP="00FE3D40">
      <w:pPr>
        <w:spacing w:line="480" w:lineRule="auto"/>
        <w:rPr>
          <w:rFonts w:ascii="Times New Roman" w:hAnsi="Times New Roman" w:cs="Times New Roman"/>
          <w:sz w:val="24"/>
          <w:szCs w:val="24"/>
        </w:rPr>
        <w:sectPr w:rsidR="00A15883" w:rsidRPr="008712F5" w:rsidSect="00505886">
          <w:endnotePr>
            <w:numFmt w:val="decimal"/>
          </w:endnotePr>
          <w:pgSz w:w="11906" w:h="16838"/>
          <w:pgMar w:top="1440" w:right="1440" w:bottom="1440" w:left="1440" w:header="709" w:footer="709" w:gutter="0"/>
          <w:cols w:space="708"/>
          <w:docGrid w:linePitch="360"/>
        </w:sectPr>
      </w:pPr>
      <w:r w:rsidRPr="008712F5">
        <w:rPr>
          <w:rFonts w:ascii="Times New Roman" w:hAnsi="Times New Roman" w:cs="Times New Roman"/>
          <w:sz w:val="24"/>
          <w:szCs w:val="24"/>
        </w:rPr>
        <w:t xml:space="preserve">these practices with regard to mathematics achievement.  We therefore now turn to the multilevel models. </w:t>
      </w:r>
      <w:r w:rsidR="001C27D9" w:rsidRPr="008712F5">
        <w:rPr>
          <w:rFonts w:ascii="Times New Roman" w:hAnsi="Times New Roman" w:cs="Times New Roman"/>
          <w:sz w:val="24"/>
          <w:szCs w:val="24"/>
        </w:rPr>
        <w:t xml:space="preserve">Table </w:t>
      </w:r>
      <w:r w:rsidR="004D6766" w:rsidRPr="008712F5">
        <w:rPr>
          <w:rFonts w:ascii="Times New Roman" w:hAnsi="Times New Roman" w:cs="Times New Roman"/>
          <w:sz w:val="24"/>
          <w:szCs w:val="24"/>
        </w:rPr>
        <w:t>III</w:t>
      </w:r>
      <w:r w:rsidR="001C27D9" w:rsidRPr="008712F5">
        <w:rPr>
          <w:rFonts w:ascii="Times New Roman" w:hAnsi="Times New Roman" w:cs="Times New Roman"/>
          <w:sz w:val="24"/>
          <w:szCs w:val="24"/>
        </w:rPr>
        <w:t xml:space="preserve"> shows the results for the </w:t>
      </w:r>
      <w:r w:rsidR="003B558C" w:rsidRPr="008712F5">
        <w:rPr>
          <w:rFonts w:ascii="Times New Roman" w:hAnsi="Times New Roman" w:cs="Times New Roman"/>
          <w:sz w:val="24"/>
          <w:szCs w:val="24"/>
        </w:rPr>
        <w:t>final model for all countries</w:t>
      </w:r>
      <w:r w:rsidR="003B558C" w:rsidRPr="008712F5">
        <w:rPr>
          <w:rStyle w:val="EndnoteReference"/>
          <w:rFonts w:ascii="Times New Roman" w:hAnsi="Times New Roman" w:cs="Times New Roman"/>
          <w:sz w:val="24"/>
          <w:szCs w:val="24"/>
        </w:rPr>
        <w:endnoteReference w:id="7"/>
      </w:r>
      <w:r w:rsidR="00AA14B6" w:rsidRPr="008712F5">
        <w:rPr>
          <w:rFonts w:ascii="Times New Roman" w:hAnsi="Times New Roman" w:cs="Times New Roman"/>
          <w:sz w:val="24"/>
          <w:szCs w:val="24"/>
        </w:rPr>
        <w:t>.</w:t>
      </w:r>
      <w:r w:rsidR="00CA47C6" w:rsidRPr="008712F5">
        <w:rPr>
          <w:rFonts w:ascii="Times New Roman" w:hAnsi="Times New Roman" w:cs="Times New Roman"/>
          <w:sz w:val="24"/>
          <w:szCs w:val="24"/>
        </w:rPr>
        <w:t xml:space="preserve"> </w:t>
      </w:r>
      <w:r w:rsidR="00984531" w:rsidRPr="008712F5">
        <w:rPr>
          <w:rFonts w:ascii="Times New Roman" w:hAnsi="Times New Roman" w:cs="Times New Roman"/>
          <w:sz w:val="24"/>
          <w:szCs w:val="24"/>
        </w:rPr>
        <w:t>Although it is not the main focus of this paper, it firstly can be noted that in many jurisdictions there are significant differences between males and females</w:t>
      </w:r>
      <w:r w:rsidR="005E088B" w:rsidRPr="008712F5">
        <w:rPr>
          <w:rFonts w:ascii="Times New Roman" w:hAnsi="Times New Roman" w:cs="Times New Roman"/>
          <w:sz w:val="24"/>
          <w:szCs w:val="24"/>
        </w:rPr>
        <w:t xml:space="preserve">, with in most countries males outperforming females, but many Middle-Eastern countries show the opposite result. SES is a positive predictor of grade eight mathematics achievement, in line with prior literature. Generative practices are only a significant predictor in twelve countries, with four negative and eight positive. From the East Asian countries, </w:t>
      </w:r>
      <w:r w:rsidR="006F295C" w:rsidRPr="008712F5">
        <w:rPr>
          <w:rFonts w:ascii="Times New Roman" w:hAnsi="Times New Roman" w:cs="Times New Roman"/>
          <w:sz w:val="24"/>
          <w:szCs w:val="24"/>
        </w:rPr>
        <w:t xml:space="preserve">generative practices are a significant negative predictor of mathematics achievement. Even fewer of the betas for TA and PO are significant, with most being negative. For our East Asian focus, only in Hong Kong SAR the </w:t>
      </w:r>
      <w:r w:rsidR="00494437" w:rsidRPr="008712F5">
        <w:rPr>
          <w:rFonts w:ascii="Times New Roman" w:hAnsi="Times New Roman" w:cs="Times New Roman"/>
          <w:sz w:val="24"/>
          <w:szCs w:val="24"/>
        </w:rPr>
        <w:t>‘</w:t>
      </w:r>
      <w:proofErr w:type="spellStart"/>
      <w:r w:rsidR="00494437" w:rsidRPr="008712F5">
        <w:rPr>
          <w:rFonts w:ascii="Times New Roman" w:hAnsi="Times New Roman" w:cs="Times New Roman"/>
          <w:sz w:val="24"/>
          <w:szCs w:val="24"/>
        </w:rPr>
        <w:t>T</w:t>
      </w:r>
      <w:r w:rsidR="006F295C" w:rsidRPr="008712F5">
        <w:rPr>
          <w:rFonts w:ascii="Times New Roman" w:hAnsi="Times New Roman" w:cs="Times New Roman"/>
          <w:sz w:val="24"/>
          <w:szCs w:val="24"/>
        </w:rPr>
        <w:t>teacher</w:t>
      </w:r>
      <w:proofErr w:type="spellEnd"/>
      <w:r w:rsidR="00494437" w:rsidRPr="008712F5">
        <w:rPr>
          <w:rFonts w:ascii="Times New Roman" w:hAnsi="Times New Roman" w:cs="Times New Roman"/>
          <w:sz w:val="24"/>
          <w:szCs w:val="24"/>
        </w:rPr>
        <w:t>-A</w:t>
      </w:r>
      <w:r w:rsidR="006F295C" w:rsidRPr="008712F5">
        <w:rPr>
          <w:rFonts w:ascii="Times New Roman" w:hAnsi="Times New Roman" w:cs="Times New Roman"/>
          <w:sz w:val="24"/>
          <w:szCs w:val="24"/>
        </w:rPr>
        <w:t>ctive</w:t>
      </w:r>
      <w:r w:rsidR="00494437" w:rsidRPr="008712F5">
        <w:rPr>
          <w:rFonts w:ascii="Times New Roman" w:hAnsi="Times New Roman" w:cs="Times New Roman"/>
          <w:sz w:val="24"/>
          <w:szCs w:val="24"/>
        </w:rPr>
        <w:t>’</w:t>
      </w:r>
      <w:r w:rsidR="006F295C" w:rsidRPr="008712F5">
        <w:rPr>
          <w:rFonts w:ascii="Times New Roman" w:hAnsi="Times New Roman" w:cs="Times New Roman"/>
          <w:sz w:val="24"/>
          <w:szCs w:val="24"/>
        </w:rPr>
        <w:t xml:space="preserve"> scale is a significantly negative predictor of mathematics achievement</w:t>
      </w:r>
      <w:r w:rsidR="00F9549D" w:rsidRPr="008712F5">
        <w:rPr>
          <w:rFonts w:ascii="Times New Roman" w:hAnsi="Times New Roman" w:cs="Times New Roman"/>
          <w:sz w:val="24"/>
          <w:szCs w:val="24"/>
        </w:rPr>
        <w:t xml:space="preserve">, while in Singapore the </w:t>
      </w:r>
      <w:r w:rsidR="00494437" w:rsidRPr="008712F5">
        <w:rPr>
          <w:rFonts w:ascii="Times New Roman" w:hAnsi="Times New Roman" w:cs="Times New Roman"/>
          <w:sz w:val="24"/>
          <w:szCs w:val="24"/>
        </w:rPr>
        <w:t>‘P</w:t>
      </w:r>
      <w:r w:rsidR="00F9549D" w:rsidRPr="008712F5">
        <w:rPr>
          <w:rFonts w:ascii="Times New Roman" w:hAnsi="Times New Roman" w:cs="Times New Roman"/>
          <w:sz w:val="24"/>
          <w:szCs w:val="24"/>
        </w:rPr>
        <w:t>ractice-on-</w:t>
      </w:r>
      <w:r w:rsidR="00494437" w:rsidRPr="008712F5">
        <w:rPr>
          <w:rFonts w:ascii="Times New Roman" w:hAnsi="Times New Roman" w:cs="Times New Roman"/>
          <w:sz w:val="24"/>
          <w:szCs w:val="24"/>
        </w:rPr>
        <w:t>O</w:t>
      </w:r>
      <w:r w:rsidR="00F9549D" w:rsidRPr="008712F5">
        <w:rPr>
          <w:rFonts w:ascii="Times New Roman" w:hAnsi="Times New Roman" w:cs="Times New Roman"/>
          <w:sz w:val="24"/>
          <w:szCs w:val="24"/>
        </w:rPr>
        <w:t>wn</w:t>
      </w:r>
      <w:r w:rsidR="00494437" w:rsidRPr="008712F5">
        <w:rPr>
          <w:rFonts w:ascii="Times New Roman" w:hAnsi="Times New Roman" w:cs="Times New Roman"/>
          <w:sz w:val="24"/>
          <w:szCs w:val="24"/>
        </w:rPr>
        <w:t>’</w:t>
      </w:r>
      <w:r w:rsidR="00F9549D" w:rsidRPr="008712F5">
        <w:rPr>
          <w:rFonts w:ascii="Times New Roman" w:hAnsi="Times New Roman" w:cs="Times New Roman"/>
          <w:sz w:val="24"/>
          <w:szCs w:val="24"/>
        </w:rPr>
        <w:t xml:space="preserve"> scale is significantly positive predictor of mathematics achievement. In almost all countries, the absence of limitations for teaching (BTBGLSN) is a positive predictor of mathematics achievement. Notably, though, this is not the case in Korea. Finally, instructional time (BTBM14) is a significant predictor of mathematics achievement in 19 out of 43 countries, six negatively and thirteen positively</w:t>
      </w:r>
      <w:r w:rsidR="00CA389E" w:rsidRPr="008712F5">
        <w:rPr>
          <w:rStyle w:val="EndnoteReference"/>
          <w:rFonts w:ascii="Times New Roman" w:hAnsi="Times New Roman" w:cs="Times New Roman"/>
          <w:sz w:val="24"/>
          <w:szCs w:val="24"/>
        </w:rPr>
        <w:endnoteReference w:id="8"/>
      </w:r>
      <w:r w:rsidR="00F9549D" w:rsidRPr="008712F5">
        <w:rPr>
          <w:rFonts w:ascii="Times New Roman" w:hAnsi="Times New Roman" w:cs="Times New Roman"/>
          <w:sz w:val="24"/>
          <w:szCs w:val="24"/>
        </w:rPr>
        <w:t xml:space="preserve">. </w:t>
      </w:r>
      <w:r w:rsidR="00CA389E" w:rsidRPr="008712F5">
        <w:rPr>
          <w:rFonts w:ascii="Times New Roman" w:hAnsi="Times New Roman" w:cs="Times New Roman"/>
          <w:sz w:val="24"/>
          <w:szCs w:val="24"/>
        </w:rPr>
        <w:t>Looking at East Asian jurisdictions, we see instructional time being a positive predictor of mathematics achievement in Chinese Taipei and Japan, a negative predictor of mathematics achievement in Singapore, and no significant predictor in Hong Kong SAR and Korea.</w:t>
      </w:r>
      <w:r w:rsidR="00040473" w:rsidRPr="008712F5">
        <w:rPr>
          <w:rFonts w:ascii="Times New Roman" w:hAnsi="Times New Roman" w:cs="Times New Roman"/>
          <w:sz w:val="24"/>
          <w:szCs w:val="24"/>
        </w:rPr>
        <w:t xml:space="preserve"> </w:t>
      </w:r>
      <w:r w:rsidR="00926788" w:rsidRPr="008712F5">
        <w:rPr>
          <w:rFonts w:ascii="Times New Roman" w:hAnsi="Times New Roman" w:cs="Times New Roman"/>
          <w:sz w:val="24"/>
          <w:szCs w:val="24"/>
        </w:rPr>
        <w:t xml:space="preserve"> These results do not show a consistent pattern of country clusters. </w:t>
      </w:r>
    </w:p>
    <w:p w14:paraId="38DCEEF5" w14:textId="5F353C33" w:rsidR="00354216" w:rsidRPr="008712F5" w:rsidRDefault="00354216" w:rsidP="00354216">
      <w:pPr>
        <w:pStyle w:val="ICMEReferences"/>
        <w:keepNext/>
        <w:jc w:val="center"/>
        <w:rPr>
          <w:rFonts w:cs="Times New Roman"/>
          <w:i/>
          <w:iCs/>
          <w:sz w:val="24"/>
          <w:szCs w:val="24"/>
        </w:rPr>
      </w:pPr>
      <w:r w:rsidRPr="008712F5">
        <w:rPr>
          <w:rFonts w:cs="Times New Roman"/>
          <w:sz w:val="24"/>
          <w:szCs w:val="24"/>
        </w:rPr>
        <w:lastRenderedPageBreak/>
        <w:t xml:space="preserve">Table </w:t>
      </w:r>
      <w:r w:rsidR="004D6766" w:rsidRPr="008712F5">
        <w:rPr>
          <w:rFonts w:cs="Times New Roman"/>
          <w:sz w:val="24"/>
          <w:szCs w:val="24"/>
        </w:rPr>
        <w:t xml:space="preserve">III </w:t>
      </w:r>
      <w:r w:rsidRPr="008712F5">
        <w:rPr>
          <w:rFonts w:cs="Times New Roman"/>
          <w:sz w:val="24"/>
          <w:szCs w:val="24"/>
        </w:rPr>
        <w:t>Model results</w:t>
      </w:r>
      <w:r w:rsidR="00A43F2E" w:rsidRPr="008712F5">
        <w:rPr>
          <w:rFonts w:cs="Times New Roman"/>
          <w:sz w:val="24"/>
          <w:szCs w:val="24"/>
        </w:rPr>
        <w:t>. Values are reported betas for the final multilevel models.</w:t>
      </w:r>
      <w:r w:rsidR="006F295C" w:rsidRPr="008712F5">
        <w:rPr>
          <w:rFonts w:cs="Times New Roman"/>
          <w:sz w:val="24"/>
          <w:szCs w:val="24"/>
        </w:rPr>
        <w:t xml:space="preserve"> East Asian jurisdictions in grey.</w:t>
      </w:r>
      <w:r w:rsidR="00C97E6C" w:rsidRPr="008712F5">
        <w:rPr>
          <w:rFonts w:cs="Times New Roman"/>
          <w:sz w:val="24"/>
          <w:szCs w:val="24"/>
        </w:rPr>
        <w:t xml:space="preserve"> Note that Malaysia’s models did not converge and therefore have been omitted.</w:t>
      </w:r>
      <w:r w:rsidR="00A43F2E" w:rsidRPr="008712F5">
        <w:rPr>
          <w:rFonts w:cs="Times New Roman"/>
          <w:sz w:val="24"/>
          <w:szCs w:val="24"/>
        </w:rPr>
        <w:t xml:space="preserve"> * p&lt;.05, ** p&lt;.01, *** p&lt;.001. </w:t>
      </w:r>
      <w:r w:rsidR="004D6766" w:rsidRPr="008712F5">
        <w:rPr>
          <w:rFonts w:cs="Times New Roman"/>
          <w:sz w:val="24"/>
          <w:szCs w:val="24"/>
        </w:rPr>
        <w:t xml:space="preserve"> </w:t>
      </w:r>
      <w:r w:rsidR="00A43F2E" w:rsidRPr="008712F5">
        <w:rPr>
          <w:rFonts w:cs="Times New Roman"/>
          <w:sz w:val="24"/>
          <w:szCs w:val="24"/>
        </w:rPr>
        <w:t>Dependent variable</w:t>
      </w:r>
      <w:r w:rsidR="003B558C" w:rsidRPr="008712F5">
        <w:rPr>
          <w:rFonts w:cs="Times New Roman"/>
          <w:sz w:val="24"/>
          <w:szCs w:val="24"/>
        </w:rPr>
        <w:t xml:space="preserve"> </w:t>
      </w:r>
      <w:r w:rsidR="00A43F2E" w:rsidRPr="008712F5">
        <w:rPr>
          <w:rFonts w:cs="Times New Roman"/>
          <w:sz w:val="24"/>
          <w:szCs w:val="24"/>
        </w:rPr>
        <w:t>BSMMAT</w:t>
      </w:r>
      <w:r w:rsidR="003B558C" w:rsidRPr="008712F5">
        <w:rPr>
          <w:rFonts w:cs="Times New Roman"/>
          <w:sz w:val="24"/>
          <w:szCs w:val="24"/>
        </w:rPr>
        <w:t>01-05</w:t>
      </w:r>
      <w:r w:rsidR="00A43F2E" w:rsidRPr="008712F5">
        <w:rPr>
          <w:rFonts w:cs="Times New Roman"/>
          <w:sz w:val="24"/>
          <w:szCs w:val="24"/>
        </w:rPr>
        <w:t xml:space="preserve">=mathematics achievement. ITSEX=Gender (Female=1, Male=2). </w:t>
      </w:r>
      <w:r w:rsidR="003B558C" w:rsidRPr="008712F5">
        <w:rPr>
          <w:rFonts w:cs="Times New Roman"/>
          <w:sz w:val="24"/>
          <w:szCs w:val="24"/>
        </w:rPr>
        <w:t xml:space="preserve">BSBGHER=Home Educational Resources scale. </w:t>
      </w:r>
      <w:r w:rsidR="00A43F2E" w:rsidRPr="008712F5">
        <w:rPr>
          <w:rFonts w:cs="Times New Roman"/>
          <w:sz w:val="24"/>
          <w:szCs w:val="24"/>
          <w:lang w:val="en-GB"/>
        </w:rPr>
        <w:t>GEN=Generative scale. TA=Teacher-Active scale. PO=Practice-on-Own scale. BTBGLSN=</w:t>
      </w:r>
      <w:r w:rsidR="00A43F2E" w:rsidRPr="008712F5">
        <w:rPr>
          <w:rFonts w:cs="Times New Roman"/>
          <w:sz w:val="24"/>
          <w:szCs w:val="24"/>
        </w:rPr>
        <w:t>’</w:t>
      </w:r>
      <w:r w:rsidR="00A43F2E" w:rsidRPr="008712F5">
        <w:rPr>
          <w:rFonts w:cs="Times New Roman"/>
          <w:sz w:val="24"/>
          <w:szCs w:val="24"/>
          <w:lang w:val="en-GB"/>
        </w:rPr>
        <w:t>Classroom Teaching Limited by Students Not Ready for Instruction</w:t>
      </w:r>
      <w:r w:rsidR="00A43F2E" w:rsidRPr="008712F5">
        <w:rPr>
          <w:rFonts w:cs="Times New Roman"/>
          <w:sz w:val="24"/>
          <w:szCs w:val="24"/>
        </w:rPr>
        <w:t>’ scale. BTBM14=instructional time in minutes per week.</w:t>
      </w:r>
    </w:p>
    <w:tbl>
      <w:tblPr>
        <w:tblStyle w:val="PlainTable2"/>
        <w:tblW w:w="0" w:type="auto"/>
        <w:tblLook w:val="04A0" w:firstRow="1" w:lastRow="0" w:firstColumn="1" w:lastColumn="0" w:noHBand="0" w:noVBand="1"/>
      </w:tblPr>
      <w:tblGrid>
        <w:gridCol w:w="3026"/>
        <w:gridCol w:w="718"/>
        <w:gridCol w:w="485"/>
        <w:gridCol w:w="682"/>
        <w:gridCol w:w="485"/>
        <w:gridCol w:w="627"/>
        <w:gridCol w:w="485"/>
        <w:gridCol w:w="682"/>
        <w:gridCol w:w="485"/>
        <w:gridCol w:w="682"/>
        <w:gridCol w:w="485"/>
        <w:gridCol w:w="682"/>
        <w:gridCol w:w="485"/>
        <w:gridCol w:w="627"/>
        <w:gridCol w:w="485"/>
        <w:gridCol w:w="591"/>
        <w:gridCol w:w="485"/>
      </w:tblGrid>
      <w:tr w:rsidR="008712F5" w:rsidRPr="008712F5" w14:paraId="033780F8" w14:textId="77777777" w:rsidTr="00A43F2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714D87E" w14:textId="77777777" w:rsidR="00A43F2E" w:rsidRPr="008712F5" w:rsidRDefault="00A43F2E" w:rsidP="00A43F2E">
            <w:pPr>
              <w:rPr>
                <w:rFonts w:ascii="Calibri" w:eastAsia="Times New Roman" w:hAnsi="Calibri" w:cs="Calibri"/>
                <w:sz w:val="18"/>
                <w:szCs w:val="18"/>
              </w:rPr>
            </w:pPr>
          </w:p>
        </w:tc>
        <w:tc>
          <w:tcPr>
            <w:tcW w:w="0" w:type="auto"/>
            <w:gridSpan w:val="2"/>
            <w:noWrap/>
            <w:hideMark/>
          </w:tcPr>
          <w:p w14:paraId="26EF57F3" w14:textId="4B91A38D" w:rsidR="00A43F2E" w:rsidRPr="008712F5" w:rsidRDefault="00A43F2E" w:rsidP="00A4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Intercept</w:t>
            </w:r>
          </w:p>
        </w:tc>
        <w:tc>
          <w:tcPr>
            <w:tcW w:w="0" w:type="auto"/>
            <w:gridSpan w:val="2"/>
            <w:noWrap/>
            <w:hideMark/>
          </w:tcPr>
          <w:p w14:paraId="7794B1D4" w14:textId="4F39AABE" w:rsidR="00A43F2E" w:rsidRPr="008712F5" w:rsidRDefault="00A43F2E" w:rsidP="00A4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ITSEX</w:t>
            </w:r>
          </w:p>
        </w:tc>
        <w:tc>
          <w:tcPr>
            <w:tcW w:w="0" w:type="auto"/>
            <w:gridSpan w:val="2"/>
            <w:noWrap/>
            <w:hideMark/>
          </w:tcPr>
          <w:p w14:paraId="1E771704" w14:textId="77777777" w:rsidR="00A43F2E" w:rsidRPr="008712F5" w:rsidRDefault="00A43F2E" w:rsidP="00A4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BSBGHER</w:t>
            </w:r>
          </w:p>
        </w:tc>
        <w:tc>
          <w:tcPr>
            <w:tcW w:w="0" w:type="auto"/>
            <w:gridSpan w:val="2"/>
            <w:noWrap/>
            <w:hideMark/>
          </w:tcPr>
          <w:p w14:paraId="6B2A8BB7" w14:textId="127D92B5" w:rsidR="00A43F2E" w:rsidRPr="008712F5" w:rsidRDefault="00A43F2E" w:rsidP="00A4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GEN</w:t>
            </w:r>
          </w:p>
        </w:tc>
        <w:tc>
          <w:tcPr>
            <w:tcW w:w="0" w:type="auto"/>
            <w:gridSpan w:val="2"/>
            <w:noWrap/>
            <w:hideMark/>
          </w:tcPr>
          <w:p w14:paraId="3660DE50" w14:textId="4A2ACA69" w:rsidR="00A43F2E" w:rsidRPr="008712F5" w:rsidRDefault="00A43F2E" w:rsidP="00A4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TA</w:t>
            </w:r>
          </w:p>
        </w:tc>
        <w:tc>
          <w:tcPr>
            <w:tcW w:w="0" w:type="auto"/>
            <w:gridSpan w:val="2"/>
            <w:noWrap/>
            <w:hideMark/>
          </w:tcPr>
          <w:p w14:paraId="77360665" w14:textId="68B26BBD" w:rsidR="00A43F2E" w:rsidRPr="008712F5" w:rsidRDefault="00A43F2E" w:rsidP="00A4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PO</w:t>
            </w:r>
          </w:p>
        </w:tc>
        <w:tc>
          <w:tcPr>
            <w:tcW w:w="0" w:type="auto"/>
            <w:gridSpan w:val="2"/>
            <w:noWrap/>
            <w:hideMark/>
          </w:tcPr>
          <w:p w14:paraId="6EA03F6F" w14:textId="77777777" w:rsidR="00A43F2E" w:rsidRPr="008712F5" w:rsidRDefault="00A43F2E" w:rsidP="00A4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BTBGLSN</w:t>
            </w:r>
          </w:p>
        </w:tc>
        <w:tc>
          <w:tcPr>
            <w:tcW w:w="0" w:type="auto"/>
            <w:gridSpan w:val="2"/>
            <w:noWrap/>
            <w:hideMark/>
          </w:tcPr>
          <w:p w14:paraId="14AE7126" w14:textId="77777777" w:rsidR="00A43F2E" w:rsidRPr="008712F5" w:rsidRDefault="00A43F2E" w:rsidP="00A43F2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BTBM14</w:t>
            </w:r>
          </w:p>
        </w:tc>
      </w:tr>
      <w:tr w:rsidR="008712F5" w:rsidRPr="008712F5" w14:paraId="03A296FF"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35B6C7C"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Australia</w:t>
            </w:r>
          </w:p>
        </w:tc>
        <w:tc>
          <w:tcPr>
            <w:tcW w:w="0" w:type="auto"/>
            <w:noWrap/>
            <w:hideMark/>
          </w:tcPr>
          <w:p w14:paraId="655D81F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174.55</w:t>
            </w:r>
          </w:p>
        </w:tc>
        <w:tc>
          <w:tcPr>
            <w:tcW w:w="0" w:type="auto"/>
            <w:noWrap/>
            <w:hideMark/>
          </w:tcPr>
          <w:p w14:paraId="4F5035B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32A941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10.28</w:t>
            </w:r>
          </w:p>
        </w:tc>
        <w:tc>
          <w:tcPr>
            <w:tcW w:w="0" w:type="auto"/>
            <w:noWrap/>
            <w:hideMark/>
          </w:tcPr>
          <w:p w14:paraId="237FF69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F230C1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10.94</w:t>
            </w:r>
          </w:p>
        </w:tc>
        <w:tc>
          <w:tcPr>
            <w:tcW w:w="0" w:type="auto"/>
            <w:noWrap/>
            <w:hideMark/>
          </w:tcPr>
          <w:p w14:paraId="7E92B78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D97774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8.62</w:t>
            </w:r>
          </w:p>
        </w:tc>
        <w:tc>
          <w:tcPr>
            <w:tcW w:w="0" w:type="auto"/>
            <w:noWrap/>
            <w:hideMark/>
          </w:tcPr>
          <w:p w14:paraId="16C8CD4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3077930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5.92</w:t>
            </w:r>
          </w:p>
        </w:tc>
        <w:tc>
          <w:tcPr>
            <w:tcW w:w="0" w:type="auto"/>
            <w:noWrap/>
            <w:hideMark/>
          </w:tcPr>
          <w:p w14:paraId="7651426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66D136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-6.16</w:t>
            </w:r>
          </w:p>
        </w:tc>
        <w:tc>
          <w:tcPr>
            <w:tcW w:w="0" w:type="auto"/>
            <w:noWrap/>
            <w:hideMark/>
          </w:tcPr>
          <w:p w14:paraId="418D3F4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2C1C58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18.77</w:t>
            </w:r>
          </w:p>
        </w:tc>
        <w:tc>
          <w:tcPr>
            <w:tcW w:w="0" w:type="auto"/>
            <w:noWrap/>
            <w:hideMark/>
          </w:tcPr>
          <w:p w14:paraId="3EC4EA5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35E30C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-0.06</w:t>
            </w:r>
          </w:p>
        </w:tc>
        <w:tc>
          <w:tcPr>
            <w:tcW w:w="0" w:type="auto"/>
            <w:noWrap/>
            <w:hideMark/>
          </w:tcPr>
          <w:p w14:paraId="6F82AFE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r>
      <w:tr w:rsidR="008712F5" w:rsidRPr="008712F5" w14:paraId="491239B2"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F876E1C"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Bahrain</w:t>
            </w:r>
          </w:p>
        </w:tc>
        <w:tc>
          <w:tcPr>
            <w:tcW w:w="0" w:type="auto"/>
            <w:noWrap/>
            <w:hideMark/>
          </w:tcPr>
          <w:p w14:paraId="5997E7D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366.77</w:t>
            </w:r>
          </w:p>
        </w:tc>
        <w:tc>
          <w:tcPr>
            <w:tcW w:w="0" w:type="auto"/>
            <w:noWrap/>
            <w:hideMark/>
          </w:tcPr>
          <w:p w14:paraId="33A6CBE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0E8FC6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-12.54</w:t>
            </w:r>
          </w:p>
        </w:tc>
        <w:tc>
          <w:tcPr>
            <w:tcW w:w="0" w:type="auto"/>
            <w:noWrap/>
            <w:hideMark/>
          </w:tcPr>
          <w:p w14:paraId="252746E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ED78C5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8.44</w:t>
            </w:r>
          </w:p>
        </w:tc>
        <w:tc>
          <w:tcPr>
            <w:tcW w:w="0" w:type="auto"/>
            <w:noWrap/>
            <w:hideMark/>
          </w:tcPr>
          <w:p w14:paraId="5E30CF6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192B4B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11.82</w:t>
            </w:r>
          </w:p>
        </w:tc>
        <w:tc>
          <w:tcPr>
            <w:tcW w:w="0" w:type="auto"/>
            <w:noWrap/>
            <w:hideMark/>
          </w:tcPr>
          <w:p w14:paraId="442B665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002B2C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-6.54</w:t>
            </w:r>
          </w:p>
        </w:tc>
        <w:tc>
          <w:tcPr>
            <w:tcW w:w="0" w:type="auto"/>
            <w:noWrap/>
            <w:hideMark/>
          </w:tcPr>
          <w:p w14:paraId="1290A66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24D774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-4.36</w:t>
            </w:r>
          </w:p>
        </w:tc>
        <w:tc>
          <w:tcPr>
            <w:tcW w:w="0" w:type="auto"/>
            <w:noWrap/>
            <w:hideMark/>
          </w:tcPr>
          <w:p w14:paraId="00E64DF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E49CEC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3.40</w:t>
            </w:r>
          </w:p>
        </w:tc>
        <w:tc>
          <w:tcPr>
            <w:tcW w:w="0" w:type="auto"/>
            <w:noWrap/>
            <w:hideMark/>
          </w:tcPr>
          <w:p w14:paraId="108E7E2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58AD66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0.04</w:t>
            </w:r>
          </w:p>
        </w:tc>
        <w:tc>
          <w:tcPr>
            <w:tcW w:w="0" w:type="auto"/>
            <w:noWrap/>
            <w:hideMark/>
          </w:tcPr>
          <w:p w14:paraId="7A4F238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680342FD"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B3C4B16"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Chile</w:t>
            </w:r>
          </w:p>
        </w:tc>
        <w:tc>
          <w:tcPr>
            <w:tcW w:w="0" w:type="auto"/>
            <w:noWrap/>
            <w:hideMark/>
          </w:tcPr>
          <w:p w14:paraId="33197AA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221.88</w:t>
            </w:r>
          </w:p>
        </w:tc>
        <w:tc>
          <w:tcPr>
            <w:tcW w:w="0" w:type="auto"/>
            <w:noWrap/>
            <w:hideMark/>
          </w:tcPr>
          <w:p w14:paraId="73828B6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22B574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10.41</w:t>
            </w:r>
          </w:p>
        </w:tc>
        <w:tc>
          <w:tcPr>
            <w:tcW w:w="0" w:type="auto"/>
            <w:noWrap/>
            <w:hideMark/>
          </w:tcPr>
          <w:p w14:paraId="03C0C6C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596240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9.38</w:t>
            </w:r>
          </w:p>
        </w:tc>
        <w:tc>
          <w:tcPr>
            <w:tcW w:w="0" w:type="auto"/>
            <w:noWrap/>
            <w:hideMark/>
          </w:tcPr>
          <w:p w14:paraId="3BF1A7D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0C0C7E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-16.58</w:t>
            </w:r>
          </w:p>
        </w:tc>
        <w:tc>
          <w:tcPr>
            <w:tcW w:w="0" w:type="auto"/>
            <w:noWrap/>
            <w:hideMark/>
          </w:tcPr>
          <w:p w14:paraId="3EC10EB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F5DF4E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-9.68</w:t>
            </w:r>
          </w:p>
        </w:tc>
        <w:tc>
          <w:tcPr>
            <w:tcW w:w="0" w:type="auto"/>
            <w:noWrap/>
            <w:hideMark/>
          </w:tcPr>
          <w:p w14:paraId="2289B9E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8AEC22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8.60</w:t>
            </w:r>
          </w:p>
        </w:tc>
        <w:tc>
          <w:tcPr>
            <w:tcW w:w="0" w:type="auto"/>
            <w:noWrap/>
            <w:hideMark/>
          </w:tcPr>
          <w:p w14:paraId="035AC16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4BB9B26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13.50</w:t>
            </w:r>
          </w:p>
        </w:tc>
        <w:tc>
          <w:tcPr>
            <w:tcW w:w="0" w:type="auto"/>
            <w:noWrap/>
            <w:hideMark/>
          </w:tcPr>
          <w:p w14:paraId="2DFEFA0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9CAD71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0.15</w:t>
            </w:r>
          </w:p>
        </w:tc>
        <w:tc>
          <w:tcPr>
            <w:tcW w:w="0" w:type="auto"/>
            <w:noWrap/>
            <w:hideMark/>
          </w:tcPr>
          <w:p w14:paraId="65AAE43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4C13B1DE" w14:textId="77777777" w:rsidTr="006F295C">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602DD8A6"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Chinese Taipei</w:t>
            </w:r>
          </w:p>
        </w:tc>
        <w:tc>
          <w:tcPr>
            <w:tcW w:w="0" w:type="auto"/>
            <w:shd w:val="clear" w:color="auto" w:fill="D9D9D9" w:themeFill="background1" w:themeFillShade="D9"/>
            <w:noWrap/>
            <w:hideMark/>
          </w:tcPr>
          <w:p w14:paraId="59DD31F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240.39</w:t>
            </w:r>
          </w:p>
        </w:tc>
        <w:tc>
          <w:tcPr>
            <w:tcW w:w="0" w:type="auto"/>
            <w:shd w:val="clear" w:color="auto" w:fill="D9D9D9" w:themeFill="background1" w:themeFillShade="D9"/>
            <w:noWrap/>
            <w:hideMark/>
          </w:tcPr>
          <w:p w14:paraId="15D3C76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7894692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-0.99</w:t>
            </w:r>
          </w:p>
        </w:tc>
        <w:tc>
          <w:tcPr>
            <w:tcW w:w="0" w:type="auto"/>
            <w:shd w:val="clear" w:color="auto" w:fill="D9D9D9" w:themeFill="background1" w:themeFillShade="D9"/>
            <w:noWrap/>
            <w:hideMark/>
          </w:tcPr>
          <w:p w14:paraId="70927DE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3EF5735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19.18</w:t>
            </w:r>
          </w:p>
        </w:tc>
        <w:tc>
          <w:tcPr>
            <w:tcW w:w="0" w:type="auto"/>
            <w:shd w:val="clear" w:color="auto" w:fill="D9D9D9" w:themeFill="background1" w:themeFillShade="D9"/>
            <w:noWrap/>
            <w:hideMark/>
          </w:tcPr>
          <w:p w14:paraId="6955C74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1ACA313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5.62</w:t>
            </w:r>
          </w:p>
        </w:tc>
        <w:tc>
          <w:tcPr>
            <w:tcW w:w="0" w:type="auto"/>
            <w:shd w:val="clear" w:color="auto" w:fill="D9D9D9" w:themeFill="background1" w:themeFillShade="D9"/>
            <w:noWrap/>
            <w:hideMark/>
          </w:tcPr>
          <w:p w14:paraId="59CE65E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5E27B90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3.74</w:t>
            </w:r>
          </w:p>
        </w:tc>
        <w:tc>
          <w:tcPr>
            <w:tcW w:w="0" w:type="auto"/>
            <w:shd w:val="clear" w:color="auto" w:fill="D9D9D9" w:themeFill="background1" w:themeFillShade="D9"/>
            <w:noWrap/>
            <w:hideMark/>
          </w:tcPr>
          <w:p w14:paraId="34F28CF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58170C3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-4.45</w:t>
            </w:r>
          </w:p>
        </w:tc>
        <w:tc>
          <w:tcPr>
            <w:tcW w:w="0" w:type="auto"/>
            <w:shd w:val="clear" w:color="auto" w:fill="D9D9D9" w:themeFill="background1" w:themeFillShade="D9"/>
            <w:noWrap/>
            <w:hideMark/>
          </w:tcPr>
          <w:p w14:paraId="073C791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35FD47E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9.46</w:t>
            </w:r>
          </w:p>
        </w:tc>
        <w:tc>
          <w:tcPr>
            <w:tcW w:w="0" w:type="auto"/>
            <w:shd w:val="clear" w:color="auto" w:fill="D9D9D9" w:themeFill="background1" w:themeFillShade="D9"/>
            <w:noWrap/>
            <w:hideMark/>
          </w:tcPr>
          <w:p w14:paraId="50BC7B1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69CB7CE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0.25</w:t>
            </w:r>
          </w:p>
        </w:tc>
        <w:tc>
          <w:tcPr>
            <w:tcW w:w="0" w:type="auto"/>
            <w:shd w:val="clear" w:color="auto" w:fill="D9D9D9" w:themeFill="background1" w:themeFillShade="D9"/>
            <w:noWrap/>
            <w:hideMark/>
          </w:tcPr>
          <w:p w14:paraId="3E833EF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783E071F"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A9B8291"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Cyprus</w:t>
            </w:r>
          </w:p>
        </w:tc>
        <w:tc>
          <w:tcPr>
            <w:tcW w:w="0" w:type="auto"/>
            <w:noWrap/>
            <w:hideMark/>
          </w:tcPr>
          <w:p w14:paraId="2AECC44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185.92</w:t>
            </w:r>
          </w:p>
        </w:tc>
        <w:tc>
          <w:tcPr>
            <w:tcW w:w="0" w:type="auto"/>
            <w:noWrap/>
            <w:hideMark/>
          </w:tcPr>
          <w:p w14:paraId="5831A15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3077B7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-1.57</w:t>
            </w:r>
          </w:p>
        </w:tc>
        <w:tc>
          <w:tcPr>
            <w:tcW w:w="0" w:type="auto"/>
            <w:noWrap/>
            <w:hideMark/>
          </w:tcPr>
          <w:p w14:paraId="5119786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92CC2E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21.51</w:t>
            </w:r>
          </w:p>
        </w:tc>
        <w:tc>
          <w:tcPr>
            <w:tcW w:w="0" w:type="auto"/>
            <w:noWrap/>
            <w:hideMark/>
          </w:tcPr>
          <w:p w14:paraId="253E5E0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4AA164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3.58</w:t>
            </w:r>
          </w:p>
        </w:tc>
        <w:tc>
          <w:tcPr>
            <w:tcW w:w="0" w:type="auto"/>
            <w:noWrap/>
            <w:hideMark/>
          </w:tcPr>
          <w:p w14:paraId="6C254C3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DE9396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-6.61</w:t>
            </w:r>
          </w:p>
        </w:tc>
        <w:tc>
          <w:tcPr>
            <w:tcW w:w="0" w:type="auto"/>
            <w:noWrap/>
            <w:hideMark/>
          </w:tcPr>
          <w:p w14:paraId="274B645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255C55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10.20</w:t>
            </w:r>
          </w:p>
        </w:tc>
        <w:tc>
          <w:tcPr>
            <w:tcW w:w="0" w:type="auto"/>
            <w:noWrap/>
            <w:hideMark/>
          </w:tcPr>
          <w:p w14:paraId="7F812D2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9ADAC4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3.88</w:t>
            </w:r>
          </w:p>
        </w:tc>
        <w:tc>
          <w:tcPr>
            <w:tcW w:w="0" w:type="auto"/>
            <w:noWrap/>
            <w:hideMark/>
          </w:tcPr>
          <w:p w14:paraId="36B7C0F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271B58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0.14</w:t>
            </w:r>
          </w:p>
        </w:tc>
        <w:tc>
          <w:tcPr>
            <w:tcW w:w="0" w:type="auto"/>
            <w:noWrap/>
            <w:hideMark/>
          </w:tcPr>
          <w:p w14:paraId="1F4D6C3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2DECBFFC"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EA41B7B"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Finland</w:t>
            </w:r>
          </w:p>
        </w:tc>
        <w:tc>
          <w:tcPr>
            <w:tcW w:w="0" w:type="auto"/>
            <w:noWrap/>
            <w:hideMark/>
          </w:tcPr>
          <w:p w14:paraId="78BF3B2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180.09</w:t>
            </w:r>
          </w:p>
        </w:tc>
        <w:tc>
          <w:tcPr>
            <w:tcW w:w="0" w:type="auto"/>
            <w:noWrap/>
            <w:hideMark/>
          </w:tcPr>
          <w:p w14:paraId="5B4E83D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E25B6F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1.92</w:t>
            </w:r>
          </w:p>
        </w:tc>
        <w:tc>
          <w:tcPr>
            <w:tcW w:w="0" w:type="auto"/>
            <w:noWrap/>
            <w:hideMark/>
          </w:tcPr>
          <w:p w14:paraId="37E9CB7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F309AF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15.68</w:t>
            </w:r>
          </w:p>
        </w:tc>
        <w:tc>
          <w:tcPr>
            <w:tcW w:w="0" w:type="auto"/>
            <w:noWrap/>
            <w:hideMark/>
          </w:tcPr>
          <w:p w14:paraId="26B672D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0606BE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9.48</w:t>
            </w:r>
          </w:p>
        </w:tc>
        <w:tc>
          <w:tcPr>
            <w:tcW w:w="0" w:type="auto"/>
            <w:noWrap/>
            <w:hideMark/>
          </w:tcPr>
          <w:p w14:paraId="4E18A04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1C9034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-7.71</w:t>
            </w:r>
          </w:p>
        </w:tc>
        <w:tc>
          <w:tcPr>
            <w:tcW w:w="0" w:type="auto"/>
            <w:noWrap/>
            <w:hideMark/>
          </w:tcPr>
          <w:p w14:paraId="378FABE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DC3D44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6.16</w:t>
            </w:r>
          </w:p>
        </w:tc>
        <w:tc>
          <w:tcPr>
            <w:tcW w:w="0" w:type="auto"/>
            <w:noWrap/>
            <w:hideMark/>
          </w:tcPr>
          <w:p w14:paraId="7CB47E1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335521D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10.58</w:t>
            </w:r>
          </w:p>
        </w:tc>
        <w:tc>
          <w:tcPr>
            <w:tcW w:w="0" w:type="auto"/>
            <w:noWrap/>
            <w:hideMark/>
          </w:tcPr>
          <w:p w14:paraId="63FF78C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AC9AEC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0.06</w:t>
            </w:r>
          </w:p>
        </w:tc>
        <w:tc>
          <w:tcPr>
            <w:tcW w:w="0" w:type="auto"/>
            <w:noWrap/>
            <w:hideMark/>
          </w:tcPr>
          <w:p w14:paraId="064205F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573C738C"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E8DF0CC"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France</w:t>
            </w:r>
          </w:p>
        </w:tc>
        <w:tc>
          <w:tcPr>
            <w:tcW w:w="0" w:type="auto"/>
            <w:noWrap/>
            <w:hideMark/>
          </w:tcPr>
          <w:p w14:paraId="565BC28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211.12</w:t>
            </w:r>
          </w:p>
        </w:tc>
        <w:tc>
          <w:tcPr>
            <w:tcW w:w="0" w:type="auto"/>
            <w:noWrap/>
            <w:hideMark/>
          </w:tcPr>
          <w:p w14:paraId="1942E88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6DE2B1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10.42</w:t>
            </w:r>
          </w:p>
        </w:tc>
        <w:tc>
          <w:tcPr>
            <w:tcW w:w="0" w:type="auto"/>
            <w:noWrap/>
            <w:hideMark/>
          </w:tcPr>
          <w:p w14:paraId="04284B8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8E7488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17.95</w:t>
            </w:r>
          </w:p>
        </w:tc>
        <w:tc>
          <w:tcPr>
            <w:tcW w:w="0" w:type="auto"/>
            <w:noWrap/>
            <w:hideMark/>
          </w:tcPr>
          <w:p w14:paraId="7BD6108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E44C85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-5.03</w:t>
            </w:r>
          </w:p>
        </w:tc>
        <w:tc>
          <w:tcPr>
            <w:tcW w:w="0" w:type="auto"/>
            <w:noWrap/>
            <w:hideMark/>
          </w:tcPr>
          <w:p w14:paraId="0FC6553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46BF43B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3.42</w:t>
            </w:r>
          </w:p>
        </w:tc>
        <w:tc>
          <w:tcPr>
            <w:tcW w:w="0" w:type="auto"/>
            <w:noWrap/>
            <w:hideMark/>
          </w:tcPr>
          <w:p w14:paraId="3295BA8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3522320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0.08</w:t>
            </w:r>
          </w:p>
        </w:tc>
        <w:tc>
          <w:tcPr>
            <w:tcW w:w="0" w:type="auto"/>
            <w:noWrap/>
            <w:hideMark/>
          </w:tcPr>
          <w:p w14:paraId="7BE5ED9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3ED98D4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6.02</w:t>
            </w:r>
          </w:p>
        </w:tc>
        <w:tc>
          <w:tcPr>
            <w:tcW w:w="0" w:type="auto"/>
            <w:noWrap/>
            <w:hideMark/>
          </w:tcPr>
          <w:p w14:paraId="3B0DD6B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CF27F2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0.05</w:t>
            </w:r>
          </w:p>
        </w:tc>
        <w:tc>
          <w:tcPr>
            <w:tcW w:w="0" w:type="auto"/>
            <w:noWrap/>
            <w:hideMark/>
          </w:tcPr>
          <w:p w14:paraId="1E05954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r>
      <w:tr w:rsidR="008712F5" w:rsidRPr="008712F5" w14:paraId="52721479"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529A8E3"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Georgia</w:t>
            </w:r>
          </w:p>
        </w:tc>
        <w:tc>
          <w:tcPr>
            <w:tcW w:w="0" w:type="auto"/>
            <w:noWrap/>
            <w:hideMark/>
          </w:tcPr>
          <w:p w14:paraId="6A40DCF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308.05</w:t>
            </w:r>
          </w:p>
        </w:tc>
        <w:tc>
          <w:tcPr>
            <w:tcW w:w="0" w:type="auto"/>
            <w:noWrap/>
            <w:hideMark/>
          </w:tcPr>
          <w:p w14:paraId="5568C02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EA141C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9.39</w:t>
            </w:r>
          </w:p>
        </w:tc>
        <w:tc>
          <w:tcPr>
            <w:tcW w:w="0" w:type="auto"/>
            <w:noWrap/>
            <w:hideMark/>
          </w:tcPr>
          <w:p w14:paraId="7B6581C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0308D4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13.74</w:t>
            </w:r>
          </w:p>
        </w:tc>
        <w:tc>
          <w:tcPr>
            <w:tcW w:w="0" w:type="auto"/>
            <w:noWrap/>
            <w:hideMark/>
          </w:tcPr>
          <w:p w14:paraId="61A7C80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CB2D24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21.32</w:t>
            </w:r>
          </w:p>
        </w:tc>
        <w:tc>
          <w:tcPr>
            <w:tcW w:w="0" w:type="auto"/>
            <w:noWrap/>
            <w:hideMark/>
          </w:tcPr>
          <w:p w14:paraId="733A969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9AFBE6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-0.14</w:t>
            </w:r>
          </w:p>
        </w:tc>
        <w:tc>
          <w:tcPr>
            <w:tcW w:w="0" w:type="auto"/>
            <w:noWrap/>
            <w:hideMark/>
          </w:tcPr>
          <w:p w14:paraId="56283B0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06D4B9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-25.31</w:t>
            </w:r>
          </w:p>
        </w:tc>
        <w:tc>
          <w:tcPr>
            <w:tcW w:w="0" w:type="auto"/>
            <w:noWrap/>
            <w:hideMark/>
          </w:tcPr>
          <w:p w14:paraId="5BF8D33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3CBC12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-3.73</w:t>
            </w:r>
          </w:p>
        </w:tc>
        <w:tc>
          <w:tcPr>
            <w:tcW w:w="0" w:type="auto"/>
            <w:noWrap/>
            <w:hideMark/>
          </w:tcPr>
          <w:p w14:paraId="6ABD6BF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FE33C7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0.20</w:t>
            </w:r>
          </w:p>
        </w:tc>
        <w:tc>
          <w:tcPr>
            <w:tcW w:w="0" w:type="auto"/>
            <w:noWrap/>
            <w:hideMark/>
          </w:tcPr>
          <w:p w14:paraId="4B929BD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653823F5" w14:textId="77777777" w:rsidTr="006F29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7D883FB8"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Hong Kong SAR</w:t>
            </w:r>
          </w:p>
        </w:tc>
        <w:tc>
          <w:tcPr>
            <w:tcW w:w="0" w:type="auto"/>
            <w:shd w:val="clear" w:color="auto" w:fill="D9D9D9" w:themeFill="background1" w:themeFillShade="D9"/>
            <w:noWrap/>
            <w:hideMark/>
          </w:tcPr>
          <w:p w14:paraId="6F0166E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227.33</w:t>
            </w:r>
          </w:p>
        </w:tc>
        <w:tc>
          <w:tcPr>
            <w:tcW w:w="0" w:type="auto"/>
            <w:shd w:val="clear" w:color="auto" w:fill="D9D9D9" w:themeFill="background1" w:themeFillShade="D9"/>
            <w:noWrap/>
            <w:hideMark/>
          </w:tcPr>
          <w:p w14:paraId="23D5D63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5D886A5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10.36</w:t>
            </w:r>
          </w:p>
        </w:tc>
        <w:tc>
          <w:tcPr>
            <w:tcW w:w="0" w:type="auto"/>
            <w:shd w:val="clear" w:color="auto" w:fill="D9D9D9" w:themeFill="background1" w:themeFillShade="D9"/>
            <w:noWrap/>
            <w:hideMark/>
          </w:tcPr>
          <w:p w14:paraId="5563EAA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752D4C0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1.96</w:t>
            </w:r>
          </w:p>
        </w:tc>
        <w:tc>
          <w:tcPr>
            <w:tcW w:w="0" w:type="auto"/>
            <w:shd w:val="clear" w:color="auto" w:fill="D9D9D9" w:themeFill="background1" w:themeFillShade="D9"/>
            <w:noWrap/>
            <w:hideMark/>
          </w:tcPr>
          <w:p w14:paraId="65CB6A9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47C4CAA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16.62</w:t>
            </w:r>
          </w:p>
        </w:tc>
        <w:tc>
          <w:tcPr>
            <w:tcW w:w="0" w:type="auto"/>
            <w:shd w:val="clear" w:color="auto" w:fill="D9D9D9" w:themeFill="background1" w:themeFillShade="D9"/>
            <w:noWrap/>
            <w:hideMark/>
          </w:tcPr>
          <w:p w14:paraId="639EE0B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61200FA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-12.80</w:t>
            </w:r>
          </w:p>
        </w:tc>
        <w:tc>
          <w:tcPr>
            <w:tcW w:w="0" w:type="auto"/>
            <w:shd w:val="clear" w:color="auto" w:fill="D9D9D9" w:themeFill="background1" w:themeFillShade="D9"/>
            <w:noWrap/>
            <w:hideMark/>
          </w:tcPr>
          <w:p w14:paraId="2605F3A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4D603F8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7.33</w:t>
            </w:r>
          </w:p>
        </w:tc>
        <w:tc>
          <w:tcPr>
            <w:tcW w:w="0" w:type="auto"/>
            <w:shd w:val="clear" w:color="auto" w:fill="D9D9D9" w:themeFill="background1" w:themeFillShade="D9"/>
            <w:noWrap/>
            <w:hideMark/>
          </w:tcPr>
          <w:p w14:paraId="0072084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31B4EE7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27.89</w:t>
            </w:r>
          </w:p>
        </w:tc>
        <w:tc>
          <w:tcPr>
            <w:tcW w:w="0" w:type="auto"/>
            <w:shd w:val="clear" w:color="auto" w:fill="D9D9D9" w:themeFill="background1" w:themeFillShade="D9"/>
            <w:noWrap/>
            <w:hideMark/>
          </w:tcPr>
          <w:p w14:paraId="052C9D6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1B9E4AE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-0.03</w:t>
            </w:r>
          </w:p>
        </w:tc>
        <w:tc>
          <w:tcPr>
            <w:tcW w:w="0" w:type="auto"/>
            <w:shd w:val="clear" w:color="auto" w:fill="D9D9D9" w:themeFill="background1" w:themeFillShade="D9"/>
            <w:noWrap/>
            <w:hideMark/>
          </w:tcPr>
          <w:p w14:paraId="22AD162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r>
      <w:tr w:rsidR="008712F5" w:rsidRPr="008712F5" w14:paraId="6A3308AE"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5C85644"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Hungary</w:t>
            </w:r>
          </w:p>
        </w:tc>
        <w:tc>
          <w:tcPr>
            <w:tcW w:w="0" w:type="auto"/>
            <w:noWrap/>
            <w:hideMark/>
          </w:tcPr>
          <w:p w14:paraId="61A2523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107.15</w:t>
            </w:r>
          </w:p>
        </w:tc>
        <w:tc>
          <w:tcPr>
            <w:tcW w:w="0" w:type="auto"/>
            <w:noWrap/>
            <w:hideMark/>
          </w:tcPr>
          <w:p w14:paraId="2B389D7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5FE7CE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12.34</w:t>
            </w:r>
          </w:p>
        </w:tc>
        <w:tc>
          <w:tcPr>
            <w:tcW w:w="0" w:type="auto"/>
            <w:noWrap/>
            <w:hideMark/>
          </w:tcPr>
          <w:p w14:paraId="7F0AA87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6EDFBC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20.25</w:t>
            </w:r>
          </w:p>
        </w:tc>
        <w:tc>
          <w:tcPr>
            <w:tcW w:w="0" w:type="auto"/>
            <w:noWrap/>
            <w:hideMark/>
          </w:tcPr>
          <w:p w14:paraId="02E0E8A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948E1C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12.16</w:t>
            </w:r>
          </w:p>
        </w:tc>
        <w:tc>
          <w:tcPr>
            <w:tcW w:w="0" w:type="auto"/>
            <w:noWrap/>
            <w:hideMark/>
          </w:tcPr>
          <w:p w14:paraId="4C0928E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6728EC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-5.16</w:t>
            </w:r>
          </w:p>
        </w:tc>
        <w:tc>
          <w:tcPr>
            <w:tcW w:w="0" w:type="auto"/>
            <w:noWrap/>
            <w:hideMark/>
          </w:tcPr>
          <w:p w14:paraId="43DB6E2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41DF1E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-0.89</w:t>
            </w:r>
          </w:p>
        </w:tc>
        <w:tc>
          <w:tcPr>
            <w:tcW w:w="0" w:type="auto"/>
            <w:noWrap/>
            <w:hideMark/>
          </w:tcPr>
          <w:p w14:paraId="1BD566E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4D8C8A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11.21</w:t>
            </w:r>
          </w:p>
        </w:tc>
        <w:tc>
          <w:tcPr>
            <w:tcW w:w="0" w:type="auto"/>
            <w:noWrap/>
            <w:hideMark/>
          </w:tcPr>
          <w:p w14:paraId="6B95FB9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3E0C82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0.13</w:t>
            </w:r>
          </w:p>
        </w:tc>
        <w:tc>
          <w:tcPr>
            <w:tcW w:w="0" w:type="auto"/>
            <w:noWrap/>
            <w:hideMark/>
          </w:tcPr>
          <w:p w14:paraId="116BA8A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58C7F0E3"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2E0E383"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Iran, Islamic Republic of</w:t>
            </w:r>
          </w:p>
        </w:tc>
        <w:tc>
          <w:tcPr>
            <w:tcW w:w="0" w:type="auto"/>
            <w:noWrap/>
            <w:hideMark/>
          </w:tcPr>
          <w:p w14:paraId="4884EC6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270.24</w:t>
            </w:r>
          </w:p>
        </w:tc>
        <w:tc>
          <w:tcPr>
            <w:tcW w:w="0" w:type="auto"/>
            <w:noWrap/>
            <w:hideMark/>
          </w:tcPr>
          <w:p w14:paraId="2E6F41F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D4303F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-9.00</w:t>
            </w:r>
          </w:p>
        </w:tc>
        <w:tc>
          <w:tcPr>
            <w:tcW w:w="0" w:type="auto"/>
            <w:noWrap/>
            <w:hideMark/>
          </w:tcPr>
          <w:p w14:paraId="0EFCD78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4E52EF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10.78</w:t>
            </w:r>
          </w:p>
        </w:tc>
        <w:tc>
          <w:tcPr>
            <w:tcW w:w="0" w:type="auto"/>
            <w:noWrap/>
            <w:hideMark/>
          </w:tcPr>
          <w:p w14:paraId="3748445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A7208A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19.89</w:t>
            </w:r>
          </w:p>
        </w:tc>
        <w:tc>
          <w:tcPr>
            <w:tcW w:w="0" w:type="auto"/>
            <w:noWrap/>
            <w:hideMark/>
          </w:tcPr>
          <w:p w14:paraId="33C1F89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36A3BC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-15.57</w:t>
            </w:r>
          </w:p>
        </w:tc>
        <w:tc>
          <w:tcPr>
            <w:tcW w:w="0" w:type="auto"/>
            <w:noWrap/>
            <w:hideMark/>
          </w:tcPr>
          <w:p w14:paraId="0D841E5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08D537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1.67</w:t>
            </w:r>
          </w:p>
        </w:tc>
        <w:tc>
          <w:tcPr>
            <w:tcW w:w="0" w:type="auto"/>
            <w:noWrap/>
            <w:hideMark/>
          </w:tcPr>
          <w:p w14:paraId="68C7BDD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1CBCBF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5.49</w:t>
            </w:r>
          </w:p>
        </w:tc>
        <w:tc>
          <w:tcPr>
            <w:tcW w:w="0" w:type="auto"/>
            <w:noWrap/>
            <w:hideMark/>
          </w:tcPr>
          <w:p w14:paraId="125D505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0DF487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0.12</w:t>
            </w:r>
          </w:p>
        </w:tc>
        <w:tc>
          <w:tcPr>
            <w:tcW w:w="0" w:type="auto"/>
            <w:noWrap/>
            <w:hideMark/>
          </w:tcPr>
          <w:p w14:paraId="30EB953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679AD77D"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9711E1E"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Israel</w:t>
            </w:r>
          </w:p>
        </w:tc>
        <w:tc>
          <w:tcPr>
            <w:tcW w:w="0" w:type="auto"/>
            <w:noWrap/>
            <w:hideMark/>
          </w:tcPr>
          <w:p w14:paraId="539D1CB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267.63</w:t>
            </w:r>
          </w:p>
        </w:tc>
        <w:tc>
          <w:tcPr>
            <w:tcW w:w="0" w:type="auto"/>
            <w:noWrap/>
            <w:hideMark/>
          </w:tcPr>
          <w:p w14:paraId="4D63A50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2BF8DE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11.75</w:t>
            </w:r>
          </w:p>
        </w:tc>
        <w:tc>
          <w:tcPr>
            <w:tcW w:w="0" w:type="auto"/>
            <w:noWrap/>
            <w:hideMark/>
          </w:tcPr>
          <w:p w14:paraId="09B3E13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4D4A07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10.38</w:t>
            </w:r>
          </w:p>
        </w:tc>
        <w:tc>
          <w:tcPr>
            <w:tcW w:w="0" w:type="auto"/>
            <w:noWrap/>
            <w:hideMark/>
          </w:tcPr>
          <w:p w14:paraId="7C1D457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9FE0ED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16.30</w:t>
            </w:r>
          </w:p>
        </w:tc>
        <w:tc>
          <w:tcPr>
            <w:tcW w:w="0" w:type="auto"/>
            <w:noWrap/>
            <w:hideMark/>
          </w:tcPr>
          <w:p w14:paraId="728D163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99A255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-24.67</w:t>
            </w:r>
          </w:p>
        </w:tc>
        <w:tc>
          <w:tcPr>
            <w:tcW w:w="0" w:type="auto"/>
            <w:noWrap/>
            <w:hideMark/>
          </w:tcPr>
          <w:p w14:paraId="1996F05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E8F17D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-0.91</w:t>
            </w:r>
          </w:p>
        </w:tc>
        <w:tc>
          <w:tcPr>
            <w:tcW w:w="0" w:type="auto"/>
            <w:noWrap/>
            <w:hideMark/>
          </w:tcPr>
          <w:p w14:paraId="6293667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4BCE62E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15.64</w:t>
            </w:r>
          </w:p>
        </w:tc>
        <w:tc>
          <w:tcPr>
            <w:tcW w:w="0" w:type="auto"/>
            <w:noWrap/>
            <w:hideMark/>
          </w:tcPr>
          <w:p w14:paraId="47B628C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247AF8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0.04</w:t>
            </w:r>
          </w:p>
        </w:tc>
        <w:tc>
          <w:tcPr>
            <w:tcW w:w="0" w:type="auto"/>
            <w:noWrap/>
            <w:hideMark/>
          </w:tcPr>
          <w:p w14:paraId="0326190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52D19833"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A49CE39"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Italy</w:t>
            </w:r>
          </w:p>
        </w:tc>
        <w:tc>
          <w:tcPr>
            <w:tcW w:w="0" w:type="auto"/>
            <w:noWrap/>
            <w:hideMark/>
          </w:tcPr>
          <w:p w14:paraId="3C793C3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349.93</w:t>
            </w:r>
          </w:p>
        </w:tc>
        <w:tc>
          <w:tcPr>
            <w:tcW w:w="0" w:type="auto"/>
            <w:noWrap/>
            <w:hideMark/>
          </w:tcPr>
          <w:p w14:paraId="12071BB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5BDFA6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14.27</w:t>
            </w:r>
          </w:p>
        </w:tc>
        <w:tc>
          <w:tcPr>
            <w:tcW w:w="0" w:type="auto"/>
            <w:noWrap/>
            <w:hideMark/>
          </w:tcPr>
          <w:p w14:paraId="543BA4C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F2DF11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13.80</w:t>
            </w:r>
          </w:p>
        </w:tc>
        <w:tc>
          <w:tcPr>
            <w:tcW w:w="0" w:type="auto"/>
            <w:noWrap/>
            <w:hideMark/>
          </w:tcPr>
          <w:p w14:paraId="7087B88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1C0035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-7.15</w:t>
            </w:r>
          </w:p>
        </w:tc>
        <w:tc>
          <w:tcPr>
            <w:tcW w:w="0" w:type="auto"/>
            <w:noWrap/>
            <w:hideMark/>
          </w:tcPr>
          <w:p w14:paraId="5E4C0B4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65955E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-2.56</w:t>
            </w:r>
          </w:p>
        </w:tc>
        <w:tc>
          <w:tcPr>
            <w:tcW w:w="0" w:type="auto"/>
            <w:noWrap/>
            <w:hideMark/>
          </w:tcPr>
          <w:p w14:paraId="4C41076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5C5289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-4.98</w:t>
            </w:r>
          </w:p>
        </w:tc>
        <w:tc>
          <w:tcPr>
            <w:tcW w:w="0" w:type="auto"/>
            <w:noWrap/>
            <w:hideMark/>
          </w:tcPr>
          <w:p w14:paraId="27B341F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2F54B4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2.19</w:t>
            </w:r>
          </w:p>
        </w:tc>
        <w:tc>
          <w:tcPr>
            <w:tcW w:w="0" w:type="auto"/>
            <w:noWrap/>
            <w:hideMark/>
          </w:tcPr>
          <w:p w14:paraId="3755103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55C2E1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0.04</w:t>
            </w:r>
          </w:p>
        </w:tc>
        <w:tc>
          <w:tcPr>
            <w:tcW w:w="0" w:type="auto"/>
            <w:noWrap/>
            <w:hideMark/>
          </w:tcPr>
          <w:p w14:paraId="4C617BA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r>
      <w:tr w:rsidR="008712F5" w:rsidRPr="008712F5" w14:paraId="3D678D77" w14:textId="77777777" w:rsidTr="006F295C">
        <w:trPr>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4DC8B0E5"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Japan</w:t>
            </w:r>
          </w:p>
        </w:tc>
        <w:tc>
          <w:tcPr>
            <w:tcW w:w="0" w:type="auto"/>
            <w:shd w:val="clear" w:color="auto" w:fill="D9D9D9" w:themeFill="background1" w:themeFillShade="D9"/>
            <w:noWrap/>
            <w:hideMark/>
          </w:tcPr>
          <w:p w14:paraId="27372F4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296.37</w:t>
            </w:r>
          </w:p>
        </w:tc>
        <w:tc>
          <w:tcPr>
            <w:tcW w:w="0" w:type="auto"/>
            <w:shd w:val="clear" w:color="auto" w:fill="D9D9D9" w:themeFill="background1" w:themeFillShade="D9"/>
            <w:noWrap/>
            <w:hideMark/>
          </w:tcPr>
          <w:p w14:paraId="0B1CF0A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70495CA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2.28</w:t>
            </w:r>
          </w:p>
        </w:tc>
        <w:tc>
          <w:tcPr>
            <w:tcW w:w="0" w:type="auto"/>
            <w:shd w:val="clear" w:color="auto" w:fill="D9D9D9" w:themeFill="background1" w:themeFillShade="D9"/>
            <w:noWrap/>
            <w:hideMark/>
          </w:tcPr>
          <w:p w14:paraId="4973998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72D4BE0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19.32</w:t>
            </w:r>
          </w:p>
        </w:tc>
        <w:tc>
          <w:tcPr>
            <w:tcW w:w="0" w:type="auto"/>
            <w:shd w:val="clear" w:color="auto" w:fill="D9D9D9" w:themeFill="background1" w:themeFillShade="D9"/>
            <w:noWrap/>
            <w:hideMark/>
          </w:tcPr>
          <w:p w14:paraId="668A2BE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5DC2A9A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4.38</w:t>
            </w:r>
          </w:p>
        </w:tc>
        <w:tc>
          <w:tcPr>
            <w:tcW w:w="0" w:type="auto"/>
            <w:shd w:val="clear" w:color="auto" w:fill="D9D9D9" w:themeFill="background1" w:themeFillShade="D9"/>
            <w:noWrap/>
            <w:hideMark/>
          </w:tcPr>
          <w:p w14:paraId="0FF39E7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1012646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0.65</w:t>
            </w:r>
          </w:p>
        </w:tc>
        <w:tc>
          <w:tcPr>
            <w:tcW w:w="0" w:type="auto"/>
            <w:shd w:val="clear" w:color="auto" w:fill="D9D9D9" w:themeFill="background1" w:themeFillShade="D9"/>
            <w:noWrap/>
            <w:hideMark/>
          </w:tcPr>
          <w:p w14:paraId="2CA2162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613907D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-2.07</w:t>
            </w:r>
          </w:p>
        </w:tc>
        <w:tc>
          <w:tcPr>
            <w:tcW w:w="0" w:type="auto"/>
            <w:shd w:val="clear" w:color="auto" w:fill="D9D9D9" w:themeFill="background1" w:themeFillShade="D9"/>
            <w:noWrap/>
            <w:hideMark/>
          </w:tcPr>
          <w:p w14:paraId="63EDF6D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3B23004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4.18</w:t>
            </w:r>
          </w:p>
        </w:tc>
        <w:tc>
          <w:tcPr>
            <w:tcW w:w="0" w:type="auto"/>
            <w:shd w:val="clear" w:color="auto" w:fill="D9D9D9" w:themeFill="background1" w:themeFillShade="D9"/>
            <w:noWrap/>
            <w:hideMark/>
          </w:tcPr>
          <w:p w14:paraId="48CF694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5806CAC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0.17</w:t>
            </w:r>
          </w:p>
        </w:tc>
        <w:tc>
          <w:tcPr>
            <w:tcW w:w="0" w:type="auto"/>
            <w:shd w:val="clear" w:color="auto" w:fill="D9D9D9" w:themeFill="background1" w:themeFillShade="D9"/>
            <w:noWrap/>
            <w:hideMark/>
          </w:tcPr>
          <w:p w14:paraId="179EAD3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2559F2AF"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8AAE572"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Kazakhstan</w:t>
            </w:r>
          </w:p>
        </w:tc>
        <w:tc>
          <w:tcPr>
            <w:tcW w:w="0" w:type="auto"/>
            <w:noWrap/>
            <w:hideMark/>
          </w:tcPr>
          <w:p w14:paraId="5F3130B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360.77</w:t>
            </w:r>
          </w:p>
        </w:tc>
        <w:tc>
          <w:tcPr>
            <w:tcW w:w="0" w:type="auto"/>
            <w:noWrap/>
            <w:hideMark/>
          </w:tcPr>
          <w:p w14:paraId="7D2792D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238DCD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0.75</w:t>
            </w:r>
          </w:p>
        </w:tc>
        <w:tc>
          <w:tcPr>
            <w:tcW w:w="0" w:type="auto"/>
            <w:noWrap/>
            <w:hideMark/>
          </w:tcPr>
          <w:p w14:paraId="0A7D918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E45BFE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7.73</w:t>
            </w:r>
          </w:p>
        </w:tc>
        <w:tc>
          <w:tcPr>
            <w:tcW w:w="0" w:type="auto"/>
            <w:noWrap/>
            <w:hideMark/>
          </w:tcPr>
          <w:p w14:paraId="24DF565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700DAA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5.68</w:t>
            </w:r>
          </w:p>
        </w:tc>
        <w:tc>
          <w:tcPr>
            <w:tcW w:w="0" w:type="auto"/>
            <w:noWrap/>
            <w:hideMark/>
          </w:tcPr>
          <w:p w14:paraId="66D1A46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39C7B1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5.21</w:t>
            </w:r>
          </w:p>
        </w:tc>
        <w:tc>
          <w:tcPr>
            <w:tcW w:w="0" w:type="auto"/>
            <w:noWrap/>
            <w:hideMark/>
          </w:tcPr>
          <w:p w14:paraId="752B681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D4422E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-12.10</w:t>
            </w:r>
          </w:p>
        </w:tc>
        <w:tc>
          <w:tcPr>
            <w:tcW w:w="0" w:type="auto"/>
            <w:noWrap/>
            <w:hideMark/>
          </w:tcPr>
          <w:p w14:paraId="59FCB45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4E9F4A1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2.06</w:t>
            </w:r>
          </w:p>
        </w:tc>
        <w:tc>
          <w:tcPr>
            <w:tcW w:w="0" w:type="auto"/>
            <w:noWrap/>
            <w:hideMark/>
          </w:tcPr>
          <w:p w14:paraId="4FE94D8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4451498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0.19</w:t>
            </w:r>
          </w:p>
        </w:tc>
        <w:tc>
          <w:tcPr>
            <w:tcW w:w="0" w:type="auto"/>
            <w:noWrap/>
            <w:hideMark/>
          </w:tcPr>
          <w:p w14:paraId="7D7FA7E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1A2ABC82"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6BFF76C"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Jordan</w:t>
            </w:r>
          </w:p>
        </w:tc>
        <w:tc>
          <w:tcPr>
            <w:tcW w:w="0" w:type="auto"/>
            <w:noWrap/>
            <w:hideMark/>
          </w:tcPr>
          <w:p w14:paraId="0D83A78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256.09</w:t>
            </w:r>
          </w:p>
        </w:tc>
        <w:tc>
          <w:tcPr>
            <w:tcW w:w="0" w:type="auto"/>
            <w:noWrap/>
            <w:hideMark/>
          </w:tcPr>
          <w:p w14:paraId="0EBEAFD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46CEE7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-13.24</w:t>
            </w:r>
          </w:p>
        </w:tc>
        <w:tc>
          <w:tcPr>
            <w:tcW w:w="0" w:type="auto"/>
            <w:noWrap/>
            <w:hideMark/>
          </w:tcPr>
          <w:p w14:paraId="22048AB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34A7FA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7.83</w:t>
            </w:r>
          </w:p>
        </w:tc>
        <w:tc>
          <w:tcPr>
            <w:tcW w:w="0" w:type="auto"/>
            <w:noWrap/>
            <w:hideMark/>
          </w:tcPr>
          <w:p w14:paraId="7C0EDB3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0FDA34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0.51</w:t>
            </w:r>
          </w:p>
        </w:tc>
        <w:tc>
          <w:tcPr>
            <w:tcW w:w="0" w:type="auto"/>
            <w:noWrap/>
            <w:hideMark/>
          </w:tcPr>
          <w:p w14:paraId="7D6CC44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0B21B6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-3.16</w:t>
            </w:r>
          </w:p>
        </w:tc>
        <w:tc>
          <w:tcPr>
            <w:tcW w:w="0" w:type="auto"/>
            <w:noWrap/>
            <w:hideMark/>
          </w:tcPr>
          <w:p w14:paraId="5BD208F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3AF080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9.40</w:t>
            </w:r>
          </w:p>
        </w:tc>
        <w:tc>
          <w:tcPr>
            <w:tcW w:w="0" w:type="auto"/>
            <w:noWrap/>
            <w:hideMark/>
          </w:tcPr>
          <w:p w14:paraId="0CD3F10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39D15B8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10.83</w:t>
            </w:r>
          </w:p>
        </w:tc>
        <w:tc>
          <w:tcPr>
            <w:tcW w:w="0" w:type="auto"/>
            <w:noWrap/>
            <w:hideMark/>
          </w:tcPr>
          <w:p w14:paraId="2FB10B4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60B913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-0.05</w:t>
            </w:r>
          </w:p>
        </w:tc>
        <w:tc>
          <w:tcPr>
            <w:tcW w:w="0" w:type="auto"/>
            <w:noWrap/>
            <w:hideMark/>
          </w:tcPr>
          <w:p w14:paraId="74CDE72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0BD133E9" w14:textId="77777777" w:rsidTr="006F29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748E972C"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Korea, Republic of</w:t>
            </w:r>
          </w:p>
        </w:tc>
        <w:tc>
          <w:tcPr>
            <w:tcW w:w="0" w:type="auto"/>
            <w:shd w:val="clear" w:color="auto" w:fill="D9D9D9" w:themeFill="background1" w:themeFillShade="D9"/>
            <w:noWrap/>
            <w:hideMark/>
          </w:tcPr>
          <w:p w14:paraId="1D4A6BE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359.40</w:t>
            </w:r>
          </w:p>
        </w:tc>
        <w:tc>
          <w:tcPr>
            <w:tcW w:w="0" w:type="auto"/>
            <w:shd w:val="clear" w:color="auto" w:fill="D9D9D9" w:themeFill="background1" w:themeFillShade="D9"/>
            <w:noWrap/>
            <w:hideMark/>
          </w:tcPr>
          <w:p w14:paraId="4B1AF6C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647B0DE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3.17</w:t>
            </w:r>
          </w:p>
        </w:tc>
        <w:tc>
          <w:tcPr>
            <w:tcW w:w="0" w:type="auto"/>
            <w:shd w:val="clear" w:color="auto" w:fill="D9D9D9" w:themeFill="background1" w:themeFillShade="D9"/>
            <w:noWrap/>
            <w:hideMark/>
          </w:tcPr>
          <w:p w14:paraId="5FD16BA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001BAE8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21.25</w:t>
            </w:r>
          </w:p>
        </w:tc>
        <w:tc>
          <w:tcPr>
            <w:tcW w:w="0" w:type="auto"/>
            <w:shd w:val="clear" w:color="auto" w:fill="D9D9D9" w:themeFill="background1" w:themeFillShade="D9"/>
            <w:noWrap/>
            <w:hideMark/>
          </w:tcPr>
          <w:p w14:paraId="41022D4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0B8EFEC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4.44</w:t>
            </w:r>
          </w:p>
        </w:tc>
        <w:tc>
          <w:tcPr>
            <w:tcW w:w="0" w:type="auto"/>
            <w:shd w:val="clear" w:color="auto" w:fill="D9D9D9" w:themeFill="background1" w:themeFillShade="D9"/>
            <w:noWrap/>
            <w:hideMark/>
          </w:tcPr>
          <w:p w14:paraId="07D0798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63D1E43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-4.41</w:t>
            </w:r>
          </w:p>
        </w:tc>
        <w:tc>
          <w:tcPr>
            <w:tcW w:w="0" w:type="auto"/>
            <w:shd w:val="clear" w:color="auto" w:fill="D9D9D9" w:themeFill="background1" w:themeFillShade="D9"/>
            <w:noWrap/>
            <w:hideMark/>
          </w:tcPr>
          <w:p w14:paraId="062DCF9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26821FD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0.64</w:t>
            </w:r>
          </w:p>
        </w:tc>
        <w:tc>
          <w:tcPr>
            <w:tcW w:w="0" w:type="auto"/>
            <w:shd w:val="clear" w:color="auto" w:fill="D9D9D9" w:themeFill="background1" w:themeFillShade="D9"/>
            <w:noWrap/>
            <w:hideMark/>
          </w:tcPr>
          <w:p w14:paraId="690B325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6D984F1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-0.28</w:t>
            </w:r>
          </w:p>
        </w:tc>
        <w:tc>
          <w:tcPr>
            <w:tcW w:w="0" w:type="auto"/>
            <w:shd w:val="clear" w:color="auto" w:fill="D9D9D9" w:themeFill="background1" w:themeFillShade="D9"/>
            <w:noWrap/>
            <w:hideMark/>
          </w:tcPr>
          <w:p w14:paraId="071FD4E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6B37021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-0.02</w:t>
            </w:r>
          </w:p>
        </w:tc>
        <w:tc>
          <w:tcPr>
            <w:tcW w:w="0" w:type="auto"/>
            <w:shd w:val="clear" w:color="auto" w:fill="D9D9D9" w:themeFill="background1" w:themeFillShade="D9"/>
            <w:noWrap/>
            <w:hideMark/>
          </w:tcPr>
          <w:p w14:paraId="3857652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r>
      <w:tr w:rsidR="008712F5" w:rsidRPr="008712F5" w14:paraId="0D5066D0"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3C12CD6"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Kuwait</w:t>
            </w:r>
          </w:p>
        </w:tc>
        <w:tc>
          <w:tcPr>
            <w:tcW w:w="0" w:type="auto"/>
            <w:noWrap/>
            <w:hideMark/>
          </w:tcPr>
          <w:p w14:paraId="54E1FA9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185.55</w:t>
            </w:r>
          </w:p>
        </w:tc>
        <w:tc>
          <w:tcPr>
            <w:tcW w:w="0" w:type="auto"/>
            <w:noWrap/>
            <w:hideMark/>
          </w:tcPr>
          <w:p w14:paraId="7C58300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E3751F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6.07</w:t>
            </w:r>
          </w:p>
        </w:tc>
        <w:tc>
          <w:tcPr>
            <w:tcW w:w="0" w:type="auto"/>
            <w:noWrap/>
            <w:hideMark/>
          </w:tcPr>
          <w:p w14:paraId="0B5026E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CF1524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7.05</w:t>
            </w:r>
          </w:p>
        </w:tc>
        <w:tc>
          <w:tcPr>
            <w:tcW w:w="0" w:type="auto"/>
            <w:noWrap/>
            <w:hideMark/>
          </w:tcPr>
          <w:p w14:paraId="70EDFF8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5719FE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5.31</w:t>
            </w:r>
          </w:p>
        </w:tc>
        <w:tc>
          <w:tcPr>
            <w:tcW w:w="0" w:type="auto"/>
            <w:noWrap/>
            <w:hideMark/>
          </w:tcPr>
          <w:p w14:paraId="23117A4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08BCEC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-7.83</w:t>
            </w:r>
          </w:p>
        </w:tc>
        <w:tc>
          <w:tcPr>
            <w:tcW w:w="0" w:type="auto"/>
            <w:noWrap/>
            <w:hideMark/>
          </w:tcPr>
          <w:p w14:paraId="3E8886D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6AA3C0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-2.13</w:t>
            </w:r>
          </w:p>
        </w:tc>
        <w:tc>
          <w:tcPr>
            <w:tcW w:w="0" w:type="auto"/>
            <w:noWrap/>
            <w:hideMark/>
          </w:tcPr>
          <w:p w14:paraId="1BCDA26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3ADCE6D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13.66</w:t>
            </w:r>
          </w:p>
        </w:tc>
        <w:tc>
          <w:tcPr>
            <w:tcW w:w="0" w:type="auto"/>
            <w:noWrap/>
            <w:hideMark/>
          </w:tcPr>
          <w:p w14:paraId="478FDB1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4D58C5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0.09</w:t>
            </w:r>
          </w:p>
        </w:tc>
        <w:tc>
          <w:tcPr>
            <w:tcW w:w="0" w:type="auto"/>
            <w:noWrap/>
            <w:hideMark/>
          </w:tcPr>
          <w:p w14:paraId="3F752D1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2D52EAA3"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084F2A8"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Lebanon</w:t>
            </w:r>
          </w:p>
        </w:tc>
        <w:tc>
          <w:tcPr>
            <w:tcW w:w="0" w:type="auto"/>
            <w:noWrap/>
            <w:hideMark/>
          </w:tcPr>
          <w:p w14:paraId="675E009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308.88</w:t>
            </w:r>
          </w:p>
        </w:tc>
        <w:tc>
          <w:tcPr>
            <w:tcW w:w="0" w:type="auto"/>
            <w:noWrap/>
            <w:hideMark/>
          </w:tcPr>
          <w:p w14:paraId="1C4A118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08F2C0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2.55</w:t>
            </w:r>
          </w:p>
        </w:tc>
        <w:tc>
          <w:tcPr>
            <w:tcW w:w="0" w:type="auto"/>
            <w:noWrap/>
            <w:hideMark/>
          </w:tcPr>
          <w:p w14:paraId="6F97F28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3340593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5.37</w:t>
            </w:r>
          </w:p>
        </w:tc>
        <w:tc>
          <w:tcPr>
            <w:tcW w:w="0" w:type="auto"/>
            <w:noWrap/>
            <w:hideMark/>
          </w:tcPr>
          <w:p w14:paraId="46AC99E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6983E5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16.31</w:t>
            </w:r>
          </w:p>
        </w:tc>
        <w:tc>
          <w:tcPr>
            <w:tcW w:w="0" w:type="auto"/>
            <w:noWrap/>
            <w:hideMark/>
          </w:tcPr>
          <w:p w14:paraId="799C047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1633A6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-14.57</w:t>
            </w:r>
          </w:p>
        </w:tc>
        <w:tc>
          <w:tcPr>
            <w:tcW w:w="0" w:type="auto"/>
            <w:noWrap/>
            <w:hideMark/>
          </w:tcPr>
          <w:p w14:paraId="06C4ECE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BC1C95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2.13</w:t>
            </w:r>
          </w:p>
        </w:tc>
        <w:tc>
          <w:tcPr>
            <w:tcW w:w="0" w:type="auto"/>
            <w:noWrap/>
            <w:hideMark/>
          </w:tcPr>
          <w:p w14:paraId="6454E90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87C07F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4.93</w:t>
            </w:r>
          </w:p>
        </w:tc>
        <w:tc>
          <w:tcPr>
            <w:tcW w:w="0" w:type="auto"/>
            <w:noWrap/>
            <w:hideMark/>
          </w:tcPr>
          <w:p w14:paraId="394A231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C31D29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0.02</w:t>
            </w:r>
          </w:p>
        </w:tc>
        <w:tc>
          <w:tcPr>
            <w:tcW w:w="0" w:type="auto"/>
            <w:noWrap/>
            <w:hideMark/>
          </w:tcPr>
          <w:p w14:paraId="4E6900D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r>
      <w:tr w:rsidR="008712F5" w:rsidRPr="008712F5" w14:paraId="557AD1F2"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1004C93"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Lithuania</w:t>
            </w:r>
          </w:p>
        </w:tc>
        <w:tc>
          <w:tcPr>
            <w:tcW w:w="0" w:type="auto"/>
            <w:noWrap/>
            <w:hideMark/>
          </w:tcPr>
          <w:p w14:paraId="638689A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211.87</w:t>
            </w:r>
          </w:p>
        </w:tc>
        <w:tc>
          <w:tcPr>
            <w:tcW w:w="0" w:type="auto"/>
            <w:noWrap/>
            <w:hideMark/>
          </w:tcPr>
          <w:p w14:paraId="3B5CAFB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DCE526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6.38</w:t>
            </w:r>
          </w:p>
        </w:tc>
        <w:tc>
          <w:tcPr>
            <w:tcW w:w="0" w:type="auto"/>
            <w:noWrap/>
            <w:hideMark/>
          </w:tcPr>
          <w:p w14:paraId="1F3C1F7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09027B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22.12</w:t>
            </w:r>
          </w:p>
        </w:tc>
        <w:tc>
          <w:tcPr>
            <w:tcW w:w="0" w:type="auto"/>
            <w:noWrap/>
            <w:hideMark/>
          </w:tcPr>
          <w:p w14:paraId="1550919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EEF10B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6.79</w:t>
            </w:r>
          </w:p>
        </w:tc>
        <w:tc>
          <w:tcPr>
            <w:tcW w:w="0" w:type="auto"/>
            <w:noWrap/>
            <w:hideMark/>
          </w:tcPr>
          <w:p w14:paraId="4461572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558899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-6.07</w:t>
            </w:r>
          </w:p>
        </w:tc>
        <w:tc>
          <w:tcPr>
            <w:tcW w:w="0" w:type="auto"/>
            <w:noWrap/>
            <w:hideMark/>
          </w:tcPr>
          <w:p w14:paraId="10A368A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7F3BA9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6.55</w:t>
            </w:r>
          </w:p>
        </w:tc>
        <w:tc>
          <w:tcPr>
            <w:tcW w:w="0" w:type="auto"/>
            <w:noWrap/>
            <w:hideMark/>
          </w:tcPr>
          <w:p w14:paraId="0C4A3BD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6E5E8F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3.93</w:t>
            </w:r>
          </w:p>
        </w:tc>
        <w:tc>
          <w:tcPr>
            <w:tcW w:w="0" w:type="auto"/>
            <w:noWrap/>
            <w:hideMark/>
          </w:tcPr>
          <w:p w14:paraId="0D281BD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6C19A9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0.00</w:t>
            </w:r>
          </w:p>
        </w:tc>
        <w:tc>
          <w:tcPr>
            <w:tcW w:w="0" w:type="auto"/>
            <w:noWrap/>
            <w:hideMark/>
          </w:tcPr>
          <w:p w14:paraId="5C55751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726A42BE"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3D506C8"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Morocco</w:t>
            </w:r>
          </w:p>
        </w:tc>
        <w:tc>
          <w:tcPr>
            <w:tcW w:w="0" w:type="auto"/>
            <w:noWrap/>
            <w:hideMark/>
          </w:tcPr>
          <w:p w14:paraId="7E7206A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189.72</w:t>
            </w:r>
          </w:p>
        </w:tc>
        <w:tc>
          <w:tcPr>
            <w:tcW w:w="0" w:type="auto"/>
            <w:noWrap/>
            <w:hideMark/>
          </w:tcPr>
          <w:p w14:paraId="77758F3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4039E9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5.67</w:t>
            </w:r>
          </w:p>
        </w:tc>
        <w:tc>
          <w:tcPr>
            <w:tcW w:w="0" w:type="auto"/>
            <w:noWrap/>
            <w:hideMark/>
          </w:tcPr>
          <w:p w14:paraId="49E926C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081AB9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3.21</w:t>
            </w:r>
          </w:p>
        </w:tc>
        <w:tc>
          <w:tcPr>
            <w:tcW w:w="0" w:type="auto"/>
            <w:noWrap/>
            <w:hideMark/>
          </w:tcPr>
          <w:p w14:paraId="59A066A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98F8B6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5.29</w:t>
            </w:r>
          </w:p>
        </w:tc>
        <w:tc>
          <w:tcPr>
            <w:tcW w:w="0" w:type="auto"/>
            <w:noWrap/>
            <w:hideMark/>
          </w:tcPr>
          <w:p w14:paraId="12E3F41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4E17F1F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1.98</w:t>
            </w:r>
          </w:p>
        </w:tc>
        <w:tc>
          <w:tcPr>
            <w:tcW w:w="0" w:type="auto"/>
            <w:noWrap/>
            <w:hideMark/>
          </w:tcPr>
          <w:p w14:paraId="07AB7CB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8DCFB8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0.56</w:t>
            </w:r>
          </w:p>
        </w:tc>
        <w:tc>
          <w:tcPr>
            <w:tcW w:w="0" w:type="auto"/>
            <w:noWrap/>
            <w:hideMark/>
          </w:tcPr>
          <w:p w14:paraId="30A9817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1D7B65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6.70</w:t>
            </w:r>
          </w:p>
        </w:tc>
        <w:tc>
          <w:tcPr>
            <w:tcW w:w="0" w:type="auto"/>
            <w:noWrap/>
            <w:hideMark/>
          </w:tcPr>
          <w:p w14:paraId="7B7C510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B3E20F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0.31</w:t>
            </w:r>
          </w:p>
        </w:tc>
        <w:tc>
          <w:tcPr>
            <w:tcW w:w="0" w:type="auto"/>
            <w:noWrap/>
            <w:hideMark/>
          </w:tcPr>
          <w:p w14:paraId="4984457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5441E1CC"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18F62AA"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Oman</w:t>
            </w:r>
          </w:p>
        </w:tc>
        <w:tc>
          <w:tcPr>
            <w:tcW w:w="0" w:type="auto"/>
            <w:noWrap/>
            <w:hideMark/>
          </w:tcPr>
          <w:p w14:paraId="24C9067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268.52</w:t>
            </w:r>
          </w:p>
        </w:tc>
        <w:tc>
          <w:tcPr>
            <w:tcW w:w="0" w:type="auto"/>
            <w:noWrap/>
            <w:hideMark/>
          </w:tcPr>
          <w:p w14:paraId="4F0A2D6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47C429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-15.64</w:t>
            </w:r>
          </w:p>
        </w:tc>
        <w:tc>
          <w:tcPr>
            <w:tcW w:w="0" w:type="auto"/>
            <w:noWrap/>
            <w:hideMark/>
          </w:tcPr>
          <w:p w14:paraId="3E12D4C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37A765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14.12</w:t>
            </w:r>
          </w:p>
        </w:tc>
        <w:tc>
          <w:tcPr>
            <w:tcW w:w="0" w:type="auto"/>
            <w:noWrap/>
            <w:hideMark/>
          </w:tcPr>
          <w:p w14:paraId="3C19E3F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84B027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-1.92</w:t>
            </w:r>
          </w:p>
        </w:tc>
        <w:tc>
          <w:tcPr>
            <w:tcW w:w="0" w:type="auto"/>
            <w:noWrap/>
            <w:hideMark/>
          </w:tcPr>
          <w:p w14:paraId="00A9C47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BE2655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-8.45</w:t>
            </w:r>
          </w:p>
        </w:tc>
        <w:tc>
          <w:tcPr>
            <w:tcW w:w="0" w:type="auto"/>
            <w:noWrap/>
            <w:hideMark/>
          </w:tcPr>
          <w:p w14:paraId="0756943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F8116F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3.43</w:t>
            </w:r>
          </w:p>
        </w:tc>
        <w:tc>
          <w:tcPr>
            <w:tcW w:w="0" w:type="auto"/>
            <w:noWrap/>
            <w:hideMark/>
          </w:tcPr>
          <w:p w14:paraId="365B42D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620BF6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7.88</w:t>
            </w:r>
          </w:p>
        </w:tc>
        <w:tc>
          <w:tcPr>
            <w:tcW w:w="0" w:type="auto"/>
            <w:noWrap/>
            <w:hideMark/>
          </w:tcPr>
          <w:p w14:paraId="115CEED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542E4E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-0.06</w:t>
            </w:r>
          </w:p>
        </w:tc>
        <w:tc>
          <w:tcPr>
            <w:tcW w:w="0" w:type="auto"/>
            <w:noWrap/>
            <w:hideMark/>
          </w:tcPr>
          <w:p w14:paraId="625439F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3849A14F"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E803A1A"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Norway</w:t>
            </w:r>
          </w:p>
        </w:tc>
        <w:tc>
          <w:tcPr>
            <w:tcW w:w="0" w:type="auto"/>
            <w:noWrap/>
            <w:hideMark/>
          </w:tcPr>
          <w:p w14:paraId="1842065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226.72</w:t>
            </w:r>
          </w:p>
        </w:tc>
        <w:tc>
          <w:tcPr>
            <w:tcW w:w="0" w:type="auto"/>
            <w:noWrap/>
            <w:hideMark/>
          </w:tcPr>
          <w:p w14:paraId="37F9D3B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63B7EA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4.70</w:t>
            </w:r>
          </w:p>
        </w:tc>
        <w:tc>
          <w:tcPr>
            <w:tcW w:w="0" w:type="auto"/>
            <w:noWrap/>
            <w:hideMark/>
          </w:tcPr>
          <w:p w14:paraId="3376937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7047BB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18.91</w:t>
            </w:r>
          </w:p>
        </w:tc>
        <w:tc>
          <w:tcPr>
            <w:tcW w:w="0" w:type="auto"/>
            <w:noWrap/>
            <w:hideMark/>
          </w:tcPr>
          <w:p w14:paraId="320C32B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90278A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0.90</w:t>
            </w:r>
          </w:p>
        </w:tc>
        <w:tc>
          <w:tcPr>
            <w:tcW w:w="0" w:type="auto"/>
            <w:noWrap/>
            <w:hideMark/>
          </w:tcPr>
          <w:p w14:paraId="0EDADD1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D61311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1.13</w:t>
            </w:r>
          </w:p>
        </w:tc>
        <w:tc>
          <w:tcPr>
            <w:tcW w:w="0" w:type="auto"/>
            <w:noWrap/>
            <w:hideMark/>
          </w:tcPr>
          <w:p w14:paraId="14A643B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498061A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-1.07</w:t>
            </w:r>
          </w:p>
        </w:tc>
        <w:tc>
          <w:tcPr>
            <w:tcW w:w="0" w:type="auto"/>
            <w:noWrap/>
            <w:hideMark/>
          </w:tcPr>
          <w:p w14:paraId="5D300B6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7325B4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5.41</w:t>
            </w:r>
          </w:p>
        </w:tc>
        <w:tc>
          <w:tcPr>
            <w:tcW w:w="0" w:type="auto"/>
            <w:noWrap/>
            <w:hideMark/>
          </w:tcPr>
          <w:p w14:paraId="01E4FCC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8C312E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-0.01</w:t>
            </w:r>
          </w:p>
        </w:tc>
        <w:tc>
          <w:tcPr>
            <w:tcW w:w="0" w:type="auto"/>
            <w:noWrap/>
            <w:hideMark/>
          </w:tcPr>
          <w:p w14:paraId="7EB9C86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r>
      <w:tr w:rsidR="008712F5" w:rsidRPr="008712F5" w14:paraId="55286359"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BBE2CA3"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lastRenderedPageBreak/>
              <w:t>Portugal</w:t>
            </w:r>
          </w:p>
        </w:tc>
        <w:tc>
          <w:tcPr>
            <w:tcW w:w="0" w:type="auto"/>
            <w:noWrap/>
            <w:hideMark/>
          </w:tcPr>
          <w:p w14:paraId="49C35A5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183.88</w:t>
            </w:r>
          </w:p>
        </w:tc>
        <w:tc>
          <w:tcPr>
            <w:tcW w:w="0" w:type="auto"/>
            <w:noWrap/>
            <w:hideMark/>
          </w:tcPr>
          <w:p w14:paraId="666E39A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DA7EC9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14.59</w:t>
            </w:r>
          </w:p>
        </w:tc>
        <w:tc>
          <w:tcPr>
            <w:tcW w:w="0" w:type="auto"/>
            <w:noWrap/>
            <w:hideMark/>
          </w:tcPr>
          <w:p w14:paraId="1E2CBDB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576F34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14.00</w:t>
            </w:r>
          </w:p>
        </w:tc>
        <w:tc>
          <w:tcPr>
            <w:tcW w:w="0" w:type="auto"/>
            <w:noWrap/>
            <w:hideMark/>
          </w:tcPr>
          <w:p w14:paraId="2F60479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BA7EA7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8.30</w:t>
            </w:r>
          </w:p>
        </w:tc>
        <w:tc>
          <w:tcPr>
            <w:tcW w:w="0" w:type="auto"/>
            <w:noWrap/>
            <w:hideMark/>
          </w:tcPr>
          <w:p w14:paraId="13DA92F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4344453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7.95</w:t>
            </w:r>
          </w:p>
        </w:tc>
        <w:tc>
          <w:tcPr>
            <w:tcW w:w="0" w:type="auto"/>
            <w:noWrap/>
            <w:hideMark/>
          </w:tcPr>
          <w:p w14:paraId="2D1F95F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FC8CF7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-6.83</w:t>
            </w:r>
          </w:p>
        </w:tc>
        <w:tc>
          <w:tcPr>
            <w:tcW w:w="0" w:type="auto"/>
            <w:noWrap/>
            <w:hideMark/>
          </w:tcPr>
          <w:p w14:paraId="45CAEA0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4820A4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9.21</w:t>
            </w:r>
          </w:p>
        </w:tc>
        <w:tc>
          <w:tcPr>
            <w:tcW w:w="0" w:type="auto"/>
            <w:noWrap/>
            <w:hideMark/>
          </w:tcPr>
          <w:p w14:paraId="5BD134E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3E7B6C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0.15</w:t>
            </w:r>
          </w:p>
        </w:tc>
        <w:tc>
          <w:tcPr>
            <w:tcW w:w="0" w:type="auto"/>
            <w:noWrap/>
            <w:hideMark/>
          </w:tcPr>
          <w:p w14:paraId="6B5C760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13E97FE7"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9783CC1"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Qatar</w:t>
            </w:r>
          </w:p>
        </w:tc>
        <w:tc>
          <w:tcPr>
            <w:tcW w:w="0" w:type="auto"/>
            <w:noWrap/>
            <w:hideMark/>
          </w:tcPr>
          <w:p w14:paraId="64BF6F6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354.13</w:t>
            </w:r>
          </w:p>
        </w:tc>
        <w:tc>
          <w:tcPr>
            <w:tcW w:w="0" w:type="auto"/>
            <w:noWrap/>
            <w:hideMark/>
          </w:tcPr>
          <w:p w14:paraId="1F21EAE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33E99D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8.87</w:t>
            </w:r>
          </w:p>
        </w:tc>
        <w:tc>
          <w:tcPr>
            <w:tcW w:w="0" w:type="auto"/>
            <w:noWrap/>
            <w:hideMark/>
          </w:tcPr>
          <w:p w14:paraId="43A147E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D4FCDD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13.11</w:t>
            </w:r>
          </w:p>
        </w:tc>
        <w:tc>
          <w:tcPr>
            <w:tcW w:w="0" w:type="auto"/>
            <w:noWrap/>
            <w:hideMark/>
          </w:tcPr>
          <w:p w14:paraId="1999A7E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6CAEBC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-11.51</w:t>
            </w:r>
          </w:p>
        </w:tc>
        <w:tc>
          <w:tcPr>
            <w:tcW w:w="0" w:type="auto"/>
            <w:noWrap/>
            <w:hideMark/>
          </w:tcPr>
          <w:p w14:paraId="21C35D1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ED6757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-27.16</w:t>
            </w:r>
          </w:p>
        </w:tc>
        <w:tc>
          <w:tcPr>
            <w:tcW w:w="0" w:type="auto"/>
            <w:noWrap/>
            <w:hideMark/>
          </w:tcPr>
          <w:p w14:paraId="6464848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F3E3C3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0.60</w:t>
            </w:r>
          </w:p>
        </w:tc>
        <w:tc>
          <w:tcPr>
            <w:tcW w:w="0" w:type="auto"/>
            <w:noWrap/>
            <w:hideMark/>
          </w:tcPr>
          <w:p w14:paraId="1199C54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3321BD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11.45</w:t>
            </w:r>
          </w:p>
        </w:tc>
        <w:tc>
          <w:tcPr>
            <w:tcW w:w="0" w:type="auto"/>
            <w:noWrap/>
            <w:hideMark/>
          </w:tcPr>
          <w:p w14:paraId="446217C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23670D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-0.08</w:t>
            </w:r>
          </w:p>
        </w:tc>
        <w:tc>
          <w:tcPr>
            <w:tcW w:w="0" w:type="auto"/>
            <w:noWrap/>
            <w:hideMark/>
          </w:tcPr>
          <w:p w14:paraId="7D93387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r>
      <w:tr w:rsidR="008712F5" w:rsidRPr="008712F5" w14:paraId="2F976421"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FDC8F84"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Romania</w:t>
            </w:r>
          </w:p>
        </w:tc>
        <w:tc>
          <w:tcPr>
            <w:tcW w:w="0" w:type="auto"/>
            <w:noWrap/>
            <w:hideMark/>
          </w:tcPr>
          <w:p w14:paraId="4B7AA98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189.03</w:t>
            </w:r>
          </w:p>
        </w:tc>
        <w:tc>
          <w:tcPr>
            <w:tcW w:w="0" w:type="auto"/>
            <w:noWrap/>
            <w:hideMark/>
          </w:tcPr>
          <w:p w14:paraId="3BC73D9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592D2F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-8.79</w:t>
            </w:r>
          </w:p>
        </w:tc>
        <w:tc>
          <w:tcPr>
            <w:tcW w:w="0" w:type="auto"/>
            <w:noWrap/>
            <w:hideMark/>
          </w:tcPr>
          <w:p w14:paraId="4CB483B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42E7EA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20.58</w:t>
            </w:r>
          </w:p>
        </w:tc>
        <w:tc>
          <w:tcPr>
            <w:tcW w:w="0" w:type="auto"/>
            <w:noWrap/>
            <w:hideMark/>
          </w:tcPr>
          <w:p w14:paraId="46BD2E0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29B6AD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8.34</w:t>
            </w:r>
          </w:p>
        </w:tc>
        <w:tc>
          <w:tcPr>
            <w:tcW w:w="0" w:type="auto"/>
            <w:noWrap/>
            <w:hideMark/>
          </w:tcPr>
          <w:p w14:paraId="7F5F22C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FC5461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-11.78</w:t>
            </w:r>
          </w:p>
        </w:tc>
        <w:tc>
          <w:tcPr>
            <w:tcW w:w="0" w:type="auto"/>
            <w:noWrap/>
            <w:hideMark/>
          </w:tcPr>
          <w:p w14:paraId="4E1EC37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D3E51E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1.06</w:t>
            </w:r>
          </w:p>
        </w:tc>
        <w:tc>
          <w:tcPr>
            <w:tcW w:w="0" w:type="auto"/>
            <w:noWrap/>
            <w:hideMark/>
          </w:tcPr>
          <w:p w14:paraId="2AD7D27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34B1319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9.78</w:t>
            </w:r>
          </w:p>
        </w:tc>
        <w:tc>
          <w:tcPr>
            <w:tcW w:w="0" w:type="auto"/>
            <w:noWrap/>
            <w:hideMark/>
          </w:tcPr>
          <w:p w14:paraId="0CC9117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8B04D1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-0.02</w:t>
            </w:r>
          </w:p>
        </w:tc>
        <w:tc>
          <w:tcPr>
            <w:tcW w:w="0" w:type="auto"/>
            <w:noWrap/>
            <w:hideMark/>
          </w:tcPr>
          <w:p w14:paraId="3E892D3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5E244ECD"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DE909B9"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Russian Federation</w:t>
            </w:r>
          </w:p>
        </w:tc>
        <w:tc>
          <w:tcPr>
            <w:tcW w:w="0" w:type="auto"/>
            <w:noWrap/>
            <w:hideMark/>
          </w:tcPr>
          <w:p w14:paraId="5026DFD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360.75</w:t>
            </w:r>
          </w:p>
        </w:tc>
        <w:tc>
          <w:tcPr>
            <w:tcW w:w="0" w:type="auto"/>
            <w:noWrap/>
            <w:hideMark/>
          </w:tcPr>
          <w:p w14:paraId="7E66089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B640EE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7.97</w:t>
            </w:r>
          </w:p>
        </w:tc>
        <w:tc>
          <w:tcPr>
            <w:tcW w:w="0" w:type="auto"/>
            <w:noWrap/>
            <w:hideMark/>
          </w:tcPr>
          <w:p w14:paraId="389D68F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9D1E2B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9.73</w:t>
            </w:r>
          </w:p>
        </w:tc>
        <w:tc>
          <w:tcPr>
            <w:tcW w:w="0" w:type="auto"/>
            <w:noWrap/>
            <w:hideMark/>
          </w:tcPr>
          <w:p w14:paraId="53F4604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11E41A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14.76</w:t>
            </w:r>
          </w:p>
        </w:tc>
        <w:tc>
          <w:tcPr>
            <w:tcW w:w="0" w:type="auto"/>
            <w:noWrap/>
            <w:hideMark/>
          </w:tcPr>
          <w:p w14:paraId="60CAB1C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B1261D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-11.23</w:t>
            </w:r>
          </w:p>
        </w:tc>
        <w:tc>
          <w:tcPr>
            <w:tcW w:w="0" w:type="auto"/>
            <w:noWrap/>
            <w:hideMark/>
          </w:tcPr>
          <w:p w14:paraId="6B40C42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EB1215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5.18</w:t>
            </w:r>
          </w:p>
        </w:tc>
        <w:tc>
          <w:tcPr>
            <w:tcW w:w="0" w:type="auto"/>
            <w:noWrap/>
            <w:hideMark/>
          </w:tcPr>
          <w:p w14:paraId="5C58200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3BD1933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3.70</w:t>
            </w:r>
          </w:p>
        </w:tc>
        <w:tc>
          <w:tcPr>
            <w:tcW w:w="0" w:type="auto"/>
            <w:noWrap/>
            <w:hideMark/>
          </w:tcPr>
          <w:p w14:paraId="7208B92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3B4251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0.01</w:t>
            </w:r>
          </w:p>
        </w:tc>
        <w:tc>
          <w:tcPr>
            <w:tcW w:w="0" w:type="auto"/>
            <w:noWrap/>
            <w:hideMark/>
          </w:tcPr>
          <w:p w14:paraId="4100FE3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r>
      <w:tr w:rsidR="008712F5" w:rsidRPr="008712F5" w14:paraId="4F73CE16"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1F006BC"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Saudi Arabia</w:t>
            </w:r>
          </w:p>
        </w:tc>
        <w:tc>
          <w:tcPr>
            <w:tcW w:w="0" w:type="auto"/>
            <w:noWrap/>
            <w:hideMark/>
          </w:tcPr>
          <w:p w14:paraId="603F223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265.79</w:t>
            </w:r>
          </w:p>
        </w:tc>
        <w:tc>
          <w:tcPr>
            <w:tcW w:w="0" w:type="auto"/>
            <w:noWrap/>
            <w:hideMark/>
          </w:tcPr>
          <w:p w14:paraId="7110F34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252777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-15.54</w:t>
            </w:r>
          </w:p>
        </w:tc>
        <w:tc>
          <w:tcPr>
            <w:tcW w:w="0" w:type="auto"/>
            <w:noWrap/>
            <w:hideMark/>
          </w:tcPr>
          <w:p w14:paraId="20BEB7FA" w14:textId="744CBC25" w:rsidR="00A43F2E" w:rsidRPr="008712F5" w:rsidRDefault="003B558C"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FA4A2D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8.13</w:t>
            </w:r>
          </w:p>
        </w:tc>
        <w:tc>
          <w:tcPr>
            <w:tcW w:w="0" w:type="auto"/>
            <w:noWrap/>
            <w:hideMark/>
          </w:tcPr>
          <w:p w14:paraId="7A074A8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4C3CB2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10.82</w:t>
            </w:r>
          </w:p>
        </w:tc>
        <w:tc>
          <w:tcPr>
            <w:tcW w:w="0" w:type="auto"/>
            <w:noWrap/>
            <w:hideMark/>
          </w:tcPr>
          <w:p w14:paraId="66557F6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905129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-2.33</w:t>
            </w:r>
          </w:p>
        </w:tc>
        <w:tc>
          <w:tcPr>
            <w:tcW w:w="0" w:type="auto"/>
            <w:noWrap/>
            <w:hideMark/>
          </w:tcPr>
          <w:p w14:paraId="52A62C7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4C0427A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2.69</w:t>
            </w:r>
          </w:p>
        </w:tc>
        <w:tc>
          <w:tcPr>
            <w:tcW w:w="0" w:type="auto"/>
            <w:noWrap/>
            <w:hideMark/>
          </w:tcPr>
          <w:p w14:paraId="5671C60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5C7A3C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3.50</w:t>
            </w:r>
          </w:p>
        </w:tc>
        <w:tc>
          <w:tcPr>
            <w:tcW w:w="0" w:type="auto"/>
            <w:noWrap/>
            <w:hideMark/>
          </w:tcPr>
          <w:p w14:paraId="36E31F4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4234992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0.02</w:t>
            </w:r>
          </w:p>
        </w:tc>
        <w:tc>
          <w:tcPr>
            <w:tcW w:w="0" w:type="auto"/>
            <w:noWrap/>
            <w:hideMark/>
          </w:tcPr>
          <w:p w14:paraId="76E522C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22C1D4F4" w14:textId="77777777" w:rsidTr="006F295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28B5F8D6"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Singapore</w:t>
            </w:r>
          </w:p>
        </w:tc>
        <w:tc>
          <w:tcPr>
            <w:tcW w:w="0" w:type="auto"/>
            <w:shd w:val="clear" w:color="auto" w:fill="D9D9D9" w:themeFill="background1" w:themeFillShade="D9"/>
            <w:noWrap/>
            <w:hideMark/>
          </w:tcPr>
          <w:p w14:paraId="6817F13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462.46</w:t>
            </w:r>
          </w:p>
        </w:tc>
        <w:tc>
          <w:tcPr>
            <w:tcW w:w="0" w:type="auto"/>
            <w:shd w:val="clear" w:color="auto" w:fill="D9D9D9" w:themeFill="background1" w:themeFillShade="D9"/>
            <w:noWrap/>
            <w:hideMark/>
          </w:tcPr>
          <w:p w14:paraId="798DFC7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571C06A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6.80</w:t>
            </w:r>
          </w:p>
        </w:tc>
        <w:tc>
          <w:tcPr>
            <w:tcW w:w="0" w:type="auto"/>
            <w:shd w:val="clear" w:color="auto" w:fill="D9D9D9" w:themeFill="background1" w:themeFillShade="D9"/>
            <w:noWrap/>
            <w:hideMark/>
          </w:tcPr>
          <w:p w14:paraId="6937F3D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229210F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1.76</w:t>
            </w:r>
          </w:p>
        </w:tc>
        <w:tc>
          <w:tcPr>
            <w:tcW w:w="0" w:type="auto"/>
            <w:shd w:val="clear" w:color="auto" w:fill="D9D9D9" w:themeFill="background1" w:themeFillShade="D9"/>
            <w:noWrap/>
            <w:hideMark/>
          </w:tcPr>
          <w:p w14:paraId="58A0A9D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26A18BF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-27.10</w:t>
            </w:r>
          </w:p>
        </w:tc>
        <w:tc>
          <w:tcPr>
            <w:tcW w:w="0" w:type="auto"/>
            <w:shd w:val="clear" w:color="auto" w:fill="D9D9D9" w:themeFill="background1" w:themeFillShade="D9"/>
            <w:noWrap/>
            <w:hideMark/>
          </w:tcPr>
          <w:p w14:paraId="1E82F57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210FD0A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-10.41</w:t>
            </w:r>
          </w:p>
        </w:tc>
        <w:tc>
          <w:tcPr>
            <w:tcW w:w="0" w:type="auto"/>
            <w:shd w:val="clear" w:color="auto" w:fill="D9D9D9" w:themeFill="background1" w:themeFillShade="D9"/>
            <w:noWrap/>
            <w:hideMark/>
          </w:tcPr>
          <w:p w14:paraId="76C4DBF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shd w:val="clear" w:color="auto" w:fill="D9D9D9" w:themeFill="background1" w:themeFillShade="D9"/>
            <w:noWrap/>
            <w:hideMark/>
          </w:tcPr>
          <w:p w14:paraId="7937037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19.11</w:t>
            </w:r>
          </w:p>
        </w:tc>
        <w:tc>
          <w:tcPr>
            <w:tcW w:w="0" w:type="auto"/>
            <w:shd w:val="clear" w:color="auto" w:fill="D9D9D9" w:themeFill="background1" w:themeFillShade="D9"/>
            <w:noWrap/>
            <w:hideMark/>
          </w:tcPr>
          <w:p w14:paraId="4E8C042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6C8840F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20.76</w:t>
            </w:r>
          </w:p>
        </w:tc>
        <w:tc>
          <w:tcPr>
            <w:tcW w:w="0" w:type="auto"/>
            <w:shd w:val="clear" w:color="auto" w:fill="D9D9D9" w:themeFill="background1" w:themeFillShade="D9"/>
            <w:noWrap/>
            <w:hideMark/>
          </w:tcPr>
          <w:p w14:paraId="4231BDD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shd w:val="clear" w:color="auto" w:fill="D9D9D9" w:themeFill="background1" w:themeFillShade="D9"/>
            <w:noWrap/>
            <w:hideMark/>
          </w:tcPr>
          <w:p w14:paraId="094CC73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-0.23</w:t>
            </w:r>
          </w:p>
        </w:tc>
        <w:tc>
          <w:tcPr>
            <w:tcW w:w="0" w:type="auto"/>
            <w:shd w:val="clear" w:color="auto" w:fill="D9D9D9" w:themeFill="background1" w:themeFillShade="D9"/>
            <w:noWrap/>
            <w:hideMark/>
          </w:tcPr>
          <w:p w14:paraId="6184126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221C25CE"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01135396"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South Africa</w:t>
            </w:r>
          </w:p>
        </w:tc>
        <w:tc>
          <w:tcPr>
            <w:tcW w:w="0" w:type="auto"/>
            <w:noWrap/>
            <w:hideMark/>
          </w:tcPr>
          <w:p w14:paraId="5D7A44C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273.34</w:t>
            </w:r>
          </w:p>
        </w:tc>
        <w:tc>
          <w:tcPr>
            <w:tcW w:w="0" w:type="auto"/>
            <w:noWrap/>
            <w:hideMark/>
          </w:tcPr>
          <w:p w14:paraId="36AD9BB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D3B0EA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-0.84</w:t>
            </w:r>
          </w:p>
        </w:tc>
        <w:tc>
          <w:tcPr>
            <w:tcW w:w="0" w:type="auto"/>
            <w:noWrap/>
            <w:hideMark/>
          </w:tcPr>
          <w:p w14:paraId="1DAEC4D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4C306B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w:t>
            </w:r>
          </w:p>
        </w:tc>
        <w:tc>
          <w:tcPr>
            <w:tcW w:w="0" w:type="auto"/>
            <w:noWrap/>
            <w:hideMark/>
          </w:tcPr>
          <w:p w14:paraId="58E639D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3456A9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-12.41</w:t>
            </w:r>
          </w:p>
        </w:tc>
        <w:tc>
          <w:tcPr>
            <w:tcW w:w="0" w:type="auto"/>
            <w:noWrap/>
            <w:hideMark/>
          </w:tcPr>
          <w:p w14:paraId="6915C30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2E867B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-2.77</w:t>
            </w:r>
          </w:p>
        </w:tc>
        <w:tc>
          <w:tcPr>
            <w:tcW w:w="0" w:type="auto"/>
            <w:noWrap/>
            <w:hideMark/>
          </w:tcPr>
          <w:p w14:paraId="28DEE45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9E9CA4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12.69</w:t>
            </w:r>
          </w:p>
        </w:tc>
        <w:tc>
          <w:tcPr>
            <w:tcW w:w="0" w:type="auto"/>
            <w:noWrap/>
            <w:hideMark/>
          </w:tcPr>
          <w:p w14:paraId="6902B26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7830FB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14.68</w:t>
            </w:r>
          </w:p>
        </w:tc>
        <w:tc>
          <w:tcPr>
            <w:tcW w:w="0" w:type="auto"/>
            <w:noWrap/>
            <w:hideMark/>
          </w:tcPr>
          <w:p w14:paraId="69FF4B8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200742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-0.05</w:t>
            </w:r>
          </w:p>
        </w:tc>
        <w:tc>
          <w:tcPr>
            <w:tcW w:w="0" w:type="auto"/>
            <w:noWrap/>
            <w:hideMark/>
          </w:tcPr>
          <w:p w14:paraId="667498F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12A21005"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CE3088F"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Sweden</w:t>
            </w:r>
          </w:p>
        </w:tc>
        <w:tc>
          <w:tcPr>
            <w:tcW w:w="0" w:type="auto"/>
            <w:noWrap/>
            <w:hideMark/>
          </w:tcPr>
          <w:p w14:paraId="1CCC1CA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156.61</w:t>
            </w:r>
          </w:p>
        </w:tc>
        <w:tc>
          <w:tcPr>
            <w:tcW w:w="0" w:type="auto"/>
            <w:noWrap/>
            <w:hideMark/>
          </w:tcPr>
          <w:p w14:paraId="5D752B0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300BA5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1.37</w:t>
            </w:r>
          </w:p>
        </w:tc>
        <w:tc>
          <w:tcPr>
            <w:tcW w:w="0" w:type="auto"/>
            <w:noWrap/>
            <w:hideMark/>
          </w:tcPr>
          <w:p w14:paraId="7DFA16D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E4B119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19.71</w:t>
            </w:r>
          </w:p>
        </w:tc>
        <w:tc>
          <w:tcPr>
            <w:tcW w:w="0" w:type="auto"/>
            <w:noWrap/>
            <w:hideMark/>
          </w:tcPr>
          <w:p w14:paraId="20EEC5D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327B56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3.01</w:t>
            </w:r>
          </w:p>
        </w:tc>
        <w:tc>
          <w:tcPr>
            <w:tcW w:w="0" w:type="auto"/>
            <w:noWrap/>
            <w:hideMark/>
          </w:tcPr>
          <w:p w14:paraId="2567C98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9ABED7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1.25</w:t>
            </w:r>
          </w:p>
        </w:tc>
        <w:tc>
          <w:tcPr>
            <w:tcW w:w="0" w:type="auto"/>
            <w:noWrap/>
            <w:hideMark/>
          </w:tcPr>
          <w:p w14:paraId="73C26E8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5184CD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3.14</w:t>
            </w:r>
          </w:p>
        </w:tc>
        <w:tc>
          <w:tcPr>
            <w:tcW w:w="0" w:type="auto"/>
            <w:noWrap/>
            <w:hideMark/>
          </w:tcPr>
          <w:p w14:paraId="1049061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C7A567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7.27</w:t>
            </w:r>
          </w:p>
        </w:tc>
        <w:tc>
          <w:tcPr>
            <w:tcW w:w="0" w:type="auto"/>
            <w:noWrap/>
            <w:hideMark/>
          </w:tcPr>
          <w:p w14:paraId="5C55394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C841FC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0.17</w:t>
            </w:r>
          </w:p>
        </w:tc>
        <w:tc>
          <w:tcPr>
            <w:tcW w:w="0" w:type="auto"/>
            <w:noWrap/>
            <w:hideMark/>
          </w:tcPr>
          <w:p w14:paraId="03C4093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36B7DF9F"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E4D5A84"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United Arab Emirates</w:t>
            </w:r>
          </w:p>
        </w:tc>
        <w:tc>
          <w:tcPr>
            <w:tcW w:w="0" w:type="auto"/>
            <w:noWrap/>
            <w:hideMark/>
          </w:tcPr>
          <w:p w14:paraId="28967DD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277.83</w:t>
            </w:r>
          </w:p>
        </w:tc>
        <w:tc>
          <w:tcPr>
            <w:tcW w:w="0" w:type="auto"/>
            <w:noWrap/>
            <w:hideMark/>
          </w:tcPr>
          <w:p w14:paraId="3065FBD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37C42E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5.25</w:t>
            </w:r>
          </w:p>
        </w:tc>
        <w:tc>
          <w:tcPr>
            <w:tcW w:w="0" w:type="auto"/>
            <w:noWrap/>
            <w:hideMark/>
          </w:tcPr>
          <w:p w14:paraId="6120385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C1D5A7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6.31</w:t>
            </w:r>
          </w:p>
        </w:tc>
        <w:tc>
          <w:tcPr>
            <w:tcW w:w="0" w:type="auto"/>
            <w:noWrap/>
            <w:hideMark/>
          </w:tcPr>
          <w:p w14:paraId="7D233A7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B863DB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28.08</w:t>
            </w:r>
          </w:p>
        </w:tc>
        <w:tc>
          <w:tcPr>
            <w:tcW w:w="0" w:type="auto"/>
            <w:noWrap/>
            <w:hideMark/>
          </w:tcPr>
          <w:p w14:paraId="77FAA41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575136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-3.99</w:t>
            </w:r>
          </w:p>
        </w:tc>
        <w:tc>
          <w:tcPr>
            <w:tcW w:w="0" w:type="auto"/>
            <w:noWrap/>
            <w:hideMark/>
          </w:tcPr>
          <w:p w14:paraId="5776B16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F81C6B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-0.66</w:t>
            </w:r>
          </w:p>
        </w:tc>
        <w:tc>
          <w:tcPr>
            <w:tcW w:w="0" w:type="auto"/>
            <w:noWrap/>
            <w:hideMark/>
          </w:tcPr>
          <w:p w14:paraId="30B0463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581DA8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12.62</w:t>
            </w:r>
          </w:p>
        </w:tc>
        <w:tc>
          <w:tcPr>
            <w:tcW w:w="0" w:type="auto"/>
            <w:noWrap/>
            <w:hideMark/>
          </w:tcPr>
          <w:p w14:paraId="11A9829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F0416B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-0.22</w:t>
            </w:r>
          </w:p>
        </w:tc>
        <w:tc>
          <w:tcPr>
            <w:tcW w:w="0" w:type="auto"/>
            <w:noWrap/>
            <w:hideMark/>
          </w:tcPr>
          <w:p w14:paraId="4AE7B92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3BB1DFC9"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70A9C4C"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Turkey</w:t>
            </w:r>
          </w:p>
        </w:tc>
        <w:tc>
          <w:tcPr>
            <w:tcW w:w="0" w:type="auto"/>
            <w:noWrap/>
            <w:hideMark/>
          </w:tcPr>
          <w:p w14:paraId="7D1AD8A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223.35</w:t>
            </w:r>
          </w:p>
        </w:tc>
        <w:tc>
          <w:tcPr>
            <w:tcW w:w="0" w:type="auto"/>
            <w:noWrap/>
            <w:hideMark/>
          </w:tcPr>
          <w:p w14:paraId="09F6CF6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C8017C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-5.84</w:t>
            </w:r>
          </w:p>
        </w:tc>
        <w:tc>
          <w:tcPr>
            <w:tcW w:w="0" w:type="auto"/>
            <w:noWrap/>
            <w:hideMark/>
          </w:tcPr>
          <w:p w14:paraId="391E352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6EA8BB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18.10</w:t>
            </w:r>
          </w:p>
        </w:tc>
        <w:tc>
          <w:tcPr>
            <w:tcW w:w="0" w:type="auto"/>
            <w:noWrap/>
            <w:hideMark/>
          </w:tcPr>
          <w:p w14:paraId="7EFE9DD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8F9D09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-8.12</w:t>
            </w:r>
          </w:p>
        </w:tc>
        <w:tc>
          <w:tcPr>
            <w:tcW w:w="0" w:type="auto"/>
            <w:noWrap/>
            <w:hideMark/>
          </w:tcPr>
          <w:p w14:paraId="72C507F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BCEEB3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-5.27</w:t>
            </w:r>
          </w:p>
        </w:tc>
        <w:tc>
          <w:tcPr>
            <w:tcW w:w="0" w:type="auto"/>
            <w:noWrap/>
            <w:hideMark/>
          </w:tcPr>
          <w:p w14:paraId="1C22733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0AB2E2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9.85</w:t>
            </w:r>
          </w:p>
        </w:tc>
        <w:tc>
          <w:tcPr>
            <w:tcW w:w="0" w:type="auto"/>
            <w:noWrap/>
            <w:hideMark/>
          </w:tcPr>
          <w:p w14:paraId="7217070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874940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11.03</w:t>
            </w:r>
          </w:p>
        </w:tc>
        <w:tc>
          <w:tcPr>
            <w:tcW w:w="0" w:type="auto"/>
            <w:noWrap/>
            <w:hideMark/>
          </w:tcPr>
          <w:p w14:paraId="2B604C6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85EEBB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0.08</w:t>
            </w:r>
          </w:p>
        </w:tc>
        <w:tc>
          <w:tcPr>
            <w:tcW w:w="0" w:type="auto"/>
            <w:noWrap/>
            <w:hideMark/>
          </w:tcPr>
          <w:p w14:paraId="5C86D54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r>
      <w:tr w:rsidR="008712F5" w:rsidRPr="008712F5" w14:paraId="247E74C0"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1E302AE"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Egypt</w:t>
            </w:r>
          </w:p>
        </w:tc>
        <w:tc>
          <w:tcPr>
            <w:tcW w:w="0" w:type="auto"/>
            <w:noWrap/>
            <w:hideMark/>
          </w:tcPr>
          <w:p w14:paraId="6CEA8CD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326.34</w:t>
            </w:r>
          </w:p>
        </w:tc>
        <w:tc>
          <w:tcPr>
            <w:tcW w:w="0" w:type="auto"/>
            <w:noWrap/>
            <w:hideMark/>
          </w:tcPr>
          <w:p w14:paraId="7D295CA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6D4895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-14.99</w:t>
            </w:r>
          </w:p>
        </w:tc>
        <w:tc>
          <w:tcPr>
            <w:tcW w:w="0" w:type="auto"/>
            <w:noWrap/>
            <w:hideMark/>
          </w:tcPr>
          <w:p w14:paraId="12A5FFF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559580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6.54</w:t>
            </w:r>
          </w:p>
        </w:tc>
        <w:tc>
          <w:tcPr>
            <w:tcW w:w="0" w:type="auto"/>
            <w:noWrap/>
            <w:hideMark/>
          </w:tcPr>
          <w:p w14:paraId="4F9318A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92682A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10.44</w:t>
            </w:r>
          </w:p>
        </w:tc>
        <w:tc>
          <w:tcPr>
            <w:tcW w:w="0" w:type="auto"/>
            <w:noWrap/>
            <w:hideMark/>
          </w:tcPr>
          <w:p w14:paraId="356F50C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A79E14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-15.30</w:t>
            </w:r>
          </w:p>
        </w:tc>
        <w:tc>
          <w:tcPr>
            <w:tcW w:w="0" w:type="auto"/>
            <w:noWrap/>
            <w:hideMark/>
          </w:tcPr>
          <w:p w14:paraId="00C3CFC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30722F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-11.75</w:t>
            </w:r>
          </w:p>
        </w:tc>
        <w:tc>
          <w:tcPr>
            <w:tcW w:w="0" w:type="auto"/>
            <w:noWrap/>
            <w:hideMark/>
          </w:tcPr>
          <w:p w14:paraId="73D457F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34403B3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4.97</w:t>
            </w:r>
          </w:p>
        </w:tc>
        <w:tc>
          <w:tcPr>
            <w:tcW w:w="0" w:type="auto"/>
            <w:noWrap/>
            <w:hideMark/>
          </w:tcPr>
          <w:p w14:paraId="1F2D3AC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535815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0.30</w:t>
            </w:r>
          </w:p>
        </w:tc>
        <w:tc>
          <w:tcPr>
            <w:tcW w:w="0" w:type="auto"/>
            <w:noWrap/>
            <w:hideMark/>
          </w:tcPr>
          <w:p w14:paraId="10AEFF2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0334D4EB"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2251A279"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United States</w:t>
            </w:r>
          </w:p>
        </w:tc>
        <w:tc>
          <w:tcPr>
            <w:tcW w:w="0" w:type="auto"/>
            <w:noWrap/>
            <w:hideMark/>
          </w:tcPr>
          <w:p w14:paraId="30D2C2B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222.22</w:t>
            </w:r>
          </w:p>
        </w:tc>
        <w:tc>
          <w:tcPr>
            <w:tcW w:w="0" w:type="auto"/>
            <w:noWrap/>
            <w:hideMark/>
          </w:tcPr>
          <w:p w14:paraId="2083C5C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A468BE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7.28</w:t>
            </w:r>
          </w:p>
        </w:tc>
        <w:tc>
          <w:tcPr>
            <w:tcW w:w="0" w:type="auto"/>
            <w:noWrap/>
            <w:hideMark/>
          </w:tcPr>
          <w:p w14:paraId="7F72E4E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5C3673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11.54</w:t>
            </w:r>
          </w:p>
        </w:tc>
        <w:tc>
          <w:tcPr>
            <w:tcW w:w="0" w:type="auto"/>
            <w:noWrap/>
            <w:hideMark/>
          </w:tcPr>
          <w:p w14:paraId="645BEDA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5B98B9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1.30</w:t>
            </w:r>
          </w:p>
        </w:tc>
        <w:tc>
          <w:tcPr>
            <w:tcW w:w="0" w:type="auto"/>
            <w:noWrap/>
            <w:hideMark/>
          </w:tcPr>
          <w:p w14:paraId="2A2E05B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429E04B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-11.33</w:t>
            </w:r>
          </w:p>
        </w:tc>
        <w:tc>
          <w:tcPr>
            <w:tcW w:w="0" w:type="auto"/>
            <w:noWrap/>
            <w:hideMark/>
          </w:tcPr>
          <w:p w14:paraId="4328968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723D16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15.01</w:t>
            </w:r>
          </w:p>
        </w:tc>
        <w:tc>
          <w:tcPr>
            <w:tcW w:w="0" w:type="auto"/>
            <w:noWrap/>
            <w:hideMark/>
          </w:tcPr>
          <w:p w14:paraId="04240DE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636B32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9.13</w:t>
            </w:r>
          </w:p>
        </w:tc>
        <w:tc>
          <w:tcPr>
            <w:tcW w:w="0" w:type="auto"/>
            <w:noWrap/>
            <w:hideMark/>
          </w:tcPr>
          <w:p w14:paraId="2B82F31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9B5C91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0.10</w:t>
            </w:r>
          </w:p>
        </w:tc>
        <w:tc>
          <w:tcPr>
            <w:tcW w:w="0" w:type="auto"/>
            <w:noWrap/>
            <w:hideMark/>
          </w:tcPr>
          <w:p w14:paraId="2DF09FF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7B601C1A"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1CD8F239"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England</w:t>
            </w:r>
          </w:p>
        </w:tc>
        <w:tc>
          <w:tcPr>
            <w:tcW w:w="0" w:type="auto"/>
            <w:noWrap/>
            <w:hideMark/>
          </w:tcPr>
          <w:p w14:paraId="49D126B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122.27</w:t>
            </w:r>
          </w:p>
        </w:tc>
        <w:tc>
          <w:tcPr>
            <w:tcW w:w="0" w:type="auto"/>
            <w:noWrap/>
            <w:hideMark/>
          </w:tcPr>
          <w:p w14:paraId="77C5FE5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1BAFF4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12.42</w:t>
            </w:r>
          </w:p>
        </w:tc>
        <w:tc>
          <w:tcPr>
            <w:tcW w:w="0" w:type="auto"/>
            <w:noWrap/>
            <w:hideMark/>
          </w:tcPr>
          <w:p w14:paraId="7DDF74E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09460F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12.11</w:t>
            </w:r>
          </w:p>
        </w:tc>
        <w:tc>
          <w:tcPr>
            <w:tcW w:w="0" w:type="auto"/>
            <w:noWrap/>
            <w:hideMark/>
          </w:tcPr>
          <w:p w14:paraId="5757CFB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EC9B63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41.70</w:t>
            </w:r>
          </w:p>
        </w:tc>
        <w:tc>
          <w:tcPr>
            <w:tcW w:w="0" w:type="auto"/>
            <w:noWrap/>
            <w:hideMark/>
          </w:tcPr>
          <w:p w14:paraId="7B5F5901"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3E6681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-3.86</w:t>
            </w:r>
          </w:p>
        </w:tc>
        <w:tc>
          <w:tcPr>
            <w:tcW w:w="0" w:type="auto"/>
            <w:noWrap/>
            <w:hideMark/>
          </w:tcPr>
          <w:p w14:paraId="0933DD0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5B3F30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1.69</w:t>
            </w:r>
          </w:p>
        </w:tc>
        <w:tc>
          <w:tcPr>
            <w:tcW w:w="0" w:type="auto"/>
            <w:noWrap/>
            <w:hideMark/>
          </w:tcPr>
          <w:p w14:paraId="037EE29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35C81B5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14.44</w:t>
            </w:r>
          </w:p>
        </w:tc>
        <w:tc>
          <w:tcPr>
            <w:tcW w:w="0" w:type="auto"/>
            <w:noWrap/>
            <w:hideMark/>
          </w:tcPr>
          <w:p w14:paraId="58CDB9F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763042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-0.17</w:t>
            </w:r>
          </w:p>
        </w:tc>
        <w:tc>
          <w:tcPr>
            <w:tcW w:w="0" w:type="auto"/>
            <w:noWrap/>
            <w:hideMark/>
          </w:tcPr>
          <w:p w14:paraId="5CA32F7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425E2BFB"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122FCAB"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United Arab Emirates (Dubai)</w:t>
            </w:r>
          </w:p>
        </w:tc>
        <w:tc>
          <w:tcPr>
            <w:tcW w:w="0" w:type="auto"/>
            <w:noWrap/>
            <w:hideMark/>
          </w:tcPr>
          <w:p w14:paraId="2644034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436.49</w:t>
            </w:r>
          </w:p>
        </w:tc>
        <w:tc>
          <w:tcPr>
            <w:tcW w:w="0" w:type="auto"/>
            <w:noWrap/>
            <w:hideMark/>
          </w:tcPr>
          <w:p w14:paraId="1A3E04B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846F4F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5.25</w:t>
            </w:r>
          </w:p>
        </w:tc>
        <w:tc>
          <w:tcPr>
            <w:tcW w:w="0" w:type="auto"/>
            <w:noWrap/>
            <w:hideMark/>
          </w:tcPr>
          <w:p w14:paraId="3530421B" w14:textId="7FE70DA3" w:rsidR="00A43F2E" w:rsidRPr="008712F5" w:rsidRDefault="003B558C"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764DD4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5.86</w:t>
            </w:r>
          </w:p>
        </w:tc>
        <w:tc>
          <w:tcPr>
            <w:tcW w:w="0" w:type="auto"/>
            <w:noWrap/>
            <w:hideMark/>
          </w:tcPr>
          <w:p w14:paraId="1388B91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F3277B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11.38</w:t>
            </w:r>
          </w:p>
        </w:tc>
        <w:tc>
          <w:tcPr>
            <w:tcW w:w="0" w:type="auto"/>
            <w:noWrap/>
            <w:hideMark/>
          </w:tcPr>
          <w:p w14:paraId="4E27435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34FC36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-3.10</w:t>
            </w:r>
          </w:p>
        </w:tc>
        <w:tc>
          <w:tcPr>
            <w:tcW w:w="0" w:type="auto"/>
            <w:noWrap/>
            <w:hideMark/>
          </w:tcPr>
          <w:p w14:paraId="36088CA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109BA8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-12.30</w:t>
            </w:r>
          </w:p>
        </w:tc>
        <w:tc>
          <w:tcPr>
            <w:tcW w:w="0" w:type="auto"/>
            <w:noWrap/>
            <w:hideMark/>
          </w:tcPr>
          <w:p w14:paraId="6D45227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048C24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8.01</w:t>
            </w:r>
          </w:p>
        </w:tc>
        <w:tc>
          <w:tcPr>
            <w:tcW w:w="0" w:type="auto"/>
            <w:noWrap/>
            <w:hideMark/>
          </w:tcPr>
          <w:p w14:paraId="52529521"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53003A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-0.16</w:t>
            </w:r>
          </w:p>
        </w:tc>
        <w:tc>
          <w:tcPr>
            <w:tcW w:w="0" w:type="auto"/>
            <w:noWrap/>
            <w:hideMark/>
          </w:tcPr>
          <w:p w14:paraId="5E0A0B3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0585782A"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1CA0996"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United Arab Emirates (Abu Dhabi)</w:t>
            </w:r>
          </w:p>
        </w:tc>
        <w:tc>
          <w:tcPr>
            <w:tcW w:w="0" w:type="auto"/>
            <w:noWrap/>
            <w:hideMark/>
          </w:tcPr>
          <w:p w14:paraId="2EDE8B5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198.51</w:t>
            </w:r>
          </w:p>
        </w:tc>
        <w:tc>
          <w:tcPr>
            <w:tcW w:w="0" w:type="auto"/>
            <w:noWrap/>
            <w:hideMark/>
          </w:tcPr>
          <w:p w14:paraId="2A939BB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BCA580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0.87</w:t>
            </w:r>
          </w:p>
        </w:tc>
        <w:tc>
          <w:tcPr>
            <w:tcW w:w="0" w:type="auto"/>
            <w:noWrap/>
            <w:hideMark/>
          </w:tcPr>
          <w:p w14:paraId="1CA10C5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9635E2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6.61</w:t>
            </w:r>
          </w:p>
        </w:tc>
        <w:tc>
          <w:tcPr>
            <w:tcW w:w="0" w:type="auto"/>
            <w:noWrap/>
            <w:hideMark/>
          </w:tcPr>
          <w:p w14:paraId="2420551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76C1E8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36.27</w:t>
            </w:r>
          </w:p>
        </w:tc>
        <w:tc>
          <w:tcPr>
            <w:tcW w:w="0" w:type="auto"/>
            <w:noWrap/>
            <w:hideMark/>
          </w:tcPr>
          <w:p w14:paraId="59DCFBF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DBAE60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7.94</w:t>
            </w:r>
          </w:p>
        </w:tc>
        <w:tc>
          <w:tcPr>
            <w:tcW w:w="0" w:type="auto"/>
            <w:noWrap/>
            <w:hideMark/>
          </w:tcPr>
          <w:p w14:paraId="5618912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78699B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4.96</w:t>
            </w:r>
          </w:p>
        </w:tc>
        <w:tc>
          <w:tcPr>
            <w:tcW w:w="0" w:type="auto"/>
            <w:noWrap/>
            <w:hideMark/>
          </w:tcPr>
          <w:p w14:paraId="51C3823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5467E43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11.88</w:t>
            </w:r>
          </w:p>
        </w:tc>
        <w:tc>
          <w:tcPr>
            <w:tcW w:w="0" w:type="auto"/>
            <w:noWrap/>
            <w:hideMark/>
          </w:tcPr>
          <w:p w14:paraId="30AB7A4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D7E131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-0.30</w:t>
            </w:r>
          </w:p>
        </w:tc>
        <w:tc>
          <w:tcPr>
            <w:tcW w:w="0" w:type="auto"/>
            <w:noWrap/>
            <w:hideMark/>
          </w:tcPr>
          <w:p w14:paraId="28B010E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3D8FB087"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6C5F9B9A"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Canada (Ontario)</w:t>
            </w:r>
          </w:p>
        </w:tc>
        <w:tc>
          <w:tcPr>
            <w:tcW w:w="0" w:type="auto"/>
            <w:noWrap/>
            <w:hideMark/>
          </w:tcPr>
          <w:p w14:paraId="2AE1539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277.68</w:t>
            </w:r>
          </w:p>
        </w:tc>
        <w:tc>
          <w:tcPr>
            <w:tcW w:w="0" w:type="auto"/>
            <w:noWrap/>
            <w:hideMark/>
          </w:tcPr>
          <w:p w14:paraId="214F957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5254A5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7.17</w:t>
            </w:r>
          </w:p>
        </w:tc>
        <w:tc>
          <w:tcPr>
            <w:tcW w:w="0" w:type="auto"/>
            <w:noWrap/>
            <w:hideMark/>
          </w:tcPr>
          <w:p w14:paraId="02A11B10" w14:textId="63AA6E2A" w:rsidR="00A43F2E" w:rsidRPr="008712F5" w:rsidRDefault="003B558C"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997DE2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16.54</w:t>
            </w:r>
          </w:p>
        </w:tc>
        <w:tc>
          <w:tcPr>
            <w:tcW w:w="0" w:type="auto"/>
            <w:noWrap/>
            <w:hideMark/>
          </w:tcPr>
          <w:p w14:paraId="5233220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EACD0B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-21.12</w:t>
            </w:r>
          </w:p>
        </w:tc>
        <w:tc>
          <w:tcPr>
            <w:tcW w:w="0" w:type="auto"/>
            <w:noWrap/>
            <w:hideMark/>
          </w:tcPr>
          <w:p w14:paraId="16D0C1F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1AE22B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-1.55</w:t>
            </w:r>
          </w:p>
        </w:tc>
        <w:tc>
          <w:tcPr>
            <w:tcW w:w="0" w:type="auto"/>
            <w:noWrap/>
            <w:hideMark/>
          </w:tcPr>
          <w:p w14:paraId="70773F6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9C7C8E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4.28</w:t>
            </w:r>
          </w:p>
        </w:tc>
        <w:tc>
          <w:tcPr>
            <w:tcW w:w="0" w:type="auto"/>
            <w:noWrap/>
            <w:hideMark/>
          </w:tcPr>
          <w:p w14:paraId="70731D3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B346B8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11.42</w:t>
            </w:r>
          </w:p>
        </w:tc>
        <w:tc>
          <w:tcPr>
            <w:tcW w:w="0" w:type="auto"/>
            <w:noWrap/>
            <w:hideMark/>
          </w:tcPr>
          <w:p w14:paraId="750EA5E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4DFFC37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0.04</w:t>
            </w:r>
          </w:p>
        </w:tc>
        <w:tc>
          <w:tcPr>
            <w:tcW w:w="0" w:type="auto"/>
            <w:noWrap/>
            <w:hideMark/>
          </w:tcPr>
          <w:p w14:paraId="67FBAFA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r>
      <w:tr w:rsidR="008712F5" w:rsidRPr="008712F5" w14:paraId="66610624"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4C7410B8"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Canada (Quebec)</w:t>
            </w:r>
          </w:p>
        </w:tc>
        <w:tc>
          <w:tcPr>
            <w:tcW w:w="0" w:type="auto"/>
            <w:noWrap/>
            <w:hideMark/>
          </w:tcPr>
          <w:p w14:paraId="1BB24F5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220.56</w:t>
            </w:r>
          </w:p>
        </w:tc>
        <w:tc>
          <w:tcPr>
            <w:tcW w:w="0" w:type="auto"/>
            <w:noWrap/>
            <w:hideMark/>
          </w:tcPr>
          <w:p w14:paraId="229A970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FA1640E"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13.06</w:t>
            </w:r>
          </w:p>
        </w:tc>
        <w:tc>
          <w:tcPr>
            <w:tcW w:w="0" w:type="auto"/>
            <w:noWrap/>
            <w:hideMark/>
          </w:tcPr>
          <w:p w14:paraId="0D88258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B13BD7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10.02</w:t>
            </w:r>
          </w:p>
        </w:tc>
        <w:tc>
          <w:tcPr>
            <w:tcW w:w="0" w:type="auto"/>
            <w:noWrap/>
            <w:hideMark/>
          </w:tcPr>
          <w:p w14:paraId="7F57BAB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3A30BC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27.13</w:t>
            </w:r>
          </w:p>
        </w:tc>
        <w:tc>
          <w:tcPr>
            <w:tcW w:w="0" w:type="auto"/>
            <w:noWrap/>
            <w:hideMark/>
          </w:tcPr>
          <w:p w14:paraId="01085AC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88ED9E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12.26</w:t>
            </w:r>
          </w:p>
        </w:tc>
        <w:tc>
          <w:tcPr>
            <w:tcW w:w="0" w:type="auto"/>
            <w:noWrap/>
            <w:hideMark/>
          </w:tcPr>
          <w:p w14:paraId="5B49944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0CA8A0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-17.27</w:t>
            </w:r>
          </w:p>
        </w:tc>
        <w:tc>
          <w:tcPr>
            <w:tcW w:w="0" w:type="auto"/>
            <w:noWrap/>
            <w:hideMark/>
          </w:tcPr>
          <w:p w14:paraId="651D7898"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6A8417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11.20</w:t>
            </w:r>
          </w:p>
        </w:tc>
        <w:tc>
          <w:tcPr>
            <w:tcW w:w="0" w:type="auto"/>
            <w:noWrap/>
            <w:hideMark/>
          </w:tcPr>
          <w:p w14:paraId="6FE3B7A2"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E08C06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0.02</w:t>
            </w:r>
          </w:p>
        </w:tc>
        <w:tc>
          <w:tcPr>
            <w:tcW w:w="0" w:type="auto"/>
            <w:noWrap/>
            <w:hideMark/>
          </w:tcPr>
          <w:p w14:paraId="00CA27AF"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05C0CE79"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33357B4E"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Russian Federation, Moscow</w:t>
            </w:r>
          </w:p>
        </w:tc>
        <w:tc>
          <w:tcPr>
            <w:tcW w:w="0" w:type="auto"/>
            <w:noWrap/>
            <w:hideMark/>
          </w:tcPr>
          <w:p w14:paraId="25C837A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446.32</w:t>
            </w:r>
          </w:p>
        </w:tc>
        <w:tc>
          <w:tcPr>
            <w:tcW w:w="0" w:type="auto"/>
            <w:noWrap/>
            <w:hideMark/>
          </w:tcPr>
          <w:p w14:paraId="0D0CC79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E52646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18.97</w:t>
            </w:r>
          </w:p>
        </w:tc>
        <w:tc>
          <w:tcPr>
            <w:tcW w:w="0" w:type="auto"/>
            <w:noWrap/>
            <w:hideMark/>
          </w:tcPr>
          <w:p w14:paraId="79E23D6C"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75B440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10.98</w:t>
            </w:r>
          </w:p>
        </w:tc>
        <w:tc>
          <w:tcPr>
            <w:tcW w:w="0" w:type="auto"/>
            <w:noWrap/>
            <w:hideMark/>
          </w:tcPr>
          <w:p w14:paraId="034EB59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D9A0A7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-3.67</w:t>
            </w:r>
          </w:p>
        </w:tc>
        <w:tc>
          <w:tcPr>
            <w:tcW w:w="0" w:type="auto"/>
            <w:noWrap/>
            <w:hideMark/>
          </w:tcPr>
          <w:p w14:paraId="1991886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F2A8EF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-35.37</w:t>
            </w:r>
          </w:p>
        </w:tc>
        <w:tc>
          <w:tcPr>
            <w:tcW w:w="0" w:type="auto"/>
            <w:noWrap/>
            <w:hideMark/>
          </w:tcPr>
          <w:p w14:paraId="1EBA7DE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37C01C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41.79</w:t>
            </w:r>
          </w:p>
        </w:tc>
        <w:tc>
          <w:tcPr>
            <w:tcW w:w="0" w:type="auto"/>
            <w:noWrap/>
            <w:hideMark/>
          </w:tcPr>
          <w:p w14:paraId="775CC50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3CFF44B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1.28</w:t>
            </w:r>
          </w:p>
        </w:tc>
        <w:tc>
          <w:tcPr>
            <w:tcW w:w="0" w:type="auto"/>
            <w:noWrap/>
            <w:hideMark/>
          </w:tcPr>
          <w:p w14:paraId="27FC93C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1FBDE49B"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-0.11</w:t>
            </w:r>
          </w:p>
        </w:tc>
        <w:tc>
          <w:tcPr>
            <w:tcW w:w="0" w:type="auto"/>
            <w:noWrap/>
            <w:hideMark/>
          </w:tcPr>
          <w:p w14:paraId="52F7C15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r w:rsidR="008712F5" w:rsidRPr="008712F5" w14:paraId="5678DAB1" w14:textId="77777777" w:rsidTr="00A43F2E">
        <w:trPr>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50BD9D58"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South Africa (Gauteng)</w:t>
            </w:r>
          </w:p>
        </w:tc>
        <w:tc>
          <w:tcPr>
            <w:tcW w:w="0" w:type="auto"/>
            <w:noWrap/>
            <w:hideMark/>
          </w:tcPr>
          <w:p w14:paraId="154A2B5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301.46</w:t>
            </w:r>
          </w:p>
        </w:tc>
        <w:tc>
          <w:tcPr>
            <w:tcW w:w="0" w:type="auto"/>
            <w:noWrap/>
            <w:hideMark/>
          </w:tcPr>
          <w:p w14:paraId="596C569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2C4266A6"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0.58</w:t>
            </w:r>
          </w:p>
        </w:tc>
        <w:tc>
          <w:tcPr>
            <w:tcW w:w="0" w:type="auto"/>
            <w:noWrap/>
            <w:hideMark/>
          </w:tcPr>
          <w:p w14:paraId="0A68C3F4"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0320C5A"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2.05</w:t>
            </w:r>
          </w:p>
        </w:tc>
        <w:tc>
          <w:tcPr>
            <w:tcW w:w="0" w:type="auto"/>
            <w:noWrap/>
            <w:hideMark/>
          </w:tcPr>
          <w:p w14:paraId="4B10D90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063810B"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-16.38</w:t>
            </w:r>
          </w:p>
        </w:tc>
        <w:tc>
          <w:tcPr>
            <w:tcW w:w="0" w:type="auto"/>
            <w:noWrap/>
            <w:hideMark/>
          </w:tcPr>
          <w:p w14:paraId="645A5B1C"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79663263"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-5.05</w:t>
            </w:r>
          </w:p>
        </w:tc>
        <w:tc>
          <w:tcPr>
            <w:tcW w:w="0" w:type="auto"/>
            <w:noWrap/>
            <w:hideMark/>
          </w:tcPr>
          <w:p w14:paraId="60A7EB6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24FF0745"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11.66</w:t>
            </w:r>
          </w:p>
        </w:tc>
        <w:tc>
          <w:tcPr>
            <w:tcW w:w="0" w:type="auto"/>
            <w:noWrap/>
            <w:hideMark/>
          </w:tcPr>
          <w:p w14:paraId="66C699A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C01E00D"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15.25</w:t>
            </w:r>
          </w:p>
        </w:tc>
        <w:tc>
          <w:tcPr>
            <w:tcW w:w="0" w:type="auto"/>
            <w:noWrap/>
            <w:hideMark/>
          </w:tcPr>
          <w:p w14:paraId="1EFD5600"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7D8FA77"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0.00</w:t>
            </w:r>
          </w:p>
        </w:tc>
        <w:tc>
          <w:tcPr>
            <w:tcW w:w="0" w:type="auto"/>
            <w:noWrap/>
            <w:hideMark/>
          </w:tcPr>
          <w:p w14:paraId="5A0D9779" w14:textId="77777777" w:rsidR="00A43F2E" w:rsidRPr="008712F5" w:rsidRDefault="00A43F2E" w:rsidP="00A43F2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rPr>
            </w:pPr>
          </w:p>
        </w:tc>
      </w:tr>
      <w:tr w:rsidR="008712F5" w:rsidRPr="008712F5" w14:paraId="3216CF48" w14:textId="77777777" w:rsidTr="00A43F2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noWrap/>
            <w:hideMark/>
          </w:tcPr>
          <w:p w14:paraId="756A9B0E" w14:textId="77777777" w:rsidR="00A43F2E" w:rsidRPr="008712F5" w:rsidRDefault="00A43F2E" w:rsidP="00A43F2E">
            <w:pPr>
              <w:rPr>
                <w:rFonts w:ascii="Calibri" w:eastAsia="Times New Roman" w:hAnsi="Calibri" w:cs="Calibri"/>
                <w:sz w:val="18"/>
                <w:szCs w:val="18"/>
              </w:rPr>
            </w:pPr>
            <w:r w:rsidRPr="008712F5">
              <w:rPr>
                <w:rFonts w:ascii="Calibri" w:eastAsia="Times New Roman" w:hAnsi="Calibri" w:cs="Calibri"/>
                <w:sz w:val="18"/>
                <w:szCs w:val="18"/>
              </w:rPr>
              <w:t>South Africa (Western Cape Province)</w:t>
            </w:r>
          </w:p>
        </w:tc>
        <w:tc>
          <w:tcPr>
            <w:tcW w:w="0" w:type="auto"/>
            <w:noWrap/>
            <w:hideMark/>
          </w:tcPr>
          <w:p w14:paraId="15CB515D"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255.33</w:t>
            </w:r>
          </w:p>
        </w:tc>
        <w:tc>
          <w:tcPr>
            <w:tcW w:w="0" w:type="auto"/>
            <w:noWrap/>
            <w:hideMark/>
          </w:tcPr>
          <w:p w14:paraId="33FD183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0F965E4E"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12.70</w:t>
            </w:r>
          </w:p>
        </w:tc>
        <w:tc>
          <w:tcPr>
            <w:tcW w:w="0" w:type="auto"/>
            <w:noWrap/>
            <w:hideMark/>
          </w:tcPr>
          <w:p w14:paraId="16ACA0E4"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77A51A6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4.17</w:t>
            </w:r>
          </w:p>
        </w:tc>
        <w:tc>
          <w:tcPr>
            <w:tcW w:w="0" w:type="auto"/>
            <w:noWrap/>
            <w:hideMark/>
          </w:tcPr>
          <w:p w14:paraId="13F2B78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6176EB30"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-32.79</w:t>
            </w:r>
          </w:p>
        </w:tc>
        <w:tc>
          <w:tcPr>
            <w:tcW w:w="0" w:type="auto"/>
            <w:noWrap/>
            <w:hideMark/>
          </w:tcPr>
          <w:p w14:paraId="2A297F09"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14FB33A5"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-12.94</w:t>
            </w:r>
          </w:p>
        </w:tc>
        <w:tc>
          <w:tcPr>
            <w:tcW w:w="0" w:type="auto"/>
            <w:noWrap/>
            <w:hideMark/>
          </w:tcPr>
          <w:p w14:paraId="03F8FD56"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021B8F28"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12.96</w:t>
            </w:r>
          </w:p>
        </w:tc>
        <w:tc>
          <w:tcPr>
            <w:tcW w:w="0" w:type="auto"/>
            <w:noWrap/>
            <w:hideMark/>
          </w:tcPr>
          <w:p w14:paraId="764FACDF"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p>
        </w:tc>
        <w:tc>
          <w:tcPr>
            <w:tcW w:w="0" w:type="auto"/>
            <w:noWrap/>
            <w:hideMark/>
          </w:tcPr>
          <w:p w14:paraId="69A7E1D2"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32.33</w:t>
            </w:r>
          </w:p>
        </w:tc>
        <w:tc>
          <w:tcPr>
            <w:tcW w:w="0" w:type="auto"/>
            <w:noWrap/>
            <w:hideMark/>
          </w:tcPr>
          <w:p w14:paraId="688F1AF7"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c>
          <w:tcPr>
            <w:tcW w:w="0" w:type="auto"/>
            <w:noWrap/>
            <w:hideMark/>
          </w:tcPr>
          <w:p w14:paraId="550A623A"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-0.19</w:t>
            </w:r>
          </w:p>
        </w:tc>
        <w:tc>
          <w:tcPr>
            <w:tcW w:w="0" w:type="auto"/>
            <w:noWrap/>
            <w:hideMark/>
          </w:tcPr>
          <w:p w14:paraId="0A672583" w14:textId="77777777" w:rsidR="00A43F2E" w:rsidRPr="008712F5" w:rsidRDefault="00A43F2E" w:rsidP="00A43F2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rPr>
            </w:pPr>
            <w:r w:rsidRPr="008712F5">
              <w:rPr>
                <w:rFonts w:ascii="Calibri" w:eastAsia="Times New Roman" w:hAnsi="Calibri" w:cs="Calibri"/>
                <w:sz w:val="18"/>
                <w:szCs w:val="18"/>
              </w:rPr>
              <w:t>***</w:t>
            </w:r>
          </w:p>
        </w:tc>
      </w:tr>
    </w:tbl>
    <w:p w14:paraId="742E9FD7" w14:textId="77777777" w:rsidR="00A15883" w:rsidRPr="008712F5" w:rsidRDefault="00A15883" w:rsidP="00FE3D40">
      <w:pPr>
        <w:spacing w:line="480" w:lineRule="auto"/>
        <w:rPr>
          <w:rFonts w:ascii="Times New Roman" w:hAnsi="Times New Roman" w:cs="Times New Roman"/>
          <w:sz w:val="24"/>
          <w:szCs w:val="24"/>
        </w:rPr>
        <w:sectPr w:rsidR="00A15883" w:rsidRPr="008712F5" w:rsidSect="00A15883">
          <w:endnotePr>
            <w:numFmt w:val="decimal"/>
          </w:endnotePr>
          <w:pgSz w:w="16838" w:h="11906" w:orient="landscape"/>
          <w:pgMar w:top="1440" w:right="1440" w:bottom="1440" w:left="1440" w:header="709" w:footer="709" w:gutter="0"/>
          <w:cols w:space="708"/>
          <w:docGrid w:linePitch="360"/>
        </w:sectPr>
      </w:pPr>
    </w:p>
    <w:p w14:paraId="19A060CC" w14:textId="77777777" w:rsidR="00C73853" w:rsidRPr="008712F5" w:rsidRDefault="00C73853" w:rsidP="00FE3D40">
      <w:pPr>
        <w:pStyle w:val="Heading2"/>
      </w:pPr>
      <w:r w:rsidRPr="008712F5">
        <w:lastRenderedPageBreak/>
        <w:t>Discussion</w:t>
      </w:r>
    </w:p>
    <w:p w14:paraId="12A6B819" w14:textId="32F87F03" w:rsidR="00237E87" w:rsidRPr="008712F5" w:rsidRDefault="008F4487" w:rsidP="00FE3D40">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Across all countries, the </w:t>
      </w:r>
      <w:r w:rsidR="00695941" w:rsidRPr="008712F5">
        <w:rPr>
          <w:rFonts w:ascii="Times New Roman" w:hAnsi="Times New Roman" w:cs="Times New Roman"/>
          <w:sz w:val="24"/>
          <w:szCs w:val="24"/>
        </w:rPr>
        <w:t>results</w:t>
      </w:r>
      <w:r w:rsidRPr="008712F5">
        <w:rPr>
          <w:rFonts w:ascii="Times New Roman" w:hAnsi="Times New Roman" w:cs="Times New Roman"/>
          <w:sz w:val="24"/>
          <w:szCs w:val="24"/>
        </w:rPr>
        <w:t xml:space="preserve"> show </w:t>
      </w:r>
      <w:r w:rsidR="00D60617" w:rsidRPr="008712F5">
        <w:rPr>
          <w:rFonts w:ascii="Times New Roman" w:hAnsi="Times New Roman" w:cs="Times New Roman"/>
          <w:sz w:val="24"/>
          <w:szCs w:val="24"/>
        </w:rPr>
        <w:t>that the extent in which instructional variables are predictive of grade eight mathematics achievement</w:t>
      </w:r>
      <w:r w:rsidRPr="008712F5">
        <w:rPr>
          <w:rFonts w:ascii="Times New Roman" w:hAnsi="Times New Roman" w:cs="Times New Roman"/>
          <w:sz w:val="24"/>
          <w:szCs w:val="24"/>
        </w:rPr>
        <w:t>,</w:t>
      </w:r>
      <w:r w:rsidR="00D60617" w:rsidRPr="008712F5">
        <w:rPr>
          <w:rFonts w:ascii="Times New Roman" w:hAnsi="Times New Roman" w:cs="Times New Roman"/>
          <w:sz w:val="24"/>
          <w:szCs w:val="24"/>
        </w:rPr>
        <w:t xml:space="preserve"> differs considerably, even within clusters of countries that typically are seen as ‘related’.</w:t>
      </w:r>
      <w:r w:rsidRPr="008712F5">
        <w:rPr>
          <w:rFonts w:ascii="Times New Roman" w:hAnsi="Times New Roman" w:cs="Times New Roman"/>
          <w:sz w:val="24"/>
          <w:szCs w:val="24"/>
        </w:rPr>
        <w:t xml:space="preserve"> Between</w:t>
      </w:r>
      <w:r w:rsidR="00001D7C" w:rsidRPr="008712F5">
        <w:rPr>
          <w:rFonts w:ascii="Times New Roman" w:hAnsi="Times New Roman" w:cs="Times New Roman"/>
          <w:sz w:val="24"/>
          <w:szCs w:val="24"/>
        </w:rPr>
        <w:t xml:space="preserve"> East-Asia</w:t>
      </w:r>
      <w:r w:rsidRPr="008712F5">
        <w:rPr>
          <w:rFonts w:ascii="Times New Roman" w:hAnsi="Times New Roman" w:cs="Times New Roman"/>
          <w:sz w:val="24"/>
          <w:szCs w:val="24"/>
        </w:rPr>
        <w:t>n countries there is quite</w:t>
      </w:r>
      <w:r w:rsidR="00001D7C" w:rsidRPr="008712F5">
        <w:rPr>
          <w:rFonts w:ascii="Times New Roman" w:hAnsi="Times New Roman" w:cs="Times New Roman"/>
          <w:sz w:val="24"/>
          <w:szCs w:val="24"/>
        </w:rPr>
        <w:t xml:space="preserve"> some variance, with for example Singapore showing </w:t>
      </w:r>
      <w:r w:rsidR="00D60617" w:rsidRPr="008712F5">
        <w:rPr>
          <w:rFonts w:ascii="Times New Roman" w:hAnsi="Times New Roman" w:cs="Times New Roman"/>
          <w:sz w:val="24"/>
          <w:szCs w:val="24"/>
        </w:rPr>
        <w:t>generative practices</w:t>
      </w:r>
      <w:r w:rsidR="00001D7C" w:rsidRPr="008712F5">
        <w:rPr>
          <w:rFonts w:ascii="Times New Roman" w:hAnsi="Times New Roman" w:cs="Times New Roman"/>
          <w:sz w:val="24"/>
          <w:szCs w:val="24"/>
        </w:rPr>
        <w:t xml:space="preserve"> </w:t>
      </w:r>
      <w:r w:rsidR="00D60617" w:rsidRPr="008712F5">
        <w:rPr>
          <w:rFonts w:ascii="Times New Roman" w:hAnsi="Times New Roman" w:cs="Times New Roman"/>
          <w:sz w:val="24"/>
          <w:szCs w:val="24"/>
        </w:rPr>
        <w:t xml:space="preserve">(GEN) </w:t>
      </w:r>
      <w:r w:rsidR="00695941" w:rsidRPr="008712F5">
        <w:rPr>
          <w:rFonts w:ascii="Times New Roman" w:hAnsi="Times New Roman" w:cs="Times New Roman"/>
          <w:sz w:val="24"/>
          <w:szCs w:val="24"/>
        </w:rPr>
        <w:t xml:space="preserve">as </w:t>
      </w:r>
      <w:r w:rsidR="00001D7C" w:rsidRPr="008712F5">
        <w:rPr>
          <w:rFonts w:ascii="Times New Roman" w:hAnsi="Times New Roman" w:cs="Times New Roman"/>
          <w:sz w:val="24"/>
          <w:szCs w:val="24"/>
        </w:rPr>
        <w:t xml:space="preserve">a significant </w:t>
      </w:r>
      <w:r w:rsidR="00D60617" w:rsidRPr="008712F5">
        <w:rPr>
          <w:rFonts w:ascii="Times New Roman" w:hAnsi="Times New Roman" w:cs="Times New Roman"/>
          <w:sz w:val="24"/>
          <w:szCs w:val="24"/>
        </w:rPr>
        <w:t>negative</w:t>
      </w:r>
      <w:r w:rsidR="00001D7C" w:rsidRPr="008712F5">
        <w:rPr>
          <w:rFonts w:ascii="Times New Roman" w:hAnsi="Times New Roman" w:cs="Times New Roman"/>
          <w:sz w:val="24"/>
          <w:szCs w:val="24"/>
        </w:rPr>
        <w:t xml:space="preserve"> predictor, and </w:t>
      </w:r>
      <w:r w:rsidR="00494437" w:rsidRPr="008712F5">
        <w:rPr>
          <w:rFonts w:ascii="Times New Roman" w:hAnsi="Times New Roman" w:cs="Times New Roman"/>
          <w:sz w:val="24"/>
          <w:szCs w:val="24"/>
        </w:rPr>
        <w:t>‘P</w:t>
      </w:r>
      <w:r w:rsidR="000233CA" w:rsidRPr="008712F5">
        <w:rPr>
          <w:rFonts w:ascii="Times New Roman" w:hAnsi="Times New Roman" w:cs="Times New Roman"/>
          <w:sz w:val="24"/>
          <w:szCs w:val="24"/>
        </w:rPr>
        <w:t>ractice-on-</w:t>
      </w:r>
      <w:r w:rsidR="00494437" w:rsidRPr="008712F5">
        <w:rPr>
          <w:rFonts w:ascii="Times New Roman" w:hAnsi="Times New Roman" w:cs="Times New Roman"/>
          <w:sz w:val="24"/>
          <w:szCs w:val="24"/>
        </w:rPr>
        <w:t>O</w:t>
      </w:r>
      <w:r w:rsidR="000233CA" w:rsidRPr="008712F5">
        <w:rPr>
          <w:rFonts w:ascii="Times New Roman" w:hAnsi="Times New Roman" w:cs="Times New Roman"/>
          <w:sz w:val="24"/>
          <w:szCs w:val="24"/>
        </w:rPr>
        <w:t>wn</w:t>
      </w:r>
      <w:r w:rsidR="00494437" w:rsidRPr="008712F5">
        <w:rPr>
          <w:rFonts w:ascii="Times New Roman" w:hAnsi="Times New Roman" w:cs="Times New Roman"/>
          <w:sz w:val="24"/>
          <w:szCs w:val="24"/>
        </w:rPr>
        <w:t>’</w:t>
      </w:r>
      <w:r w:rsidR="000233CA" w:rsidRPr="008712F5">
        <w:rPr>
          <w:rFonts w:ascii="Times New Roman" w:hAnsi="Times New Roman" w:cs="Times New Roman"/>
          <w:sz w:val="24"/>
          <w:szCs w:val="24"/>
        </w:rPr>
        <w:t xml:space="preserve"> (PO) as </w:t>
      </w:r>
      <w:r w:rsidR="00001D7C" w:rsidRPr="008712F5">
        <w:rPr>
          <w:rFonts w:ascii="Times New Roman" w:hAnsi="Times New Roman" w:cs="Times New Roman"/>
          <w:sz w:val="24"/>
          <w:szCs w:val="24"/>
        </w:rPr>
        <w:t xml:space="preserve">a significant </w:t>
      </w:r>
      <w:r w:rsidR="000233CA" w:rsidRPr="008712F5">
        <w:rPr>
          <w:rFonts w:ascii="Times New Roman" w:hAnsi="Times New Roman" w:cs="Times New Roman"/>
          <w:sz w:val="24"/>
          <w:szCs w:val="24"/>
        </w:rPr>
        <w:t>positive</w:t>
      </w:r>
      <w:r w:rsidR="00001D7C" w:rsidRPr="008712F5">
        <w:rPr>
          <w:rFonts w:ascii="Times New Roman" w:hAnsi="Times New Roman" w:cs="Times New Roman"/>
          <w:sz w:val="24"/>
          <w:szCs w:val="24"/>
        </w:rPr>
        <w:t xml:space="preserve"> predictor. However, other jurisdictions like Chinese Taipei</w:t>
      </w:r>
      <w:r w:rsidR="000233CA" w:rsidRPr="008712F5">
        <w:rPr>
          <w:rFonts w:ascii="Times New Roman" w:hAnsi="Times New Roman" w:cs="Times New Roman"/>
          <w:sz w:val="24"/>
          <w:szCs w:val="24"/>
        </w:rPr>
        <w:t xml:space="preserve">, Japan </w:t>
      </w:r>
      <w:r w:rsidR="00001D7C" w:rsidRPr="008712F5">
        <w:rPr>
          <w:rFonts w:ascii="Times New Roman" w:hAnsi="Times New Roman" w:cs="Times New Roman"/>
          <w:sz w:val="24"/>
          <w:szCs w:val="24"/>
        </w:rPr>
        <w:t xml:space="preserve">and Korea show </w:t>
      </w:r>
      <w:r w:rsidR="00354216" w:rsidRPr="008712F5">
        <w:rPr>
          <w:rFonts w:ascii="Times New Roman" w:hAnsi="Times New Roman" w:cs="Times New Roman"/>
          <w:sz w:val="24"/>
          <w:szCs w:val="24"/>
        </w:rPr>
        <w:t>no</w:t>
      </w:r>
      <w:r w:rsidR="00001D7C" w:rsidRPr="008712F5">
        <w:rPr>
          <w:rFonts w:ascii="Times New Roman" w:hAnsi="Times New Roman" w:cs="Times New Roman"/>
          <w:sz w:val="24"/>
          <w:szCs w:val="24"/>
        </w:rPr>
        <w:t xml:space="preserve"> significant predictors</w:t>
      </w:r>
      <w:r w:rsidR="00695941" w:rsidRPr="008712F5">
        <w:rPr>
          <w:rFonts w:ascii="Times New Roman" w:hAnsi="Times New Roman" w:cs="Times New Roman"/>
          <w:sz w:val="24"/>
          <w:szCs w:val="24"/>
        </w:rPr>
        <w:t xml:space="preserve"> (</w:t>
      </w:r>
      <w:r w:rsidR="000233CA" w:rsidRPr="008712F5">
        <w:rPr>
          <w:rFonts w:ascii="Times New Roman" w:hAnsi="Times New Roman" w:cs="Times New Roman"/>
          <w:sz w:val="24"/>
          <w:szCs w:val="24"/>
        </w:rPr>
        <w:t>Table III</w:t>
      </w:r>
      <w:r w:rsidR="00695941" w:rsidRPr="008712F5">
        <w:rPr>
          <w:rFonts w:ascii="Times New Roman" w:hAnsi="Times New Roman" w:cs="Times New Roman"/>
          <w:sz w:val="24"/>
          <w:szCs w:val="24"/>
        </w:rPr>
        <w:t>)</w:t>
      </w:r>
      <w:r w:rsidR="00001D7C" w:rsidRPr="008712F5">
        <w:rPr>
          <w:rFonts w:ascii="Times New Roman" w:hAnsi="Times New Roman" w:cs="Times New Roman"/>
          <w:sz w:val="24"/>
          <w:szCs w:val="24"/>
        </w:rPr>
        <w:t>.</w:t>
      </w:r>
      <w:r w:rsidR="001B1A6D" w:rsidRPr="008712F5">
        <w:rPr>
          <w:rFonts w:ascii="Times New Roman" w:hAnsi="Times New Roman" w:cs="Times New Roman"/>
          <w:sz w:val="24"/>
          <w:szCs w:val="24"/>
        </w:rPr>
        <w:t xml:space="preserve"> </w:t>
      </w:r>
      <w:r w:rsidR="00757F2F" w:rsidRPr="008712F5">
        <w:rPr>
          <w:rFonts w:ascii="Times New Roman" w:hAnsi="Times New Roman" w:cs="Times New Roman"/>
          <w:sz w:val="24"/>
          <w:szCs w:val="24"/>
        </w:rPr>
        <w:t xml:space="preserve">East Asian jurisdictions </w:t>
      </w:r>
      <w:r w:rsidR="00757F2F" w:rsidRPr="008712F5">
        <w:rPr>
          <w:rFonts w:ascii="Times New Roman" w:hAnsi="Times New Roman" w:cs="Times New Roman"/>
          <w:i/>
          <w:iCs/>
          <w:sz w:val="24"/>
          <w:szCs w:val="24"/>
        </w:rPr>
        <w:t>do</w:t>
      </w:r>
      <w:r w:rsidR="00757F2F" w:rsidRPr="008712F5">
        <w:rPr>
          <w:rFonts w:ascii="Times New Roman" w:hAnsi="Times New Roman" w:cs="Times New Roman"/>
          <w:sz w:val="24"/>
          <w:szCs w:val="24"/>
        </w:rPr>
        <w:t xml:space="preserve"> report relatively fewer </w:t>
      </w:r>
      <w:r w:rsidR="000233CA" w:rsidRPr="008712F5">
        <w:rPr>
          <w:rFonts w:ascii="Times New Roman" w:hAnsi="Times New Roman" w:cs="Times New Roman"/>
          <w:sz w:val="24"/>
          <w:szCs w:val="24"/>
        </w:rPr>
        <w:t>GEN</w:t>
      </w:r>
      <w:r w:rsidR="00757F2F" w:rsidRPr="008712F5">
        <w:rPr>
          <w:rFonts w:ascii="Times New Roman" w:hAnsi="Times New Roman" w:cs="Times New Roman"/>
          <w:sz w:val="24"/>
          <w:szCs w:val="24"/>
        </w:rPr>
        <w:t xml:space="preserve"> practices, </w:t>
      </w:r>
      <w:r w:rsidR="000233CA" w:rsidRPr="008712F5">
        <w:rPr>
          <w:rFonts w:ascii="Times New Roman" w:hAnsi="Times New Roman" w:cs="Times New Roman"/>
          <w:sz w:val="24"/>
          <w:szCs w:val="24"/>
        </w:rPr>
        <w:t>than most other countries (Table II)</w:t>
      </w:r>
      <w:r w:rsidR="00757F2F" w:rsidRPr="008712F5">
        <w:rPr>
          <w:rFonts w:ascii="Times New Roman" w:hAnsi="Times New Roman" w:cs="Times New Roman"/>
          <w:sz w:val="24"/>
          <w:szCs w:val="24"/>
        </w:rPr>
        <w:t xml:space="preserve">. </w:t>
      </w:r>
      <w:r w:rsidR="000233CA" w:rsidRPr="008712F5">
        <w:rPr>
          <w:rFonts w:ascii="Times New Roman" w:hAnsi="Times New Roman" w:cs="Times New Roman"/>
          <w:sz w:val="24"/>
          <w:szCs w:val="24"/>
        </w:rPr>
        <w:t xml:space="preserve">Two other instructional predictors, limitations for teaching and instructional time, also show no consistent pattern, both across all countries as East Asian countries in particular. For example, although in Chinese Taipei, Japan, and Singapore </w:t>
      </w:r>
      <w:r w:rsidR="001B1A6D" w:rsidRPr="008712F5">
        <w:rPr>
          <w:rFonts w:ascii="Times New Roman" w:hAnsi="Times New Roman" w:cs="Times New Roman"/>
          <w:sz w:val="24"/>
          <w:szCs w:val="24"/>
        </w:rPr>
        <w:t xml:space="preserve">limitations for teaching and instructional time both are </w:t>
      </w:r>
      <w:r w:rsidR="000233CA" w:rsidRPr="008712F5">
        <w:rPr>
          <w:rFonts w:ascii="Times New Roman" w:hAnsi="Times New Roman" w:cs="Times New Roman"/>
          <w:sz w:val="24"/>
          <w:szCs w:val="24"/>
        </w:rPr>
        <w:t>si</w:t>
      </w:r>
      <w:r w:rsidR="001B1A6D" w:rsidRPr="008712F5">
        <w:rPr>
          <w:rFonts w:ascii="Times New Roman" w:hAnsi="Times New Roman" w:cs="Times New Roman"/>
          <w:sz w:val="24"/>
          <w:szCs w:val="24"/>
        </w:rPr>
        <w:t>gnificant predictors, the latter is negative in Singapore and positive in the other two. In Hong Kong SAR only the limitations for teaching is a significant positive predictor. In Korea neither variables are predictive of grade eight mathematics achievement. So, although we posited two current views on ‘clusters of countr</w:t>
      </w:r>
      <w:r w:rsidR="0050185F" w:rsidRPr="008712F5">
        <w:rPr>
          <w:rFonts w:ascii="Times New Roman" w:hAnsi="Times New Roman" w:cs="Times New Roman"/>
          <w:sz w:val="24"/>
          <w:szCs w:val="24"/>
        </w:rPr>
        <w:t>ies</w:t>
      </w:r>
      <w:r w:rsidR="001B1A6D" w:rsidRPr="008712F5">
        <w:rPr>
          <w:rFonts w:ascii="Times New Roman" w:hAnsi="Times New Roman" w:cs="Times New Roman"/>
          <w:sz w:val="24"/>
          <w:szCs w:val="24"/>
        </w:rPr>
        <w:t xml:space="preserve">’, </w:t>
      </w:r>
      <w:r w:rsidR="0050185F" w:rsidRPr="008712F5">
        <w:rPr>
          <w:rFonts w:ascii="Times New Roman" w:hAnsi="Times New Roman" w:cs="Times New Roman"/>
          <w:sz w:val="24"/>
          <w:szCs w:val="24"/>
        </w:rPr>
        <w:t xml:space="preserve">one view that says that there is some coherence and another view that within East Asia there are many differences, </w:t>
      </w:r>
      <w:r w:rsidR="001B1A6D" w:rsidRPr="008712F5">
        <w:rPr>
          <w:rFonts w:ascii="Times New Roman" w:hAnsi="Times New Roman" w:cs="Times New Roman"/>
          <w:sz w:val="24"/>
          <w:szCs w:val="24"/>
        </w:rPr>
        <w:t xml:space="preserve">our results are more </w:t>
      </w:r>
      <w:r w:rsidR="00C355A3" w:rsidRPr="008712F5">
        <w:rPr>
          <w:rFonts w:ascii="Times New Roman" w:hAnsi="Times New Roman" w:cs="Times New Roman"/>
          <w:sz w:val="24"/>
          <w:szCs w:val="24"/>
        </w:rPr>
        <w:t>in line with</w:t>
      </w:r>
      <w:r w:rsidR="0050185F" w:rsidRPr="008712F5">
        <w:rPr>
          <w:rFonts w:ascii="Times New Roman" w:hAnsi="Times New Roman" w:cs="Times New Roman"/>
          <w:sz w:val="24"/>
          <w:szCs w:val="24"/>
        </w:rPr>
        <w:t xml:space="preserve"> the latter. To echo previous results by Cheng (2014), one</w:t>
      </w:r>
      <w:r w:rsidR="00C355A3" w:rsidRPr="008712F5">
        <w:rPr>
          <w:rFonts w:ascii="Times New Roman" w:hAnsi="Times New Roman" w:cs="Times New Roman"/>
          <w:sz w:val="24"/>
          <w:szCs w:val="24"/>
        </w:rPr>
        <w:t xml:space="preserve"> approach can’t said to be uniformly more predictive of positive outcomes than the other. </w:t>
      </w:r>
      <w:r w:rsidR="00CC27ED" w:rsidRPr="008712F5">
        <w:rPr>
          <w:rFonts w:ascii="Times New Roman" w:hAnsi="Times New Roman" w:cs="Times New Roman"/>
          <w:sz w:val="24"/>
          <w:szCs w:val="24"/>
        </w:rPr>
        <w:t xml:space="preserve">Our findings contradict suggestions by Leung (2017) that East Asian countries form a cultural cluster. </w:t>
      </w:r>
      <w:r w:rsidR="00AD6BE4" w:rsidRPr="008712F5">
        <w:rPr>
          <w:rFonts w:ascii="Times New Roman" w:hAnsi="Times New Roman" w:cs="Times New Roman"/>
          <w:sz w:val="24"/>
          <w:szCs w:val="24"/>
        </w:rPr>
        <w:t>If</w:t>
      </w:r>
      <w:r w:rsidR="00CC27ED" w:rsidRPr="008712F5">
        <w:rPr>
          <w:rFonts w:ascii="Times New Roman" w:hAnsi="Times New Roman" w:cs="Times New Roman"/>
          <w:sz w:val="24"/>
          <w:szCs w:val="24"/>
        </w:rPr>
        <w:t xml:space="preserve"> the question is, as posited in </w:t>
      </w:r>
      <w:r w:rsidR="00AD6BE4" w:rsidRPr="008712F5">
        <w:rPr>
          <w:rFonts w:ascii="Times New Roman" w:hAnsi="Times New Roman" w:cs="Times New Roman"/>
          <w:sz w:val="24"/>
          <w:szCs w:val="24"/>
        </w:rPr>
        <w:t>Leung’s (2017)</w:t>
      </w:r>
      <w:r w:rsidR="00CC27ED" w:rsidRPr="008712F5">
        <w:rPr>
          <w:rFonts w:ascii="Times New Roman" w:hAnsi="Times New Roman" w:cs="Times New Roman"/>
          <w:sz w:val="24"/>
          <w:szCs w:val="24"/>
        </w:rPr>
        <w:t xml:space="preserve"> title ‘does culture really matter?’, then we agree that the answer still is ‘probably’</w:t>
      </w:r>
      <w:r w:rsidR="00475E4A" w:rsidRPr="008712F5">
        <w:rPr>
          <w:rFonts w:ascii="Times New Roman" w:hAnsi="Times New Roman" w:cs="Times New Roman"/>
          <w:sz w:val="24"/>
          <w:szCs w:val="24"/>
        </w:rPr>
        <w:t>, with</w:t>
      </w:r>
      <w:r w:rsidR="00CC27ED" w:rsidRPr="008712F5">
        <w:rPr>
          <w:rFonts w:ascii="Times New Roman" w:hAnsi="Times New Roman" w:cs="Times New Roman"/>
          <w:sz w:val="24"/>
          <w:szCs w:val="24"/>
        </w:rPr>
        <w:t xml:space="preserve"> this study provides some further evidence towards this. </w:t>
      </w:r>
      <w:r w:rsidR="00475E4A" w:rsidRPr="008712F5">
        <w:rPr>
          <w:rFonts w:ascii="Times New Roman" w:hAnsi="Times New Roman" w:cs="Times New Roman"/>
          <w:sz w:val="24"/>
          <w:szCs w:val="24"/>
        </w:rPr>
        <w:t>However, although there might common elements between certain cultures, they also are inherently unique</w:t>
      </w:r>
      <w:r w:rsidR="00AD6BE4" w:rsidRPr="008712F5">
        <w:rPr>
          <w:rFonts w:ascii="Times New Roman" w:hAnsi="Times New Roman" w:cs="Times New Roman"/>
          <w:sz w:val="24"/>
          <w:szCs w:val="24"/>
        </w:rPr>
        <w:t>. In addition,</w:t>
      </w:r>
      <w:r w:rsidR="00CC27ED" w:rsidRPr="008712F5">
        <w:rPr>
          <w:rFonts w:ascii="Times New Roman" w:hAnsi="Times New Roman" w:cs="Times New Roman"/>
          <w:sz w:val="24"/>
          <w:szCs w:val="24"/>
        </w:rPr>
        <w:t xml:space="preserve"> cultural influences are </w:t>
      </w:r>
      <w:r w:rsidR="00475E4A" w:rsidRPr="008712F5">
        <w:rPr>
          <w:rFonts w:ascii="Times New Roman" w:hAnsi="Times New Roman" w:cs="Times New Roman"/>
          <w:sz w:val="24"/>
          <w:szCs w:val="24"/>
        </w:rPr>
        <w:t>hard</w:t>
      </w:r>
      <w:r w:rsidR="00CC27ED" w:rsidRPr="008712F5">
        <w:rPr>
          <w:rFonts w:ascii="Times New Roman" w:hAnsi="Times New Roman" w:cs="Times New Roman"/>
          <w:sz w:val="24"/>
          <w:szCs w:val="24"/>
        </w:rPr>
        <w:t xml:space="preserve"> to determine in even just one country, let alone numerous cultures across the world. We therefore need to continue our research in effective mathematics education </w:t>
      </w:r>
      <w:r w:rsidR="00CC27ED" w:rsidRPr="008712F5">
        <w:rPr>
          <w:rFonts w:ascii="Times New Roman" w:hAnsi="Times New Roman" w:cs="Times New Roman"/>
          <w:sz w:val="24"/>
          <w:szCs w:val="24"/>
        </w:rPr>
        <w:lastRenderedPageBreak/>
        <w:t>practices</w:t>
      </w:r>
      <w:r w:rsidR="00475E4A" w:rsidRPr="008712F5">
        <w:rPr>
          <w:rFonts w:ascii="Times New Roman" w:hAnsi="Times New Roman" w:cs="Times New Roman"/>
          <w:sz w:val="24"/>
          <w:szCs w:val="24"/>
        </w:rPr>
        <w:t>, but realise that there is not one ‘silver bullet’ that works across all available contexts</w:t>
      </w:r>
      <w:r w:rsidR="00CC27ED" w:rsidRPr="008712F5">
        <w:rPr>
          <w:rFonts w:ascii="Times New Roman" w:hAnsi="Times New Roman" w:cs="Times New Roman"/>
          <w:sz w:val="24"/>
          <w:szCs w:val="24"/>
        </w:rPr>
        <w:t>.</w:t>
      </w:r>
      <w:r w:rsidR="00B41288" w:rsidRPr="008712F5">
        <w:rPr>
          <w:rFonts w:ascii="Times New Roman" w:hAnsi="Times New Roman" w:cs="Times New Roman"/>
          <w:sz w:val="24"/>
          <w:szCs w:val="24"/>
        </w:rPr>
        <w:t xml:space="preserve"> Having said that, this also doesn’t mean we can’t </w:t>
      </w:r>
      <w:r w:rsidR="00B41288" w:rsidRPr="008712F5">
        <w:rPr>
          <w:rFonts w:ascii="Times New Roman" w:hAnsi="Times New Roman" w:cs="Times New Roman"/>
          <w:i/>
          <w:iCs/>
          <w:sz w:val="24"/>
          <w:szCs w:val="24"/>
        </w:rPr>
        <w:t>learn</w:t>
      </w:r>
      <w:r w:rsidR="00B41288" w:rsidRPr="008712F5">
        <w:rPr>
          <w:rFonts w:ascii="Times New Roman" w:hAnsi="Times New Roman" w:cs="Times New Roman"/>
          <w:sz w:val="24"/>
          <w:szCs w:val="24"/>
        </w:rPr>
        <w:t xml:space="preserve"> from other countries’ prevalent instructional practices, with some practices supported by sociological, pedagogical and psychological research.</w:t>
      </w:r>
    </w:p>
    <w:p w14:paraId="0DFB25A2" w14:textId="77777777" w:rsidR="00F8011B" w:rsidRPr="008712F5" w:rsidRDefault="00F8011B" w:rsidP="00FE3D40">
      <w:pPr>
        <w:spacing w:line="480" w:lineRule="auto"/>
        <w:rPr>
          <w:rFonts w:ascii="Times New Roman" w:hAnsi="Times New Roman" w:cs="Times New Roman"/>
          <w:sz w:val="24"/>
          <w:szCs w:val="24"/>
        </w:rPr>
      </w:pPr>
    </w:p>
    <w:p w14:paraId="29142B8F" w14:textId="77584C72" w:rsidR="00A1564A" w:rsidRPr="008712F5" w:rsidRDefault="00B41288" w:rsidP="00FE3D40">
      <w:pPr>
        <w:spacing w:line="480" w:lineRule="auto"/>
        <w:rPr>
          <w:rFonts w:ascii="Times New Roman" w:hAnsi="Times New Roman" w:cs="Times New Roman"/>
          <w:sz w:val="24"/>
          <w:szCs w:val="24"/>
        </w:rPr>
      </w:pPr>
      <w:r w:rsidRPr="008712F5">
        <w:rPr>
          <w:rFonts w:ascii="Times New Roman" w:hAnsi="Times New Roman" w:cs="Times New Roman"/>
          <w:sz w:val="24"/>
          <w:szCs w:val="24"/>
        </w:rPr>
        <w:t>Regarding our analytical approach</w:t>
      </w:r>
      <w:r w:rsidR="00624793" w:rsidRPr="008712F5">
        <w:rPr>
          <w:rFonts w:ascii="Times New Roman" w:hAnsi="Times New Roman" w:cs="Times New Roman"/>
          <w:sz w:val="24"/>
          <w:szCs w:val="24"/>
        </w:rPr>
        <w:t>, we acknowledge that our findings will be influenced by the choice of variables. In this case, we used instructional variables available in the grade eight TIMSS 2019 dataset, but the way we combine them in scales, is subject to analytical choices, which can have consequences for our conclusions.</w:t>
      </w:r>
      <w:r w:rsidR="00A5317C" w:rsidRPr="008712F5">
        <w:rPr>
          <w:rFonts w:ascii="Times New Roman" w:hAnsi="Times New Roman" w:cs="Times New Roman"/>
          <w:sz w:val="24"/>
          <w:szCs w:val="24"/>
        </w:rPr>
        <w:t xml:space="preserve"> For example, many analysts have looked at inquiry-based learning</w:t>
      </w:r>
      <w:r w:rsidR="00595689" w:rsidRPr="008712F5">
        <w:rPr>
          <w:rFonts w:ascii="Times New Roman" w:hAnsi="Times New Roman" w:cs="Times New Roman"/>
          <w:sz w:val="24"/>
          <w:szCs w:val="24"/>
        </w:rPr>
        <w:t xml:space="preserve"> in science</w:t>
      </w:r>
      <w:r w:rsidR="00A5317C" w:rsidRPr="008712F5">
        <w:rPr>
          <w:rFonts w:ascii="Times New Roman" w:hAnsi="Times New Roman" w:cs="Times New Roman"/>
          <w:sz w:val="24"/>
          <w:szCs w:val="24"/>
        </w:rPr>
        <w:t xml:space="preserve"> based on PISA 2015 data. Two </w:t>
      </w:r>
      <w:r w:rsidR="00BC3033" w:rsidRPr="008712F5">
        <w:rPr>
          <w:rFonts w:ascii="Times New Roman" w:hAnsi="Times New Roman" w:cs="Times New Roman"/>
          <w:sz w:val="24"/>
          <w:szCs w:val="24"/>
        </w:rPr>
        <w:t>separate analyses of the data, using different compositions of the inquiry scales, yielded different results (Jerrim et al., 2020; Oliver et al., 2021).</w:t>
      </w:r>
      <w:r w:rsidR="00A5317C" w:rsidRPr="008712F5">
        <w:rPr>
          <w:rFonts w:ascii="Times New Roman" w:hAnsi="Times New Roman" w:cs="Times New Roman"/>
          <w:sz w:val="24"/>
          <w:szCs w:val="24"/>
        </w:rPr>
        <w:t xml:space="preserve"> </w:t>
      </w:r>
      <w:r w:rsidR="00BC3033" w:rsidRPr="008712F5">
        <w:rPr>
          <w:rFonts w:ascii="Times New Roman" w:hAnsi="Times New Roman" w:cs="Times New Roman"/>
          <w:sz w:val="24"/>
          <w:szCs w:val="24"/>
        </w:rPr>
        <w:t xml:space="preserve">This article presents </w:t>
      </w:r>
      <w:r w:rsidR="00BB1D46" w:rsidRPr="008712F5">
        <w:rPr>
          <w:rFonts w:ascii="Times New Roman" w:hAnsi="Times New Roman" w:cs="Times New Roman"/>
          <w:sz w:val="24"/>
          <w:szCs w:val="24"/>
        </w:rPr>
        <w:t xml:space="preserve">data-driven </w:t>
      </w:r>
      <w:r w:rsidR="00BC3033" w:rsidRPr="008712F5">
        <w:rPr>
          <w:rFonts w:ascii="Times New Roman" w:hAnsi="Times New Roman" w:cs="Times New Roman"/>
          <w:sz w:val="24"/>
          <w:szCs w:val="24"/>
        </w:rPr>
        <w:t>choices</w:t>
      </w:r>
      <w:r w:rsidR="00624793" w:rsidRPr="008712F5">
        <w:rPr>
          <w:rFonts w:ascii="Times New Roman" w:hAnsi="Times New Roman" w:cs="Times New Roman"/>
          <w:sz w:val="24"/>
          <w:szCs w:val="24"/>
        </w:rPr>
        <w:t>, based on factor analysis,</w:t>
      </w:r>
      <w:r w:rsidR="00BC3033" w:rsidRPr="008712F5">
        <w:rPr>
          <w:rFonts w:ascii="Times New Roman" w:hAnsi="Times New Roman" w:cs="Times New Roman"/>
          <w:sz w:val="24"/>
          <w:szCs w:val="24"/>
        </w:rPr>
        <w:t xml:space="preserve"> with regard to </w:t>
      </w:r>
      <w:r w:rsidR="00BB1D46" w:rsidRPr="008712F5">
        <w:rPr>
          <w:rFonts w:ascii="Times New Roman" w:hAnsi="Times New Roman" w:cs="Times New Roman"/>
          <w:sz w:val="24"/>
          <w:szCs w:val="24"/>
        </w:rPr>
        <w:t>scales we dubbed ‘generative’, ‘teacher-active’ and ‘practice-on-own’</w:t>
      </w:r>
      <w:r w:rsidR="00BC3033" w:rsidRPr="008712F5">
        <w:rPr>
          <w:rFonts w:ascii="Times New Roman" w:hAnsi="Times New Roman" w:cs="Times New Roman"/>
          <w:sz w:val="24"/>
          <w:szCs w:val="24"/>
        </w:rPr>
        <w:t xml:space="preserve">. </w:t>
      </w:r>
      <w:r w:rsidR="00624793" w:rsidRPr="008712F5">
        <w:rPr>
          <w:rFonts w:ascii="Times New Roman" w:hAnsi="Times New Roman" w:cs="Times New Roman"/>
          <w:sz w:val="24"/>
          <w:szCs w:val="24"/>
        </w:rPr>
        <w:t xml:space="preserve">Although we describe </w:t>
      </w:r>
      <w:r w:rsidR="00A05AB0" w:rsidRPr="008712F5">
        <w:rPr>
          <w:rFonts w:ascii="Times New Roman" w:hAnsi="Times New Roman" w:cs="Times New Roman"/>
          <w:sz w:val="24"/>
          <w:szCs w:val="24"/>
        </w:rPr>
        <w:t>our analytical choices as transparently as possible, they still are subject to some arbitrariness.</w:t>
      </w:r>
      <w:r w:rsidR="00BC3033" w:rsidRPr="008712F5">
        <w:rPr>
          <w:rFonts w:ascii="Times New Roman" w:hAnsi="Times New Roman" w:cs="Times New Roman"/>
          <w:sz w:val="24"/>
          <w:szCs w:val="24"/>
        </w:rPr>
        <w:t xml:space="preserve"> In fact, analyses of secondary data like these, inherently include many analytical choices, which </w:t>
      </w:r>
      <w:r w:rsidR="00695941" w:rsidRPr="008712F5">
        <w:rPr>
          <w:rFonts w:ascii="Times New Roman" w:hAnsi="Times New Roman" w:cs="Times New Roman"/>
          <w:sz w:val="24"/>
          <w:szCs w:val="24"/>
        </w:rPr>
        <w:t xml:space="preserve">in term </w:t>
      </w:r>
      <w:r w:rsidR="00BC3033" w:rsidRPr="008712F5">
        <w:rPr>
          <w:rFonts w:ascii="Times New Roman" w:hAnsi="Times New Roman" w:cs="Times New Roman"/>
          <w:sz w:val="24"/>
          <w:szCs w:val="24"/>
        </w:rPr>
        <w:t>lead to analytical variability (</w:t>
      </w:r>
      <w:r w:rsidR="008B6E93" w:rsidRPr="008712F5">
        <w:rPr>
          <w:rFonts w:ascii="Times New Roman" w:hAnsi="Times New Roman" w:cs="Times New Roman"/>
          <w:sz w:val="24"/>
          <w:szCs w:val="24"/>
        </w:rPr>
        <w:t>Bokhove</w:t>
      </w:r>
      <w:r w:rsidR="00BC3033" w:rsidRPr="008712F5">
        <w:rPr>
          <w:rFonts w:ascii="Times New Roman" w:hAnsi="Times New Roman" w:cs="Times New Roman"/>
          <w:sz w:val="24"/>
          <w:szCs w:val="24"/>
        </w:rPr>
        <w:t>, 2022).</w:t>
      </w:r>
      <w:r w:rsidR="00757F2F" w:rsidRPr="008712F5">
        <w:rPr>
          <w:rFonts w:ascii="Times New Roman" w:hAnsi="Times New Roman" w:cs="Times New Roman"/>
          <w:sz w:val="24"/>
          <w:szCs w:val="24"/>
        </w:rPr>
        <w:t xml:space="preserve"> In other words, different variable choices, might yield different results. </w:t>
      </w:r>
      <w:r w:rsidR="003E6810" w:rsidRPr="008712F5">
        <w:rPr>
          <w:rFonts w:ascii="Times New Roman" w:hAnsi="Times New Roman" w:cs="Times New Roman"/>
          <w:sz w:val="24"/>
          <w:szCs w:val="24"/>
        </w:rPr>
        <w:t xml:space="preserve">To mitigate issues with analytical variability, in future research secondary </w:t>
      </w:r>
      <w:r w:rsidR="00EB649C" w:rsidRPr="008712F5">
        <w:rPr>
          <w:rFonts w:ascii="Times New Roman" w:hAnsi="Times New Roman" w:cs="Times New Roman"/>
          <w:sz w:val="24"/>
          <w:szCs w:val="24"/>
        </w:rPr>
        <w:t xml:space="preserve">data </w:t>
      </w:r>
      <w:r w:rsidR="003E6810" w:rsidRPr="008712F5">
        <w:rPr>
          <w:rFonts w:ascii="Times New Roman" w:hAnsi="Times New Roman" w:cs="Times New Roman"/>
          <w:sz w:val="24"/>
          <w:szCs w:val="24"/>
        </w:rPr>
        <w:t xml:space="preserve">analyses </w:t>
      </w:r>
      <w:r w:rsidR="00AD6BE4" w:rsidRPr="008712F5">
        <w:rPr>
          <w:rFonts w:ascii="Times New Roman" w:hAnsi="Times New Roman" w:cs="Times New Roman"/>
          <w:sz w:val="24"/>
          <w:szCs w:val="24"/>
        </w:rPr>
        <w:t>could</w:t>
      </w:r>
      <w:r w:rsidR="003E6810" w:rsidRPr="008712F5">
        <w:rPr>
          <w:rFonts w:ascii="Times New Roman" w:hAnsi="Times New Roman" w:cs="Times New Roman"/>
          <w:sz w:val="24"/>
          <w:szCs w:val="24"/>
        </w:rPr>
        <w:t xml:space="preserve"> be pre-registered, with analysis scripts deposited in, for example, the Open Science Framework</w:t>
      </w:r>
      <w:r w:rsidR="008C6AF1" w:rsidRPr="008712F5">
        <w:rPr>
          <w:rStyle w:val="EndnoteReference"/>
          <w:rFonts w:ascii="Times New Roman" w:hAnsi="Times New Roman" w:cs="Times New Roman"/>
          <w:sz w:val="24"/>
          <w:szCs w:val="24"/>
        </w:rPr>
        <w:endnoteReference w:id="9"/>
      </w:r>
      <w:r w:rsidR="008C6AF1" w:rsidRPr="008712F5">
        <w:rPr>
          <w:rFonts w:ascii="Times New Roman" w:hAnsi="Times New Roman" w:cs="Times New Roman"/>
          <w:sz w:val="24"/>
          <w:szCs w:val="24"/>
        </w:rPr>
        <w:t>,</w:t>
      </w:r>
      <w:r w:rsidR="003E6810" w:rsidRPr="008712F5">
        <w:rPr>
          <w:rFonts w:ascii="Times New Roman" w:hAnsi="Times New Roman" w:cs="Times New Roman"/>
          <w:sz w:val="24"/>
          <w:szCs w:val="24"/>
        </w:rPr>
        <w:t xml:space="preserve"> or even a registered report.</w:t>
      </w:r>
    </w:p>
    <w:p w14:paraId="2D54DBD1" w14:textId="0496944A" w:rsidR="009E459F" w:rsidRPr="008712F5" w:rsidRDefault="00A05AB0" w:rsidP="00FE3D40">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A further limitation of our analysis is that secondary </w:t>
      </w:r>
      <w:r w:rsidR="00F8011B" w:rsidRPr="008712F5">
        <w:rPr>
          <w:rFonts w:ascii="Times New Roman" w:hAnsi="Times New Roman" w:cs="Times New Roman"/>
          <w:sz w:val="24"/>
          <w:szCs w:val="24"/>
        </w:rPr>
        <w:t>data analyses</w:t>
      </w:r>
      <w:r w:rsidRPr="008712F5">
        <w:rPr>
          <w:rFonts w:ascii="Times New Roman" w:hAnsi="Times New Roman" w:cs="Times New Roman"/>
          <w:sz w:val="24"/>
          <w:szCs w:val="24"/>
        </w:rPr>
        <w:t xml:space="preserve"> </w:t>
      </w:r>
      <w:r w:rsidR="00F8011B" w:rsidRPr="008712F5">
        <w:rPr>
          <w:rFonts w:ascii="Times New Roman" w:hAnsi="Times New Roman" w:cs="Times New Roman"/>
          <w:sz w:val="24"/>
          <w:szCs w:val="24"/>
        </w:rPr>
        <w:t>with</w:t>
      </w:r>
      <w:r w:rsidRPr="008712F5">
        <w:rPr>
          <w:rFonts w:ascii="Times New Roman" w:hAnsi="Times New Roman" w:cs="Times New Roman"/>
          <w:sz w:val="24"/>
          <w:szCs w:val="24"/>
        </w:rPr>
        <w:t xml:space="preserve"> TIMSS </w:t>
      </w:r>
      <w:r w:rsidR="00F8011B" w:rsidRPr="008712F5">
        <w:rPr>
          <w:rFonts w:ascii="Times New Roman" w:hAnsi="Times New Roman" w:cs="Times New Roman"/>
          <w:sz w:val="24"/>
          <w:szCs w:val="24"/>
        </w:rPr>
        <w:t xml:space="preserve">data </w:t>
      </w:r>
      <w:r w:rsidRPr="008712F5">
        <w:rPr>
          <w:rFonts w:ascii="Times New Roman" w:hAnsi="Times New Roman" w:cs="Times New Roman"/>
          <w:sz w:val="24"/>
          <w:szCs w:val="24"/>
        </w:rPr>
        <w:t>can’t determine causality.</w:t>
      </w:r>
      <w:r w:rsidR="008A159D" w:rsidRPr="008712F5">
        <w:rPr>
          <w:rFonts w:ascii="Times New Roman" w:hAnsi="Times New Roman" w:cs="Times New Roman"/>
          <w:sz w:val="24"/>
          <w:szCs w:val="24"/>
        </w:rPr>
        <w:t xml:space="preserve"> For this, we would need longitudinal data, and as TIMSS provides cross-sectional data, this prevents strong causal assertions</w:t>
      </w:r>
      <w:r w:rsidR="00DC4A78" w:rsidRPr="008712F5">
        <w:rPr>
          <w:rFonts w:ascii="Times New Roman" w:hAnsi="Times New Roman" w:cs="Times New Roman"/>
          <w:sz w:val="24"/>
          <w:szCs w:val="24"/>
        </w:rPr>
        <w:t>, unless we try to cater for this in our analyses</w:t>
      </w:r>
      <w:r w:rsidR="008A159D" w:rsidRPr="008712F5">
        <w:rPr>
          <w:rFonts w:ascii="Times New Roman" w:hAnsi="Times New Roman" w:cs="Times New Roman"/>
          <w:sz w:val="24"/>
          <w:szCs w:val="24"/>
        </w:rPr>
        <w:t>.</w:t>
      </w:r>
      <w:r w:rsidRPr="008712F5">
        <w:t xml:space="preserve"> </w:t>
      </w:r>
      <w:r w:rsidRPr="008712F5">
        <w:rPr>
          <w:rFonts w:ascii="Times New Roman" w:hAnsi="Times New Roman" w:cs="Times New Roman"/>
          <w:sz w:val="24"/>
          <w:szCs w:val="24"/>
        </w:rPr>
        <w:t xml:space="preserve">Using older TIMSS data, Gustafson (2013) </w:t>
      </w:r>
      <w:r w:rsidR="00AD6BE4" w:rsidRPr="008712F5">
        <w:rPr>
          <w:rFonts w:ascii="Times New Roman" w:hAnsi="Times New Roman" w:cs="Times New Roman"/>
          <w:sz w:val="24"/>
          <w:szCs w:val="24"/>
        </w:rPr>
        <w:t xml:space="preserve">asserted that </w:t>
      </w:r>
      <w:r w:rsidRPr="008712F5">
        <w:rPr>
          <w:rFonts w:ascii="Times New Roman" w:hAnsi="Times New Roman" w:cs="Times New Roman"/>
          <w:sz w:val="24"/>
          <w:szCs w:val="24"/>
        </w:rPr>
        <w:t xml:space="preserve">causal relations can be explored if threats to valid causal inference from observational data are addressed. </w:t>
      </w:r>
      <w:r w:rsidR="008A159D" w:rsidRPr="008712F5">
        <w:rPr>
          <w:rFonts w:ascii="Times New Roman" w:hAnsi="Times New Roman" w:cs="Times New Roman"/>
          <w:sz w:val="24"/>
          <w:szCs w:val="24"/>
        </w:rPr>
        <w:t xml:space="preserve"> </w:t>
      </w:r>
      <w:r w:rsidR="00DC4A78" w:rsidRPr="008712F5">
        <w:rPr>
          <w:rFonts w:ascii="Times New Roman" w:hAnsi="Times New Roman" w:cs="Times New Roman"/>
          <w:sz w:val="24"/>
          <w:szCs w:val="24"/>
        </w:rPr>
        <w:t>In</w:t>
      </w:r>
      <w:r w:rsidR="008A159D" w:rsidRPr="008712F5">
        <w:rPr>
          <w:rFonts w:ascii="Times New Roman" w:hAnsi="Times New Roman" w:cs="Times New Roman"/>
          <w:sz w:val="24"/>
          <w:szCs w:val="24"/>
        </w:rPr>
        <w:t xml:space="preserve"> relation </w:t>
      </w:r>
      <w:r w:rsidR="008A159D" w:rsidRPr="008712F5">
        <w:rPr>
          <w:rFonts w:ascii="Times New Roman" w:hAnsi="Times New Roman" w:cs="Times New Roman"/>
          <w:sz w:val="24"/>
          <w:szCs w:val="24"/>
        </w:rPr>
        <w:lastRenderedPageBreak/>
        <w:t>to the focus of teaching practices, it could be the case that teachers simply adopt different practices for students with different prior proficiency. For example, in PISA 2015 data</w:t>
      </w:r>
      <w:r w:rsidR="007E14E0" w:rsidRPr="008712F5">
        <w:rPr>
          <w:rFonts w:ascii="Times New Roman" w:hAnsi="Times New Roman" w:cs="Times New Roman"/>
          <w:sz w:val="24"/>
          <w:szCs w:val="24"/>
        </w:rPr>
        <w:t>,</w:t>
      </w:r>
      <w:r w:rsidR="008A159D" w:rsidRPr="008712F5">
        <w:rPr>
          <w:rFonts w:ascii="Times New Roman" w:hAnsi="Times New Roman" w:cs="Times New Roman"/>
          <w:sz w:val="24"/>
          <w:szCs w:val="24"/>
        </w:rPr>
        <w:t xml:space="preserve"> a negative association between </w:t>
      </w:r>
      <w:r w:rsidRPr="008712F5">
        <w:rPr>
          <w:rFonts w:ascii="Times New Roman" w:hAnsi="Times New Roman" w:cs="Times New Roman"/>
          <w:sz w:val="24"/>
          <w:szCs w:val="24"/>
        </w:rPr>
        <w:t>i</w:t>
      </w:r>
      <w:r w:rsidR="00EE7AFD" w:rsidRPr="008712F5">
        <w:rPr>
          <w:rFonts w:ascii="Times New Roman" w:hAnsi="Times New Roman" w:cs="Times New Roman"/>
          <w:sz w:val="24"/>
          <w:szCs w:val="24"/>
        </w:rPr>
        <w:t>nquiry-base</w:t>
      </w:r>
      <w:r w:rsidR="00146686" w:rsidRPr="008712F5">
        <w:rPr>
          <w:rFonts w:ascii="Times New Roman" w:hAnsi="Times New Roman" w:cs="Times New Roman"/>
          <w:sz w:val="24"/>
          <w:szCs w:val="24"/>
        </w:rPr>
        <w:t>d</w:t>
      </w:r>
      <w:r w:rsidR="00EE7AFD" w:rsidRPr="008712F5">
        <w:rPr>
          <w:rFonts w:ascii="Times New Roman" w:hAnsi="Times New Roman" w:cs="Times New Roman"/>
          <w:sz w:val="24"/>
          <w:szCs w:val="24"/>
        </w:rPr>
        <w:t xml:space="preserve"> instruction and science</w:t>
      </w:r>
      <w:r w:rsidR="008A159D" w:rsidRPr="008712F5">
        <w:rPr>
          <w:rFonts w:ascii="Times New Roman" w:hAnsi="Times New Roman" w:cs="Times New Roman"/>
          <w:sz w:val="24"/>
          <w:szCs w:val="24"/>
        </w:rPr>
        <w:t xml:space="preserve"> </w:t>
      </w:r>
      <w:r w:rsidR="00EE7AFD" w:rsidRPr="008712F5">
        <w:rPr>
          <w:rFonts w:ascii="Times New Roman" w:hAnsi="Times New Roman" w:cs="Times New Roman"/>
          <w:sz w:val="24"/>
          <w:szCs w:val="24"/>
        </w:rPr>
        <w:t>achievement was found (OECD, 20</w:t>
      </w:r>
      <w:r w:rsidR="0053014E" w:rsidRPr="008712F5">
        <w:rPr>
          <w:rFonts w:ascii="Times New Roman" w:hAnsi="Times New Roman" w:cs="Times New Roman"/>
          <w:sz w:val="24"/>
          <w:szCs w:val="24"/>
        </w:rPr>
        <w:t>16</w:t>
      </w:r>
      <w:r w:rsidR="00EE7AFD" w:rsidRPr="008712F5">
        <w:rPr>
          <w:rFonts w:ascii="Times New Roman" w:hAnsi="Times New Roman" w:cs="Times New Roman"/>
          <w:sz w:val="24"/>
          <w:szCs w:val="24"/>
        </w:rPr>
        <w:t xml:space="preserve">) which led to a conclusion that some of the arguments against hands-on activities should not be disregarded. However, the findings also noted that teachers may be using hands-on activities to make science more attractive to disengaged students. </w:t>
      </w:r>
      <w:r w:rsidR="00711321" w:rsidRPr="008712F5">
        <w:rPr>
          <w:rFonts w:ascii="Times New Roman" w:hAnsi="Times New Roman" w:cs="Times New Roman"/>
          <w:sz w:val="24"/>
          <w:szCs w:val="24"/>
        </w:rPr>
        <w:t>This point regarding causality, is part of wider criticisms some scholars have addressed at ILSA providers (e.g. Zhao, 2017</w:t>
      </w:r>
      <w:r w:rsidR="003621CC" w:rsidRPr="008712F5">
        <w:rPr>
          <w:rFonts w:ascii="Times New Roman" w:hAnsi="Times New Roman" w:cs="Times New Roman"/>
          <w:sz w:val="24"/>
          <w:szCs w:val="24"/>
        </w:rPr>
        <w:t>; 2020</w:t>
      </w:r>
      <w:r w:rsidR="00711321" w:rsidRPr="008712F5">
        <w:rPr>
          <w:rFonts w:ascii="Times New Roman" w:hAnsi="Times New Roman" w:cs="Times New Roman"/>
          <w:sz w:val="24"/>
          <w:szCs w:val="24"/>
        </w:rPr>
        <w:t>)</w:t>
      </w:r>
      <w:r w:rsidR="003621CC" w:rsidRPr="008712F5">
        <w:rPr>
          <w:rFonts w:ascii="Times New Roman" w:hAnsi="Times New Roman" w:cs="Times New Roman"/>
          <w:sz w:val="24"/>
          <w:szCs w:val="24"/>
        </w:rPr>
        <w:t xml:space="preserve"> and the challenges to disentangle all the country, school and other contextual variables that make up an education system.</w:t>
      </w:r>
    </w:p>
    <w:p w14:paraId="63AA5C3E" w14:textId="77777777" w:rsidR="00237E87" w:rsidRPr="008712F5" w:rsidRDefault="00237E87" w:rsidP="00FE3D40">
      <w:pPr>
        <w:spacing w:line="480" w:lineRule="auto"/>
        <w:rPr>
          <w:rFonts w:ascii="Times New Roman" w:hAnsi="Times New Roman" w:cs="Times New Roman"/>
          <w:sz w:val="24"/>
          <w:szCs w:val="24"/>
        </w:rPr>
      </w:pPr>
    </w:p>
    <w:p w14:paraId="6B4AD67B" w14:textId="6443E6EC" w:rsidR="00237E87" w:rsidRPr="008712F5" w:rsidRDefault="009142C0" w:rsidP="00FE3D40">
      <w:pPr>
        <w:spacing w:line="480" w:lineRule="auto"/>
        <w:rPr>
          <w:rFonts w:ascii="Times New Roman" w:hAnsi="Times New Roman" w:cs="Times New Roman"/>
          <w:sz w:val="24"/>
          <w:szCs w:val="24"/>
        </w:rPr>
      </w:pPr>
      <w:r w:rsidRPr="008712F5">
        <w:rPr>
          <w:rFonts w:ascii="Times New Roman" w:hAnsi="Times New Roman" w:cs="Times New Roman"/>
          <w:sz w:val="24"/>
          <w:szCs w:val="24"/>
        </w:rPr>
        <w:t>Although this study’s use of teacher data was partly predicated on students not always know</w:t>
      </w:r>
      <w:r w:rsidR="00A05AB0" w:rsidRPr="008712F5">
        <w:rPr>
          <w:rFonts w:ascii="Times New Roman" w:hAnsi="Times New Roman" w:cs="Times New Roman"/>
          <w:sz w:val="24"/>
          <w:szCs w:val="24"/>
        </w:rPr>
        <w:t xml:space="preserve">ing </w:t>
      </w:r>
      <w:r w:rsidRPr="008712F5">
        <w:rPr>
          <w:rFonts w:ascii="Times New Roman" w:hAnsi="Times New Roman" w:cs="Times New Roman"/>
          <w:sz w:val="24"/>
          <w:szCs w:val="24"/>
        </w:rPr>
        <w:t xml:space="preserve">best with regard to their learning (e.g. see Kirschner &amp; van </w:t>
      </w:r>
      <w:proofErr w:type="spellStart"/>
      <w:r w:rsidRPr="008712F5">
        <w:rPr>
          <w:rFonts w:ascii="Times New Roman" w:hAnsi="Times New Roman" w:cs="Times New Roman"/>
          <w:sz w:val="24"/>
          <w:szCs w:val="24"/>
        </w:rPr>
        <w:t>Merriënboer</w:t>
      </w:r>
      <w:proofErr w:type="spellEnd"/>
      <w:r w:rsidRPr="008712F5">
        <w:rPr>
          <w:rFonts w:ascii="Times New Roman" w:hAnsi="Times New Roman" w:cs="Times New Roman"/>
          <w:sz w:val="24"/>
          <w:szCs w:val="24"/>
        </w:rPr>
        <w:t xml:space="preserve">, </w:t>
      </w:r>
      <w:r w:rsidR="003B4574" w:rsidRPr="008712F5">
        <w:rPr>
          <w:rFonts w:ascii="Times New Roman" w:hAnsi="Times New Roman" w:cs="Times New Roman"/>
          <w:sz w:val="24"/>
          <w:szCs w:val="24"/>
        </w:rPr>
        <w:t>2013), it also necessarily isn’t the case that teacher’s perceptions of their teaching approaches will match students’ experience (</w:t>
      </w:r>
      <w:proofErr w:type="spellStart"/>
      <w:r w:rsidR="00DF4D26" w:rsidRPr="008712F5">
        <w:rPr>
          <w:rFonts w:ascii="Times New Roman" w:hAnsi="Times New Roman" w:cs="Times New Roman"/>
          <w:sz w:val="24"/>
          <w:szCs w:val="24"/>
        </w:rPr>
        <w:t>Beausaert</w:t>
      </w:r>
      <w:proofErr w:type="spellEnd"/>
      <w:r w:rsidR="00DF4D26" w:rsidRPr="008712F5">
        <w:rPr>
          <w:rFonts w:ascii="Times New Roman" w:hAnsi="Times New Roman" w:cs="Times New Roman"/>
          <w:sz w:val="24"/>
          <w:szCs w:val="24"/>
        </w:rPr>
        <w:t xml:space="preserve"> </w:t>
      </w:r>
      <w:r w:rsidR="003B4574" w:rsidRPr="008712F5">
        <w:rPr>
          <w:rFonts w:ascii="Times New Roman" w:hAnsi="Times New Roman" w:cs="Times New Roman"/>
          <w:sz w:val="24"/>
          <w:szCs w:val="24"/>
        </w:rPr>
        <w:t>et al.</w:t>
      </w:r>
      <w:r w:rsidR="00595689" w:rsidRPr="008712F5">
        <w:rPr>
          <w:rFonts w:ascii="Times New Roman" w:hAnsi="Times New Roman" w:cs="Times New Roman"/>
          <w:sz w:val="24"/>
          <w:szCs w:val="24"/>
        </w:rPr>
        <w:t>,</w:t>
      </w:r>
      <w:r w:rsidR="003B4574" w:rsidRPr="008712F5">
        <w:rPr>
          <w:rFonts w:ascii="Times New Roman" w:hAnsi="Times New Roman" w:cs="Times New Roman"/>
          <w:sz w:val="24"/>
          <w:szCs w:val="24"/>
        </w:rPr>
        <w:t xml:space="preserve"> </w:t>
      </w:r>
      <w:r w:rsidR="00DF4D26" w:rsidRPr="008712F5">
        <w:rPr>
          <w:rFonts w:ascii="Times New Roman" w:hAnsi="Times New Roman" w:cs="Times New Roman"/>
          <w:sz w:val="24"/>
          <w:szCs w:val="24"/>
        </w:rPr>
        <w:t>2013). Referring to other studies (e.g. Nijhuis et al., 2005), they conclude that it is important and relevant to measure students’ perceptions of the teachers’ approaches to teaching instead of using teachers’ self-reports and call for more research on students’ perceptions.</w:t>
      </w:r>
      <w:r w:rsidR="003B4574" w:rsidRPr="008712F5">
        <w:rPr>
          <w:rFonts w:ascii="Times New Roman" w:hAnsi="Times New Roman" w:cs="Times New Roman"/>
          <w:sz w:val="24"/>
          <w:szCs w:val="24"/>
        </w:rPr>
        <w:t xml:space="preserve"> This would present ILSA analysts of secondary education mathematics with a quandary as the two main studies TIMSS and PISA, each have heir own emphases. That challenge extends to other contextual variables as well. For example, t</w:t>
      </w:r>
      <w:r w:rsidR="00F33289" w:rsidRPr="008712F5">
        <w:rPr>
          <w:rFonts w:ascii="Times New Roman" w:hAnsi="Times New Roman" w:cs="Times New Roman"/>
          <w:sz w:val="24"/>
          <w:szCs w:val="24"/>
        </w:rPr>
        <w:t xml:space="preserve">his analysis did not include </w:t>
      </w:r>
      <w:r w:rsidR="00047E5E" w:rsidRPr="008712F5">
        <w:rPr>
          <w:rFonts w:ascii="Times New Roman" w:hAnsi="Times New Roman" w:cs="Times New Roman"/>
          <w:sz w:val="24"/>
          <w:szCs w:val="24"/>
        </w:rPr>
        <w:t>all</w:t>
      </w:r>
      <w:r w:rsidR="00F33289" w:rsidRPr="008712F5">
        <w:rPr>
          <w:rFonts w:ascii="Times New Roman" w:hAnsi="Times New Roman" w:cs="Times New Roman"/>
          <w:sz w:val="24"/>
          <w:szCs w:val="24"/>
        </w:rPr>
        <w:t xml:space="preserve"> possible confounding variables</w:t>
      </w:r>
      <w:r w:rsidR="00047E5E" w:rsidRPr="008712F5">
        <w:rPr>
          <w:rFonts w:ascii="Times New Roman" w:hAnsi="Times New Roman" w:cs="Times New Roman"/>
          <w:sz w:val="24"/>
          <w:szCs w:val="24"/>
        </w:rPr>
        <w:t>. Although we, for example, included</w:t>
      </w:r>
      <w:r w:rsidR="00F33289" w:rsidRPr="008712F5">
        <w:rPr>
          <w:rFonts w:ascii="Times New Roman" w:hAnsi="Times New Roman" w:cs="Times New Roman"/>
          <w:sz w:val="24"/>
          <w:szCs w:val="24"/>
        </w:rPr>
        <w:t xml:space="preserve"> </w:t>
      </w:r>
      <w:r w:rsidR="001435FB" w:rsidRPr="008712F5">
        <w:rPr>
          <w:rFonts w:ascii="Times New Roman" w:hAnsi="Times New Roman" w:cs="Times New Roman"/>
          <w:sz w:val="24"/>
          <w:szCs w:val="24"/>
        </w:rPr>
        <w:t xml:space="preserve">a proxy for </w:t>
      </w:r>
      <w:r w:rsidR="00F33289" w:rsidRPr="008712F5">
        <w:rPr>
          <w:rFonts w:ascii="Times New Roman" w:hAnsi="Times New Roman" w:cs="Times New Roman"/>
          <w:sz w:val="24"/>
          <w:szCs w:val="24"/>
        </w:rPr>
        <w:t>Socio-Economic Status</w:t>
      </w:r>
      <w:r w:rsidR="00047E5E" w:rsidRPr="008712F5">
        <w:rPr>
          <w:rFonts w:ascii="Times New Roman" w:hAnsi="Times New Roman" w:cs="Times New Roman"/>
          <w:sz w:val="24"/>
          <w:szCs w:val="24"/>
        </w:rPr>
        <w:t xml:space="preserve"> and instructional time</w:t>
      </w:r>
      <w:r w:rsidR="00F33289" w:rsidRPr="008712F5">
        <w:rPr>
          <w:rFonts w:ascii="Times New Roman" w:hAnsi="Times New Roman" w:cs="Times New Roman"/>
          <w:sz w:val="24"/>
          <w:szCs w:val="24"/>
        </w:rPr>
        <w:t>, the</w:t>
      </w:r>
      <w:r w:rsidR="00A726EC" w:rsidRPr="008712F5">
        <w:rPr>
          <w:rFonts w:ascii="Times New Roman" w:hAnsi="Times New Roman" w:cs="Times New Roman"/>
          <w:sz w:val="24"/>
          <w:szCs w:val="24"/>
        </w:rPr>
        <w:t xml:space="preserve">re are numerous other relevant variables, including demographic factors, characteristics of school systems, time in school, time spent teaching particular topics, emphasis on testing, societal and family cultures, level of education for teachers, teacher professional development, inequities within a country, variation of funding/access to schooling within a country, affective measures like </w:t>
      </w:r>
      <w:r w:rsidR="00A726EC" w:rsidRPr="008712F5">
        <w:rPr>
          <w:rFonts w:ascii="Times New Roman" w:hAnsi="Times New Roman" w:cs="Times New Roman"/>
          <w:sz w:val="24"/>
          <w:szCs w:val="24"/>
        </w:rPr>
        <w:lastRenderedPageBreak/>
        <w:t xml:space="preserve">confidence and </w:t>
      </w:r>
      <w:r w:rsidR="001435FB" w:rsidRPr="008712F5">
        <w:rPr>
          <w:rFonts w:ascii="Times New Roman" w:hAnsi="Times New Roman" w:cs="Times New Roman"/>
          <w:sz w:val="24"/>
          <w:szCs w:val="24"/>
        </w:rPr>
        <w:t xml:space="preserve">many </w:t>
      </w:r>
      <w:r w:rsidR="00A726EC" w:rsidRPr="008712F5">
        <w:rPr>
          <w:rFonts w:ascii="Times New Roman" w:hAnsi="Times New Roman" w:cs="Times New Roman"/>
          <w:sz w:val="24"/>
          <w:szCs w:val="24"/>
        </w:rPr>
        <w:t xml:space="preserve">more. </w:t>
      </w:r>
      <w:r w:rsidR="001435FB" w:rsidRPr="008712F5">
        <w:rPr>
          <w:rFonts w:ascii="Times New Roman" w:hAnsi="Times New Roman" w:cs="Times New Roman"/>
          <w:sz w:val="24"/>
          <w:szCs w:val="24"/>
        </w:rPr>
        <w:t>Furthermore, t</w:t>
      </w:r>
      <w:r w:rsidR="00213FE7" w:rsidRPr="008712F5">
        <w:rPr>
          <w:rFonts w:ascii="Times New Roman" w:hAnsi="Times New Roman" w:cs="Times New Roman"/>
          <w:sz w:val="24"/>
          <w:szCs w:val="24"/>
        </w:rPr>
        <w:t>his study focused on mathematics achievement as outcome, but there are many more non-cognitive outcomes of mathematics education as well.</w:t>
      </w:r>
    </w:p>
    <w:p w14:paraId="47B391F4" w14:textId="77777777" w:rsidR="00237E87" w:rsidRPr="008712F5" w:rsidRDefault="00237E87" w:rsidP="00FE3D40">
      <w:pPr>
        <w:spacing w:line="480" w:lineRule="auto"/>
        <w:rPr>
          <w:rFonts w:ascii="Times New Roman" w:hAnsi="Times New Roman" w:cs="Times New Roman"/>
          <w:sz w:val="24"/>
          <w:szCs w:val="24"/>
        </w:rPr>
      </w:pPr>
    </w:p>
    <w:p w14:paraId="74AEF5A8" w14:textId="21D23E9F" w:rsidR="00213FE7" w:rsidRPr="008712F5" w:rsidRDefault="001435FB" w:rsidP="00FE3D40">
      <w:pPr>
        <w:spacing w:line="480" w:lineRule="auto"/>
        <w:rPr>
          <w:rFonts w:ascii="Times New Roman" w:hAnsi="Times New Roman" w:cs="Times New Roman"/>
          <w:sz w:val="24"/>
          <w:szCs w:val="24"/>
        </w:rPr>
      </w:pPr>
      <w:r w:rsidRPr="008712F5">
        <w:rPr>
          <w:rFonts w:ascii="Times New Roman" w:hAnsi="Times New Roman" w:cs="Times New Roman"/>
          <w:sz w:val="24"/>
          <w:szCs w:val="24"/>
        </w:rPr>
        <w:t>Notwithstanding this</w:t>
      </w:r>
      <w:r w:rsidR="00CB6619" w:rsidRPr="008712F5">
        <w:rPr>
          <w:rFonts w:ascii="Times New Roman" w:hAnsi="Times New Roman" w:cs="Times New Roman"/>
          <w:sz w:val="24"/>
          <w:szCs w:val="24"/>
        </w:rPr>
        <w:t xml:space="preserve">, using current data from TIMSS 2019 does provide some more insight in the association between instructional practices and </w:t>
      </w:r>
      <w:r w:rsidR="00595689" w:rsidRPr="008712F5">
        <w:rPr>
          <w:rFonts w:ascii="Times New Roman" w:hAnsi="Times New Roman" w:cs="Times New Roman"/>
          <w:sz w:val="24"/>
          <w:szCs w:val="24"/>
        </w:rPr>
        <w:t xml:space="preserve">mathematics </w:t>
      </w:r>
      <w:r w:rsidR="00CB6619" w:rsidRPr="008712F5">
        <w:rPr>
          <w:rFonts w:ascii="Times New Roman" w:hAnsi="Times New Roman" w:cs="Times New Roman"/>
          <w:sz w:val="24"/>
          <w:szCs w:val="24"/>
        </w:rPr>
        <w:t xml:space="preserve">achievement </w:t>
      </w:r>
      <w:r w:rsidR="00595689" w:rsidRPr="008712F5">
        <w:rPr>
          <w:rFonts w:ascii="Times New Roman" w:hAnsi="Times New Roman" w:cs="Times New Roman"/>
          <w:sz w:val="24"/>
          <w:szCs w:val="24"/>
        </w:rPr>
        <w:t>across multiple countries</w:t>
      </w:r>
      <w:r w:rsidR="00CB6619" w:rsidRPr="008712F5">
        <w:rPr>
          <w:rFonts w:ascii="Times New Roman" w:hAnsi="Times New Roman" w:cs="Times New Roman"/>
          <w:sz w:val="24"/>
          <w:szCs w:val="24"/>
        </w:rPr>
        <w:t>.</w:t>
      </w:r>
      <w:r w:rsidR="00F33289" w:rsidRPr="008712F5">
        <w:rPr>
          <w:rFonts w:ascii="Times New Roman" w:hAnsi="Times New Roman" w:cs="Times New Roman"/>
          <w:sz w:val="24"/>
          <w:szCs w:val="24"/>
        </w:rPr>
        <w:t xml:space="preserve"> </w:t>
      </w:r>
      <w:r w:rsidR="00595689" w:rsidRPr="008712F5">
        <w:rPr>
          <w:rFonts w:ascii="Times New Roman" w:hAnsi="Times New Roman" w:cs="Times New Roman"/>
          <w:sz w:val="24"/>
          <w:szCs w:val="24"/>
        </w:rPr>
        <w:t xml:space="preserve">Such largescale international comparisons would be hard to conduct in any other way. </w:t>
      </w:r>
      <w:r w:rsidR="00A726EC" w:rsidRPr="008712F5">
        <w:rPr>
          <w:rFonts w:ascii="Times New Roman" w:hAnsi="Times New Roman" w:cs="Times New Roman"/>
          <w:sz w:val="24"/>
          <w:szCs w:val="24"/>
        </w:rPr>
        <w:t>Although we capture between-teacher variance in our models,</w:t>
      </w:r>
      <w:r w:rsidR="003D3533" w:rsidRPr="008712F5">
        <w:rPr>
          <w:rFonts w:ascii="Times New Roman" w:hAnsi="Times New Roman" w:cs="Times New Roman"/>
          <w:sz w:val="24"/>
          <w:szCs w:val="24"/>
        </w:rPr>
        <w:t xml:space="preserve"> </w:t>
      </w:r>
      <w:r w:rsidR="00A726EC" w:rsidRPr="008712F5">
        <w:rPr>
          <w:rFonts w:ascii="Times New Roman" w:hAnsi="Times New Roman" w:cs="Times New Roman"/>
          <w:sz w:val="24"/>
          <w:szCs w:val="24"/>
        </w:rPr>
        <w:t xml:space="preserve">we do not account for school-level variables, as the TIMSS dataset samples one or two classrooms per school, and hence </w:t>
      </w:r>
      <w:r w:rsidR="00CB6619" w:rsidRPr="008712F5">
        <w:rPr>
          <w:rFonts w:ascii="Times New Roman" w:hAnsi="Times New Roman" w:cs="Times New Roman"/>
          <w:sz w:val="24"/>
          <w:szCs w:val="24"/>
        </w:rPr>
        <w:t>might not be representative for instructional practices of the whole school</w:t>
      </w:r>
      <w:r w:rsidR="003D3533" w:rsidRPr="008712F5">
        <w:rPr>
          <w:rFonts w:ascii="Times New Roman" w:hAnsi="Times New Roman" w:cs="Times New Roman"/>
          <w:sz w:val="24"/>
          <w:szCs w:val="24"/>
        </w:rPr>
        <w:t xml:space="preserve">. </w:t>
      </w:r>
      <w:r w:rsidR="00FA0B63" w:rsidRPr="008712F5">
        <w:rPr>
          <w:rFonts w:ascii="Times New Roman" w:hAnsi="Times New Roman" w:cs="Times New Roman"/>
          <w:sz w:val="24"/>
          <w:szCs w:val="24"/>
        </w:rPr>
        <w:t xml:space="preserve">One challenge in comparing results from different countries, lies in the extent different curricula more or less incentivise particular practices. Of course, individual teachers play an important role in this, but it could be </w:t>
      </w:r>
      <w:r w:rsidR="00C26865" w:rsidRPr="008712F5">
        <w:rPr>
          <w:rFonts w:ascii="Times New Roman" w:hAnsi="Times New Roman" w:cs="Times New Roman"/>
          <w:sz w:val="24"/>
          <w:szCs w:val="24"/>
        </w:rPr>
        <w:t>argued</w:t>
      </w:r>
      <w:r w:rsidR="00FA0B63" w:rsidRPr="008712F5">
        <w:rPr>
          <w:rFonts w:ascii="Times New Roman" w:hAnsi="Times New Roman" w:cs="Times New Roman"/>
          <w:sz w:val="24"/>
          <w:szCs w:val="24"/>
        </w:rPr>
        <w:t xml:space="preserve"> that some curricula </w:t>
      </w:r>
      <w:r w:rsidR="00C26865" w:rsidRPr="008712F5">
        <w:rPr>
          <w:rFonts w:ascii="Times New Roman" w:hAnsi="Times New Roman" w:cs="Times New Roman"/>
          <w:sz w:val="24"/>
          <w:szCs w:val="24"/>
        </w:rPr>
        <w:t xml:space="preserve">perhaps </w:t>
      </w:r>
      <w:r w:rsidRPr="008712F5">
        <w:rPr>
          <w:rFonts w:ascii="Times New Roman" w:hAnsi="Times New Roman" w:cs="Times New Roman"/>
          <w:sz w:val="24"/>
          <w:szCs w:val="24"/>
        </w:rPr>
        <w:t xml:space="preserve">enable </w:t>
      </w:r>
      <w:r w:rsidR="00C26865" w:rsidRPr="008712F5">
        <w:rPr>
          <w:rFonts w:ascii="Times New Roman" w:hAnsi="Times New Roman" w:cs="Times New Roman"/>
          <w:sz w:val="24"/>
          <w:szCs w:val="24"/>
        </w:rPr>
        <w:t xml:space="preserve">more opportunities for learning and teaching ‘the right content’ for TIMSS outcomes. In that sense, TIMSS’ curriculum focus, could obscure certain effects. </w:t>
      </w:r>
      <w:r w:rsidR="00595689" w:rsidRPr="008712F5">
        <w:rPr>
          <w:rFonts w:ascii="Times New Roman" w:hAnsi="Times New Roman" w:cs="Times New Roman"/>
          <w:sz w:val="24"/>
          <w:szCs w:val="24"/>
        </w:rPr>
        <w:t>T</w:t>
      </w:r>
      <w:r w:rsidR="00C26865" w:rsidRPr="008712F5">
        <w:rPr>
          <w:rFonts w:ascii="Times New Roman" w:hAnsi="Times New Roman" w:cs="Times New Roman"/>
          <w:sz w:val="24"/>
          <w:szCs w:val="24"/>
        </w:rPr>
        <w:t xml:space="preserve">o check such a suspicion, </w:t>
      </w:r>
      <w:r w:rsidR="001F0AFE" w:rsidRPr="008712F5">
        <w:rPr>
          <w:rFonts w:ascii="Times New Roman" w:hAnsi="Times New Roman" w:cs="Times New Roman"/>
          <w:sz w:val="24"/>
          <w:szCs w:val="24"/>
        </w:rPr>
        <w:t>we</w:t>
      </w:r>
      <w:r w:rsidR="00C26865" w:rsidRPr="008712F5">
        <w:rPr>
          <w:rFonts w:ascii="Times New Roman" w:hAnsi="Times New Roman" w:cs="Times New Roman"/>
          <w:sz w:val="24"/>
          <w:szCs w:val="24"/>
        </w:rPr>
        <w:t xml:space="preserve"> turned to the </w:t>
      </w:r>
      <w:r w:rsidR="00F33289" w:rsidRPr="008712F5">
        <w:rPr>
          <w:rFonts w:ascii="Times New Roman" w:hAnsi="Times New Roman" w:cs="Times New Roman"/>
          <w:sz w:val="24"/>
          <w:szCs w:val="24"/>
        </w:rPr>
        <w:t>TIMSS 201</w:t>
      </w:r>
      <w:r w:rsidR="00C26865" w:rsidRPr="008712F5">
        <w:rPr>
          <w:rFonts w:ascii="Times New Roman" w:hAnsi="Times New Roman" w:cs="Times New Roman"/>
          <w:sz w:val="24"/>
          <w:szCs w:val="24"/>
        </w:rPr>
        <w:t>9</w:t>
      </w:r>
      <w:r w:rsidR="00F33289" w:rsidRPr="008712F5">
        <w:rPr>
          <w:rFonts w:ascii="Times New Roman" w:hAnsi="Times New Roman" w:cs="Times New Roman"/>
          <w:sz w:val="24"/>
          <w:szCs w:val="24"/>
        </w:rPr>
        <w:t xml:space="preserve"> Test-Curriculum Matching Analysis (Mullis et al., 20</w:t>
      </w:r>
      <w:r w:rsidR="008769C4" w:rsidRPr="008712F5">
        <w:rPr>
          <w:rFonts w:ascii="Times New Roman" w:hAnsi="Times New Roman" w:cs="Times New Roman"/>
          <w:sz w:val="24"/>
          <w:szCs w:val="24"/>
        </w:rPr>
        <w:t>20</w:t>
      </w:r>
      <w:r w:rsidR="00F33289" w:rsidRPr="008712F5">
        <w:rPr>
          <w:rFonts w:ascii="Times New Roman" w:hAnsi="Times New Roman" w:cs="Times New Roman"/>
          <w:sz w:val="24"/>
          <w:szCs w:val="24"/>
        </w:rPr>
        <w:t xml:space="preserve"> p. </w:t>
      </w:r>
      <w:r w:rsidR="008769C4" w:rsidRPr="008712F5">
        <w:rPr>
          <w:rFonts w:ascii="Times New Roman" w:hAnsi="Times New Roman" w:cs="Times New Roman"/>
          <w:sz w:val="24"/>
          <w:szCs w:val="24"/>
        </w:rPr>
        <w:t>530</w:t>
      </w:r>
      <w:r w:rsidR="00F33289" w:rsidRPr="008712F5">
        <w:rPr>
          <w:rFonts w:ascii="Times New Roman" w:hAnsi="Times New Roman" w:cs="Times New Roman"/>
          <w:sz w:val="24"/>
          <w:szCs w:val="24"/>
        </w:rPr>
        <w:t xml:space="preserve">). The Test-Curriculum Matching Analysis (TCMA) </w:t>
      </w:r>
      <w:r w:rsidR="00C26865" w:rsidRPr="008712F5">
        <w:rPr>
          <w:rFonts w:ascii="Times New Roman" w:hAnsi="Times New Roman" w:cs="Times New Roman"/>
          <w:sz w:val="24"/>
          <w:szCs w:val="24"/>
        </w:rPr>
        <w:t>analyses</w:t>
      </w:r>
      <w:r w:rsidR="00F33289" w:rsidRPr="008712F5">
        <w:rPr>
          <w:rFonts w:ascii="Times New Roman" w:hAnsi="Times New Roman" w:cs="Times New Roman"/>
          <w:sz w:val="24"/>
          <w:szCs w:val="24"/>
        </w:rPr>
        <w:t xml:space="preserve"> the extent to which the TIMSS 201</w:t>
      </w:r>
      <w:r w:rsidR="00C26865" w:rsidRPr="008712F5">
        <w:rPr>
          <w:rFonts w:ascii="Times New Roman" w:hAnsi="Times New Roman" w:cs="Times New Roman"/>
          <w:sz w:val="24"/>
          <w:szCs w:val="24"/>
        </w:rPr>
        <w:t>9</w:t>
      </w:r>
      <w:r w:rsidR="00F33289" w:rsidRPr="008712F5">
        <w:rPr>
          <w:rFonts w:ascii="Times New Roman" w:hAnsi="Times New Roman" w:cs="Times New Roman"/>
          <w:sz w:val="24"/>
          <w:szCs w:val="24"/>
        </w:rPr>
        <w:t xml:space="preserve"> mathematics assessment </w:t>
      </w:r>
      <w:r w:rsidR="00C26865" w:rsidRPr="008712F5">
        <w:rPr>
          <w:rFonts w:ascii="Times New Roman" w:hAnsi="Times New Roman" w:cs="Times New Roman"/>
          <w:sz w:val="24"/>
          <w:szCs w:val="24"/>
        </w:rPr>
        <w:t xml:space="preserve">items are </w:t>
      </w:r>
      <w:r w:rsidR="00F33289" w:rsidRPr="008712F5">
        <w:rPr>
          <w:rFonts w:ascii="Times New Roman" w:hAnsi="Times New Roman" w:cs="Times New Roman"/>
          <w:sz w:val="24"/>
          <w:szCs w:val="24"/>
        </w:rPr>
        <w:t xml:space="preserve">relevant </w:t>
      </w:r>
      <w:r w:rsidR="00C26865" w:rsidRPr="008712F5">
        <w:rPr>
          <w:rFonts w:ascii="Times New Roman" w:hAnsi="Times New Roman" w:cs="Times New Roman"/>
          <w:sz w:val="24"/>
          <w:szCs w:val="24"/>
        </w:rPr>
        <w:t>for</w:t>
      </w:r>
      <w:r w:rsidR="00F33289" w:rsidRPr="008712F5">
        <w:rPr>
          <w:rFonts w:ascii="Times New Roman" w:hAnsi="Times New Roman" w:cs="Times New Roman"/>
          <w:sz w:val="24"/>
          <w:szCs w:val="24"/>
        </w:rPr>
        <w:t xml:space="preserve"> each country's curriculum</w:t>
      </w:r>
      <w:r w:rsidR="00C26865" w:rsidRPr="008712F5">
        <w:rPr>
          <w:rFonts w:ascii="Times New Roman" w:hAnsi="Times New Roman" w:cs="Times New Roman"/>
          <w:sz w:val="24"/>
          <w:szCs w:val="24"/>
        </w:rPr>
        <w:t>, calculating comparative outcome scores when</w:t>
      </w:r>
      <w:r w:rsidR="00F33289" w:rsidRPr="008712F5">
        <w:rPr>
          <w:rFonts w:ascii="Times New Roman" w:hAnsi="Times New Roman" w:cs="Times New Roman"/>
          <w:sz w:val="24"/>
          <w:szCs w:val="24"/>
        </w:rPr>
        <w:t xml:space="preserve"> only achievement items that </w:t>
      </w:r>
      <w:r w:rsidR="00C26865" w:rsidRPr="008712F5">
        <w:rPr>
          <w:rFonts w:ascii="Times New Roman" w:hAnsi="Times New Roman" w:cs="Times New Roman"/>
          <w:sz w:val="24"/>
          <w:szCs w:val="24"/>
        </w:rPr>
        <w:t>are</w:t>
      </w:r>
      <w:r w:rsidR="00F33289" w:rsidRPr="008712F5">
        <w:rPr>
          <w:rFonts w:ascii="Times New Roman" w:hAnsi="Times New Roman" w:cs="Times New Roman"/>
          <w:sz w:val="24"/>
          <w:szCs w:val="24"/>
        </w:rPr>
        <w:t xml:space="preserve"> judged to be relevant to its own curriculum</w:t>
      </w:r>
      <w:r w:rsidR="00C26865" w:rsidRPr="008712F5">
        <w:rPr>
          <w:rFonts w:ascii="Times New Roman" w:hAnsi="Times New Roman" w:cs="Times New Roman"/>
          <w:sz w:val="24"/>
          <w:szCs w:val="24"/>
        </w:rPr>
        <w:t>, are included</w:t>
      </w:r>
      <w:r w:rsidR="001F0AFE" w:rsidRPr="008712F5">
        <w:rPr>
          <w:rFonts w:ascii="Times New Roman" w:hAnsi="Times New Roman" w:cs="Times New Roman"/>
          <w:sz w:val="24"/>
          <w:szCs w:val="24"/>
        </w:rPr>
        <w:t>.</w:t>
      </w:r>
      <w:r w:rsidR="00F33289" w:rsidRPr="008712F5">
        <w:rPr>
          <w:rFonts w:ascii="Times New Roman" w:hAnsi="Times New Roman" w:cs="Times New Roman"/>
          <w:sz w:val="24"/>
          <w:szCs w:val="24"/>
        </w:rPr>
        <w:t xml:space="preserve"> </w:t>
      </w:r>
      <w:r w:rsidR="00D66C0B" w:rsidRPr="008712F5">
        <w:rPr>
          <w:rFonts w:ascii="Times New Roman" w:hAnsi="Times New Roman" w:cs="Times New Roman"/>
          <w:sz w:val="24"/>
          <w:szCs w:val="24"/>
        </w:rPr>
        <w:t xml:space="preserve">Although these analyses show </w:t>
      </w:r>
      <w:r w:rsidR="00D66C0B" w:rsidRPr="008712F5">
        <w:rPr>
          <w:rFonts w:ascii="Times New Roman" w:hAnsi="Times New Roman" w:cs="Times New Roman"/>
          <w:i/>
          <w:iCs/>
          <w:sz w:val="24"/>
          <w:szCs w:val="24"/>
        </w:rPr>
        <w:t>some</w:t>
      </w:r>
      <w:r w:rsidR="00D66C0B" w:rsidRPr="008712F5">
        <w:rPr>
          <w:rFonts w:ascii="Times New Roman" w:hAnsi="Times New Roman" w:cs="Times New Roman"/>
          <w:sz w:val="24"/>
          <w:szCs w:val="24"/>
        </w:rPr>
        <w:t xml:space="preserve"> more differences between countries, none of them are notable with regard to this study’s findings,</w:t>
      </w:r>
      <w:r w:rsidR="001E0D2D" w:rsidRPr="008712F5">
        <w:rPr>
          <w:rFonts w:ascii="Times New Roman" w:hAnsi="Times New Roman" w:cs="Times New Roman"/>
          <w:sz w:val="24"/>
          <w:szCs w:val="24"/>
        </w:rPr>
        <w:t xml:space="preserve"> hinting like Jerrim (2015) that East Asia’s high levels of achievement also arise because of culture, not just curriculum.</w:t>
      </w:r>
      <w:r w:rsidR="00D47D74" w:rsidRPr="008712F5">
        <w:rPr>
          <w:rFonts w:ascii="Times New Roman" w:hAnsi="Times New Roman" w:cs="Times New Roman"/>
          <w:sz w:val="24"/>
          <w:szCs w:val="24"/>
        </w:rPr>
        <w:t xml:space="preserve"> One such cultural aspects might be the use of out-of-school-tutoring. This paper focuses on instructional practices in the classroom, but one aspect that Leung et al. (2015) and others have </w:t>
      </w:r>
      <w:r w:rsidR="00595689" w:rsidRPr="008712F5">
        <w:rPr>
          <w:rFonts w:ascii="Times New Roman" w:hAnsi="Times New Roman" w:cs="Times New Roman"/>
          <w:sz w:val="24"/>
          <w:szCs w:val="24"/>
        </w:rPr>
        <w:t>pointed out,</w:t>
      </w:r>
      <w:r w:rsidR="00D47D74" w:rsidRPr="008712F5">
        <w:rPr>
          <w:rFonts w:ascii="Times New Roman" w:hAnsi="Times New Roman" w:cs="Times New Roman"/>
          <w:sz w:val="24"/>
          <w:szCs w:val="24"/>
        </w:rPr>
        <w:t xml:space="preserve"> is the role of tutoring, for example </w:t>
      </w:r>
      <w:r w:rsidRPr="008712F5">
        <w:rPr>
          <w:rFonts w:ascii="Times New Roman" w:hAnsi="Times New Roman" w:cs="Times New Roman"/>
          <w:sz w:val="24"/>
          <w:szCs w:val="24"/>
        </w:rPr>
        <w:t xml:space="preserve">in </w:t>
      </w:r>
      <w:proofErr w:type="spellStart"/>
      <w:r w:rsidR="00D47D74" w:rsidRPr="008712F5">
        <w:rPr>
          <w:rFonts w:ascii="Times New Roman" w:hAnsi="Times New Roman" w:cs="Times New Roman"/>
          <w:sz w:val="24"/>
          <w:szCs w:val="24"/>
        </w:rPr>
        <w:t>Juku</w:t>
      </w:r>
      <w:proofErr w:type="spellEnd"/>
      <w:r w:rsidR="00D47D74" w:rsidRPr="008712F5">
        <w:rPr>
          <w:rFonts w:ascii="Times New Roman" w:hAnsi="Times New Roman" w:cs="Times New Roman"/>
          <w:sz w:val="24"/>
          <w:szCs w:val="24"/>
        </w:rPr>
        <w:t xml:space="preserve"> schools in Japan, and hagwons in Korea. </w:t>
      </w:r>
    </w:p>
    <w:p w14:paraId="3388C0A6" w14:textId="77777777" w:rsidR="00213FE7" w:rsidRPr="008712F5" w:rsidRDefault="00213FE7" w:rsidP="00FE3D40">
      <w:pPr>
        <w:spacing w:line="480" w:lineRule="auto"/>
        <w:rPr>
          <w:rFonts w:ascii="Times New Roman" w:hAnsi="Times New Roman" w:cs="Times New Roman"/>
          <w:sz w:val="24"/>
          <w:szCs w:val="24"/>
        </w:rPr>
      </w:pPr>
    </w:p>
    <w:p w14:paraId="4994E96C" w14:textId="77131E92" w:rsidR="00C73853" w:rsidRPr="008712F5" w:rsidRDefault="000E6A74" w:rsidP="00FE3D40">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Finally, although this study focussed on </w:t>
      </w:r>
      <w:r w:rsidR="001F0AFE" w:rsidRPr="008712F5">
        <w:rPr>
          <w:rFonts w:ascii="Times New Roman" w:hAnsi="Times New Roman" w:cs="Times New Roman"/>
          <w:sz w:val="24"/>
          <w:szCs w:val="24"/>
        </w:rPr>
        <w:t>overall grade eight</w:t>
      </w:r>
      <w:r w:rsidRPr="008712F5">
        <w:rPr>
          <w:rFonts w:ascii="Times New Roman" w:hAnsi="Times New Roman" w:cs="Times New Roman"/>
          <w:sz w:val="24"/>
          <w:szCs w:val="24"/>
        </w:rPr>
        <w:t xml:space="preserve"> TIMSS 2019 </w:t>
      </w:r>
      <w:r w:rsidR="001F0AFE" w:rsidRPr="008712F5">
        <w:rPr>
          <w:rFonts w:ascii="Times New Roman" w:hAnsi="Times New Roman" w:cs="Times New Roman"/>
          <w:sz w:val="24"/>
          <w:szCs w:val="24"/>
        </w:rPr>
        <w:t xml:space="preserve">mathematics </w:t>
      </w:r>
      <w:r w:rsidRPr="008712F5">
        <w:rPr>
          <w:rFonts w:ascii="Times New Roman" w:hAnsi="Times New Roman" w:cs="Times New Roman"/>
          <w:sz w:val="24"/>
          <w:szCs w:val="24"/>
        </w:rPr>
        <w:t>achievement, it could be argued that</w:t>
      </w:r>
      <w:r w:rsidR="00C52D37" w:rsidRPr="008712F5">
        <w:rPr>
          <w:rFonts w:ascii="Times New Roman" w:hAnsi="Times New Roman" w:cs="Times New Roman"/>
          <w:sz w:val="24"/>
          <w:szCs w:val="24"/>
        </w:rPr>
        <w:t xml:space="preserve"> traditional ILSA assessment items are less suitable for evaluating conceptual knowledge. It therefore was interesting that in the TIMSS 2019 </w:t>
      </w:r>
      <w:r w:rsidR="00595689" w:rsidRPr="008712F5">
        <w:rPr>
          <w:rFonts w:ascii="Times New Roman" w:hAnsi="Times New Roman" w:cs="Times New Roman"/>
          <w:sz w:val="24"/>
          <w:szCs w:val="24"/>
        </w:rPr>
        <w:t>cycle</w:t>
      </w:r>
      <w:r w:rsidR="00C52D37" w:rsidRPr="008712F5">
        <w:rPr>
          <w:rFonts w:ascii="Times New Roman" w:hAnsi="Times New Roman" w:cs="Times New Roman"/>
          <w:sz w:val="24"/>
          <w:szCs w:val="24"/>
        </w:rPr>
        <w:t xml:space="preserve">, </w:t>
      </w:r>
      <w:r w:rsidR="004E0A45" w:rsidRPr="008712F5">
        <w:rPr>
          <w:rFonts w:ascii="Times New Roman" w:hAnsi="Times New Roman" w:cs="Times New Roman"/>
          <w:sz w:val="24"/>
          <w:szCs w:val="24"/>
        </w:rPr>
        <w:t xml:space="preserve">a pilot study with problem-solving and inquiry (PSI) tasks was conducted (Mullis et al., 2021). Although limited in scope, some countries’ achievement scores differed slightly upon including the items in the overall score (ibid., p. 10). The patterns of differences, however, </w:t>
      </w:r>
      <w:r w:rsidR="001F0AFE" w:rsidRPr="008712F5">
        <w:rPr>
          <w:rFonts w:ascii="Times New Roman" w:hAnsi="Times New Roman" w:cs="Times New Roman"/>
          <w:sz w:val="24"/>
          <w:szCs w:val="24"/>
        </w:rPr>
        <w:t xml:space="preserve">again </w:t>
      </w:r>
      <w:r w:rsidR="004E0A45" w:rsidRPr="008712F5">
        <w:rPr>
          <w:rFonts w:ascii="Times New Roman" w:hAnsi="Times New Roman" w:cs="Times New Roman"/>
          <w:sz w:val="24"/>
          <w:szCs w:val="24"/>
        </w:rPr>
        <w:t xml:space="preserve">were not consistent, with for example Chinese Taipei and Korea scoring lower, but Singapore and Hong Kong SAR at </w:t>
      </w:r>
      <w:r w:rsidR="00595689" w:rsidRPr="008712F5">
        <w:rPr>
          <w:rFonts w:ascii="Times New Roman" w:hAnsi="Times New Roman" w:cs="Times New Roman"/>
          <w:sz w:val="24"/>
          <w:szCs w:val="24"/>
        </w:rPr>
        <w:t>a similar level as the general achievement score</w:t>
      </w:r>
      <w:r w:rsidR="004E0A45" w:rsidRPr="008712F5">
        <w:rPr>
          <w:rFonts w:ascii="Times New Roman" w:hAnsi="Times New Roman" w:cs="Times New Roman"/>
          <w:sz w:val="24"/>
          <w:szCs w:val="24"/>
        </w:rPr>
        <w:t xml:space="preserve">. The limited scope of the pilot </w:t>
      </w:r>
      <w:r w:rsidR="00595689" w:rsidRPr="008712F5">
        <w:rPr>
          <w:rFonts w:ascii="Times New Roman" w:hAnsi="Times New Roman" w:cs="Times New Roman"/>
          <w:sz w:val="24"/>
          <w:szCs w:val="24"/>
        </w:rPr>
        <w:t xml:space="preserve">study </w:t>
      </w:r>
      <w:r w:rsidR="004E0A45" w:rsidRPr="008712F5">
        <w:rPr>
          <w:rFonts w:ascii="Times New Roman" w:hAnsi="Times New Roman" w:cs="Times New Roman"/>
          <w:sz w:val="24"/>
          <w:szCs w:val="24"/>
        </w:rPr>
        <w:t>does not allow for firm conclusions on this, but could indicate that the way we assess</w:t>
      </w:r>
      <w:r w:rsidR="009A7ACF" w:rsidRPr="008712F5">
        <w:rPr>
          <w:rFonts w:ascii="Times New Roman" w:hAnsi="Times New Roman" w:cs="Times New Roman"/>
          <w:sz w:val="24"/>
          <w:szCs w:val="24"/>
        </w:rPr>
        <w:t xml:space="preserve"> mathematics in ILSA influences outcomes as well. Further research could look into the potential of further diversifying assessment items in largescale studies, with eye for implementation and feasibility. For example, </w:t>
      </w:r>
      <w:r w:rsidR="001F0AFE" w:rsidRPr="008712F5">
        <w:rPr>
          <w:rFonts w:ascii="Times New Roman" w:hAnsi="Times New Roman" w:cs="Times New Roman"/>
          <w:sz w:val="24"/>
          <w:szCs w:val="24"/>
        </w:rPr>
        <w:t>recent results with randomised controlled trials</w:t>
      </w:r>
      <w:r w:rsidR="009A7ACF" w:rsidRPr="008712F5">
        <w:rPr>
          <w:rFonts w:ascii="Times New Roman" w:hAnsi="Times New Roman" w:cs="Times New Roman"/>
          <w:sz w:val="24"/>
          <w:szCs w:val="24"/>
        </w:rPr>
        <w:t xml:space="preserve"> have shown that ‘comparative judgement’ could be a valid, reliable and practical tool to measure conceptual understanding (Jones et al., 2019).</w:t>
      </w:r>
    </w:p>
    <w:p w14:paraId="1C7B3988" w14:textId="3E5AD678" w:rsidR="003B4574" w:rsidRPr="008712F5" w:rsidRDefault="003B4574" w:rsidP="00FE3D40">
      <w:pPr>
        <w:spacing w:line="480" w:lineRule="auto"/>
        <w:rPr>
          <w:rFonts w:ascii="Times New Roman" w:hAnsi="Times New Roman" w:cs="Times New Roman"/>
          <w:sz w:val="24"/>
          <w:szCs w:val="24"/>
        </w:rPr>
      </w:pPr>
    </w:p>
    <w:p w14:paraId="3DE29F0C" w14:textId="611C68DF" w:rsidR="003B4574" w:rsidRPr="008712F5" w:rsidRDefault="003B4574" w:rsidP="00FE3D40">
      <w:pPr>
        <w:spacing w:line="480" w:lineRule="auto"/>
        <w:rPr>
          <w:rFonts w:ascii="Times New Roman" w:hAnsi="Times New Roman" w:cs="Times New Roman"/>
          <w:sz w:val="24"/>
          <w:szCs w:val="24"/>
        </w:rPr>
      </w:pPr>
      <w:r w:rsidRPr="008712F5">
        <w:rPr>
          <w:rFonts w:ascii="Times New Roman" w:hAnsi="Times New Roman" w:cs="Times New Roman"/>
          <w:sz w:val="24"/>
          <w:szCs w:val="24"/>
        </w:rPr>
        <w:t xml:space="preserve">In conclusion, this article again </w:t>
      </w:r>
      <w:r w:rsidR="001435FB" w:rsidRPr="008712F5">
        <w:rPr>
          <w:rFonts w:ascii="Times New Roman" w:hAnsi="Times New Roman" w:cs="Times New Roman"/>
          <w:sz w:val="24"/>
          <w:szCs w:val="24"/>
        </w:rPr>
        <w:t>confirms</w:t>
      </w:r>
      <w:r w:rsidRPr="008712F5">
        <w:rPr>
          <w:rFonts w:ascii="Times New Roman" w:hAnsi="Times New Roman" w:cs="Times New Roman"/>
          <w:sz w:val="24"/>
          <w:szCs w:val="24"/>
        </w:rPr>
        <w:t xml:space="preserve"> that </w:t>
      </w:r>
      <w:r w:rsidR="00777B61" w:rsidRPr="008712F5">
        <w:rPr>
          <w:rFonts w:ascii="Times New Roman" w:hAnsi="Times New Roman" w:cs="Times New Roman"/>
          <w:sz w:val="24"/>
          <w:szCs w:val="24"/>
        </w:rPr>
        <w:t xml:space="preserve">diversity in </w:t>
      </w:r>
      <w:r w:rsidR="00C24722" w:rsidRPr="008712F5">
        <w:rPr>
          <w:rFonts w:ascii="Times New Roman" w:hAnsi="Times New Roman" w:cs="Times New Roman"/>
          <w:sz w:val="24"/>
          <w:szCs w:val="24"/>
        </w:rPr>
        <w:t>instructional</w:t>
      </w:r>
      <w:r w:rsidRPr="008712F5">
        <w:rPr>
          <w:rFonts w:ascii="Times New Roman" w:hAnsi="Times New Roman" w:cs="Times New Roman"/>
          <w:sz w:val="24"/>
          <w:szCs w:val="24"/>
        </w:rPr>
        <w:t xml:space="preserve"> </w:t>
      </w:r>
      <w:r w:rsidR="00777B61" w:rsidRPr="008712F5">
        <w:rPr>
          <w:rFonts w:ascii="Times New Roman" w:hAnsi="Times New Roman" w:cs="Times New Roman"/>
          <w:sz w:val="24"/>
          <w:szCs w:val="24"/>
        </w:rPr>
        <w:t xml:space="preserve">practices </w:t>
      </w:r>
      <w:r w:rsidRPr="008712F5">
        <w:rPr>
          <w:rFonts w:ascii="Times New Roman" w:hAnsi="Times New Roman" w:cs="Times New Roman"/>
          <w:sz w:val="24"/>
          <w:szCs w:val="24"/>
        </w:rPr>
        <w:t xml:space="preserve">in </w:t>
      </w:r>
      <w:r w:rsidR="00777B61" w:rsidRPr="008712F5">
        <w:rPr>
          <w:rFonts w:ascii="Times New Roman" w:hAnsi="Times New Roman" w:cs="Times New Roman"/>
          <w:sz w:val="24"/>
          <w:szCs w:val="24"/>
        </w:rPr>
        <w:t xml:space="preserve">international </w:t>
      </w:r>
      <w:r w:rsidR="00C24722" w:rsidRPr="008712F5">
        <w:rPr>
          <w:rFonts w:ascii="Times New Roman" w:hAnsi="Times New Roman" w:cs="Times New Roman"/>
          <w:sz w:val="24"/>
          <w:szCs w:val="24"/>
        </w:rPr>
        <w:t xml:space="preserve">mathematics </w:t>
      </w:r>
      <w:r w:rsidR="00777B61" w:rsidRPr="008712F5">
        <w:rPr>
          <w:rFonts w:ascii="Times New Roman" w:hAnsi="Times New Roman" w:cs="Times New Roman"/>
          <w:sz w:val="24"/>
          <w:szCs w:val="24"/>
        </w:rPr>
        <w:t xml:space="preserve">classrooms isn’t easy to capture </w:t>
      </w:r>
      <w:r w:rsidR="00C24722" w:rsidRPr="008712F5">
        <w:rPr>
          <w:rFonts w:ascii="Times New Roman" w:hAnsi="Times New Roman" w:cs="Times New Roman"/>
          <w:sz w:val="24"/>
          <w:szCs w:val="24"/>
        </w:rPr>
        <w:t xml:space="preserve">with </w:t>
      </w:r>
      <w:r w:rsidR="001435FB" w:rsidRPr="008712F5">
        <w:rPr>
          <w:rFonts w:ascii="Times New Roman" w:hAnsi="Times New Roman" w:cs="Times New Roman"/>
          <w:sz w:val="24"/>
          <w:szCs w:val="24"/>
        </w:rPr>
        <w:t>teacher</w:t>
      </w:r>
      <w:r w:rsidR="00C24722" w:rsidRPr="008712F5">
        <w:rPr>
          <w:rFonts w:ascii="Times New Roman" w:hAnsi="Times New Roman" w:cs="Times New Roman"/>
          <w:sz w:val="24"/>
          <w:szCs w:val="24"/>
        </w:rPr>
        <w:t>-reported questionnaire data, but that if we would conclude one thing, it’s that instructional practices differ considerably, across the world, and even within regions like East Asia</w:t>
      </w:r>
      <w:r w:rsidR="00777B61" w:rsidRPr="008712F5">
        <w:rPr>
          <w:rFonts w:ascii="Times New Roman" w:hAnsi="Times New Roman" w:cs="Times New Roman"/>
          <w:sz w:val="24"/>
          <w:szCs w:val="24"/>
        </w:rPr>
        <w:t>.</w:t>
      </w:r>
      <w:r w:rsidR="00C24722" w:rsidRPr="008712F5">
        <w:rPr>
          <w:rFonts w:ascii="Times New Roman" w:hAnsi="Times New Roman" w:cs="Times New Roman"/>
          <w:sz w:val="24"/>
          <w:szCs w:val="24"/>
        </w:rPr>
        <w:t xml:space="preserve"> In reporting on country differences, we need to be aware of this </w:t>
      </w:r>
      <w:r w:rsidR="005F4CFD" w:rsidRPr="008712F5">
        <w:rPr>
          <w:rFonts w:ascii="Times New Roman" w:hAnsi="Times New Roman" w:cs="Times New Roman"/>
          <w:sz w:val="24"/>
          <w:szCs w:val="24"/>
        </w:rPr>
        <w:t>diversity</w:t>
      </w:r>
      <w:r w:rsidR="00C24722" w:rsidRPr="008712F5">
        <w:rPr>
          <w:rFonts w:ascii="Times New Roman" w:hAnsi="Times New Roman" w:cs="Times New Roman"/>
          <w:sz w:val="24"/>
          <w:szCs w:val="24"/>
        </w:rPr>
        <w:t>.</w:t>
      </w:r>
      <w:r w:rsidR="00777B61" w:rsidRPr="008712F5">
        <w:rPr>
          <w:rFonts w:ascii="Times New Roman" w:hAnsi="Times New Roman" w:cs="Times New Roman"/>
          <w:sz w:val="24"/>
          <w:szCs w:val="24"/>
        </w:rPr>
        <w:t xml:space="preserve"> </w:t>
      </w:r>
    </w:p>
    <w:p w14:paraId="09E1447C" w14:textId="77777777" w:rsidR="00DC04F9" w:rsidRPr="008712F5" w:rsidRDefault="00DC04F9" w:rsidP="00D1040A">
      <w:pPr>
        <w:spacing w:line="276" w:lineRule="auto"/>
        <w:rPr>
          <w:rFonts w:ascii="Times New Roman" w:hAnsi="Times New Roman" w:cs="Times New Roman"/>
        </w:rPr>
      </w:pPr>
    </w:p>
    <w:p w14:paraId="55911619" w14:textId="77777777" w:rsidR="00C73853" w:rsidRPr="008712F5" w:rsidRDefault="00C73853" w:rsidP="00FE3D40">
      <w:pPr>
        <w:pStyle w:val="Heading2"/>
      </w:pPr>
      <w:r w:rsidRPr="008712F5">
        <w:t>References</w:t>
      </w:r>
    </w:p>
    <w:p w14:paraId="6F54C119"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Beattie IV, V., Collins, B., &amp; McInnes, B. (1997). Deep and surface learning: a simple or simplistic dichotomy? </w:t>
      </w:r>
      <w:r w:rsidRPr="008712F5">
        <w:rPr>
          <w:rFonts w:ascii="Times New Roman" w:hAnsi="Times New Roman" w:cs="Times New Roman"/>
          <w:i/>
          <w:iCs/>
          <w:sz w:val="24"/>
          <w:szCs w:val="24"/>
          <w:shd w:val="clear" w:color="auto" w:fill="FCFCFC"/>
        </w:rPr>
        <w:t>Accounting education</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6</w:t>
      </w:r>
      <w:r w:rsidRPr="008712F5">
        <w:rPr>
          <w:rFonts w:ascii="Times New Roman" w:hAnsi="Times New Roman" w:cs="Times New Roman"/>
          <w:sz w:val="24"/>
          <w:szCs w:val="24"/>
          <w:shd w:val="clear" w:color="auto" w:fill="FCFCFC"/>
        </w:rPr>
        <w:t xml:space="preserve">(1), 1–12. </w:t>
      </w:r>
      <w:hyperlink r:id="rId11" w:history="1">
        <w:r w:rsidRPr="008712F5">
          <w:rPr>
            <w:rStyle w:val="Hyperlink"/>
            <w:rFonts w:ascii="Times New Roman" w:hAnsi="Times New Roman" w:cs="Times New Roman"/>
            <w:color w:val="auto"/>
            <w:sz w:val="24"/>
            <w:szCs w:val="24"/>
            <w:shd w:val="clear" w:color="auto" w:fill="FCFCFC"/>
          </w:rPr>
          <w:t>https://doi.org/10.1080/096392897331587</w:t>
        </w:r>
      </w:hyperlink>
      <w:r w:rsidRPr="008712F5">
        <w:rPr>
          <w:rFonts w:ascii="Times New Roman" w:hAnsi="Times New Roman" w:cs="Times New Roman"/>
          <w:sz w:val="24"/>
          <w:szCs w:val="24"/>
          <w:shd w:val="clear" w:color="auto" w:fill="FCFCFC"/>
        </w:rPr>
        <w:t xml:space="preserve"> </w:t>
      </w:r>
    </w:p>
    <w:p w14:paraId="2180D000"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proofErr w:type="spellStart"/>
      <w:r w:rsidRPr="008712F5">
        <w:rPr>
          <w:rFonts w:ascii="Times New Roman" w:hAnsi="Times New Roman" w:cs="Times New Roman"/>
          <w:sz w:val="24"/>
          <w:szCs w:val="24"/>
          <w:shd w:val="clear" w:color="auto" w:fill="FCFCFC"/>
        </w:rPr>
        <w:t>Beausaert</w:t>
      </w:r>
      <w:proofErr w:type="spellEnd"/>
      <w:r w:rsidRPr="008712F5">
        <w:rPr>
          <w:rFonts w:ascii="Times New Roman" w:hAnsi="Times New Roman" w:cs="Times New Roman"/>
          <w:sz w:val="24"/>
          <w:szCs w:val="24"/>
          <w:shd w:val="clear" w:color="auto" w:fill="FCFCFC"/>
        </w:rPr>
        <w:t xml:space="preserve">, S. A., </w:t>
      </w:r>
      <w:proofErr w:type="spellStart"/>
      <w:r w:rsidRPr="008712F5">
        <w:rPr>
          <w:rFonts w:ascii="Times New Roman" w:hAnsi="Times New Roman" w:cs="Times New Roman"/>
          <w:sz w:val="24"/>
          <w:szCs w:val="24"/>
          <w:shd w:val="clear" w:color="auto" w:fill="FCFCFC"/>
        </w:rPr>
        <w:t>Segers</w:t>
      </w:r>
      <w:proofErr w:type="spellEnd"/>
      <w:r w:rsidRPr="008712F5">
        <w:rPr>
          <w:rFonts w:ascii="Times New Roman" w:hAnsi="Times New Roman" w:cs="Times New Roman"/>
          <w:sz w:val="24"/>
          <w:szCs w:val="24"/>
          <w:shd w:val="clear" w:color="auto" w:fill="FCFCFC"/>
        </w:rPr>
        <w:t xml:space="preserve">, M. S. R., &amp; </w:t>
      </w:r>
      <w:proofErr w:type="spellStart"/>
      <w:r w:rsidRPr="008712F5">
        <w:rPr>
          <w:rFonts w:ascii="Times New Roman" w:hAnsi="Times New Roman" w:cs="Times New Roman"/>
          <w:sz w:val="24"/>
          <w:szCs w:val="24"/>
          <w:shd w:val="clear" w:color="auto" w:fill="FCFCFC"/>
        </w:rPr>
        <w:t>Wiltink</w:t>
      </w:r>
      <w:proofErr w:type="spellEnd"/>
      <w:r w:rsidRPr="008712F5">
        <w:rPr>
          <w:rFonts w:ascii="Times New Roman" w:hAnsi="Times New Roman" w:cs="Times New Roman"/>
          <w:sz w:val="24"/>
          <w:szCs w:val="24"/>
          <w:shd w:val="clear" w:color="auto" w:fill="FCFCFC"/>
        </w:rPr>
        <w:t xml:space="preserve">, D. P. (2013). The influence of teachers’ teaching approaches on students’ learning approaches: The student perspective. </w:t>
      </w:r>
      <w:r w:rsidRPr="008712F5">
        <w:rPr>
          <w:rFonts w:ascii="Times New Roman" w:hAnsi="Times New Roman" w:cs="Times New Roman"/>
          <w:i/>
          <w:iCs/>
          <w:sz w:val="24"/>
          <w:szCs w:val="24"/>
          <w:shd w:val="clear" w:color="auto" w:fill="FCFCFC"/>
        </w:rPr>
        <w:t>Educational Research</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55</w:t>
      </w:r>
      <w:r w:rsidRPr="008712F5">
        <w:rPr>
          <w:rFonts w:ascii="Times New Roman" w:hAnsi="Times New Roman" w:cs="Times New Roman"/>
          <w:sz w:val="24"/>
          <w:szCs w:val="24"/>
          <w:shd w:val="clear" w:color="auto" w:fill="FCFCFC"/>
        </w:rPr>
        <w:t xml:space="preserve">(1), 1–15. </w:t>
      </w:r>
      <w:hyperlink r:id="rId12" w:history="1">
        <w:r w:rsidRPr="008712F5">
          <w:rPr>
            <w:rStyle w:val="Hyperlink"/>
            <w:rFonts w:ascii="Times New Roman" w:hAnsi="Times New Roman" w:cs="Times New Roman"/>
            <w:color w:val="auto"/>
            <w:sz w:val="24"/>
            <w:szCs w:val="24"/>
            <w:shd w:val="clear" w:color="auto" w:fill="FCFCFC"/>
          </w:rPr>
          <w:t>https://doi.org/10.1080/00131881.2013.767022</w:t>
        </w:r>
      </w:hyperlink>
      <w:r w:rsidRPr="008712F5">
        <w:rPr>
          <w:rFonts w:ascii="Times New Roman" w:hAnsi="Times New Roman" w:cs="Times New Roman"/>
          <w:sz w:val="24"/>
          <w:szCs w:val="24"/>
          <w:shd w:val="clear" w:color="auto" w:fill="FCFCFC"/>
        </w:rPr>
        <w:t xml:space="preserve"> </w:t>
      </w:r>
    </w:p>
    <w:p w14:paraId="65B84379"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Biggs, J. B. (1994). What are effective schools? Lessons from East and West. </w:t>
      </w:r>
      <w:r w:rsidRPr="008712F5">
        <w:rPr>
          <w:rFonts w:ascii="Times New Roman" w:hAnsi="Times New Roman" w:cs="Times New Roman"/>
          <w:i/>
          <w:iCs/>
          <w:sz w:val="24"/>
          <w:szCs w:val="24"/>
          <w:shd w:val="clear" w:color="auto" w:fill="FCFCFC"/>
        </w:rPr>
        <w:t>The Australian Educational Researcher,</w:t>
      </w:r>
      <w:r w:rsidRPr="008712F5">
        <w:rPr>
          <w:rFonts w:ascii="Times New Roman" w:hAnsi="Times New Roman" w:cs="Times New Roman"/>
          <w:sz w:val="24"/>
          <w:szCs w:val="24"/>
          <w:shd w:val="clear" w:color="auto" w:fill="FCFCFC"/>
        </w:rPr>
        <w:t> </w:t>
      </w:r>
      <w:r w:rsidRPr="008712F5">
        <w:rPr>
          <w:rFonts w:ascii="Times New Roman" w:hAnsi="Times New Roman" w:cs="Times New Roman"/>
          <w:i/>
          <w:iCs/>
          <w:sz w:val="24"/>
          <w:szCs w:val="24"/>
          <w:shd w:val="clear" w:color="auto" w:fill="FCFCFC"/>
        </w:rPr>
        <w:t>21</w:t>
      </w:r>
      <w:r w:rsidRPr="008712F5">
        <w:rPr>
          <w:rFonts w:ascii="Times New Roman" w:hAnsi="Times New Roman" w:cs="Times New Roman"/>
          <w:sz w:val="24"/>
          <w:szCs w:val="24"/>
          <w:shd w:val="clear" w:color="auto" w:fill="FCFCFC"/>
        </w:rPr>
        <w:t xml:space="preserve">(1), 19–39. </w:t>
      </w:r>
      <w:hyperlink r:id="rId13" w:history="1">
        <w:r w:rsidRPr="008712F5">
          <w:rPr>
            <w:rStyle w:val="Hyperlink"/>
            <w:rFonts w:ascii="Times New Roman" w:hAnsi="Times New Roman" w:cs="Times New Roman"/>
            <w:color w:val="auto"/>
            <w:sz w:val="24"/>
            <w:szCs w:val="24"/>
            <w:shd w:val="clear" w:color="auto" w:fill="FCFCFC"/>
          </w:rPr>
          <w:t>https://doi.org/10.1007/BF03219558</w:t>
        </w:r>
      </w:hyperlink>
      <w:r w:rsidRPr="008712F5">
        <w:rPr>
          <w:rFonts w:ascii="Times New Roman" w:hAnsi="Times New Roman" w:cs="Times New Roman"/>
          <w:sz w:val="24"/>
          <w:szCs w:val="24"/>
          <w:shd w:val="clear" w:color="auto" w:fill="FCFCFC"/>
        </w:rPr>
        <w:t xml:space="preserve"> </w:t>
      </w:r>
    </w:p>
    <w:p w14:paraId="690170FD"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Biggs, J. (1998). Learning from the Confucian heritage: so size doesn’t matter? </w:t>
      </w:r>
      <w:r w:rsidRPr="008712F5">
        <w:rPr>
          <w:rFonts w:ascii="Times New Roman" w:hAnsi="Times New Roman" w:cs="Times New Roman"/>
          <w:i/>
          <w:iCs/>
          <w:sz w:val="24"/>
          <w:szCs w:val="24"/>
          <w:shd w:val="clear" w:color="auto" w:fill="FCFCFC"/>
        </w:rPr>
        <w:t>International Journal of Educational Research,</w:t>
      </w:r>
      <w:r w:rsidRPr="008712F5">
        <w:rPr>
          <w:rFonts w:ascii="Times New Roman" w:hAnsi="Times New Roman" w:cs="Times New Roman"/>
          <w:sz w:val="24"/>
          <w:szCs w:val="24"/>
          <w:shd w:val="clear" w:color="auto" w:fill="FCFCFC"/>
        </w:rPr>
        <w:t> </w:t>
      </w:r>
      <w:r w:rsidRPr="008712F5">
        <w:rPr>
          <w:rFonts w:ascii="Times New Roman" w:hAnsi="Times New Roman" w:cs="Times New Roman"/>
          <w:i/>
          <w:iCs/>
          <w:sz w:val="24"/>
          <w:szCs w:val="24"/>
          <w:shd w:val="clear" w:color="auto" w:fill="FCFCFC"/>
        </w:rPr>
        <w:t>29</w:t>
      </w:r>
      <w:r w:rsidRPr="008712F5">
        <w:rPr>
          <w:rFonts w:ascii="Times New Roman" w:hAnsi="Times New Roman" w:cs="Times New Roman"/>
          <w:sz w:val="24"/>
          <w:szCs w:val="24"/>
          <w:shd w:val="clear" w:color="auto" w:fill="FCFCFC"/>
        </w:rPr>
        <w:t xml:space="preserve">(8), 723–738. </w:t>
      </w:r>
      <w:hyperlink r:id="rId14" w:history="1">
        <w:r w:rsidRPr="008712F5">
          <w:rPr>
            <w:rStyle w:val="Hyperlink"/>
            <w:rFonts w:ascii="Times New Roman" w:hAnsi="Times New Roman" w:cs="Times New Roman"/>
            <w:color w:val="auto"/>
            <w:sz w:val="24"/>
            <w:szCs w:val="24"/>
            <w:shd w:val="clear" w:color="auto" w:fill="FCFCFC"/>
          </w:rPr>
          <w:t>https://doi.org/10.1016/S0883-0355(98)00060-3</w:t>
        </w:r>
      </w:hyperlink>
      <w:r w:rsidRPr="008712F5">
        <w:rPr>
          <w:rFonts w:ascii="Times New Roman" w:hAnsi="Times New Roman" w:cs="Times New Roman"/>
          <w:sz w:val="24"/>
          <w:szCs w:val="24"/>
          <w:shd w:val="clear" w:color="auto" w:fill="FCFCFC"/>
        </w:rPr>
        <w:t xml:space="preserve"> </w:t>
      </w:r>
    </w:p>
    <w:p w14:paraId="775899A9"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Bokhove, C. (2022). The role of analytical variability in secondary data replications: A replication of Kim et al.(2014). </w:t>
      </w:r>
      <w:r w:rsidRPr="008712F5">
        <w:rPr>
          <w:rFonts w:ascii="Times New Roman" w:hAnsi="Times New Roman" w:cs="Times New Roman"/>
          <w:i/>
          <w:iCs/>
          <w:sz w:val="24"/>
          <w:szCs w:val="24"/>
          <w:shd w:val="clear" w:color="auto" w:fill="FCFCFC"/>
        </w:rPr>
        <w:t>Educational Research and Evaluation</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27</w:t>
      </w:r>
      <w:r w:rsidRPr="008712F5">
        <w:rPr>
          <w:rFonts w:ascii="Times New Roman" w:hAnsi="Times New Roman" w:cs="Times New Roman"/>
          <w:sz w:val="24"/>
          <w:szCs w:val="24"/>
          <w:shd w:val="clear" w:color="auto" w:fill="FCFCFC"/>
        </w:rPr>
        <w:t xml:space="preserve">(1-2), 141–163. </w:t>
      </w:r>
      <w:hyperlink r:id="rId15" w:history="1">
        <w:r w:rsidRPr="008712F5">
          <w:rPr>
            <w:rStyle w:val="Hyperlink"/>
            <w:rFonts w:ascii="Times New Roman" w:hAnsi="Times New Roman" w:cs="Times New Roman"/>
            <w:color w:val="auto"/>
            <w:sz w:val="24"/>
            <w:szCs w:val="24"/>
            <w:shd w:val="clear" w:color="auto" w:fill="FCFCFC"/>
          </w:rPr>
          <w:t>https://doi.org/10.1080/13803611.2021.2022319</w:t>
        </w:r>
      </w:hyperlink>
      <w:r w:rsidRPr="008712F5">
        <w:rPr>
          <w:rFonts w:ascii="Times New Roman" w:hAnsi="Times New Roman" w:cs="Times New Roman"/>
          <w:sz w:val="24"/>
          <w:szCs w:val="24"/>
          <w:shd w:val="clear" w:color="auto" w:fill="FCFCFC"/>
        </w:rPr>
        <w:t xml:space="preserve"> </w:t>
      </w:r>
    </w:p>
    <w:p w14:paraId="1D0BDCFC"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Bokhove, C., Miyazaki, M., Komatsu, K., Chino, K., Leung, A., &amp; </w:t>
      </w:r>
      <w:proofErr w:type="spellStart"/>
      <w:r w:rsidRPr="008712F5">
        <w:rPr>
          <w:rFonts w:ascii="Times New Roman" w:hAnsi="Times New Roman" w:cs="Times New Roman"/>
          <w:sz w:val="24"/>
          <w:szCs w:val="24"/>
          <w:shd w:val="clear" w:color="auto" w:fill="FCFCFC"/>
        </w:rPr>
        <w:t>Mok</w:t>
      </w:r>
      <w:proofErr w:type="spellEnd"/>
      <w:r w:rsidRPr="008712F5">
        <w:rPr>
          <w:rFonts w:ascii="Times New Roman" w:hAnsi="Times New Roman" w:cs="Times New Roman"/>
          <w:sz w:val="24"/>
          <w:szCs w:val="24"/>
          <w:shd w:val="clear" w:color="auto" w:fill="FCFCFC"/>
        </w:rPr>
        <w:t xml:space="preserve">, I. A. C. (2019). The role of “opportunity to learn” in the geometry curriculum: A multilevel comparison of six countries. </w:t>
      </w:r>
      <w:r w:rsidRPr="008712F5">
        <w:rPr>
          <w:rFonts w:ascii="Times New Roman" w:hAnsi="Times New Roman" w:cs="Times New Roman"/>
          <w:i/>
          <w:iCs/>
          <w:sz w:val="24"/>
          <w:szCs w:val="24"/>
          <w:shd w:val="clear" w:color="auto" w:fill="FCFCFC"/>
        </w:rPr>
        <w:t>Frontiers in Education</w:t>
      </w:r>
      <w:r w:rsidRPr="008712F5">
        <w:rPr>
          <w:rFonts w:ascii="Times New Roman" w:hAnsi="Times New Roman" w:cs="Times New Roman"/>
          <w:sz w:val="24"/>
          <w:szCs w:val="24"/>
          <w:shd w:val="clear" w:color="auto" w:fill="FCFCFC"/>
        </w:rPr>
        <w:t xml:space="preserve">,  4:63. </w:t>
      </w:r>
      <w:hyperlink r:id="rId16" w:history="1">
        <w:r w:rsidRPr="008712F5">
          <w:rPr>
            <w:rStyle w:val="Hyperlink"/>
            <w:rFonts w:ascii="Times New Roman" w:hAnsi="Times New Roman" w:cs="Times New Roman"/>
            <w:color w:val="auto"/>
            <w:sz w:val="24"/>
            <w:szCs w:val="24"/>
            <w:shd w:val="clear" w:color="auto" w:fill="FCFCFC"/>
          </w:rPr>
          <w:t>https://doi.org/10.3389/feduc.2019.00063</w:t>
        </w:r>
      </w:hyperlink>
      <w:r w:rsidRPr="008712F5">
        <w:rPr>
          <w:rFonts w:ascii="Times New Roman" w:hAnsi="Times New Roman" w:cs="Times New Roman"/>
          <w:sz w:val="24"/>
          <w:szCs w:val="24"/>
          <w:shd w:val="clear" w:color="auto" w:fill="FCFCFC"/>
        </w:rPr>
        <w:t xml:space="preserve"> </w:t>
      </w:r>
    </w:p>
    <w:p w14:paraId="6B297B4C"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Boylan, M., Maxwell, B., Wolstenholme, C., Jay, T., &amp; </w:t>
      </w:r>
      <w:proofErr w:type="spellStart"/>
      <w:r w:rsidRPr="008712F5">
        <w:rPr>
          <w:rFonts w:ascii="Times New Roman" w:hAnsi="Times New Roman" w:cs="Times New Roman"/>
          <w:sz w:val="24"/>
          <w:szCs w:val="24"/>
          <w:shd w:val="clear" w:color="auto" w:fill="FCFCFC"/>
        </w:rPr>
        <w:t>Demack</w:t>
      </w:r>
      <w:proofErr w:type="spellEnd"/>
      <w:r w:rsidRPr="008712F5">
        <w:rPr>
          <w:rFonts w:ascii="Times New Roman" w:hAnsi="Times New Roman" w:cs="Times New Roman"/>
          <w:sz w:val="24"/>
          <w:szCs w:val="24"/>
          <w:shd w:val="clear" w:color="auto" w:fill="FCFCFC"/>
        </w:rPr>
        <w:t xml:space="preserve">, S. (2018). The mathematics teacher exchange and ‘mastery’ in England: The evidence for the efficacy of component practices. </w:t>
      </w:r>
      <w:r w:rsidRPr="008712F5">
        <w:rPr>
          <w:rFonts w:ascii="Times New Roman" w:hAnsi="Times New Roman" w:cs="Times New Roman"/>
          <w:i/>
          <w:iCs/>
          <w:sz w:val="24"/>
          <w:szCs w:val="24"/>
          <w:shd w:val="clear" w:color="auto" w:fill="FCFCFC"/>
        </w:rPr>
        <w:t>Education Sciences</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8</w:t>
      </w:r>
      <w:r w:rsidRPr="008712F5">
        <w:rPr>
          <w:rFonts w:ascii="Times New Roman" w:hAnsi="Times New Roman" w:cs="Times New Roman"/>
          <w:sz w:val="24"/>
          <w:szCs w:val="24"/>
          <w:shd w:val="clear" w:color="auto" w:fill="FCFCFC"/>
        </w:rPr>
        <w:t xml:space="preserve">(4), 202. </w:t>
      </w:r>
      <w:hyperlink r:id="rId17" w:history="1">
        <w:r w:rsidRPr="008712F5">
          <w:rPr>
            <w:rStyle w:val="Hyperlink"/>
            <w:rFonts w:ascii="Times New Roman" w:hAnsi="Times New Roman" w:cs="Times New Roman"/>
            <w:color w:val="auto"/>
            <w:sz w:val="24"/>
            <w:szCs w:val="24"/>
            <w:shd w:val="clear" w:color="auto" w:fill="FCFCFC"/>
          </w:rPr>
          <w:t>https://doi.org/10.3390/educsci8040202</w:t>
        </w:r>
      </w:hyperlink>
      <w:r w:rsidRPr="008712F5">
        <w:rPr>
          <w:rFonts w:ascii="Times New Roman" w:hAnsi="Times New Roman" w:cs="Times New Roman"/>
          <w:sz w:val="24"/>
          <w:szCs w:val="24"/>
          <w:shd w:val="clear" w:color="auto" w:fill="FCFCFC"/>
        </w:rPr>
        <w:t xml:space="preserve"> </w:t>
      </w:r>
    </w:p>
    <w:p w14:paraId="316C04F4"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proofErr w:type="spellStart"/>
      <w:r w:rsidRPr="008712F5">
        <w:rPr>
          <w:rFonts w:ascii="Times New Roman" w:hAnsi="Times New Roman" w:cs="Times New Roman"/>
          <w:sz w:val="24"/>
          <w:szCs w:val="24"/>
          <w:shd w:val="clear" w:color="auto" w:fill="FCFCFC"/>
        </w:rPr>
        <w:t>Brod</w:t>
      </w:r>
      <w:proofErr w:type="spellEnd"/>
      <w:r w:rsidRPr="008712F5">
        <w:rPr>
          <w:rFonts w:ascii="Times New Roman" w:hAnsi="Times New Roman" w:cs="Times New Roman"/>
          <w:sz w:val="24"/>
          <w:szCs w:val="24"/>
          <w:shd w:val="clear" w:color="auto" w:fill="FCFCFC"/>
        </w:rPr>
        <w:t xml:space="preserve">, G. (2020). Generative learning: Which strategies for what age? </w:t>
      </w:r>
      <w:r w:rsidRPr="008712F5">
        <w:rPr>
          <w:rFonts w:ascii="Times New Roman" w:hAnsi="Times New Roman" w:cs="Times New Roman"/>
          <w:i/>
          <w:iCs/>
          <w:sz w:val="24"/>
          <w:szCs w:val="24"/>
          <w:shd w:val="clear" w:color="auto" w:fill="FCFCFC"/>
        </w:rPr>
        <w:t>Educational Psychology Review</w:t>
      </w:r>
      <w:r w:rsidRPr="008712F5">
        <w:rPr>
          <w:rFonts w:ascii="Times New Roman" w:hAnsi="Times New Roman" w:cs="Times New Roman"/>
          <w:sz w:val="24"/>
          <w:szCs w:val="24"/>
          <w:shd w:val="clear" w:color="auto" w:fill="FCFCFC"/>
        </w:rPr>
        <w:t xml:space="preserve">, 33, 1295–1318. </w:t>
      </w:r>
      <w:hyperlink r:id="rId18" w:history="1">
        <w:r w:rsidRPr="008712F5">
          <w:rPr>
            <w:rStyle w:val="Hyperlink"/>
            <w:rFonts w:ascii="Times New Roman" w:hAnsi="Times New Roman" w:cs="Times New Roman"/>
            <w:color w:val="auto"/>
            <w:sz w:val="24"/>
            <w:szCs w:val="24"/>
            <w:shd w:val="clear" w:color="auto" w:fill="FCFCFC"/>
          </w:rPr>
          <w:t>https://doi.org/10.1007/s10648-020-09571-9</w:t>
        </w:r>
      </w:hyperlink>
      <w:r w:rsidRPr="008712F5">
        <w:rPr>
          <w:rFonts w:ascii="Times New Roman" w:hAnsi="Times New Roman" w:cs="Times New Roman"/>
          <w:sz w:val="24"/>
          <w:szCs w:val="24"/>
          <w:shd w:val="clear" w:color="auto" w:fill="FCFCFC"/>
        </w:rPr>
        <w:t xml:space="preserve"> </w:t>
      </w:r>
    </w:p>
    <w:p w14:paraId="1806BF50"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Brownell, W. A. (1945). When is arithmetic meaningful? </w:t>
      </w:r>
      <w:r w:rsidRPr="008712F5">
        <w:rPr>
          <w:rFonts w:ascii="Times New Roman" w:hAnsi="Times New Roman" w:cs="Times New Roman"/>
          <w:i/>
          <w:iCs/>
          <w:sz w:val="24"/>
          <w:szCs w:val="24"/>
          <w:shd w:val="clear" w:color="auto" w:fill="FCFCFC"/>
        </w:rPr>
        <w:t>Journal of Educational Research,</w:t>
      </w:r>
      <w:r w:rsidRPr="008712F5">
        <w:rPr>
          <w:rFonts w:ascii="Times New Roman" w:hAnsi="Times New Roman" w:cs="Times New Roman"/>
          <w:sz w:val="24"/>
          <w:szCs w:val="24"/>
          <w:shd w:val="clear" w:color="auto" w:fill="FCFCFC"/>
        </w:rPr>
        <w:t> </w:t>
      </w:r>
      <w:r w:rsidRPr="008712F5">
        <w:rPr>
          <w:rFonts w:ascii="Times New Roman" w:hAnsi="Times New Roman" w:cs="Times New Roman"/>
          <w:i/>
          <w:iCs/>
          <w:sz w:val="24"/>
          <w:szCs w:val="24"/>
          <w:shd w:val="clear" w:color="auto" w:fill="FCFCFC"/>
        </w:rPr>
        <w:t>38</w:t>
      </w:r>
      <w:r w:rsidRPr="008712F5">
        <w:rPr>
          <w:rFonts w:ascii="Times New Roman" w:hAnsi="Times New Roman" w:cs="Times New Roman"/>
          <w:sz w:val="24"/>
          <w:szCs w:val="24"/>
          <w:shd w:val="clear" w:color="auto" w:fill="FCFCFC"/>
        </w:rPr>
        <w:t xml:space="preserve">, 481–498. </w:t>
      </w:r>
      <w:hyperlink r:id="rId19" w:history="1">
        <w:r w:rsidRPr="008712F5">
          <w:rPr>
            <w:rStyle w:val="Hyperlink"/>
            <w:rFonts w:ascii="Times New Roman" w:hAnsi="Times New Roman" w:cs="Times New Roman"/>
            <w:color w:val="auto"/>
            <w:sz w:val="24"/>
            <w:szCs w:val="24"/>
            <w:shd w:val="clear" w:color="auto" w:fill="FCFCFC"/>
          </w:rPr>
          <w:t>https://doi.org/10.1080/00220671.1945.10881369</w:t>
        </w:r>
      </w:hyperlink>
      <w:r w:rsidRPr="008712F5">
        <w:rPr>
          <w:rFonts w:ascii="Times New Roman" w:hAnsi="Times New Roman" w:cs="Times New Roman"/>
          <w:sz w:val="24"/>
          <w:szCs w:val="24"/>
          <w:shd w:val="clear" w:color="auto" w:fill="FCFCFC"/>
        </w:rPr>
        <w:t xml:space="preserve"> </w:t>
      </w:r>
    </w:p>
    <w:p w14:paraId="55E61C27"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Bryan, C. A., Wang, T., Perry, B., Wong, N. Y., &amp; Cai, J. (2007). Comparison and contrast: similarities and differences of teachers’ views of effective mathematics teaching and learning from four regions. </w:t>
      </w:r>
      <w:r w:rsidRPr="008712F5">
        <w:rPr>
          <w:rFonts w:ascii="Times New Roman" w:hAnsi="Times New Roman" w:cs="Times New Roman"/>
          <w:i/>
          <w:iCs/>
          <w:sz w:val="24"/>
          <w:szCs w:val="24"/>
          <w:shd w:val="clear" w:color="auto" w:fill="FCFCFC"/>
        </w:rPr>
        <w:t>ZDM –The International Journal on Mathematics Education</w:t>
      </w:r>
      <w:r w:rsidRPr="008712F5">
        <w:rPr>
          <w:rFonts w:ascii="Times New Roman" w:hAnsi="Times New Roman" w:cs="Times New Roman"/>
          <w:sz w:val="24"/>
          <w:szCs w:val="24"/>
          <w:shd w:val="clear" w:color="auto" w:fill="FCFCFC"/>
        </w:rPr>
        <w:t>, </w:t>
      </w:r>
      <w:r w:rsidRPr="008712F5">
        <w:rPr>
          <w:rFonts w:ascii="Times New Roman" w:hAnsi="Times New Roman" w:cs="Times New Roman"/>
          <w:i/>
          <w:iCs/>
          <w:sz w:val="24"/>
          <w:szCs w:val="24"/>
          <w:shd w:val="clear" w:color="auto" w:fill="FCFCFC"/>
        </w:rPr>
        <w:t>39</w:t>
      </w:r>
      <w:r w:rsidRPr="008712F5">
        <w:rPr>
          <w:rFonts w:ascii="Times New Roman" w:hAnsi="Times New Roman" w:cs="Times New Roman"/>
          <w:sz w:val="24"/>
          <w:szCs w:val="24"/>
          <w:shd w:val="clear" w:color="auto" w:fill="FCFCFC"/>
        </w:rPr>
        <w:t xml:space="preserve">(4), 329–340. </w:t>
      </w:r>
      <w:hyperlink r:id="rId20" w:history="1">
        <w:r w:rsidRPr="008712F5">
          <w:rPr>
            <w:rStyle w:val="Hyperlink"/>
            <w:rFonts w:ascii="Times New Roman" w:hAnsi="Times New Roman" w:cs="Times New Roman"/>
            <w:color w:val="auto"/>
            <w:sz w:val="24"/>
            <w:szCs w:val="24"/>
            <w:shd w:val="clear" w:color="auto" w:fill="FCFCFC"/>
          </w:rPr>
          <w:t>https://doi.org/10.1007/s11858-007-0035-2</w:t>
        </w:r>
      </w:hyperlink>
      <w:r w:rsidRPr="008712F5">
        <w:rPr>
          <w:rFonts w:ascii="Times New Roman" w:hAnsi="Times New Roman" w:cs="Times New Roman"/>
          <w:sz w:val="24"/>
          <w:szCs w:val="24"/>
          <w:shd w:val="clear" w:color="auto" w:fill="FCFCFC"/>
        </w:rPr>
        <w:t xml:space="preserve"> </w:t>
      </w:r>
    </w:p>
    <w:p w14:paraId="77D2F7EE"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Caro, D. H., </w:t>
      </w:r>
      <w:proofErr w:type="spellStart"/>
      <w:r w:rsidRPr="008712F5">
        <w:rPr>
          <w:rFonts w:ascii="Times New Roman" w:hAnsi="Times New Roman" w:cs="Times New Roman"/>
          <w:sz w:val="24"/>
          <w:szCs w:val="24"/>
          <w:shd w:val="clear" w:color="auto" w:fill="FCFCFC"/>
        </w:rPr>
        <w:t>Lenkeit</w:t>
      </w:r>
      <w:proofErr w:type="spellEnd"/>
      <w:r w:rsidRPr="008712F5">
        <w:rPr>
          <w:rFonts w:ascii="Times New Roman" w:hAnsi="Times New Roman" w:cs="Times New Roman"/>
          <w:sz w:val="24"/>
          <w:szCs w:val="24"/>
          <w:shd w:val="clear" w:color="auto" w:fill="FCFCFC"/>
        </w:rPr>
        <w:t xml:space="preserve">, J., &amp; </w:t>
      </w:r>
      <w:proofErr w:type="spellStart"/>
      <w:r w:rsidRPr="008712F5">
        <w:rPr>
          <w:rFonts w:ascii="Times New Roman" w:hAnsi="Times New Roman" w:cs="Times New Roman"/>
          <w:sz w:val="24"/>
          <w:szCs w:val="24"/>
          <w:shd w:val="clear" w:color="auto" w:fill="FCFCFC"/>
        </w:rPr>
        <w:t>Kyriakides</w:t>
      </w:r>
      <w:proofErr w:type="spellEnd"/>
      <w:r w:rsidRPr="008712F5">
        <w:rPr>
          <w:rFonts w:ascii="Times New Roman" w:hAnsi="Times New Roman" w:cs="Times New Roman"/>
          <w:sz w:val="24"/>
          <w:szCs w:val="24"/>
          <w:shd w:val="clear" w:color="auto" w:fill="FCFCFC"/>
        </w:rPr>
        <w:t xml:space="preserve">, L. (2016). Teaching strategies and differential effectiveness across learning contexts: Evidence from PISA 2012. </w:t>
      </w:r>
      <w:r w:rsidRPr="008712F5">
        <w:rPr>
          <w:rFonts w:ascii="Times New Roman" w:hAnsi="Times New Roman" w:cs="Times New Roman"/>
          <w:i/>
          <w:iCs/>
          <w:sz w:val="24"/>
          <w:szCs w:val="24"/>
          <w:shd w:val="clear" w:color="auto" w:fill="FCFCFC"/>
        </w:rPr>
        <w:t>Studies in Educational Evaluation</w:t>
      </w:r>
      <w:r w:rsidRPr="008712F5">
        <w:rPr>
          <w:rFonts w:ascii="Times New Roman" w:hAnsi="Times New Roman" w:cs="Times New Roman"/>
          <w:sz w:val="24"/>
          <w:szCs w:val="24"/>
          <w:shd w:val="clear" w:color="auto" w:fill="FCFCFC"/>
        </w:rPr>
        <w:t xml:space="preserve">, 49, 30–41. </w:t>
      </w:r>
      <w:hyperlink r:id="rId21" w:history="1">
        <w:r w:rsidRPr="008712F5">
          <w:rPr>
            <w:rStyle w:val="Hyperlink"/>
            <w:rFonts w:ascii="Times New Roman" w:hAnsi="Times New Roman" w:cs="Times New Roman"/>
            <w:color w:val="auto"/>
            <w:sz w:val="24"/>
            <w:szCs w:val="24"/>
            <w:shd w:val="clear" w:color="auto" w:fill="FCFCFC"/>
          </w:rPr>
          <w:t>https://doi.org/10.1016/j.stueduc.2016.03.005</w:t>
        </w:r>
      </w:hyperlink>
      <w:r w:rsidRPr="008712F5">
        <w:rPr>
          <w:rFonts w:ascii="Times New Roman" w:hAnsi="Times New Roman" w:cs="Times New Roman"/>
          <w:sz w:val="24"/>
          <w:szCs w:val="24"/>
          <w:shd w:val="clear" w:color="auto" w:fill="FCFCFC"/>
        </w:rPr>
        <w:t xml:space="preserve"> </w:t>
      </w:r>
    </w:p>
    <w:p w14:paraId="737E57A6"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Carroll, J. B. (1963). A model of school learning. </w:t>
      </w:r>
      <w:r w:rsidRPr="008712F5">
        <w:rPr>
          <w:rFonts w:ascii="Times New Roman" w:hAnsi="Times New Roman" w:cs="Times New Roman"/>
          <w:i/>
          <w:iCs/>
          <w:sz w:val="24"/>
          <w:szCs w:val="24"/>
          <w:shd w:val="clear" w:color="auto" w:fill="FCFCFC"/>
        </w:rPr>
        <w:t>Teachers College Record</w:t>
      </w:r>
      <w:r w:rsidRPr="008712F5">
        <w:rPr>
          <w:rFonts w:ascii="Times New Roman" w:hAnsi="Times New Roman" w:cs="Times New Roman"/>
          <w:sz w:val="24"/>
          <w:szCs w:val="24"/>
          <w:shd w:val="clear" w:color="auto" w:fill="FCFCFC"/>
        </w:rPr>
        <w:t xml:space="preserve">, 64(8), 723–733. </w:t>
      </w:r>
      <w:hyperlink r:id="rId22" w:history="1">
        <w:r w:rsidRPr="008712F5">
          <w:rPr>
            <w:rStyle w:val="Hyperlink"/>
            <w:rFonts w:ascii="Times New Roman" w:hAnsi="Times New Roman" w:cs="Times New Roman"/>
            <w:color w:val="auto"/>
            <w:sz w:val="24"/>
            <w:szCs w:val="24"/>
            <w:shd w:val="clear" w:color="auto" w:fill="FCFCFC"/>
          </w:rPr>
          <w:t>https://doi.org/10.1177%2F016146816306400801</w:t>
        </w:r>
      </w:hyperlink>
      <w:r w:rsidRPr="008712F5">
        <w:rPr>
          <w:rFonts w:ascii="Times New Roman" w:hAnsi="Times New Roman" w:cs="Times New Roman"/>
          <w:sz w:val="24"/>
          <w:szCs w:val="24"/>
          <w:shd w:val="clear" w:color="auto" w:fill="FCFCFC"/>
        </w:rPr>
        <w:t xml:space="preserve"> </w:t>
      </w:r>
    </w:p>
    <w:p w14:paraId="50F5749D"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Chen, X., &amp; Li, Y. (2010). Instructional coherence in Chinese mathematics classroom—A case study of lessons on fraction division. </w:t>
      </w:r>
      <w:r w:rsidRPr="008712F5">
        <w:rPr>
          <w:rFonts w:ascii="Times New Roman" w:hAnsi="Times New Roman" w:cs="Times New Roman"/>
          <w:i/>
          <w:iCs/>
          <w:sz w:val="24"/>
          <w:szCs w:val="24"/>
          <w:shd w:val="clear" w:color="auto" w:fill="FCFCFC"/>
        </w:rPr>
        <w:t>International Journal of Science and Mathematics Education</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8</w:t>
      </w:r>
      <w:r w:rsidRPr="008712F5">
        <w:rPr>
          <w:rFonts w:ascii="Times New Roman" w:hAnsi="Times New Roman" w:cs="Times New Roman"/>
          <w:sz w:val="24"/>
          <w:szCs w:val="24"/>
          <w:shd w:val="clear" w:color="auto" w:fill="FCFCFC"/>
        </w:rPr>
        <w:t xml:space="preserve">(4), 711–735. </w:t>
      </w:r>
      <w:hyperlink r:id="rId23" w:history="1">
        <w:r w:rsidRPr="008712F5">
          <w:rPr>
            <w:rStyle w:val="Hyperlink"/>
            <w:rFonts w:ascii="Times New Roman" w:hAnsi="Times New Roman" w:cs="Times New Roman"/>
            <w:color w:val="auto"/>
            <w:sz w:val="24"/>
            <w:szCs w:val="24"/>
            <w:shd w:val="clear" w:color="auto" w:fill="FCFCFC"/>
          </w:rPr>
          <w:t>https://doi.org/10.1007/s10763-009-9182-y</w:t>
        </w:r>
      </w:hyperlink>
      <w:r w:rsidRPr="008712F5">
        <w:rPr>
          <w:rFonts w:ascii="Times New Roman" w:hAnsi="Times New Roman" w:cs="Times New Roman"/>
          <w:sz w:val="24"/>
          <w:szCs w:val="24"/>
          <w:shd w:val="clear" w:color="auto" w:fill="FCFCFC"/>
        </w:rPr>
        <w:t xml:space="preserve"> </w:t>
      </w:r>
    </w:p>
    <w:p w14:paraId="738787DE"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Cheng, Q. (2014). Quality mathematics instructional practices contributing to student achievements in five high-achieving Asian education systems: An analysis using TIMSS 2011 data. </w:t>
      </w:r>
      <w:r w:rsidRPr="008712F5">
        <w:rPr>
          <w:rFonts w:ascii="Times New Roman" w:hAnsi="Times New Roman" w:cs="Times New Roman"/>
          <w:i/>
          <w:iCs/>
          <w:sz w:val="24"/>
          <w:szCs w:val="24"/>
          <w:shd w:val="clear" w:color="auto" w:fill="FCFCFC"/>
        </w:rPr>
        <w:t>Frontiers of Education in China</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9</w:t>
      </w:r>
      <w:r w:rsidRPr="008712F5">
        <w:rPr>
          <w:rFonts w:ascii="Times New Roman" w:hAnsi="Times New Roman" w:cs="Times New Roman"/>
          <w:sz w:val="24"/>
          <w:szCs w:val="24"/>
          <w:shd w:val="clear" w:color="auto" w:fill="FCFCFC"/>
        </w:rPr>
        <w:t xml:space="preserve">(4), 493–518. </w:t>
      </w:r>
      <w:hyperlink r:id="rId24" w:history="1">
        <w:r w:rsidRPr="008712F5">
          <w:rPr>
            <w:rStyle w:val="Hyperlink"/>
            <w:rFonts w:ascii="Times New Roman" w:hAnsi="Times New Roman" w:cs="Times New Roman"/>
            <w:color w:val="auto"/>
            <w:sz w:val="24"/>
            <w:szCs w:val="24"/>
            <w:shd w:val="clear" w:color="auto" w:fill="FCFCFC"/>
          </w:rPr>
          <w:t>https://doi.org/10.1007/BF03397038</w:t>
        </w:r>
      </w:hyperlink>
      <w:r w:rsidRPr="008712F5">
        <w:rPr>
          <w:rFonts w:ascii="Times New Roman" w:hAnsi="Times New Roman" w:cs="Times New Roman"/>
          <w:sz w:val="24"/>
          <w:szCs w:val="24"/>
          <w:shd w:val="clear" w:color="auto" w:fill="FCFCFC"/>
        </w:rPr>
        <w:t xml:space="preserve"> </w:t>
      </w:r>
    </w:p>
    <w:p w14:paraId="317451E0"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Coughlan, S. (2019). </w:t>
      </w:r>
      <w:r w:rsidRPr="008712F5">
        <w:rPr>
          <w:rFonts w:ascii="Times New Roman" w:hAnsi="Times New Roman" w:cs="Times New Roman"/>
          <w:i/>
          <w:iCs/>
          <w:sz w:val="24"/>
          <w:szCs w:val="24"/>
          <w:shd w:val="clear" w:color="auto" w:fill="FCFCFC"/>
        </w:rPr>
        <w:t>Pisa tests: UK rises in international school rankings</w:t>
      </w:r>
      <w:r w:rsidRPr="008712F5">
        <w:rPr>
          <w:rFonts w:ascii="Times New Roman" w:hAnsi="Times New Roman" w:cs="Times New Roman"/>
          <w:sz w:val="24"/>
          <w:szCs w:val="24"/>
          <w:shd w:val="clear" w:color="auto" w:fill="FCFCFC"/>
        </w:rPr>
        <w:t xml:space="preserve">. Retrieved from </w:t>
      </w:r>
      <w:hyperlink r:id="rId25" w:history="1">
        <w:r w:rsidRPr="008712F5">
          <w:rPr>
            <w:rStyle w:val="Hyperlink"/>
            <w:rFonts w:ascii="Times New Roman" w:hAnsi="Times New Roman" w:cs="Times New Roman"/>
            <w:color w:val="auto"/>
            <w:sz w:val="24"/>
            <w:szCs w:val="24"/>
            <w:shd w:val="clear" w:color="auto" w:fill="FCFCFC"/>
          </w:rPr>
          <w:t>https://www.bbc.co.uk/news/education-50563833</w:t>
        </w:r>
      </w:hyperlink>
      <w:r w:rsidRPr="008712F5">
        <w:rPr>
          <w:rFonts w:ascii="Times New Roman" w:hAnsi="Times New Roman" w:cs="Times New Roman"/>
          <w:sz w:val="24"/>
          <w:szCs w:val="24"/>
          <w:shd w:val="clear" w:color="auto" w:fill="FCFCFC"/>
        </w:rPr>
        <w:t xml:space="preserve"> </w:t>
      </w:r>
    </w:p>
    <w:p w14:paraId="5675CC86"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Dahlin, B., &amp; Watkins, D. (2000). The role of repetition in the processes of memorizing and understanding: A comparison of the views of German and Chinese secondary school students in Hong Kong. </w:t>
      </w:r>
      <w:r w:rsidRPr="008712F5">
        <w:rPr>
          <w:rFonts w:ascii="Times New Roman" w:hAnsi="Times New Roman" w:cs="Times New Roman"/>
          <w:i/>
          <w:iCs/>
          <w:sz w:val="24"/>
          <w:szCs w:val="24"/>
          <w:shd w:val="clear" w:color="auto" w:fill="FCFCFC"/>
        </w:rPr>
        <w:t>British Journal of Educational Psychology,</w:t>
      </w:r>
      <w:r w:rsidRPr="008712F5">
        <w:rPr>
          <w:rFonts w:ascii="Times New Roman" w:hAnsi="Times New Roman" w:cs="Times New Roman"/>
          <w:sz w:val="24"/>
          <w:szCs w:val="24"/>
          <w:shd w:val="clear" w:color="auto" w:fill="FCFCFC"/>
        </w:rPr>
        <w:t> </w:t>
      </w:r>
      <w:r w:rsidRPr="008712F5">
        <w:rPr>
          <w:rFonts w:ascii="Times New Roman" w:hAnsi="Times New Roman" w:cs="Times New Roman"/>
          <w:i/>
          <w:iCs/>
          <w:sz w:val="24"/>
          <w:szCs w:val="24"/>
          <w:shd w:val="clear" w:color="auto" w:fill="FCFCFC"/>
        </w:rPr>
        <w:t>70</w:t>
      </w:r>
      <w:r w:rsidRPr="008712F5">
        <w:rPr>
          <w:rFonts w:ascii="Times New Roman" w:hAnsi="Times New Roman" w:cs="Times New Roman"/>
          <w:sz w:val="24"/>
          <w:szCs w:val="24"/>
          <w:shd w:val="clear" w:color="auto" w:fill="FCFCFC"/>
        </w:rPr>
        <w:t xml:space="preserve">(1), 65–84. </w:t>
      </w:r>
      <w:hyperlink r:id="rId26" w:history="1">
        <w:r w:rsidRPr="008712F5">
          <w:rPr>
            <w:rStyle w:val="Hyperlink"/>
            <w:rFonts w:ascii="Times New Roman" w:hAnsi="Times New Roman" w:cs="Times New Roman"/>
            <w:color w:val="auto"/>
            <w:sz w:val="24"/>
            <w:szCs w:val="24"/>
            <w:shd w:val="clear" w:color="auto" w:fill="FCFCFC"/>
          </w:rPr>
          <w:t>https://doi.org/10.1348/000709900157976</w:t>
        </w:r>
      </w:hyperlink>
      <w:r w:rsidRPr="008712F5">
        <w:rPr>
          <w:rFonts w:ascii="Times New Roman" w:hAnsi="Times New Roman" w:cs="Times New Roman"/>
          <w:sz w:val="24"/>
          <w:szCs w:val="24"/>
          <w:shd w:val="clear" w:color="auto" w:fill="FCFCFC"/>
        </w:rPr>
        <w:t xml:space="preserve"> </w:t>
      </w:r>
    </w:p>
    <w:p w14:paraId="00341BD5"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lastRenderedPageBreak/>
        <w:t xml:space="preserve">Echazarra, A., Salinas, D., Méndez, I., Denis, V., &amp; </w:t>
      </w:r>
      <w:proofErr w:type="spellStart"/>
      <w:r w:rsidRPr="008712F5">
        <w:rPr>
          <w:rFonts w:ascii="Times New Roman" w:hAnsi="Times New Roman" w:cs="Times New Roman"/>
          <w:sz w:val="24"/>
          <w:szCs w:val="24"/>
          <w:shd w:val="clear" w:color="auto" w:fill="FCFCFC"/>
        </w:rPr>
        <w:t>Rech</w:t>
      </w:r>
      <w:proofErr w:type="spellEnd"/>
      <w:r w:rsidRPr="008712F5">
        <w:rPr>
          <w:rFonts w:ascii="Times New Roman" w:hAnsi="Times New Roman" w:cs="Times New Roman"/>
          <w:sz w:val="24"/>
          <w:szCs w:val="24"/>
          <w:shd w:val="clear" w:color="auto" w:fill="FCFCFC"/>
        </w:rPr>
        <w:t xml:space="preserve">, G. (2016). How teachers teach and students learn: Successful strategies for school. </w:t>
      </w:r>
      <w:hyperlink r:id="rId27" w:history="1">
        <w:r w:rsidRPr="008712F5">
          <w:rPr>
            <w:rStyle w:val="Hyperlink"/>
            <w:rFonts w:ascii="Times New Roman" w:hAnsi="Times New Roman" w:cs="Times New Roman"/>
            <w:color w:val="auto"/>
            <w:sz w:val="24"/>
            <w:szCs w:val="24"/>
            <w:shd w:val="clear" w:color="auto" w:fill="FCFCFC"/>
          </w:rPr>
          <w:t>https://doi.org/10.1787/5jm29kpt0xxx-en</w:t>
        </w:r>
      </w:hyperlink>
      <w:r w:rsidRPr="008712F5">
        <w:rPr>
          <w:rFonts w:ascii="Times New Roman" w:hAnsi="Times New Roman" w:cs="Times New Roman"/>
          <w:sz w:val="24"/>
          <w:szCs w:val="24"/>
          <w:shd w:val="clear" w:color="auto" w:fill="FCFCFC"/>
        </w:rPr>
        <w:t xml:space="preserve"> </w:t>
      </w:r>
    </w:p>
    <w:p w14:paraId="6A1C641D"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Fan, L., &amp; Bokhove, C. (2014). Rethinking the role of algorithms in school mathematics: A conceptual model with focus on cognitive development. </w:t>
      </w:r>
      <w:r w:rsidRPr="008712F5">
        <w:rPr>
          <w:rFonts w:ascii="Times New Roman" w:hAnsi="Times New Roman" w:cs="Times New Roman"/>
          <w:i/>
          <w:iCs/>
          <w:sz w:val="24"/>
          <w:szCs w:val="24"/>
          <w:shd w:val="clear" w:color="auto" w:fill="FCFCFC"/>
        </w:rPr>
        <w:t>ZDM Mathematics Education</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46</w:t>
      </w:r>
      <w:r w:rsidRPr="008712F5">
        <w:rPr>
          <w:rFonts w:ascii="Times New Roman" w:hAnsi="Times New Roman" w:cs="Times New Roman"/>
          <w:sz w:val="24"/>
          <w:szCs w:val="24"/>
          <w:shd w:val="clear" w:color="auto" w:fill="FCFCFC"/>
        </w:rPr>
        <w:t xml:space="preserve">(3), 481–492. </w:t>
      </w:r>
      <w:hyperlink r:id="rId28" w:history="1">
        <w:r w:rsidRPr="008712F5">
          <w:rPr>
            <w:rStyle w:val="Hyperlink"/>
            <w:rFonts w:ascii="Times New Roman" w:hAnsi="Times New Roman" w:cs="Times New Roman"/>
            <w:color w:val="auto"/>
            <w:sz w:val="24"/>
            <w:szCs w:val="24"/>
            <w:shd w:val="clear" w:color="auto" w:fill="FCFCFC"/>
          </w:rPr>
          <w:t>https://doi.org/10.1007/s11858-014-0590-2</w:t>
        </w:r>
      </w:hyperlink>
      <w:r w:rsidRPr="008712F5">
        <w:rPr>
          <w:rFonts w:ascii="Times New Roman" w:hAnsi="Times New Roman" w:cs="Times New Roman"/>
          <w:sz w:val="24"/>
          <w:szCs w:val="24"/>
          <w:shd w:val="clear" w:color="auto" w:fill="FCFCFC"/>
        </w:rPr>
        <w:t xml:space="preserve"> </w:t>
      </w:r>
    </w:p>
    <w:p w14:paraId="5E398D0B"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Fishbein, B., Foy, P., &amp; Yin, L. (2021). </w:t>
      </w:r>
      <w:r w:rsidRPr="008712F5">
        <w:rPr>
          <w:rFonts w:ascii="Times New Roman" w:hAnsi="Times New Roman" w:cs="Times New Roman"/>
          <w:i/>
          <w:iCs/>
          <w:sz w:val="24"/>
          <w:szCs w:val="24"/>
          <w:shd w:val="clear" w:color="auto" w:fill="FCFCFC"/>
        </w:rPr>
        <w:t>TIMSS 2019 user guide for the international database</w:t>
      </w:r>
      <w:r w:rsidRPr="008712F5">
        <w:rPr>
          <w:rFonts w:ascii="Times New Roman" w:hAnsi="Times New Roman" w:cs="Times New Roman"/>
          <w:sz w:val="24"/>
          <w:szCs w:val="24"/>
          <w:shd w:val="clear" w:color="auto" w:fill="FCFCFC"/>
        </w:rPr>
        <w:t xml:space="preserve">. Retrieved from </w:t>
      </w:r>
      <w:hyperlink r:id="rId29" w:history="1">
        <w:r w:rsidRPr="008712F5">
          <w:rPr>
            <w:rStyle w:val="Hyperlink"/>
            <w:rFonts w:ascii="Times New Roman" w:hAnsi="Times New Roman" w:cs="Times New Roman"/>
            <w:color w:val="auto"/>
            <w:sz w:val="24"/>
            <w:szCs w:val="24"/>
            <w:shd w:val="clear" w:color="auto" w:fill="FCFCFC"/>
          </w:rPr>
          <w:t>https://timssandpirls.bc.edu/timss2019/international-database</w:t>
        </w:r>
      </w:hyperlink>
      <w:r w:rsidRPr="008712F5">
        <w:rPr>
          <w:rFonts w:ascii="Times New Roman" w:hAnsi="Times New Roman" w:cs="Times New Roman"/>
          <w:sz w:val="24"/>
          <w:szCs w:val="24"/>
          <w:shd w:val="clear" w:color="auto" w:fill="FCFCFC"/>
        </w:rPr>
        <w:t xml:space="preserve"> </w:t>
      </w:r>
    </w:p>
    <w:p w14:paraId="60E4C56C"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Guo, K. (2014). Relation between time for studying mathematics and achievement. Paper presented at the First Chinese Mathematics Education Conference. Beijing, April.</w:t>
      </w:r>
    </w:p>
    <w:p w14:paraId="4376A5B0"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Gustafsson, J. E. (2013). Causal inference in educational effectiveness research: A comparison of three methods to investigate effects of homework on student achievement. </w:t>
      </w:r>
      <w:r w:rsidRPr="008712F5">
        <w:rPr>
          <w:rFonts w:ascii="Times New Roman" w:hAnsi="Times New Roman" w:cs="Times New Roman"/>
          <w:i/>
          <w:iCs/>
          <w:sz w:val="24"/>
          <w:szCs w:val="24"/>
          <w:shd w:val="clear" w:color="auto" w:fill="FCFCFC"/>
        </w:rPr>
        <w:t>School Effectiveness and School Improvement</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24</w:t>
      </w:r>
      <w:r w:rsidRPr="008712F5">
        <w:rPr>
          <w:rFonts w:ascii="Times New Roman" w:hAnsi="Times New Roman" w:cs="Times New Roman"/>
          <w:sz w:val="24"/>
          <w:szCs w:val="24"/>
          <w:shd w:val="clear" w:color="auto" w:fill="FCFCFC"/>
        </w:rPr>
        <w:t xml:space="preserve">(3), 275–295. </w:t>
      </w:r>
      <w:hyperlink r:id="rId30" w:history="1">
        <w:r w:rsidRPr="008712F5">
          <w:rPr>
            <w:rStyle w:val="Hyperlink"/>
            <w:rFonts w:ascii="Times New Roman" w:hAnsi="Times New Roman" w:cs="Times New Roman"/>
            <w:color w:val="auto"/>
            <w:sz w:val="24"/>
            <w:szCs w:val="24"/>
            <w:shd w:val="clear" w:color="auto" w:fill="FCFCFC"/>
          </w:rPr>
          <w:t>https://doi.org/10.1080/09243453.2013.806334</w:t>
        </w:r>
      </w:hyperlink>
      <w:r w:rsidRPr="008712F5">
        <w:rPr>
          <w:rFonts w:ascii="Times New Roman" w:hAnsi="Times New Roman" w:cs="Times New Roman"/>
          <w:sz w:val="24"/>
          <w:szCs w:val="24"/>
          <w:shd w:val="clear" w:color="auto" w:fill="FCFCFC"/>
        </w:rPr>
        <w:t xml:space="preserve"> </w:t>
      </w:r>
    </w:p>
    <w:p w14:paraId="39BF2888"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Hess, R. D., &amp; Azuma, M. (1991). Cultural support for schooling: Contrasts between Japan and the United States. </w:t>
      </w:r>
      <w:r w:rsidRPr="008712F5">
        <w:rPr>
          <w:rFonts w:ascii="Times New Roman" w:hAnsi="Times New Roman" w:cs="Times New Roman"/>
          <w:i/>
          <w:iCs/>
          <w:sz w:val="24"/>
          <w:szCs w:val="24"/>
          <w:shd w:val="clear" w:color="auto" w:fill="FCFCFC"/>
        </w:rPr>
        <w:t>Educational Researcher,</w:t>
      </w:r>
      <w:r w:rsidRPr="008712F5">
        <w:rPr>
          <w:rFonts w:ascii="Times New Roman" w:hAnsi="Times New Roman" w:cs="Times New Roman"/>
          <w:sz w:val="24"/>
          <w:szCs w:val="24"/>
          <w:shd w:val="clear" w:color="auto" w:fill="FCFCFC"/>
        </w:rPr>
        <w:t> </w:t>
      </w:r>
      <w:r w:rsidRPr="008712F5">
        <w:rPr>
          <w:rFonts w:ascii="Times New Roman" w:hAnsi="Times New Roman" w:cs="Times New Roman"/>
          <w:i/>
          <w:iCs/>
          <w:sz w:val="24"/>
          <w:szCs w:val="24"/>
          <w:shd w:val="clear" w:color="auto" w:fill="FCFCFC"/>
        </w:rPr>
        <w:t>20</w:t>
      </w:r>
      <w:r w:rsidRPr="008712F5">
        <w:rPr>
          <w:rFonts w:ascii="Times New Roman" w:hAnsi="Times New Roman" w:cs="Times New Roman"/>
          <w:sz w:val="24"/>
          <w:szCs w:val="24"/>
          <w:shd w:val="clear" w:color="auto" w:fill="FCFCFC"/>
        </w:rPr>
        <w:t xml:space="preserve">(9), 2–8. </w:t>
      </w:r>
      <w:hyperlink r:id="rId31" w:history="1">
        <w:r w:rsidRPr="008712F5">
          <w:rPr>
            <w:rStyle w:val="Hyperlink"/>
            <w:rFonts w:ascii="Times New Roman" w:hAnsi="Times New Roman" w:cs="Times New Roman"/>
            <w:color w:val="auto"/>
            <w:sz w:val="24"/>
            <w:szCs w:val="24"/>
            <w:shd w:val="clear" w:color="auto" w:fill="FCFCFC"/>
          </w:rPr>
          <w:t>https://doi.org/10.3102%2F0013189X020009002</w:t>
        </w:r>
      </w:hyperlink>
      <w:r w:rsidRPr="008712F5">
        <w:rPr>
          <w:rFonts w:ascii="Times New Roman" w:hAnsi="Times New Roman" w:cs="Times New Roman"/>
          <w:sz w:val="24"/>
          <w:szCs w:val="24"/>
          <w:shd w:val="clear" w:color="auto" w:fill="FCFCFC"/>
        </w:rPr>
        <w:t xml:space="preserve"> </w:t>
      </w:r>
    </w:p>
    <w:p w14:paraId="7582A9D7"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Hiebert, J., &amp; Lefevre, P. (1986). Conceptual and procedural knowledge in mathematics: an introductory analysis. In J. Hiebert (Ed.), </w:t>
      </w:r>
      <w:r w:rsidRPr="008712F5">
        <w:rPr>
          <w:rFonts w:ascii="Times New Roman" w:hAnsi="Times New Roman" w:cs="Times New Roman"/>
          <w:i/>
          <w:iCs/>
          <w:sz w:val="24"/>
          <w:szCs w:val="24"/>
          <w:shd w:val="clear" w:color="auto" w:fill="FCFCFC"/>
        </w:rPr>
        <w:t>Conceptual and procedural knowledge: The case of mathematics</w:t>
      </w:r>
      <w:r w:rsidRPr="008712F5">
        <w:rPr>
          <w:rFonts w:ascii="Times New Roman" w:hAnsi="Times New Roman" w:cs="Times New Roman"/>
          <w:sz w:val="24"/>
          <w:szCs w:val="24"/>
          <w:shd w:val="clear" w:color="auto" w:fill="FCFCFC"/>
        </w:rPr>
        <w:t> (pp. 1–27). Hillsdale, NJ: Erlbaum.</w:t>
      </w:r>
    </w:p>
    <w:p w14:paraId="30BAA567"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Hiebert, J., Stigler, J. W., Jacobs, J. K., </w:t>
      </w:r>
      <w:proofErr w:type="spellStart"/>
      <w:r w:rsidRPr="008712F5">
        <w:rPr>
          <w:rFonts w:ascii="Times New Roman" w:hAnsi="Times New Roman" w:cs="Times New Roman"/>
          <w:sz w:val="24"/>
          <w:szCs w:val="24"/>
          <w:shd w:val="clear" w:color="auto" w:fill="FCFCFC"/>
        </w:rPr>
        <w:t>Givvin</w:t>
      </w:r>
      <w:proofErr w:type="spellEnd"/>
      <w:r w:rsidRPr="008712F5">
        <w:rPr>
          <w:rFonts w:ascii="Times New Roman" w:hAnsi="Times New Roman" w:cs="Times New Roman"/>
          <w:sz w:val="24"/>
          <w:szCs w:val="24"/>
          <w:shd w:val="clear" w:color="auto" w:fill="FCFCFC"/>
        </w:rPr>
        <w:t xml:space="preserve">, K. B., Garnier, H., Smith, M., Hollingsworth, H., Wearne, D., &amp; Gallimore, R. (2005). Mathematics teaching in the United States today (and tomorrow): Results from the TIMSS 1999 video study. </w:t>
      </w:r>
      <w:r w:rsidRPr="008712F5">
        <w:rPr>
          <w:rFonts w:ascii="Times New Roman" w:hAnsi="Times New Roman" w:cs="Times New Roman"/>
          <w:i/>
          <w:iCs/>
          <w:sz w:val="24"/>
          <w:szCs w:val="24"/>
          <w:shd w:val="clear" w:color="auto" w:fill="FCFCFC"/>
        </w:rPr>
        <w:t>Educational Evaluation and Policy Analysis</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27</w:t>
      </w:r>
      <w:r w:rsidRPr="008712F5">
        <w:rPr>
          <w:rFonts w:ascii="Times New Roman" w:hAnsi="Times New Roman" w:cs="Times New Roman"/>
          <w:sz w:val="24"/>
          <w:szCs w:val="24"/>
          <w:shd w:val="clear" w:color="auto" w:fill="FCFCFC"/>
        </w:rPr>
        <w:t xml:space="preserve">(2), 111–132. </w:t>
      </w:r>
      <w:hyperlink r:id="rId32" w:history="1">
        <w:r w:rsidRPr="008712F5">
          <w:rPr>
            <w:rStyle w:val="Hyperlink"/>
            <w:rFonts w:ascii="Times New Roman" w:hAnsi="Times New Roman" w:cs="Times New Roman"/>
            <w:color w:val="auto"/>
            <w:sz w:val="24"/>
            <w:szCs w:val="24"/>
            <w:shd w:val="clear" w:color="auto" w:fill="FCFCFC"/>
          </w:rPr>
          <w:t>https://doi.org/10.3102%2F01623737027002111</w:t>
        </w:r>
      </w:hyperlink>
      <w:r w:rsidRPr="008712F5">
        <w:rPr>
          <w:rFonts w:ascii="Times New Roman" w:hAnsi="Times New Roman" w:cs="Times New Roman"/>
          <w:sz w:val="24"/>
          <w:szCs w:val="24"/>
          <w:shd w:val="clear" w:color="auto" w:fill="FCFCFC"/>
        </w:rPr>
        <w:t xml:space="preserve"> </w:t>
      </w:r>
    </w:p>
    <w:p w14:paraId="0368237C"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Hu, L.-t., &amp; </w:t>
      </w:r>
      <w:proofErr w:type="spellStart"/>
      <w:r w:rsidRPr="008712F5">
        <w:rPr>
          <w:rFonts w:ascii="Times New Roman" w:hAnsi="Times New Roman" w:cs="Times New Roman"/>
          <w:sz w:val="24"/>
          <w:szCs w:val="24"/>
          <w:shd w:val="clear" w:color="auto" w:fill="FCFCFC"/>
        </w:rPr>
        <w:t>Bentler</w:t>
      </w:r>
      <w:proofErr w:type="spellEnd"/>
      <w:r w:rsidRPr="008712F5">
        <w:rPr>
          <w:rFonts w:ascii="Times New Roman" w:hAnsi="Times New Roman" w:cs="Times New Roman"/>
          <w:sz w:val="24"/>
          <w:szCs w:val="24"/>
          <w:shd w:val="clear" w:color="auto" w:fill="FCFCFC"/>
        </w:rPr>
        <w:t xml:space="preserve">, P. M. (1999). </w:t>
      </w:r>
      <w:proofErr w:type="spellStart"/>
      <w:r w:rsidRPr="008712F5">
        <w:rPr>
          <w:rFonts w:ascii="Times New Roman" w:hAnsi="Times New Roman" w:cs="Times New Roman"/>
          <w:sz w:val="24"/>
          <w:szCs w:val="24"/>
          <w:shd w:val="clear" w:color="auto" w:fill="FCFCFC"/>
        </w:rPr>
        <w:t>Cutoff</w:t>
      </w:r>
      <w:proofErr w:type="spellEnd"/>
      <w:r w:rsidRPr="008712F5">
        <w:rPr>
          <w:rFonts w:ascii="Times New Roman" w:hAnsi="Times New Roman" w:cs="Times New Roman"/>
          <w:sz w:val="24"/>
          <w:szCs w:val="24"/>
          <w:shd w:val="clear" w:color="auto" w:fill="FCFCFC"/>
        </w:rPr>
        <w:t xml:space="preserve"> criteria for fit indexes in covariance structure analysis: Conventional criteria versus new alternatives. </w:t>
      </w:r>
      <w:r w:rsidRPr="008712F5">
        <w:rPr>
          <w:rFonts w:ascii="Times New Roman" w:hAnsi="Times New Roman" w:cs="Times New Roman"/>
          <w:i/>
          <w:iCs/>
          <w:sz w:val="24"/>
          <w:szCs w:val="24"/>
          <w:shd w:val="clear" w:color="auto" w:fill="FCFCFC"/>
        </w:rPr>
        <w:t xml:space="preserve">Structural Equation </w:t>
      </w:r>
      <w:proofErr w:type="spellStart"/>
      <w:r w:rsidRPr="008712F5">
        <w:rPr>
          <w:rFonts w:ascii="Times New Roman" w:hAnsi="Times New Roman" w:cs="Times New Roman"/>
          <w:i/>
          <w:iCs/>
          <w:sz w:val="24"/>
          <w:szCs w:val="24"/>
          <w:shd w:val="clear" w:color="auto" w:fill="FCFCFC"/>
        </w:rPr>
        <w:t>Modeling</w:t>
      </w:r>
      <w:proofErr w:type="spellEnd"/>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6</w:t>
      </w:r>
      <w:r w:rsidRPr="008712F5">
        <w:rPr>
          <w:rFonts w:ascii="Times New Roman" w:hAnsi="Times New Roman" w:cs="Times New Roman"/>
          <w:sz w:val="24"/>
          <w:szCs w:val="24"/>
          <w:shd w:val="clear" w:color="auto" w:fill="FCFCFC"/>
        </w:rPr>
        <w:t xml:space="preserve">(1), 1–55. </w:t>
      </w:r>
      <w:hyperlink r:id="rId33" w:history="1">
        <w:r w:rsidRPr="008712F5">
          <w:rPr>
            <w:rStyle w:val="Hyperlink"/>
            <w:rFonts w:ascii="Times New Roman" w:hAnsi="Times New Roman" w:cs="Times New Roman"/>
            <w:color w:val="auto"/>
            <w:sz w:val="24"/>
            <w:szCs w:val="24"/>
            <w:shd w:val="clear" w:color="auto" w:fill="FCFCFC"/>
          </w:rPr>
          <w:t>https://doi.org/10.1080/10705519909540118</w:t>
        </w:r>
      </w:hyperlink>
      <w:r w:rsidRPr="008712F5">
        <w:rPr>
          <w:rFonts w:ascii="Times New Roman" w:hAnsi="Times New Roman" w:cs="Times New Roman"/>
          <w:sz w:val="24"/>
          <w:szCs w:val="24"/>
          <w:shd w:val="clear" w:color="auto" w:fill="FCFCFC"/>
        </w:rPr>
        <w:t xml:space="preserve"> </w:t>
      </w:r>
    </w:p>
    <w:p w14:paraId="4D25EEF7"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Jerrim, J. (2015). Why do East Asian children perform so well in PISA? An investigation of Western-born children of East Asian descent. </w:t>
      </w:r>
      <w:r w:rsidRPr="008712F5">
        <w:rPr>
          <w:rFonts w:ascii="Times New Roman" w:hAnsi="Times New Roman" w:cs="Times New Roman"/>
          <w:i/>
          <w:iCs/>
          <w:sz w:val="24"/>
          <w:szCs w:val="24"/>
          <w:shd w:val="clear" w:color="auto" w:fill="FCFCFC"/>
        </w:rPr>
        <w:t>Oxford Review of Education</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41</w:t>
      </w:r>
      <w:r w:rsidRPr="008712F5">
        <w:rPr>
          <w:rFonts w:ascii="Times New Roman" w:hAnsi="Times New Roman" w:cs="Times New Roman"/>
          <w:sz w:val="24"/>
          <w:szCs w:val="24"/>
          <w:shd w:val="clear" w:color="auto" w:fill="FCFCFC"/>
        </w:rPr>
        <w:t xml:space="preserve">(3), 310–333. </w:t>
      </w:r>
      <w:hyperlink r:id="rId34" w:history="1">
        <w:r w:rsidRPr="008712F5">
          <w:rPr>
            <w:rStyle w:val="Hyperlink"/>
            <w:rFonts w:ascii="Times New Roman" w:hAnsi="Times New Roman" w:cs="Times New Roman"/>
            <w:color w:val="auto"/>
            <w:sz w:val="24"/>
            <w:szCs w:val="24"/>
            <w:shd w:val="clear" w:color="auto" w:fill="FCFCFC"/>
          </w:rPr>
          <w:t>https://doi.org/10.1080/03054985.2015.1028525</w:t>
        </w:r>
      </w:hyperlink>
      <w:r w:rsidRPr="008712F5">
        <w:rPr>
          <w:rFonts w:ascii="Times New Roman" w:hAnsi="Times New Roman" w:cs="Times New Roman"/>
          <w:sz w:val="24"/>
          <w:szCs w:val="24"/>
          <w:shd w:val="clear" w:color="auto" w:fill="FCFCFC"/>
        </w:rPr>
        <w:t xml:space="preserve"> </w:t>
      </w:r>
    </w:p>
    <w:p w14:paraId="434D45EF"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Jerrim, J., Oliver, M., &amp; Sims, S. (2020). The relationship between inquiry-based teaching and students’ achievement. New evidence from a longitudinal PISA study in England. </w:t>
      </w:r>
      <w:r w:rsidRPr="008712F5">
        <w:rPr>
          <w:rFonts w:ascii="Times New Roman" w:hAnsi="Times New Roman" w:cs="Times New Roman"/>
          <w:i/>
          <w:iCs/>
          <w:sz w:val="24"/>
          <w:szCs w:val="24"/>
          <w:shd w:val="clear" w:color="auto" w:fill="FCFCFC"/>
        </w:rPr>
        <w:t>Learning and Instruction</w:t>
      </w:r>
      <w:r w:rsidRPr="008712F5">
        <w:rPr>
          <w:rFonts w:ascii="Times New Roman" w:hAnsi="Times New Roman" w:cs="Times New Roman"/>
          <w:sz w:val="24"/>
          <w:szCs w:val="24"/>
          <w:shd w:val="clear" w:color="auto" w:fill="FCFCFC"/>
        </w:rPr>
        <w:t xml:space="preserve">, 101310. </w:t>
      </w:r>
      <w:hyperlink r:id="rId35" w:history="1">
        <w:r w:rsidRPr="008712F5">
          <w:rPr>
            <w:rStyle w:val="Hyperlink"/>
            <w:rFonts w:ascii="Times New Roman" w:hAnsi="Times New Roman" w:cs="Times New Roman"/>
            <w:color w:val="auto"/>
            <w:sz w:val="24"/>
            <w:szCs w:val="24"/>
            <w:shd w:val="clear" w:color="auto" w:fill="FCFCFC"/>
          </w:rPr>
          <w:t>https://doi.org/10.1016/j.learninstruc.2020.101310</w:t>
        </w:r>
      </w:hyperlink>
      <w:r w:rsidRPr="008712F5">
        <w:rPr>
          <w:rFonts w:ascii="Times New Roman" w:hAnsi="Times New Roman" w:cs="Times New Roman"/>
          <w:sz w:val="24"/>
          <w:szCs w:val="24"/>
          <w:shd w:val="clear" w:color="auto" w:fill="FCFCFC"/>
        </w:rPr>
        <w:t xml:space="preserve"> </w:t>
      </w:r>
    </w:p>
    <w:p w14:paraId="0680B141"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Jones, I., Bisson, M., Gilmore, C., &amp; Inglis, M. (2019). Measuring conceptual understanding in randomised controlled trials: Can comparative judgement help? </w:t>
      </w:r>
      <w:r w:rsidRPr="008712F5">
        <w:rPr>
          <w:rFonts w:ascii="Times New Roman" w:hAnsi="Times New Roman" w:cs="Times New Roman"/>
          <w:i/>
          <w:iCs/>
          <w:sz w:val="24"/>
          <w:szCs w:val="24"/>
          <w:shd w:val="clear" w:color="auto" w:fill="FCFCFC"/>
        </w:rPr>
        <w:t>British Educational Research Journal</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45</w:t>
      </w:r>
      <w:r w:rsidRPr="008712F5">
        <w:rPr>
          <w:rFonts w:ascii="Times New Roman" w:hAnsi="Times New Roman" w:cs="Times New Roman"/>
          <w:sz w:val="24"/>
          <w:szCs w:val="24"/>
          <w:shd w:val="clear" w:color="auto" w:fill="FCFCFC"/>
        </w:rPr>
        <w:t xml:space="preserve">(3), 662–680. </w:t>
      </w:r>
      <w:hyperlink r:id="rId36" w:history="1">
        <w:r w:rsidRPr="008712F5">
          <w:rPr>
            <w:rStyle w:val="Hyperlink"/>
            <w:rFonts w:ascii="Times New Roman" w:hAnsi="Times New Roman" w:cs="Times New Roman"/>
            <w:color w:val="auto"/>
            <w:sz w:val="24"/>
            <w:szCs w:val="24"/>
            <w:shd w:val="clear" w:color="auto" w:fill="FCFCFC"/>
          </w:rPr>
          <w:t>https://doi.org/10.1002/berj.3519</w:t>
        </w:r>
      </w:hyperlink>
      <w:r w:rsidRPr="008712F5">
        <w:rPr>
          <w:rFonts w:ascii="Times New Roman" w:hAnsi="Times New Roman" w:cs="Times New Roman"/>
          <w:sz w:val="24"/>
          <w:szCs w:val="24"/>
          <w:shd w:val="clear" w:color="auto" w:fill="FCFCFC"/>
        </w:rPr>
        <w:t xml:space="preserve"> </w:t>
      </w:r>
    </w:p>
    <w:p w14:paraId="121CAC69"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Kaiser, G., &amp; </w:t>
      </w:r>
      <w:proofErr w:type="spellStart"/>
      <w:r w:rsidRPr="008712F5">
        <w:rPr>
          <w:rFonts w:ascii="Times New Roman" w:hAnsi="Times New Roman" w:cs="Times New Roman"/>
          <w:sz w:val="24"/>
          <w:szCs w:val="24"/>
          <w:shd w:val="clear" w:color="auto" w:fill="FCFCFC"/>
        </w:rPr>
        <w:t>Blömeke</w:t>
      </w:r>
      <w:proofErr w:type="spellEnd"/>
      <w:r w:rsidRPr="008712F5">
        <w:rPr>
          <w:rFonts w:ascii="Times New Roman" w:hAnsi="Times New Roman" w:cs="Times New Roman"/>
          <w:sz w:val="24"/>
          <w:szCs w:val="24"/>
          <w:shd w:val="clear" w:color="auto" w:fill="FCFCFC"/>
        </w:rPr>
        <w:t>, S. (2013). Learning from the Eastern and the Western debate: The case of mathematics teacher education. </w:t>
      </w:r>
      <w:r w:rsidRPr="008712F5">
        <w:rPr>
          <w:rFonts w:ascii="Times New Roman" w:hAnsi="Times New Roman" w:cs="Times New Roman"/>
          <w:i/>
          <w:iCs/>
          <w:sz w:val="24"/>
          <w:szCs w:val="24"/>
          <w:shd w:val="clear" w:color="auto" w:fill="FCFCFC"/>
        </w:rPr>
        <w:t>ZDM–The International Journal on Mathematics Education</w:t>
      </w:r>
      <w:r w:rsidRPr="008712F5">
        <w:rPr>
          <w:rFonts w:ascii="Times New Roman" w:hAnsi="Times New Roman" w:cs="Times New Roman"/>
          <w:sz w:val="24"/>
          <w:szCs w:val="24"/>
          <w:shd w:val="clear" w:color="auto" w:fill="FCFCFC"/>
        </w:rPr>
        <w:t>, </w:t>
      </w:r>
      <w:r w:rsidRPr="008712F5">
        <w:rPr>
          <w:rFonts w:ascii="Times New Roman" w:hAnsi="Times New Roman" w:cs="Times New Roman"/>
          <w:i/>
          <w:iCs/>
          <w:sz w:val="24"/>
          <w:szCs w:val="24"/>
          <w:shd w:val="clear" w:color="auto" w:fill="FCFCFC"/>
        </w:rPr>
        <w:t>45</w:t>
      </w:r>
      <w:r w:rsidRPr="008712F5">
        <w:rPr>
          <w:rFonts w:ascii="Times New Roman" w:hAnsi="Times New Roman" w:cs="Times New Roman"/>
          <w:sz w:val="24"/>
          <w:szCs w:val="24"/>
          <w:shd w:val="clear" w:color="auto" w:fill="FCFCFC"/>
        </w:rPr>
        <w:t xml:space="preserve">(1), 7–19. </w:t>
      </w:r>
      <w:hyperlink r:id="rId37" w:history="1">
        <w:r w:rsidRPr="008712F5">
          <w:rPr>
            <w:rStyle w:val="Hyperlink"/>
            <w:rFonts w:ascii="Times New Roman" w:hAnsi="Times New Roman" w:cs="Times New Roman"/>
            <w:color w:val="auto"/>
            <w:sz w:val="24"/>
            <w:szCs w:val="24"/>
            <w:shd w:val="clear" w:color="auto" w:fill="FCFCFC"/>
          </w:rPr>
          <w:t>https://doi.org/10.1007/978-94-007-6437-8_24</w:t>
        </w:r>
      </w:hyperlink>
      <w:r w:rsidRPr="008712F5">
        <w:rPr>
          <w:rFonts w:ascii="Times New Roman" w:hAnsi="Times New Roman" w:cs="Times New Roman"/>
          <w:sz w:val="24"/>
          <w:szCs w:val="24"/>
          <w:shd w:val="clear" w:color="auto" w:fill="FCFCFC"/>
        </w:rPr>
        <w:t xml:space="preserve"> </w:t>
      </w:r>
    </w:p>
    <w:p w14:paraId="710EE88C"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Kilpatrick, J. E., Swafford, J. E., &amp; </w:t>
      </w:r>
      <w:proofErr w:type="spellStart"/>
      <w:r w:rsidRPr="008712F5">
        <w:rPr>
          <w:rFonts w:ascii="Times New Roman" w:hAnsi="Times New Roman" w:cs="Times New Roman"/>
          <w:sz w:val="24"/>
          <w:szCs w:val="24"/>
          <w:shd w:val="clear" w:color="auto" w:fill="FCFCFC"/>
        </w:rPr>
        <w:t>Findell</w:t>
      </w:r>
      <w:proofErr w:type="spellEnd"/>
      <w:r w:rsidRPr="008712F5">
        <w:rPr>
          <w:rFonts w:ascii="Times New Roman" w:hAnsi="Times New Roman" w:cs="Times New Roman"/>
          <w:sz w:val="24"/>
          <w:szCs w:val="24"/>
          <w:shd w:val="clear" w:color="auto" w:fill="FCFCFC"/>
        </w:rPr>
        <w:t>, B. E. (2001). </w:t>
      </w:r>
      <w:r w:rsidRPr="008712F5">
        <w:rPr>
          <w:rFonts w:ascii="Times New Roman" w:hAnsi="Times New Roman" w:cs="Times New Roman"/>
          <w:i/>
          <w:iCs/>
          <w:sz w:val="24"/>
          <w:szCs w:val="24"/>
          <w:shd w:val="clear" w:color="auto" w:fill="FCFCFC"/>
        </w:rPr>
        <w:t>Adding it up: Helping children learn mathematics</w:t>
      </w:r>
      <w:r w:rsidRPr="008712F5">
        <w:rPr>
          <w:rFonts w:ascii="Times New Roman" w:hAnsi="Times New Roman" w:cs="Times New Roman"/>
          <w:sz w:val="24"/>
          <w:szCs w:val="24"/>
          <w:shd w:val="clear" w:color="auto" w:fill="FCFCFC"/>
        </w:rPr>
        <w:t xml:space="preserve">. Washington, DC: National Academy Press. </w:t>
      </w:r>
      <w:hyperlink r:id="rId38" w:history="1">
        <w:r w:rsidRPr="008712F5">
          <w:rPr>
            <w:rStyle w:val="Hyperlink"/>
            <w:rFonts w:ascii="Times New Roman" w:hAnsi="Times New Roman" w:cs="Times New Roman"/>
            <w:color w:val="auto"/>
            <w:sz w:val="24"/>
            <w:szCs w:val="24"/>
            <w:shd w:val="clear" w:color="auto" w:fill="FCFCFC"/>
          </w:rPr>
          <w:t>https://doi.org/10.17226/9822</w:t>
        </w:r>
      </w:hyperlink>
      <w:r w:rsidRPr="008712F5">
        <w:rPr>
          <w:rFonts w:ascii="Times New Roman" w:hAnsi="Times New Roman" w:cs="Times New Roman"/>
          <w:sz w:val="24"/>
          <w:szCs w:val="24"/>
          <w:shd w:val="clear" w:color="auto" w:fill="FCFCFC"/>
        </w:rPr>
        <w:t xml:space="preserve"> </w:t>
      </w:r>
    </w:p>
    <w:p w14:paraId="63FC29BC"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lastRenderedPageBreak/>
        <w:t xml:space="preserve">Kirschner, P. A., &amp; van </w:t>
      </w:r>
      <w:proofErr w:type="spellStart"/>
      <w:r w:rsidRPr="008712F5">
        <w:rPr>
          <w:rFonts w:ascii="Times New Roman" w:hAnsi="Times New Roman" w:cs="Times New Roman"/>
          <w:sz w:val="24"/>
          <w:szCs w:val="24"/>
          <w:shd w:val="clear" w:color="auto" w:fill="FCFCFC"/>
        </w:rPr>
        <w:t>Merriënboer</w:t>
      </w:r>
      <w:proofErr w:type="spellEnd"/>
      <w:r w:rsidRPr="008712F5">
        <w:rPr>
          <w:rFonts w:ascii="Times New Roman" w:hAnsi="Times New Roman" w:cs="Times New Roman"/>
          <w:sz w:val="24"/>
          <w:szCs w:val="24"/>
          <w:shd w:val="clear" w:color="auto" w:fill="FCFCFC"/>
        </w:rPr>
        <w:t xml:space="preserve">, J. J. (2013). Do learners really know best? Urban legends in education. </w:t>
      </w:r>
      <w:r w:rsidRPr="008712F5">
        <w:rPr>
          <w:rFonts w:ascii="Times New Roman" w:hAnsi="Times New Roman" w:cs="Times New Roman"/>
          <w:i/>
          <w:iCs/>
          <w:sz w:val="24"/>
          <w:szCs w:val="24"/>
          <w:shd w:val="clear" w:color="auto" w:fill="FCFCFC"/>
        </w:rPr>
        <w:t>Educational psychologist</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48</w:t>
      </w:r>
      <w:r w:rsidRPr="008712F5">
        <w:rPr>
          <w:rFonts w:ascii="Times New Roman" w:hAnsi="Times New Roman" w:cs="Times New Roman"/>
          <w:sz w:val="24"/>
          <w:szCs w:val="24"/>
          <w:shd w:val="clear" w:color="auto" w:fill="FCFCFC"/>
        </w:rPr>
        <w:t xml:space="preserve">(3), 169–183. </w:t>
      </w:r>
      <w:hyperlink r:id="rId39" w:history="1">
        <w:r w:rsidRPr="008712F5">
          <w:rPr>
            <w:rStyle w:val="Hyperlink"/>
            <w:rFonts w:ascii="Times New Roman" w:hAnsi="Times New Roman" w:cs="Times New Roman"/>
            <w:color w:val="auto"/>
            <w:sz w:val="24"/>
            <w:szCs w:val="24"/>
            <w:shd w:val="clear" w:color="auto" w:fill="FCFCFC"/>
          </w:rPr>
          <w:t>https://doi.org/10.1080/00461520.2013.804395</w:t>
        </w:r>
      </w:hyperlink>
      <w:r w:rsidRPr="008712F5">
        <w:rPr>
          <w:rFonts w:ascii="Times New Roman" w:hAnsi="Times New Roman" w:cs="Times New Roman"/>
          <w:sz w:val="24"/>
          <w:szCs w:val="24"/>
          <w:shd w:val="clear" w:color="auto" w:fill="FCFCFC"/>
        </w:rPr>
        <w:t xml:space="preserve"> </w:t>
      </w:r>
    </w:p>
    <w:p w14:paraId="5BD9FA45" w14:textId="209C3D6D"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Leung, F. K. S. (2001). In search of an East Asian identity in mathematics education. </w:t>
      </w:r>
      <w:r w:rsidRPr="008712F5">
        <w:rPr>
          <w:rFonts w:ascii="Times New Roman" w:hAnsi="Times New Roman" w:cs="Times New Roman"/>
          <w:i/>
          <w:iCs/>
          <w:sz w:val="24"/>
          <w:szCs w:val="24"/>
          <w:shd w:val="clear" w:color="auto" w:fill="FCFCFC"/>
        </w:rPr>
        <w:t>Educational Studies in Mathematics,</w:t>
      </w:r>
      <w:r w:rsidRPr="008712F5">
        <w:rPr>
          <w:rFonts w:ascii="Times New Roman" w:hAnsi="Times New Roman" w:cs="Times New Roman"/>
          <w:sz w:val="24"/>
          <w:szCs w:val="24"/>
          <w:shd w:val="clear" w:color="auto" w:fill="FCFCFC"/>
        </w:rPr>
        <w:t> </w:t>
      </w:r>
      <w:r w:rsidRPr="008712F5">
        <w:rPr>
          <w:rFonts w:ascii="Times New Roman" w:hAnsi="Times New Roman" w:cs="Times New Roman"/>
          <w:i/>
          <w:iCs/>
          <w:sz w:val="24"/>
          <w:szCs w:val="24"/>
          <w:shd w:val="clear" w:color="auto" w:fill="FCFCFC"/>
        </w:rPr>
        <w:t>47</w:t>
      </w:r>
      <w:r w:rsidRPr="008712F5">
        <w:rPr>
          <w:rFonts w:ascii="Times New Roman" w:hAnsi="Times New Roman" w:cs="Times New Roman"/>
          <w:sz w:val="24"/>
          <w:szCs w:val="24"/>
          <w:shd w:val="clear" w:color="auto" w:fill="FCFCFC"/>
        </w:rPr>
        <w:t xml:space="preserve">(1), 35–51. </w:t>
      </w:r>
      <w:hyperlink r:id="rId40" w:history="1">
        <w:r w:rsidRPr="008712F5">
          <w:rPr>
            <w:rStyle w:val="Hyperlink"/>
            <w:rFonts w:ascii="Times New Roman" w:hAnsi="Times New Roman" w:cs="Times New Roman"/>
            <w:color w:val="auto"/>
            <w:sz w:val="24"/>
            <w:szCs w:val="24"/>
            <w:shd w:val="clear" w:color="auto" w:fill="FCFCFC"/>
          </w:rPr>
          <w:t>https://doi.org/10.1023/A:1017936429620</w:t>
        </w:r>
      </w:hyperlink>
    </w:p>
    <w:p w14:paraId="54631543"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Leung, F. K. S. (2006). Mathematics education in East Asia and the West: Does culture matter?. In </w:t>
      </w:r>
      <w:r w:rsidRPr="008712F5">
        <w:rPr>
          <w:rFonts w:ascii="Times New Roman" w:hAnsi="Times New Roman" w:cs="Times New Roman"/>
          <w:i/>
          <w:iCs/>
          <w:sz w:val="24"/>
          <w:szCs w:val="24"/>
          <w:shd w:val="clear" w:color="auto" w:fill="FCFCFC"/>
        </w:rPr>
        <w:t>Mathematics education in different cultural traditions-A comparative study of East Asia and the West</w:t>
      </w:r>
      <w:r w:rsidRPr="008712F5">
        <w:rPr>
          <w:rFonts w:ascii="Times New Roman" w:hAnsi="Times New Roman" w:cs="Times New Roman"/>
          <w:sz w:val="24"/>
          <w:szCs w:val="24"/>
          <w:shd w:val="clear" w:color="auto" w:fill="FCFCFC"/>
        </w:rPr>
        <w:t xml:space="preserve"> (pp. 21-46). Springer, Boston, MA. </w:t>
      </w:r>
      <w:hyperlink r:id="rId41" w:history="1">
        <w:r w:rsidRPr="008712F5">
          <w:rPr>
            <w:rStyle w:val="Hyperlink"/>
            <w:rFonts w:ascii="Times New Roman" w:hAnsi="Times New Roman" w:cs="Times New Roman"/>
            <w:color w:val="auto"/>
            <w:sz w:val="24"/>
            <w:szCs w:val="24"/>
            <w:shd w:val="clear" w:color="auto" w:fill="FCFCFC"/>
          </w:rPr>
          <w:t>https://doi.org/10.1007/0-387-29723-5_2</w:t>
        </w:r>
      </w:hyperlink>
      <w:r w:rsidRPr="008712F5">
        <w:rPr>
          <w:rFonts w:ascii="Times New Roman" w:hAnsi="Times New Roman" w:cs="Times New Roman"/>
          <w:sz w:val="24"/>
          <w:szCs w:val="24"/>
          <w:shd w:val="clear" w:color="auto" w:fill="FCFCFC"/>
        </w:rPr>
        <w:t xml:space="preserve"> </w:t>
      </w:r>
    </w:p>
    <w:p w14:paraId="78339044"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lang w:val="de-DE"/>
        </w:rPr>
      </w:pPr>
      <w:r w:rsidRPr="008712F5">
        <w:rPr>
          <w:rFonts w:ascii="Times New Roman" w:hAnsi="Times New Roman" w:cs="Times New Roman"/>
          <w:sz w:val="24"/>
          <w:szCs w:val="24"/>
          <w:shd w:val="clear" w:color="auto" w:fill="FCFCFC"/>
        </w:rPr>
        <w:t xml:space="preserve">Leung, F. K. S. (2017). Making sense of mathematics achievement in East Asia: Does culture really matter?. In </w:t>
      </w:r>
      <w:r w:rsidRPr="008712F5">
        <w:rPr>
          <w:rFonts w:ascii="Times New Roman" w:hAnsi="Times New Roman" w:cs="Times New Roman"/>
          <w:i/>
          <w:iCs/>
          <w:sz w:val="24"/>
          <w:szCs w:val="24"/>
          <w:shd w:val="clear" w:color="auto" w:fill="FCFCFC"/>
        </w:rPr>
        <w:t>Proceedings of the 13th international congress on mathematical education</w:t>
      </w:r>
      <w:r w:rsidRPr="008712F5">
        <w:rPr>
          <w:rFonts w:ascii="Times New Roman" w:hAnsi="Times New Roman" w:cs="Times New Roman"/>
          <w:sz w:val="24"/>
          <w:szCs w:val="24"/>
          <w:shd w:val="clear" w:color="auto" w:fill="FCFCFC"/>
        </w:rPr>
        <w:t xml:space="preserve"> (pp. 201-218). </w:t>
      </w:r>
      <w:r w:rsidRPr="008712F5">
        <w:rPr>
          <w:rFonts w:ascii="Times New Roman" w:hAnsi="Times New Roman" w:cs="Times New Roman"/>
          <w:sz w:val="24"/>
          <w:szCs w:val="24"/>
          <w:shd w:val="clear" w:color="auto" w:fill="FCFCFC"/>
          <w:lang w:val="de-DE"/>
        </w:rPr>
        <w:t xml:space="preserve">Springer, Cham. </w:t>
      </w:r>
      <w:hyperlink r:id="rId42" w:history="1">
        <w:r w:rsidRPr="008712F5">
          <w:rPr>
            <w:rStyle w:val="Hyperlink"/>
            <w:rFonts w:ascii="Times New Roman" w:hAnsi="Times New Roman" w:cs="Times New Roman"/>
            <w:color w:val="auto"/>
            <w:sz w:val="24"/>
            <w:szCs w:val="24"/>
            <w:shd w:val="clear" w:color="auto" w:fill="FCFCFC"/>
            <w:lang w:val="de-DE"/>
          </w:rPr>
          <w:t>https://doi.org/10.1007/978-3-319-62597-3_13</w:t>
        </w:r>
      </w:hyperlink>
      <w:r w:rsidRPr="008712F5">
        <w:rPr>
          <w:rFonts w:ascii="Times New Roman" w:hAnsi="Times New Roman" w:cs="Times New Roman"/>
          <w:sz w:val="24"/>
          <w:szCs w:val="24"/>
          <w:shd w:val="clear" w:color="auto" w:fill="FCFCFC"/>
          <w:lang w:val="de-DE"/>
        </w:rPr>
        <w:t xml:space="preserve">  </w:t>
      </w:r>
    </w:p>
    <w:p w14:paraId="6D32743D"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lang w:val="de-DE"/>
        </w:rPr>
      </w:pPr>
      <w:r w:rsidRPr="008712F5">
        <w:rPr>
          <w:rFonts w:ascii="Times New Roman" w:hAnsi="Times New Roman" w:cs="Times New Roman"/>
          <w:sz w:val="24"/>
          <w:szCs w:val="24"/>
          <w:shd w:val="clear" w:color="auto" w:fill="FCFCFC"/>
          <w:lang w:val="de-DE"/>
        </w:rPr>
        <w:t xml:space="preserve">Leung, F.K.S., &amp; Park, K.M. (2002). </w:t>
      </w:r>
      <w:r w:rsidRPr="008712F5">
        <w:rPr>
          <w:rFonts w:ascii="Times New Roman" w:hAnsi="Times New Roman" w:cs="Times New Roman"/>
          <w:sz w:val="24"/>
          <w:szCs w:val="24"/>
          <w:shd w:val="clear" w:color="auto" w:fill="FCFCFC"/>
        </w:rPr>
        <w:t xml:space="preserve">Competent students, competent teachers? </w:t>
      </w:r>
      <w:r w:rsidRPr="008712F5">
        <w:rPr>
          <w:rFonts w:ascii="Times New Roman" w:hAnsi="Times New Roman" w:cs="Times New Roman"/>
          <w:i/>
          <w:iCs/>
          <w:sz w:val="24"/>
          <w:szCs w:val="24"/>
          <w:shd w:val="clear" w:color="auto" w:fill="FCFCFC"/>
        </w:rPr>
        <w:t>International Journal of Educational Research</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37</w:t>
      </w:r>
      <w:r w:rsidRPr="008712F5">
        <w:rPr>
          <w:rFonts w:ascii="Times New Roman" w:hAnsi="Times New Roman" w:cs="Times New Roman"/>
          <w:sz w:val="24"/>
          <w:szCs w:val="24"/>
          <w:shd w:val="clear" w:color="auto" w:fill="FCFCFC"/>
        </w:rPr>
        <w:t xml:space="preserve">(2), 113–129. </w:t>
      </w:r>
      <w:hyperlink r:id="rId43" w:history="1">
        <w:r w:rsidRPr="008712F5">
          <w:rPr>
            <w:rStyle w:val="Hyperlink"/>
            <w:rFonts w:ascii="Times New Roman" w:hAnsi="Times New Roman" w:cs="Times New Roman"/>
            <w:color w:val="auto"/>
            <w:sz w:val="24"/>
            <w:szCs w:val="24"/>
            <w:shd w:val="clear" w:color="auto" w:fill="FCFCFC"/>
            <w:lang w:val="de-DE"/>
          </w:rPr>
          <w:t>https://doi.org/10.1016/S0883-0355(02)00055-1</w:t>
        </w:r>
      </w:hyperlink>
      <w:r w:rsidRPr="008712F5">
        <w:rPr>
          <w:rFonts w:ascii="Times New Roman" w:hAnsi="Times New Roman" w:cs="Times New Roman"/>
          <w:sz w:val="24"/>
          <w:szCs w:val="24"/>
          <w:shd w:val="clear" w:color="auto" w:fill="FCFCFC"/>
          <w:lang w:val="de-DE"/>
        </w:rPr>
        <w:t xml:space="preserve"> </w:t>
      </w:r>
    </w:p>
    <w:p w14:paraId="43A24BF6"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lang w:val="de-DE"/>
        </w:rPr>
        <w:t xml:space="preserve">Leung, F. K., Park, K., Shimizu, Y., &amp; Xu, B. (2015). </w:t>
      </w:r>
      <w:r w:rsidRPr="008712F5">
        <w:rPr>
          <w:rFonts w:ascii="Times New Roman" w:hAnsi="Times New Roman" w:cs="Times New Roman"/>
          <w:sz w:val="24"/>
          <w:szCs w:val="24"/>
          <w:shd w:val="clear" w:color="auto" w:fill="FCFCFC"/>
        </w:rPr>
        <w:t xml:space="preserve">Mathematics education in East Asia. In </w:t>
      </w:r>
      <w:r w:rsidRPr="008712F5">
        <w:rPr>
          <w:rFonts w:ascii="Times New Roman" w:hAnsi="Times New Roman" w:cs="Times New Roman"/>
          <w:i/>
          <w:iCs/>
          <w:sz w:val="24"/>
          <w:szCs w:val="24"/>
          <w:shd w:val="clear" w:color="auto" w:fill="FCFCFC"/>
        </w:rPr>
        <w:t>The proceedings of the 12th international congress on mathematical education</w:t>
      </w:r>
      <w:r w:rsidRPr="008712F5">
        <w:rPr>
          <w:rFonts w:ascii="Times New Roman" w:hAnsi="Times New Roman" w:cs="Times New Roman"/>
          <w:sz w:val="24"/>
          <w:szCs w:val="24"/>
          <w:shd w:val="clear" w:color="auto" w:fill="FCFCFC"/>
        </w:rPr>
        <w:t xml:space="preserve"> (pp. 123-143). Springer, Cham.</w:t>
      </w:r>
    </w:p>
    <w:p w14:paraId="4448E353"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Li, S. (1999). Does practice make perfect? </w:t>
      </w:r>
      <w:r w:rsidRPr="008712F5">
        <w:rPr>
          <w:rFonts w:ascii="Times New Roman" w:hAnsi="Times New Roman" w:cs="Times New Roman"/>
          <w:i/>
          <w:iCs/>
          <w:sz w:val="24"/>
          <w:szCs w:val="24"/>
          <w:shd w:val="clear" w:color="auto" w:fill="FCFCFC"/>
        </w:rPr>
        <w:t>For the Learning of Mathematics,</w:t>
      </w:r>
      <w:r w:rsidRPr="008712F5">
        <w:rPr>
          <w:rFonts w:ascii="Times New Roman" w:hAnsi="Times New Roman" w:cs="Times New Roman"/>
          <w:sz w:val="24"/>
          <w:szCs w:val="24"/>
          <w:shd w:val="clear" w:color="auto" w:fill="FCFCFC"/>
        </w:rPr>
        <w:t> </w:t>
      </w:r>
      <w:r w:rsidRPr="008712F5">
        <w:rPr>
          <w:rFonts w:ascii="Times New Roman" w:hAnsi="Times New Roman" w:cs="Times New Roman"/>
          <w:i/>
          <w:iCs/>
          <w:sz w:val="24"/>
          <w:szCs w:val="24"/>
          <w:shd w:val="clear" w:color="auto" w:fill="FCFCFC"/>
        </w:rPr>
        <w:t>19</w:t>
      </w:r>
      <w:r w:rsidRPr="008712F5">
        <w:rPr>
          <w:rFonts w:ascii="Times New Roman" w:hAnsi="Times New Roman" w:cs="Times New Roman"/>
          <w:sz w:val="24"/>
          <w:szCs w:val="24"/>
          <w:shd w:val="clear" w:color="auto" w:fill="FCFCFC"/>
        </w:rPr>
        <w:t xml:space="preserve">(3), 33–35. </w:t>
      </w:r>
      <w:hyperlink r:id="rId44" w:history="1">
        <w:r w:rsidRPr="008712F5">
          <w:rPr>
            <w:rStyle w:val="Hyperlink"/>
            <w:rFonts w:ascii="Times New Roman" w:hAnsi="Times New Roman" w:cs="Times New Roman"/>
            <w:color w:val="auto"/>
            <w:sz w:val="24"/>
            <w:szCs w:val="24"/>
            <w:shd w:val="clear" w:color="auto" w:fill="FCFCFC"/>
          </w:rPr>
          <w:t>https://www.jstor.org/stable/40248308</w:t>
        </w:r>
      </w:hyperlink>
      <w:r w:rsidRPr="008712F5">
        <w:rPr>
          <w:rFonts w:ascii="Times New Roman" w:hAnsi="Times New Roman" w:cs="Times New Roman"/>
          <w:sz w:val="24"/>
          <w:szCs w:val="24"/>
          <w:shd w:val="clear" w:color="auto" w:fill="FCFCFC"/>
        </w:rPr>
        <w:t xml:space="preserve"> </w:t>
      </w:r>
    </w:p>
    <w:p w14:paraId="3B45C184"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Lie, S. (2014). Similarities and differences between groups of countries concerning relative weaknesses and strengths. </w:t>
      </w:r>
      <w:hyperlink r:id="rId45" w:history="1">
        <w:r w:rsidRPr="008712F5">
          <w:rPr>
            <w:rStyle w:val="Hyperlink"/>
            <w:rFonts w:ascii="Times New Roman" w:hAnsi="Times New Roman" w:cs="Times New Roman"/>
            <w:color w:val="auto"/>
            <w:sz w:val="24"/>
            <w:szCs w:val="24"/>
            <w:shd w:val="clear" w:color="auto" w:fill="FCFCFC"/>
          </w:rPr>
          <w:t>https://www.iea.nl/sites/default/files/2019-04/GA55_Weaknesses_strengths_groups_Lie.pdf</w:t>
        </w:r>
      </w:hyperlink>
      <w:r w:rsidRPr="008712F5">
        <w:rPr>
          <w:rFonts w:ascii="Times New Roman" w:hAnsi="Times New Roman" w:cs="Times New Roman"/>
          <w:sz w:val="24"/>
          <w:szCs w:val="24"/>
          <w:shd w:val="clear" w:color="auto" w:fill="FCFCFC"/>
        </w:rPr>
        <w:t xml:space="preserve"> </w:t>
      </w:r>
    </w:p>
    <w:p w14:paraId="7E1DC109"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Lim, C. S. (2007). Characteristics of mathematics teaching in Shanghai, China: Through the lens of a Malaysian. </w:t>
      </w:r>
      <w:r w:rsidRPr="008712F5">
        <w:rPr>
          <w:rFonts w:ascii="Times New Roman" w:hAnsi="Times New Roman" w:cs="Times New Roman"/>
          <w:i/>
          <w:iCs/>
          <w:sz w:val="24"/>
          <w:szCs w:val="24"/>
          <w:shd w:val="clear" w:color="auto" w:fill="FCFCFC"/>
        </w:rPr>
        <w:t>Mathematics Education Research Journal</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19</w:t>
      </w:r>
      <w:r w:rsidRPr="008712F5">
        <w:rPr>
          <w:rFonts w:ascii="Times New Roman" w:hAnsi="Times New Roman" w:cs="Times New Roman"/>
          <w:sz w:val="24"/>
          <w:szCs w:val="24"/>
          <w:shd w:val="clear" w:color="auto" w:fill="FCFCFC"/>
        </w:rPr>
        <w:t xml:space="preserve">(1), 77–88. </w:t>
      </w:r>
      <w:hyperlink r:id="rId46" w:history="1">
        <w:r w:rsidRPr="008712F5">
          <w:rPr>
            <w:rStyle w:val="Hyperlink"/>
            <w:rFonts w:ascii="Times New Roman" w:hAnsi="Times New Roman" w:cs="Times New Roman"/>
            <w:color w:val="auto"/>
            <w:sz w:val="24"/>
            <w:szCs w:val="24"/>
            <w:shd w:val="clear" w:color="auto" w:fill="FCFCFC"/>
          </w:rPr>
          <w:t>https://doi.org/10.1007/BF03217450</w:t>
        </w:r>
      </w:hyperlink>
      <w:r w:rsidRPr="008712F5">
        <w:rPr>
          <w:rFonts w:ascii="Times New Roman" w:hAnsi="Times New Roman" w:cs="Times New Roman"/>
          <w:sz w:val="24"/>
          <w:szCs w:val="24"/>
          <w:shd w:val="clear" w:color="auto" w:fill="FCFCFC"/>
        </w:rPr>
        <w:t xml:space="preserve"> </w:t>
      </w:r>
    </w:p>
    <w:p w14:paraId="56837F89"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Ma, L., (1999). </w:t>
      </w:r>
      <w:r w:rsidRPr="008712F5">
        <w:rPr>
          <w:rFonts w:ascii="Times New Roman" w:hAnsi="Times New Roman" w:cs="Times New Roman"/>
          <w:i/>
          <w:iCs/>
          <w:sz w:val="24"/>
          <w:szCs w:val="24"/>
          <w:shd w:val="clear" w:color="auto" w:fill="FCFCFC"/>
        </w:rPr>
        <w:t>Knowing and teaching elementary mathematics</w:t>
      </w:r>
      <w:r w:rsidRPr="008712F5">
        <w:rPr>
          <w:rFonts w:ascii="Times New Roman" w:hAnsi="Times New Roman" w:cs="Times New Roman"/>
          <w:sz w:val="24"/>
          <w:szCs w:val="24"/>
          <w:shd w:val="clear" w:color="auto" w:fill="FCFCFC"/>
        </w:rPr>
        <w:t>. Lawrence Erlbaum Associates, Publishers, Mahwah, N.J.</w:t>
      </w:r>
    </w:p>
    <w:p w14:paraId="0DC0A1FC"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lang w:val="de-DE"/>
        </w:rPr>
        <w:t xml:space="preserve">Mang, J., Küchenhoff, H., </w:t>
      </w:r>
      <w:proofErr w:type="spellStart"/>
      <w:r w:rsidRPr="008712F5">
        <w:rPr>
          <w:rFonts w:ascii="Times New Roman" w:hAnsi="Times New Roman" w:cs="Times New Roman"/>
          <w:sz w:val="24"/>
          <w:szCs w:val="24"/>
          <w:shd w:val="clear" w:color="auto" w:fill="FCFCFC"/>
          <w:lang w:val="de-DE"/>
        </w:rPr>
        <w:t>Meinck</w:t>
      </w:r>
      <w:proofErr w:type="spellEnd"/>
      <w:r w:rsidRPr="008712F5">
        <w:rPr>
          <w:rFonts w:ascii="Times New Roman" w:hAnsi="Times New Roman" w:cs="Times New Roman"/>
          <w:sz w:val="24"/>
          <w:szCs w:val="24"/>
          <w:shd w:val="clear" w:color="auto" w:fill="FCFCFC"/>
          <w:lang w:val="de-DE"/>
        </w:rPr>
        <w:t xml:space="preserve">, S., &amp; Prenzel, M. (2021). </w:t>
      </w:r>
      <w:r w:rsidRPr="008712F5">
        <w:rPr>
          <w:rFonts w:ascii="Times New Roman" w:hAnsi="Times New Roman" w:cs="Times New Roman"/>
          <w:sz w:val="24"/>
          <w:szCs w:val="24"/>
          <w:shd w:val="clear" w:color="auto" w:fill="FCFCFC"/>
        </w:rPr>
        <w:t xml:space="preserve">Sampling weights in multilevel modelling: an investigation using PISA sampling structures. </w:t>
      </w:r>
      <w:r w:rsidRPr="008712F5">
        <w:rPr>
          <w:rFonts w:ascii="Times New Roman" w:hAnsi="Times New Roman" w:cs="Times New Roman"/>
          <w:i/>
          <w:iCs/>
          <w:sz w:val="24"/>
          <w:szCs w:val="24"/>
          <w:shd w:val="clear" w:color="auto" w:fill="FCFCFC"/>
        </w:rPr>
        <w:t>Large-Scale Assessments in Education</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9</w:t>
      </w:r>
      <w:r w:rsidRPr="008712F5">
        <w:rPr>
          <w:rFonts w:ascii="Times New Roman" w:hAnsi="Times New Roman" w:cs="Times New Roman"/>
          <w:sz w:val="24"/>
          <w:szCs w:val="24"/>
          <w:shd w:val="clear" w:color="auto" w:fill="FCFCFC"/>
        </w:rPr>
        <w:t xml:space="preserve">(1), 1–39. </w:t>
      </w:r>
      <w:hyperlink r:id="rId47" w:history="1">
        <w:r w:rsidRPr="008712F5">
          <w:rPr>
            <w:rStyle w:val="Hyperlink"/>
            <w:rFonts w:ascii="Times New Roman" w:hAnsi="Times New Roman" w:cs="Times New Roman"/>
            <w:color w:val="auto"/>
            <w:sz w:val="24"/>
            <w:szCs w:val="24"/>
            <w:shd w:val="clear" w:color="auto" w:fill="FCFCFC"/>
          </w:rPr>
          <w:t>https://doi.org/10.1186/s40536-021-00099-0</w:t>
        </w:r>
      </w:hyperlink>
      <w:r w:rsidRPr="008712F5">
        <w:rPr>
          <w:rFonts w:ascii="Times New Roman" w:hAnsi="Times New Roman" w:cs="Times New Roman"/>
          <w:sz w:val="24"/>
          <w:szCs w:val="24"/>
          <w:shd w:val="clear" w:color="auto" w:fill="FCFCFC"/>
        </w:rPr>
        <w:t xml:space="preserve"> </w:t>
      </w:r>
    </w:p>
    <w:p w14:paraId="3212F3A6"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Martin, M.O., Von </w:t>
      </w:r>
      <w:proofErr w:type="spellStart"/>
      <w:r w:rsidRPr="008712F5">
        <w:rPr>
          <w:rFonts w:ascii="Times New Roman" w:hAnsi="Times New Roman" w:cs="Times New Roman"/>
          <w:sz w:val="24"/>
          <w:szCs w:val="24"/>
          <w:shd w:val="clear" w:color="auto" w:fill="FCFCFC"/>
        </w:rPr>
        <w:t>Davier</w:t>
      </w:r>
      <w:proofErr w:type="spellEnd"/>
      <w:r w:rsidRPr="008712F5">
        <w:rPr>
          <w:rFonts w:ascii="Times New Roman" w:hAnsi="Times New Roman" w:cs="Times New Roman"/>
          <w:sz w:val="24"/>
          <w:szCs w:val="24"/>
          <w:shd w:val="clear" w:color="auto" w:fill="FCFCFC"/>
        </w:rPr>
        <w:t xml:space="preserve">, M., &amp; Mullis, I.V. (Eds.) (2020). Methods and procedures: TIMSS 2019 technical report. Retrieved from </w:t>
      </w:r>
      <w:hyperlink r:id="rId48" w:history="1">
        <w:r w:rsidRPr="008712F5">
          <w:rPr>
            <w:rStyle w:val="Hyperlink"/>
            <w:rFonts w:ascii="Times New Roman" w:hAnsi="Times New Roman" w:cs="Times New Roman"/>
            <w:color w:val="auto"/>
            <w:sz w:val="24"/>
            <w:szCs w:val="24"/>
            <w:shd w:val="clear" w:color="auto" w:fill="FCFCFC"/>
          </w:rPr>
          <w:t>https://timssandpirls.bc.edu/timss2019/methods/pdf/TIMSS-2019-MP-Technical-Report.pdf</w:t>
        </w:r>
      </w:hyperlink>
      <w:r w:rsidRPr="008712F5">
        <w:rPr>
          <w:rFonts w:ascii="Times New Roman" w:hAnsi="Times New Roman" w:cs="Times New Roman"/>
          <w:sz w:val="24"/>
          <w:szCs w:val="24"/>
          <w:shd w:val="clear" w:color="auto" w:fill="FCFCFC"/>
        </w:rPr>
        <w:t xml:space="preserve"> </w:t>
      </w:r>
    </w:p>
    <w:p w14:paraId="1C19FC80"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lang w:val="it-IT"/>
        </w:rPr>
        <w:t xml:space="preserve">Marton, F., Dall’Alba, G., &amp; </w:t>
      </w:r>
      <w:proofErr w:type="spellStart"/>
      <w:r w:rsidRPr="008712F5">
        <w:rPr>
          <w:rFonts w:ascii="Times New Roman" w:hAnsi="Times New Roman" w:cs="Times New Roman"/>
          <w:sz w:val="24"/>
          <w:szCs w:val="24"/>
          <w:shd w:val="clear" w:color="auto" w:fill="FCFCFC"/>
          <w:lang w:val="it-IT"/>
        </w:rPr>
        <w:t>Tse</w:t>
      </w:r>
      <w:proofErr w:type="spellEnd"/>
      <w:r w:rsidRPr="008712F5">
        <w:rPr>
          <w:rFonts w:ascii="Times New Roman" w:hAnsi="Times New Roman" w:cs="Times New Roman"/>
          <w:sz w:val="24"/>
          <w:szCs w:val="24"/>
          <w:shd w:val="clear" w:color="auto" w:fill="FCFCFC"/>
          <w:lang w:val="it-IT"/>
        </w:rPr>
        <w:t xml:space="preserve">, K.-T. (1996). </w:t>
      </w:r>
      <w:r w:rsidRPr="008712F5">
        <w:rPr>
          <w:rFonts w:ascii="Times New Roman" w:hAnsi="Times New Roman" w:cs="Times New Roman"/>
          <w:sz w:val="24"/>
          <w:szCs w:val="24"/>
          <w:shd w:val="clear" w:color="auto" w:fill="FCFCFC"/>
        </w:rPr>
        <w:t>Memorising and understanding: the keys to the paradox? In D. Watkins &amp; J. B. Biggs (Eds.), </w:t>
      </w:r>
      <w:r w:rsidRPr="008712F5">
        <w:rPr>
          <w:rFonts w:ascii="Times New Roman" w:hAnsi="Times New Roman" w:cs="Times New Roman"/>
          <w:i/>
          <w:iCs/>
          <w:sz w:val="24"/>
          <w:szCs w:val="24"/>
          <w:shd w:val="clear" w:color="auto" w:fill="FCFCFC"/>
        </w:rPr>
        <w:t>The Chinese learner: Cultural, psychological, and contextual influences</w:t>
      </w:r>
      <w:r w:rsidRPr="008712F5">
        <w:rPr>
          <w:rFonts w:ascii="Times New Roman" w:hAnsi="Times New Roman" w:cs="Times New Roman"/>
          <w:sz w:val="24"/>
          <w:szCs w:val="24"/>
          <w:shd w:val="clear" w:color="auto" w:fill="FCFCFC"/>
        </w:rPr>
        <w:t xml:space="preserve"> (pp. 69–83). Hong Kong: Comparative Education Research Centre; and Melbourne: Australian Council for Educational Research. </w:t>
      </w:r>
      <w:hyperlink r:id="rId49" w:history="1">
        <w:r w:rsidRPr="008712F5">
          <w:rPr>
            <w:rStyle w:val="Hyperlink"/>
            <w:rFonts w:ascii="Times New Roman" w:hAnsi="Times New Roman" w:cs="Times New Roman"/>
            <w:color w:val="auto"/>
            <w:sz w:val="24"/>
            <w:szCs w:val="24"/>
            <w:shd w:val="clear" w:color="auto" w:fill="FCFCFC"/>
          </w:rPr>
          <w:t>https://bibliography.lib.eduhk.hk/bibs/502412e1</w:t>
        </w:r>
      </w:hyperlink>
      <w:r w:rsidRPr="008712F5">
        <w:rPr>
          <w:rFonts w:ascii="Times New Roman" w:hAnsi="Times New Roman" w:cs="Times New Roman"/>
          <w:sz w:val="24"/>
          <w:szCs w:val="24"/>
          <w:shd w:val="clear" w:color="auto" w:fill="FCFCFC"/>
        </w:rPr>
        <w:t xml:space="preserve"> </w:t>
      </w:r>
    </w:p>
    <w:p w14:paraId="2BF88222"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lastRenderedPageBreak/>
        <w:t xml:space="preserve">Mullis, I. V., Martin, M. O., Fishbein, B., Foy, P., &amp; </w:t>
      </w:r>
      <w:proofErr w:type="spellStart"/>
      <w:r w:rsidRPr="008712F5">
        <w:rPr>
          <w:rFonts w:ascii="Times New Roman" w:hAnsi="Times New Roman" w:cs="Times New Roman"/>
          <w:sz w:val="24"/>
          <w:szCs w:val="24"/>
          <w:shd w:val="clear" w:color="auto" w:fill="FCFCFC"/>
        </w:rPr>
        <w:t>Moncaleano</w:t>
      </w:r>
      <w:proofErr w:type="spellEnd"/>
      <w:r w:rsidRPr="008712F5">
        <w:rPr>
          <w:rFonts w:ascii="Times New Roman" w:hAnsi="Times New Roman" w:cs="Times New Roman"/>
          <w:sz w:val="24"/>
          <w:szCs w:val="24"/>
          <w:shd w:val="clear" w:color="auto" w:fill="FCFCFC"/>
        </w:rPr>
        <w:t xml:space="preserve">, S. (2021). </w:t>
      </w:r>
      <w:r w:rsidRPr="008712F5">
        <w:rPr>
          <w:rFonts w:ascii="Times New Roman" w:hAnsi="Times New Roman" w:cs="Times New Roman"/>
          <w:i/>
          <w:iCs/>
          <w:sz w:val="24"/>
          <w:szCs w:val="24"/>
          <w:shd w:val="clear" w:color="auto" w:fill="FCFCFC"/>
        </w:rPr>
        <w:t>Findings from the TIMSS 2019 problem solving and inquiry tasks</w:t>
      </w:r>
      <w:r w:rsidRPr="008712F5">
        <w:rPr>
          <w:rFonts w:ascii="Times New Roman" w:hAnsi="Times New Roman" w:cs="Times New Roman"/>
          <w:sz w:val="24"/>
          <w:szCs w:val="24"/>
          <w:shd w:val="clear" w:color="auto" w:fill="FCFCFC"/>
        </w:rPr>
        <w:t xml:space="preserve">. Retrieved from </w:t>
      </w:r>
      <w:hyperlink r:id="rId50" w:history="1">
        <w:r w:rsidRPr="008712F5">
          <w:rPr>
            <w:rStyle w:val="Hyperlink"/>
            <w:rFonts w:ascii="Times New Roman" w:hAnsi="Times New Roman" w:cs="Times New Roman"/>
            <w:color w:val="auto"/>
            <w:sz w:val="24"/>
            <w:szCs w:val="24"/>
            <w:shd w:val="clear" w:color="auto" w:fill="FCFCFC"/>
          </w:rPr>
          <w:t>https://timss2019.org/psi/</w:t>
        </w:r>
      </w:hyperlink>
      <w:r w:rsidRPr="008712F5">
        <w:rPr>
          <w:rFonts w:ascii="Times New Roman" w:hAnsi="Times New Roman" w:cs="Times New Roman"/>
          <w:sz w:val="24"/>
          <w:szCs w:val="24"/>
          <w:shd w:val="clear" w:color="auto" w:fill="FCFCFC"/>
        </w:rPr>
        <w:t xml:space="preserve"> </w:t>
      </w:r>
    </w:p>
    <w:p w14:paraId="77A51EB3"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Mullis, I. V., Martin, M. O., Foy, P., Kelly, D. L., &amp; Fishbein, B. (2020). </w:t>
      </w:r>
      <w:r w:rsidRPr="008712F5">
        <w:rPr>
          <w:rFonts w:ascii="Times New Roman" w:hAnsi="Times New Roman" w:cs="Times New Roman"/>
          <w:i/>
          <w:iCs/>
          <w:sz w:val="24"/>
          <w:szCs w:val="24"/>
          <w:shd w:val="clear" w:color="auto" w:fill="FCFCFC"/>
        </w:rPr>
        <w:t>TIMSS 2019 international results in mathematics and science</w:t>
      </w:r>
      <w:r w:rsidRPr="008712F5">
        <w:rPr>
          <w:rFonts w:ascii="Times New Roman" w:hAnsi="Times New Roman" w:cs="Times New Roman"/>
          <w:sz w:val="24"/>
          <w:szCs w:val="24"/>
          <w:shd w:val="clear" w:color="auto" w:fill="FCFCFC"/>
        </w:rPr>
        <w:t xml:space="preserve">. Retrieved from Boston College, TIMSS &amp; PIRLS International Study </w:t>
      </w:r>
      <w:proofErr w:type="spellStart"/>
      <w:r w:rsidRPr="008712F5">
        <w:rPr>
          <w:rFonts w:ascii="Times New Roman" w:hAnsi="Times New Roman" w:cs="Times New Roman"/>
          <w:sz w:val="24"/>
          <w:szCs w:val="24"/>
          <w:shd w:val="clear" w:color="auto" w:fill="FCFCFC"/>
        </w:rPr>
        <w:t>Center</w:t>
      </w:r>
      <w:proofErr w:type="spellEnd"/>
      <w:r w:rsidRPr="008712F5">
        <w:rPr>
          <w:rFonts w:ascii="Times New Roman" w:hAnsi="Times New Roman" w:cs="Times New Roman"/>
          <w:sz w:val="24"/>
          <w:szCs w:val="24"/>
          <w:shd w:val="clear" w:color="auto" w:fill="FCFCFC"/>
        </w:rPr>
        <w:t xml:space="preserve"> website: </w:t>
      </w:r>
      <w:hyperlink r:id="rId51" w:history="1">
        <w:r w:rsidRPr="008712F5">
          <w:rPr>
            <w:rStyle w:val="Hyperlink"/>
            <w:rFonts w:ascii="Times New Roman" w:hAnsi="Times New Roman" w:cs="Times New Roman"/>
            <w:color w:val="auto"/>
            <w:sz w:val="24"/>
            <w:szCs w:val="24"/>
            <w:shd w:val="clear" w:color="auto" w:fill="FCFCFC"/>
          </w:rPr>
          <w:t>https://timssandpirls.bc.edu/timss2019/international-results</w:t>
        </w:r>
      </w:hyperlink>
      <w:r w:rsidRPr="008712F5">
        <w:rPr>
          <w:rFonts w:ascii="Times New Roman" w:hAnsi="Times New Roman" w:cs="Times New Roman"/>
          <w:sz w:val="24"/>
          <w:szCs w:val="24"/>
          <w:shd w:val="clear" w:color="auto" w:fill="FCFCFC"/>
        </w:rPr>
        <w:t xml:space="preserve"> </w:t>
      </w:r>
    </w:p>
    <w:p w14:paraId="1497BCC1"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lang w:val="nl-NL"/>
        </w:rPr>
        <w:t xml:space="preserve">Nijhuis, J. F., Segers, M. S., &amp; </w:t>
      </w:r>
      <w:proofErr w:type="spellStart"/>
      <w:r w:rsidRPr="008712F5">
        <w:rPr>
          <w:rFonts w:ascii="Times New Roman" w:hAnsi="Times New Roman" w:cs="Times New Roman"/>
          <w:sz w:val="24"/>
          <w:szCs w:val="24"/>
          <w:shd w:val="clear" w:color="auto" w:fill="FCFCFC"/>
          <w:lang w:val="nl-NL"/>
        </w:rPr>
        <w:t>Gijselaers</w:t>
      </w:r>
      <w:proofErr w:type="spellEnd"/>
      <w:r w:rsidRPr="008712F5">
        <w:rPr>
          <w:rFonts w:ascii="Times New Roman" w:hAnsi="Times New Roman" w:cs="Times New Roman"/>
          <w:sz w:val="24"/>
          <w:szCs w:val="24"/>
          <w:shd w:val="clear" w:color="auto" w:fill="FCFCFC"/>
          <w:lang w:val="nl-NL"/>
        </w:rPr>
        <w:t xml:space="preserve">, W. H. (2005). </w:t>
      </w:r>
      <w:r w:rsidRPr="008712F5">
        <w:rPr>
          <w:rFonts w:ascii="Times New Roman" w:hAnsi="Times New Roman" w:cs="Times New Roman"/>
          <w:sz w:val="24"/>
          <w:szCs w:val="24"/>
          <w:shd w:val="clear" w:color="auto" w:fill="FCFCFC"/>
        </w:rPr>
        <w:t xml:space="preserve">Influence of redesigning a learning environment on student perceptions and learning strategies. </w:t>
      </w:r>
      <w:r w:rsidRPr="008712F5">
        <w:rPr>
          <w:rFonts w:ascii="Times New Roman" w:hAnsi="Times New Roman" w:cs="Times New Roman"/>
          <w:i/>
          <w:iCs/>
          <w:sz w:val="24"/>
          <w:szCs w:val="24"/>
          <w:shd w:val="clear" w:color="auto" w:fill="FCFCFC"/>
        </w:rPr>
        <w:t>Learning Environments Research</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8</w:t>
      </w:r>
      <w:r w:rsidRPr="008712F5">
        <w:rPr>
          <w:rFonts w:ascii="Times New Roman" w:hAnsi="Times New Roman" w:cs="Times New Roman"/>
          <w:sz w:val="24"/>
          <w:szCs w:val="24"/>
          <w:shd w:val="clear" w:color="auto" w:fill="FCFCFC"/>
        </w:rPr>
        <w:t xml:space="preserve">, 67–93. </w:t>
      </w:r>
      <w:hyperlink r:id="rId52" w:history="1">
        <w:r w:rsidRPr="008712F5">
          <w:rPr>
            <w:rStyle w:val="Hyperlink"/>
            <w:rFonts w:ascii="Times New Roman" w:hAnsi="Times New Roman" w:cs="Times New Roman"/>
            <w:color w:val="auto"/>
            <w:sz w:val="24"/>
            <w:szCs w:val="24"/>
            <w:shd w:val="clear" w:color="auto" w:fill="FCFCFC"/>
          </w:rPr>
          <w:t>https://doi.org/10.1007/s10984-005-7950-3</w:t>
        </w:r>
      </w:hyperlink>
      <w:r w:rsidRPr="008712F5">
        <w:rPr>
          <w:rFonts w:ascii="Times New Roman" w:hAnsi="Times New Roman" w:cs="Times New Roman"/>
          <w:sz w:val="24"/>
          <w:szCs w:val="24"/>
          <w:shd w:val="clear" w:color="auto" w:fill="FCFCFC"/>
        </w:rPr>
        <w:t xml:space="preserve"> </w:t>
      </w:r>
    </w:p>
    <w:p w14:paraId="1C30F82E"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Ofsted. (2021). Research review series: mathematics. Retrieved from </w:t>
      </w:r>
      <w:hyperlink r:id="rId53" w:history="1">
        <w:r w:rsidRPr="008712F5">
          <w:rPr>
            <w:rStyle w:val="Hyperlink"/>
            <w:rFonts w:ascii="Times New Roman" w:hAnsi="Times New Roman" w:cs="Times New Roman"/>
            <w:color w:val="auto"/>
            <w:sz w:val="24"/>
            <w:szCs w:val="24"/>
            <w:shd w:val="clear" w:color="auto" w:fill="FCFCFC"/>
          </w:rPr>
          <w:t>https://www.gov.uk/government/publications/research-review-series-mathematics/research-review-series-mathematics</w:t>
        </w:r>
      </w:hyperlink>
      <w:r w:rsidRPr="008712F5">
        <w:rPr>
          <w:rFonts w:ascii="Times New Roman" w:hAnsi="Times New Roman" w:cs="Times New Roman"/>
          <w:sz w:val="24"/>
          <w:szCs w:val="24"/>
          <w:shd w:val="clear" w:color="auto" w:fill="FCFCFC"/>
        </w:rPr>
        <w:t xml:space="preserve"> </w:t>
      </w:r>
    </w:p>
    <w:p w14:paraId="1DADBBCE"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Oliver, M., </w:t>
      </w:r>
      <w:proofErr w:type="spellStart"/>
      <w:r w:rsidRPr="008712F5">
        <w:rPr>
          <w:rFonts w:ascii="Times New Roman" w:hAnsi="Times New Roman" w:cs="Times New Roman"/>
          <w:sz w:val="24"/>
          <w:szCs w:val="24"/>
          <w:shd w:val="clear" w:color="auto" w:fill="FCFCFC"/>
        </w:rPr>
        <w:t>McConney</w:t>
      </w:r>
      <w:proofErr w:type="spellEnd"/>
      <w:r w:rsidRPr="008712F5">
        <w:rPr>
          <w:rFonts w:ascii="Times New Roman" w:hAnsi="Times New Roman" w:cs="Times New Roman"/>
          <w:sz w:val="24"/>
          <w:szCs w:val="24"/>
          <w:shd w:val="clear" w:color="auto" w:fill="FCFCFC"/>
        </w:rPr>
        <w:t>, A., &amp; Woods-</w:t>
      </w:r>
      <w:proofErr w:type="spellStart"/>
      <w:r w:rsidRPr="008712F5">
        <w:rPr>
          <w:rFonts w:ascii="Times New Roman" w:hAnsi="Times New Roman" w:cs="Times New Roman"/>
          <w:sz w:val="24"/>
          <w:szCs w:val="24"/>
          <w:shd w:val="clear" w:color="auto" w:fill="FCFCFC"/>
        </w:rPr>
        <w:t>McConney</w:t>
      </w:r>
      <w:proofErr w:type="spellEnd"/>
      <w:r w:rsidRPr="008712F5">
        <w:rPr>
          <w:rFonts w:ascii="Times New Roman" w:hAnsi="Times New Roman" w:cs="Times New Roman"/>
          <w:sz w:val="24"/>
          <w:szCs w:val="24"/>
          <w:shd w:val="clear" w:color="auto" w:fill="FCFCFC"/>
        </w:rPr>
        <w:t xml:space="preserve">, A. (2021). The efficacy of inquiry-based instruction in science: A comparative analysis of six countries using PISA 2015. </w:t>
      </w:r>
      <w:r w:rsidRPr="008712F5">
        <w:rPr>
          <w:rFonts w:ascii="Times New Roman" w:hAnsi="Times New Roman" w:cs="Times New Roman"/>
          <w:i/>
          <w:iCs/>
          <w:sz w:val="24"/>
          <w:szCs w:val="24"/>
          <w:shd w:val="clear" w:color="auto" w:fill="FCFCFC"/>
        </w:rPr>
        <w:t>Research in Science Education</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51</w:t>
      </w:r>
      <w:r w:rsidRPr="008712F5">
        <w:rPr>
          <w:rFonts w:ascii="Times New Roman" w:hAnsi="Times New Roman" w:cs="Times New Roman"/>
          <w:sz w:val="24"/>
          <w:szCs w:val="24"/>
          <w:shd w:val="clear" w:color="auto" w:fill="FCFCFC"/>
        </w:rPr>
        <w:t xml:space="preserve">(2), 595–616. </w:t>
      </w:r>
      <w:hyperlink r:id="rId54" w:history="1">
        <w:r w:rsidRPr="008712F5">
          <w:rPr>
            <w:rStyle w:val="Hyperlink"/>
            <w:rFonts w:ascii="Times New Roman" w:hAnsi="Times New Roman" w:cs="Times New Roman"/>
            <w:color w:val="auto"/>
            <w:sz w:val="24"/>
            <w:szCs w:val="24"/>
            <w:shd w:val="clear" w:color="auto" w:fill="FCFCFC"/>
          </w:rPr>
          <w:t>https://doi.org/10.1007/s11165-019-09901-0</w:t>
        </w:r>
      </w:hyperlink>
      <w:r w:rsidRPr="008712F5">
        <w:rPr>
          <w:rFonts w:ascii="Times New Roman" w:hAnsi="Times New Roman" w:cs="Times New Roman"/>
          <w:sz w:val="24"/>
          <w:szCs w:val="24"/>
          <w:shd w:val="clear" w:color="auto" w:fill="FCFCFC"/>
        </w:rPr>
        <w:t xml:space="preserve"> </w:t>
      </w:r>
    </w:p>
    <w:p w14:paraId="2D0A7F11"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OECD. (2019). </w:t>
      </w:r>
      <w:r w:rsidRPr="008712F5">
        <w:rPr>
          <w:rFonts w:ascii="Times New Roman" w:hAnsi="Times New Roman" w:cs="Times New Roman"/>
          <w:i/>
          <w:iCs/>
          <w:sz w:val="24"/>
          <w:szCs w:val="24"/>
          <w:shd w:val="clear" w:color="auto" w:fill="FCFCFC"/>
        </w:rPr>
        <w:t>PISA 2018 results: What students know and can do</w:t>
      </w:r>
      <w:r w:rsidRPr="008712F5">
        <w:rPr>
          <w:rFonts w:ascii="Times New Roman" w:hAnsi="Times New Roman" w:cs="Times New Roman"/>
          <w:sz w:val="24"/>
          <w:szCs w:val="24"/>
          <w:shd w:val="clear" w:color="auto" w:fill="FCFCFC"/>
        </w:rPr>
        <w:t xml:space="preserve"> (Vol. I). Paris: OECD Publishing. Retrieved from </w:t>
      </w:r>
      <w:hyperlink r:id="rId55" w:history="1">
        <w:r w:rsidRPr="008712F5">
          <w:rPr>
            <w:rStyle w:val="Hyperlink"/>
            <w:rFonts w:ascii="Times New Roman" w:hAnsi="Times New Roman" w:cs="Times New Roman"/>
            <w:color w:val="auto"/>
            <w:sz w:val="24"/>
            <w:szCs w:val="24"/>
            <w:shd w:val="clear" w:color="auto" w:fill="FCFCFC"/>
          </w:rPr>
          <w:t>https://www.oecd.org/education/pisa-2018-results-volume-i-5f07c754-en.htm</w:t>
        </w:r>
      </w:hyperlink>
      <w:r w:rsidRPr="008712F5">
        <w:rPr>
          <w:rFonts w:ascii="Times New Roman" w:hAnsi="Times New Roman" w:cs="Times New Roman"/>
          <w:sz w:val="24"/>
          <w:szCs w:val="24"/>
          <w:shd w:val="clear" w:color="auto" w:fill="FCFCFC"/>
        </w:rPr>
        <w:t xml:space="preserve"> </w:t>
      </w:r>
    </w:p>
    <w:p w14:paraId="06B96F9E"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OECD. (2016). </w:t>
      </w:r>
      <w:r w:rsidRPr="008712F5">
        <w:rPr>
          <w:rFonts w:ascii="Times New Roman" w:hAnsi="Times New Roman" w:cs="Times New Roman"/>
          <w:i/>
          <w:iCs/>
          <w:sz w:val="24"/>
          <w:szCs w:val="24"/>
          <w:shd w:val="clear" w:color="auto" w:fill="FCFCFC"/>
        </w:rPr>
        <w:t>PISA 2015 results: Policies and practices for successful schools</w:t>
      </w:r>
      <w:r w:rsidRPr="008712F5">
        <w:rPr>
          <w:rFonts w:ascii="Times New Roman" w:hAnsi="Times New Roman" w:cs="Times New Roman"/>
          <w:sz w:val="24"/>
          <w:szCs w:val="24"/>
          <w:shd w:val="clear" w:color="auto" w:fill="FCFCFC"/>
        </w:rPr>
        <w:t xml:space="preserve"> (Vol. II). Paris: OECD Publishing. Retrieved from </w:t>
      </w:r>
      <w:hyperlink r:id="rId56" w:history="1">
        <w:r w:rsidRPr="008712F5">
          <w:rPr>
            <w:rStyle w:val="Hyperlink"/>
            <w:rFonts w:ascii="Times New Roman" w:hAnsi="Times New Roman" w:cs="Times New Roman"/>
            <w:color w:val="auto"/>
            <w:sz w:val="24"/>
            <w:szCs w:val="24"/>
            <w:shd w:val="clear" w:color="auto" w:fill="FCFCFC"/>
          </w:rPr>
          <w:t>https://www.oecd.org/publications/pisa-2015-results-volume-ii-9789264267510-en.htm</w:t>
        </w:r>
      </w:hyperlink>
      <w:r w:rsidRPr="008712F5">
        <w:rPr>
          <w:rFonts w:ascii="Times New Roman" w:hAnsi="Times New Roman" w:cs="Times New Roman"/>
          <w:sz w:val="24"/>
          <w:szCs w:val="24"/>
          <w:shd w:val="clear" w:color="auto" w:fill="FCFCFC"/>
        </w:rPr>
        <w:t xml:space="preserve">  </w:t>
      </w:r>
    </w:p>
    <w:p w14:paraId="12FBBBF8"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proofErr w:type="spellStart"/>
      <w:r w:rsidRPr="008712F5">
        <w:rPr>
          <w:rFonts w:ascii="Times New Roman" w:hAnsi="Times New Roman" w:cs="Times New Roman"/>
          <w:sz w:val="24"/>
          <w:szCs w:val="24"/>
          <w:shd w:val="clear" w:color="auto" w:fill="FCFCFC"/>
        </w:rPr>
        <w:t>Pampaka</w:t>
      </w:r>
      <w:proofErr w:type="spellEnd"/>
      <w:r w:rsidRPr="008712F5">
        <w:rPr>
          <w:rFonts w:ascii="Times New Roman" w:hAnsi="Times New Roman" w:cs="Times New Roman"/>
          <w:sz w:val="24"/>
          <w:szCs w:val="24"/>
          <w:shd w:val="clear" w:color="auto" w:fill="FCFCFC"/>
        </w:rPr>
        <w:t xml:space="preserve">, M., &amp; Williams, J. (2016). Mathematics teachers’ and students’ perceptions of </w:t>
      </w:r>
      <w:proofErr w:type="spellStart"/>
      <w:r w:rsidRPr="008712F5">
        <w:rPr>
          <w:rFonts w:ascii="Times New Roman" w:hAnsi="Times New Roman" w:cs="Times New Roman"/>
          <w:sz w:val="24"/>
          <w:szCs w:val="24"/>
          <w:shd w:val="clear" w:color="auto" w:fill="FCFCFC"/>
        </w:rPr>
        <w:t>transmissionist</w:t>
      </w:r>
      <w:proofErr w:type="spellEnd"/>
      <w:r w:rsidRPr="008712F5">
        <w:rPr>
          <w:rFonts w:ascii="Times New Roman" w:hAnsi="Times New Roman" w:cs="Times New Roman"/>
          <w:sz w:val="24"/>
          <w:szCs w:val="24"/>
          <w:shd w:val="clear" w:color="auto" w:fill="FCFCFC"/>
        </w:rPr>
        <w:t xml:space="preserve"> teaching and its association with students’ dispositions. </w:t>
      </w:r>
      <w:r w:rsidRPr="008712F5">
        <w:rPr>
          <w:rFonts w:ascii="Times New Roman" w:hAnsi="Times New Roman" w:cs="Times New Roman"/>
          <w:i/>
          <w:iCs/>
          <w:sz w:val="24"/>
          <w:szCs w:val="24"/>
          <w:shd w:val="clear" w:color="auto" w:fill="FCFCFC"/>
        </w:rPr>
        <w:t>Teaching Mathematics and its Applications: An International Journal of the IMA</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35</w:t>
      </w:r>
      <w:r w:rsidRPr="008712F5">
        <w:rPr>
          <w:rFonts w:ascii="Times New Roman" w:hAnsi="Times New Roman" w:cs="Times New Roman"/>
          <w:sz w:val="24"/>
          <w:szCs w:val="24"/>
          <w:shd w:val="clear" w:color="auto" w:fill="FCFCFC"/>
        </w:rPr>
        <w:t xml:space="preserve">(3), 118–130. </w:t>
      </w:r>
      <w:hyperlink r:id="rId57" w:history="1">
        <w:r w:rsidRPr="008712F5">
          <w:rPr>
            <w:rStyle w:val="Hyperlink"/>
            <w:rFonts w:ascii="Times New Roman" w:hAnsi="Times New Roman" w:cs="Times New Roman"/>
            <w:color w:val="auto"/>
            <w:sz w:val="24"/>
            <w:szCs w:val="24"/>
            <w:shd w:val="clear" w:color="auto" w:fill="FCFCFC"/>
          </w:rPr>
          <w:t>https://doi.org/10.1093/teamat/hrw007</w:t>
        </w:r>
      </w:hyperlink>
      <w:r w:rsidRPr="008712F5">
        <w:rPr>
          <w:rFonts w:ascii="Times New Roman" w:hAnsi="Times New Roman" w:cs="Times New Roman"/>
          <w:sz w:val="24"/>
          <w:szCs w:val="24"/>
          <w:shd w:val="clear" w:color="auto" w:fill="FCFCFC"/>
        </w:rPr>
        <w:t xml:space="preserve"> </w:t>
      </w:r>
    </w:p>
    <w:p w14:paraId="5E66DC14"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R Core Team. (2021). </w:t>
      </w:r>
      <w:r w:rsidRPr="008712F5">
        <w:rPr>
          <w:rFonts w:ascii="Times New Roman" w:hAnsi="Times New Roman" w:cs="Times New Roman"/>
          <w:i/>
          <w:iCs/>
          <w:sz w:val="24"/>
          <w:szCs w:val="24"/>
          <w:shd w:val="clear" w:color="auto" w:fill="FCFCFC"/>
        </w:rPr>
        <w:t>R: A language and environment for statistical computing</w:t>
      </w:r>
      <w:r w:rsidRPr="008712F5">
        <w:rPr>
          <w:rFonts w:ascii="Times New Roman" w:hAnsi="Times New Roman" w:cs="Times New Roman"/>
          <w:sz w:val="24"/>
          <w:szCs w:val="24"/>
          <w:shd w:val="clear" w:color="auto" w:fill="FCFCFC"/>
        </w:rPr>
        <w:t xml:space="preserve">. R Foundation for Statistical Computing, Vienna, Austria. URL </w:t>
      </w:r>
      <w:hyperlink r:id="rId58" w:history="1">
        <w:r w:rsidRPr="008712F5">
          <w:rPr>
            <w:rStyle w:val="Hyperlink"/>
            <w:rFonts w:ascii="Times New Roman" w:hAnsi="Times New Roman" w:cs="Times New Roman"/>
            <w:color w:val="auto"/>
            <w:sz w:val="24"/>
            <w:szCs w:val="24"/>
            <w:shd w:val="clear" w:color="auto" w:fill="FCFCFC"/>
          </w:rPr>
          <w:t>https://www.R-project.org/</w:t>
        </w:r>
      </w:hyperlink>
      <w:r w:rsidRPr="008712F5">
        <w:rPr>
          <w:rFonts w:ascii="Times New Roman" w:hAnsi="Times New Roman" w:cs="Times New Roman"/>
          <w:sz w:val="24"/>
          <w:szCs w:val="24"/>
          <w:shd w:val="clear" w:color="auto" w:fill="FCFCFC"/>
        </w:rPr>
        <w:t xml:space="preserve"> </w:t>
      </w:r>
    </w:p>
    <w:p w14:paraId="2B15D3F1"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proofErr w:type="spellStart"/>
      <w:r w:rsidRPr="008712F5">
        <w:rPr>
          <w:rFonts w:ascii="Times New Roman" w:hAnsi="Times New Roman" w:cs="Times New Roman"/>
          <w:sz w:val="24"/>
          <w:szCs w:val="24"/>
          <w:shd w:val="clear" w:color="auto" w:fill="FCFCFC"/>
        </w:rPr>
        <w:t>Raudenbush</w:t>
      </w:r>
      <w:proofErr w:type="spellEnd"/>
      <w:r w:rsidRPr="008712F5">
        <w:rPr>
          <w:rFonts w:ascii="Times New Roman" w:hAnsi="Times New Roman" w:cs="Times New Roman"/>
          <w:sz w:val="24"/>
          <w:szCs w:val="24"/>
          <w:shd w:val="clear" w:color="auto" w:fill="FCFCFC"/>
        </w:rPr>
        <w:t xml:space="preserve">, S. W., &amp; Bryk, A. S. (2002). </w:t>
      </w:r>
      <w:r w:rsidRPr="008712F5">
        <w:rPr>
          <w:rFonts w:ascii="Times New Roman" w:hAnsi="Times New Roman" w:cs="Times New Roman"/>
          <w:i/>
          <w:iCs/>
          <w:sz w:val="24"/>
          <w:szCs w:val="24"/>
          <w:shd w:val="clear" w:color="auto" w:fill="FCFCFC"/>
        </w:rPr>
        <w:t>Hierarchical linear models: Applications and data analysis methods</w:t>
      </w:r>
      <w:r w:rsidRPr="008712F5">
        <w:rPr>
          <w:rFonts w:ascii="Times New Roman" w:hAnsi="Times New Roman" w:cs="Times New Roman"/>
          <w:sz w:val="24"/>
          <w:szCs w:val="24"/>
          <w:shd w:val="clear" w:color="auto" w:fill="FCFCFC"/>
        </w:rPr>
        <w:t>. Thousand Oaks: Sage.</w:t>
      </w:r>
    </w:p>
    <w:p w14:paraId="7F7094DF"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proofErr w:type="spellStart"/>
      <w:r w:rsidRPr="008712F5">
        <w:rPr>
          <w:rFonts w:ascii="Times New Roman" w:hAnsi="Times New Roman" w:cs="Times New Roman"/>
          <w:sz w:val="24"/>
          <w:szCs w:val="24"/>
          <w:shd w:val="clear" w:color="auto" w:fill="FCFCFC"/>
        </w:rPr>
        <w:t>Revelle</w:t>
      </w:r>
      <w:proofErr w:type="spellEnd"/>
      <w:r w:rsidRPr="008712F5">
        <w:rPr>
          <w:rFonts w:ascii="Times New Roman" w:hAnsi="Times New Roman" w:cs="Times New Roman"/>
          <w:sz w:val="24"/>
          <w:szCs w:val="24"/>
          <w:shd w:val="clear" w:color="auto" w:fill="FCFCFC"/>
        </w:rPr>
        <w:t xml:space="preserve">, W. (2022). </w:t>
      </w:r>
      <w:r w:rsidRPr="008712F5">
        <w:rPr>
          <w:rFonts w:ascii="Times New Roman" w:hAnsi="Times New Roman" w:cs="Times New Roman"/>
          <w:i/>
          <w:iCs/>
          <w:sz w:val="24"/>
          <w:szCs w:val="24"/>
          <w:shd w:val="clear" w:color="auto" w:fill="FCFCFC"/>
        </w:rPr>
        <w:t>psych: Procedures for Personality and Psychological Research</w:t>
      </w:r>
      <w:r w:rsidRPr="008712F5">
        <w:rPr>
          <w:rFonts w:ascii="Times New Roman" w:hAnsi="Times New Roman" w:cs="Times New Roman"/>
          <w:sz w:val="24"/>
          <w:szCs w:val="24"/>
          <w:shd w:val="clear" w:color="auto" w:fill="FCFCFC"/>
        </w:rPr>
        <w:t xml:space="preserve">, </w:t>
      </w:r>
      <w:proofErr w:type="spellStart"/>
      <w:r w:rsidRPr="008712F5">
        <w:rPr>
          <w:rFonts w:ascii="Times New Roman" w:hAnsi="Times New Roman" w:cs="Times New Roman"/>
          <w:sz w:val="24"/>
          <w:szCs w:val="24"/>
          <w:shd w:val="clear" w:color="auto" w:fill="FCFCFC"/>
        </w:rPr>
        <w:t>Northwestern</w:t>
      </w:r>
      <w:proofErr w:type="spellEnd"/>
      <w:r w:rsidRPr="008712F5">
        <w:rPr>
          <w:rFonts w:ascii="Times New Roman" w:hAnsi="Times New Roman" w:cs="Times New Roman"/>
          <w:sz w:val="24"/>
          <w:szCs w:val="24"/>
          <w:shd w:val="clear" w:color="auto" w:fill="FCFCFC"/>
        </w:rPr>
        <w:t xml:space="preserve"> University, Evanston, Illinois, USA, </w:t>
      </w:r>
      <w:hyperlink r:id="rId59" w:history="1">
        <w:r w:rsidRPr="008712F5">
          <w:rPr>
            <w:rStyle w:val="Hyperlink"/>
            <w:rFonts w:ascii="Times New Roman" w:hAnsi="Times New Roman" w:cs="Times New Roman"/>
            <w:color w:val="auto"/>
            <w:sz w:val="24"/>
            <w:szCs w:val="24"/>
            <w:shd w:val="clear" w:color="auto" w:fill="FCFCFC"/>
          </w:rPr>
          <w:t>https://CRAN.R-project.org/package=psych</w:t>
        </w:r>
      </w:hyperlink>
      <w:r w:rsidRPr="008712F5">
        <w:rPr>
          <w:rFonts w:ascii="Times New Roman" w:hAnsi="Times New Roman" w:cs="Times New Roman"/>
          <w:sz w:val="24"/>
          <w:szCs w:val="24"/>
          <w:shd w:val="clear" w:color="auto" w:fill="FCFCFC"/>
        </w:rPr>
        <w:t xml:space="preserve"> Version = 2.2.5 </w:t>
      </w:r>
    </w:p>
    <w:p w14:paraId="1D0C246D"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lang w:val="de-DE"/>
        </w:rPr>
        <w:t xml:space="preserve">Rindermann, H., &amp; Baumeister, A. E. (2015). </w:t>
      </w:r>
      <w:r w:rsidRPr="008712F5">
        <w:rPr>
          <w:rFonts w:ascii="Times New Roman" w:hAnsi="Times New Roman" w:cs="Times New Roman"/>
          <w:sz w:val="24"/>
          <w:szCs w:val="24"/>
          <w:shd w:val="clear" w:color="auto" w:fill="FCFCFC"/>
        </w:rPr>
        <w:t xml:space="preserve">Validating the interpretations of PISA and TIMSS tasks: A rating study. </w:t>
      </w:r>
      <w:r w:rsidRPr="008712F5">
        <w:rPr>
          <w:rFonts w:ascii="Times New Roman" w:hAnsi="Times New Roman" w:cs="Times New Roman"/>
          <w:i/>
          <w:iCs/>
          <w:sz w:val="24"/>
          <w:szCs w:val="24"/>
          <w:shd w:val="clear" w:color="auto" w:fill="FCFCFC"/>
        </w:rPr>
        <w:t>International Journal of Testing</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15</w:t>
      </w:r>
      <w:r w:rsidRPr="008712F5">
        <w:rPr>
          <w:rFonts w:ascii="Times New Roman" w:hAnsi="Times New Roman" w:cs="Times New Roman"/>
          <w:sz w:val="24"/>
          <w:szCs w:val="24"/>
          <w:shd w:val="clear" w:color="auto" w:fill="FCFCFC"/>
        </w:rPr>
        <w:t xml:space="preserve">(1), 1–22. </w:t>
      </w:r>
      <w:hyperlink r:id="rId60" w:history="1">
        <w:r w:rsidRPr="008712F5">
          <w:rPr>
            <w:rStyle w:val="Hyperlink"/>
            <w:rFonts w:ascii="Times New Roman" w:hAnsi="Times New Roman" w:cs="Times New Roman"/>
            <w:color w:val="auto"/>
            <w:sz w:val="24"/>
            <w:szCs w:val="24"/>
            <w:shd w:val="clear" w:color="auto" w:fill="FCFCFC"/>
          </w:rPr>
          <w:t>https://doi.org/10.1080/15305058.2014.966911</w:t>
        </w:r>
      </w:hyperlink>
      <w:r w:rsidRPr="008712F5">
        <w:rPr>
          <w:rFonts w:ascii="Times New Roman" w:hAnsi="Times New Roman" w:cs="Times New Roman"/>
          <w:sz w:val="24"/>
          <w:szCs w:val="24"/>
          <w:shd w:val="clear" w:color="auto" w:fill="FCFCFC"/>
        </w:rPr>
        <w:t xml:space="preserve"> </w:t>
      </w:r>
    </w:p>
    <w:p w14:paraId="75DE3559"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proofErr w:type="spellStart"/>
      <w:r w:rsidRPr="008712F5">
        <w:rPr>
          <w:rFonts w:ascii="Times New Roman" w:hAnsi="Times New Roman" w:cs="Times New Roman"/>
          <w:sz w:val="24"/>
          <w:szCs w:val="24"/>
          <w:shd w:val="clear" w:color="auto" w:fill="FCFCFC"/>
        </w:rPr>
        <w:t>Rittle</w:t>
      </w:r>
      <w:proofErr w:type="spellEnd"/>
      <w:r w:rsidRPr="008712F5">
        <w:rPr>
          <w:rFonts w:ascii="Times New Roman" w:hAnsi="Times New Roman" w:cs="Times New Roman"/>
          <w:sz w:val="24"/>
          <w:szCs w:val="24"/>
          <w:shd w:val="clear" w:color="auto" w:fill="FCFCFC"/>
        </w:rPr>
        <w:t xml:space="preserve">-Johnson, B., Loehr, A. M., &amp; Durkin, K. (2017). Promoting self-explanation to improve mathematics learning: a meta-analysis and instructional design principles. </w:t>
      </w:r>
      <w:r w:rsidRPr="008712F5">
        <w:rPr>
          <w:rFonts w:ascii="Times New Roman" w:hAnsi="Times New Roman" w:cs="Times New Roman"/>
          <w:i/>
          <w:iCs/>
          <w:sz w:val="24"/>
          <w:szCs w:val="24"/>
          <w:shd w:val="clear" w:color="auto" w:fill="FCFCFC"/>
        </w:rPr>
        <w:t>ZDM Mathematics Education</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49</w:t>
      </w:r>
      <w:r w:rsidRPr="008712F5">
        <w:rPr>
          <w:rFonts w:ascii="Times New Roman" w:hAnsi="Times New Roman" w:cs="Times New Roman"/>
          <w:sz w:val="24"/>
          <w:szCs w:val="24"/>
          <w:shd w:val="clear" w:color="auto" w:fill="FCFCFC"/>
        </w:rPr>
        <w:t xml:space="preserve">(4), 599–611. </w:t>
      </w:r>
      <w:hyperlink r:id="rId61" w:history="1">
        <w:r w:rsidRPr="008712F5">
          <w:rPr>
            <w:rStyle w:val="Hyperlink"/>
            <w:rFonts w:ascii="Times New Roman" w:hAnsi="Times New Roman" w:cs="Times New Roman"/>
            <w:color w:val="auto"/>
            <w:sz w:val="24"/>
            <w:szCs w:val="24"/>
            <w:shd w:val="clear" w:color="auto" w:fill="FCFCFC"/>
          </w:rPr>
          <w:t>https://doi.org/10.1007/s11858-017-0834-z</w:t>
        </w:r>
      </w:hyperlink>
      <w:r w:rsidRPr="008712F5">
        <w:rPr>
          <w:rFonts w:ascii="Times New Roman" w:hAnsi="Times New Roman" w:cs="Times New Roman"/>
          <w:sz w:val="24"/>
          <w:szCs w:val="24"/>
          <w:shd w:val="clear" w:color="auto" w:fill="FCFCFC"/>
        </w:rPr>
        <w:t xml:space="preserve"> </w:t>
      </w:r>
    </w:p>
    <w:p w14:paraId="68B189AC"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Rittle-Johnson, B., Schneider, M., &amp; Star, J. R. (2015). Not a one-way street: Bidirectional relations between procedural and conceptual knowledge of mathematics. </w:t>
      </w:r>
      <w:r w:rsidRPr="008712F5">
        <w:rPr>
          <w:rFonts w:ascii="Times New Roman" w:hAnsi="Times New Roman" w:cs="Times New Roman"/>
          <w:i/>
          <w:iCs/>
          <w:sz w:val="24"/>
          <w:szCs w:val="24"/>
          <w:shd w:val="clear" w:color="auto" w:fill="FCFCFC"/>
        </w:rPr>
        <w:t>Educational Psychology Review</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27</w:t>
      </w:r>
      <w:r w:rsidRPr="008712F5">
        <w:rPr>
          <w:rFonts w:ascii="Times New Roman" w:hAnsi="Times New Roman" w:cs="Times New Roman"/>
          <w:sz w:val="24"/>
          <w:szCs w:val="24"/>
          <w:shd w:val="clear" w:color="auto" w:fill="FCFCFC"/>
        </w:rPr>
        <w:t xml:space="preserve">(4), 587–597. </w:t>
      </w:r>
      <w:hyperlink r:id="rId62" w:history="1">
        <w:r w:rsidRPr="008712F5">
          <w:rPr>
            <w:rStyle w:val="Hyperlink"/>
            <w:rFonts w:ascii="Times New Roman" w:hAnsi="Times New Roman" w:cs="Times New Roman"/>
            <w:color w:val="auto"/>
            <w:sz w:val="24"/>
            <w:szCs w:val="24"/>
            <w:shd w:val="clear" w:color="auto" w:fill="FCFCFC"/>
          </w:rPr>
          <w:t>https://doi.org/10.1007/s10648-015-9302-x</w:t>
        </w:r>
      </w:hyperlink>
      <w:r w:rsidRPr="008712F5">
        <w:rPr>
          <w:rFonts w:ascii="Times New Roman" w:hAnsi="Times New Roman" w:cs="Times New Roman"/>
          <w:sz w:val="24"/>
          <w:szCs w:val="24"/>
          <w:shd w:val="clear" w:color="auto" w:fill="FCFCFC"/>
        </w:rPr>
        <w:t xml:space="preserve"> </w:t>
      </w:r>
    </w:p>
    <w:p w14:paraId="7DFB6C83"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proofErr w:type="spellStart"/>
      <w:r w:rsidRPr="008712F5">
        <w:rPr>
          <w:rFonts w:ascii="Times New Roman" w:hAnsi="Times New Roman" w:cs="Times New Roman"/>
          <w:sz w:val="24"/>
          <w:szCs w:val="24"/>
          <w:shd w:val="clear" w:color="auto" w:fill="FCFCFC"/>
        </w:rPr>
        <w:lastRenderedPageBreak/>
        <w:t>Robitzsch</w:t>
      </w:r>
      <w:proofErr w:type="spellEnd"/>
      <w:r w:rsidRPr="008712F5">
        <w:rPr>
          <w:rFonts w:ascii="Times New Roman" w:hAnsi="Times New Roman" w:cs="Times New Roman"/>
          <w:sz w:val="24"/>
          <w:szCs w:val="24"/>
          <w:shd w:val="clear" w:color="auto" w:fill="FCFCFC"/>
        </w:rPr>
        <w:t xml:space="preserve">, A., &amp; </w:t>
      </w:r>
      <w:proofErr w:type="spellStart"/>
      <w:r w:rsidRPr="008712F5">
        <w:rPr>
          <w:rFonts w:ascii="Times New Roman" w:hAnsi="Times New Roman" w:cs="Times New Roman"/>
          <w:sz w:val="24"/>
          <w:szCs w:val="24"/>
          <w:shd w:val="clear" w:color="auto" w:fill="FCFCFC"/>
        </w:rPr>
        <w:t>Oberwimmer</w:t>
      </w:r>
      <w:proofErr w:type="spellEnd"/>
      <w:r w:rsidRPr="008712F5">
        <w:rPr>
          <w:rFonts w:ascii="Times New Roman" w:hAnsi="Times New Roman" w:cs="Times New Roman"/>
          <w:sz w:val="24"/>
          <w:szCs w:val="24"/>
          <w:shd w:val="clear" w:color="auto" w:fill="FCFCFC"/>
        </w:rPr>
        <w:t xml:space="preserve">, K. (2022). </w:t>
      </w:r>
      <w:proofErr w:type="spellStart"/>
      <w:r w:rsidRPr="008712F5">
        <w:rPr>
          <w:rFonts w:ascii="Times New Roman" w:hAnsi="Times New Roman" w:cs="Times New Roman"/>
          <w:i/>
          <w:iCs/>
          <w:sz w:val="24"/>
          <w:szCs w:val="24"/>
          <w:shd w:val="clear" w:color="auto" w:fill="FCFCFC"/>
        </w:rPr>
        <w:t>BIFIEsurvey</w:t>
      </w:r>
      <w:proofErr w:type="spellEnd"/>
      <w:r w:rsidRPr="008712F5">
        <w:rPr>
          <w:rFonts w:ascii="Times New Roman" w:hAnsi="Times New Roman" w:cs="Times New Roman"/>
          <w:i/>
          <w:iCs/>
          <w:sz w:val="24"/>
          <w:szCs w:val="24"/>
          <w:shd w:val="clear" w:color="auto" w:fill="FCFCFC"/>
        </w:rPr>
        <w:t>: Tools for survey statistics in educational assessment</w:t>
      </w:r>
      <w:r w:rsidRPr="008712F5">
        <w:rPr>
          <w:rFonts w:ascii="Times New Roman" w:hAnsi="Times New Roman" w:cs="Times New Roman"/>
          <w:sz w:val="24"/>
          <w:szCs w:val="24"/>
          <w:shd w:val="clear" w:color="auto" w:fill="FCFCFC"/>
        </w:rPr>
        <w:t xml:space="preserve">. R package version 3.4-15, </w:t>
      </w:r>
      <w:hyperlink r:id="rId63" w:history="1">
        <w:r w:rsidRPr="008712F5">
          <w:rPr>
            <w:rStyle w:val="Hyperlink"/>
            <w:rFonts w:ascii="Times New Roman" w:hAnsi="Times New Roman" w:cs="Times New Roman"/>
            <w:color w:val="auto"/>
            <w:sz w:val="24"/>
            <w:szCs w:val="24"/>
            <w:shd w:val="clear" w:color="auto" w:fill="FCFCFC"/>
          </w:rPr>
          <w:t>https://CRAN.R-project.org/package=BIFIEsurvey</w:t>
        </w:r>
      </w:hyperlink>
      <w:r w:rsidRPr="008712F5">
        <w:rPr>
          <w:rFonts w:ascii="Times New Roman" w:hAnsi="Times New Roman" w:cs="Times New Roman"/>
          <w:sz w:val="24"/>
          <w:szCs w:val="24"/>
          <w:shd w:val="clear" w:color="auto" w:fill="FCFCFC"/>
        </w:rPr>
        <w:t xml:space="preserve"> </w:t>
      </w:r>
    </w:p>
    <w:p w14:paraId="317EE669"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RStudio Team. (2021). </w:t>
      </w:r>
      <w:r w:rsidRPr="008712F5">
        <w:rPr>
          <w:rFonts w:ascii="Times New Roman" w:hAnsi="Times New Roman" w:cs="Times New Roman"/>
          <w:i/>
          <w:iCs/>
          <w:sz w:val="24"/>
          <w:szCs w:val="24"/>
          <w:shd w:val="clear" w:color="auto" w:fill="FCFCFC"/>
        </w:rPr>
        <w:t>RStudio: Integrated Development for R</w:t>
      </w:r>
      <w:r w:rsidRPr="008712F5">
        <w:rPr>
          <w:rFonts w:ascii="Times New Roman" w:hAnsi="Times New Roman" w:cs="Times New Roman"/>
          <w:sz w:val="24"/>
          <w:szCs w:val="24"/>
          <w:shd w:val="clear" w:color="auto" w:fill="FCFCFC"/>
        </w:rPr>
        <w:t xml:space="preserve">. RStudio, PBC, Boston, MA URL </w:t>
      </w:r>
      <w:hyperlink r:id="rId64" w:history="1">
        <w:r w:rsidRPr="008712F5">
          <w:rPr>
            <w:rStyle w:val="Hyperlink"/>
            <w:rFonts w:ascii="Times New Roman" w:hAnsi="Times New Roman" w:cs="Times New Roman"/>
            <w:color w:val="auto"/>
            <w:sz w:val="24"/>
            <w:szCs w:val="24"/>
            <w:shd w:val="clear" w:color="auto" w:fill="FCFCFC"/>
          </w:rPr>
          <w:t>http://www.rstudio.com/</w:t>
        </w:r>
      </w:hyperlink>
      <w:r w:rsidRPr="008712F5">
        <w:rPr>
          <w:rFonts w:ascii="Times New Roman" w:hAnsi="Times New Roman" w:cs="Times New Roman"/>
          <w:sz w:val="24"/>
          <w:szCs w:val="24"/>
          <w:shd w:val="clear" w:color="auto" w:fill="FCFCFC"/>
        </w:rPr>
        <w:t xml:space="preserve"> </w:t>
      </w:r>
    </w:p>
    <w:p w14:paraId="6C5A17B1"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Rubin, D. (1987). </w:t>
      </w:r>
      <w:r w:rsidRPr="008712F5">
        <w:rPr>
          <w:rFonts w:ascii="Times New Roman" w:hAnsi="Times New Roman" w:cs="Times New Roman"/>
          <w:i/>
          <w:iCs/>
          <w:sz w:val="24"/>
          <w:szCs w:val="24"/>
          <w:shd w:val="clear" w:color="auto" w:fill="FCFCFC"/>
        </w:rPr>
        <w:t>Multiple imputation for nonresponse in sample surveys</w:t>
      </w:r>
      <w:r w:rsidRPr="008712F5">
        <w:rPr>
          <w:rFonts w:ascii="Times New Roman" w:hAnsi="Times New Roman" w:cs="Times New Roman"/>
          <w:sz w:val="24"/>
          <w:szCs w:val="24"/>
          <w:shd w:val="clear" w:color="auto" w:fill="FCFCFC"/>
        </w:rPr>
        <w:t xml:space="preserve">. New York: John Wiley. </w:t>
      </w:r>
      <w:hyperlink r:id="rId65" w:history="1">
        <w:r w:rsidRPr="008712F5">
          <w:rPr>
            <w:rStyle w:val="Hyperlink"/>
            <w:rFonts w:ascii="Times New Roman" w:hAnsi="Times New Roman" w:cs="Times New Roman"/>
            <w:color w:val="auto"/>
            <w:sz w:val="24"/>
            <w:szCs w:val="24"/>
            <w:shd w:val="clear" w:color="auto" w:fill="FCFCFC"/>
          </w:rPr>
          <w:t>https://doi.org/10.1002/9780470316696</w:t>
        </w:r>
      </w:hyperlink>
      <w:r w:rsidRPr="008712F5">
        <w:rPr>
          <w:rFonts w:ascii="Times New Roman" w:hAnsi="Times New Roman" w:cs="Times New Roman"/>
          <w:sz w:val="24"/>
          <w:szCs w:val="24"/>
          <w:shd w:val="clear" w:color="auto" w:fill="FCFCFC"/>
        </w:rPr>
        <w:t xml:space="preserve"> </w:t>
      </w:r>
    </w:p>
    <w:p w14:paraId="574BE16D"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Rutkowski, L., Gonzalez, E., </w:t>
      </w:r>
      <w:proofErr w:type="spellStart"/>
      <w:r w:rsidRPr="008712F5">
        <w:rPr>
          <w:rFonts w:ascii="Times New Roman" w:hAnsi="Times New Roman" w:cs="Times New Roman"/>
          <w:sz w:val="24"/>
          <w:szCs w:val="24"/>
          <w:shd w:val="clear" w:color="auto" w:fill="FCFCFC"/>
        </w:rPr>
        <w:t>Joncas</w:t>
      </w:r>
      <w:proofErr w:type="spellEnd"/>
      <w:r w:rsidRPr="008712F5">
        <w:rPr>
          <w:rFonts w:ascii="Times New Roman" w:hAnsi="Times New Roman" w:cs="Times New Roman"/>
          <w:sz w:val="24"/>
          <w:szCs w:val="24"/>
          <w:shd w:val="clear" w:color="auto" w:fill="FCFCFC"/>
        </w:rPr>
        <w:t xml:space="preserve">, M., &amp; von </w:t>
      </w:r>
      <w:proofErr w:type="spellStart"/>
      <w:r w:rsidRPr="008712F5">
        <w:rPr>
          <w:rFonts w:ascii="Times New Roman" w:hAnsi="Times New Roman" w:cs="Times New Roman"/>
          <w:sz w:val="24"/>
          <w:szCs w:val="24"/>
          <w:shd w:val="clear" w:color="auto" w:fill="FCFCFC"/>
        </w:rPr>
        <w:t>Davier</w:t>
      </w:r>
      <w:proofErr w:type="spellEnd"/>
      <w:r w:rsidRPr="008712F5">
        <w:rPr>
          <w:rFonts w:ascii="Times New Roman" w:hAnsi="Times New Roman" w:cs="Times New Roman"/>
          <w:sz w:val="24"/>
          <w:szCs w:val="24"/>
          <w:shd w:val="clear" w:color="auto" w:fill="FCFCFC"/>
        </w:rPr>
        <w:t xml:space="preserve">, M. (2010). International large-scale assessment data: Issues in secondary analysis and reporting. </w:t>
      </w:r>
      <w:r w:rsidRPr="008712F5">
        <w:rPr>
          <w:rFonts w:ascii="Times New Roman" w:hAnsi="Times New Roman" w:cs="Times New Roman"/>
          <w:i/>
          <w:iCs/>
          <w:sz w:val="24"/>
          <w:szCs w:val="24"/>
          <w:shd w:val="clear" w:color="auto" w:fill="FCFCFC"/>
        </w:rPr>
        <w:t>Educational Researcher</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39</w:t>
      </w:r>
      <w:r w:rsidRPr="008712F5">
        <w:rPr>
          <w:rFonts w:ascii="Times New Roman" w:hAnsi="Times New Roman" w:cs="Times New Roman"/>
          <w:sz w:val="24"/>
          <w:szCs w:val="24"/>
          <w:shd w:val="clear" w:color="auto" w:fill="FCFCFC"/>
        </w:rPr>
        <w:t xml:space="preserve">(2), 142–151. </w:t>
      </w:r>
      <w:hyperlink r:id="rId66" w:history="1">
        <w:r w:rsidRPr="008712F5">
          <w:rPr>
            <w:rStyle w:val="Hyperlink"/>
            <w:rFonts w:ascii="Times New Roman" w:hAnsi="Times New Roman" w:cs="Times New Roman"/>
            <w:color w:val="auto"/>
            <w:sz w:val="24"/>
            <w:szCs w:val="24"/>
            <w:shd w:val="clear" w:color="auto" w:fill="FCFCFC"/>
          </w:rPr>
          <w:t>https://doi.org/10.3102%2F0013189X10363170</w:t>
        </w:r>
      </w:hyperlink>
      <w:r w:rsidRPr="008712F5">
        <w:rPr>
          <w:rFonts w:ascii="Times New Roman" w:hAnsi="Times New Roman" w:cs="Times New Roman"/>
          <w:sz w:val="24"/>
          <w:szCs w:val="24"/>
          <w:shd w:val="clear" w:color="auto" w:fill="FCFCFC"/>
        </w:rPr>
        <w:t xml:space="preserve"> </w:t>
      </w:r>
    </w:p>
    <w:p w14:paraId="151403D1"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Schoenfeld, A. H. (2004). The math wars. </w:t>
      </w:r>
      <w:r w:rsidRPr="008712F5">
        <w:rPr>
          <w:rFonts w:ascii="Times New Roman" w:hAnsi="Times New Roman" w:cs="Times New Roman"/>
          <w:i/>
          <w:iCs/>
          <w:sz w:val="24"/>
          <w:szCs w:val="24"/>
          <w:shd w:val="clear" w:color="auto" w:fill="FCFCFC"/>
        </w:rPr>
        <w:t>Educational Policy</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18</w:t>
      </w:r>
      <w:r w:rsidRPr="008712F5">
        <w:rPr>
          <w:rFonts w:ascii="Times New Roman" w:hAnsi="Times New Roman" w:cs="Times New Roman"/>
          <w:sz w:val="24"/>
          <w:szCs w:val="24"/>
          <w:shd w:val="clear" w:color="auto" w:fill="FCFCFC"/>
        </w:rPr>
        <w:t xml:space="preserve">(1), 253–286. </w:t>
      </w:r>
      <w:hyperlink r:id="rId67" w:history="1">
        <w:r w:rsidRPr="008712F5">
          <w:rPr>
            <w:rStyle w:val="Hyperlink"/>
            <w:rFonts w:ascii="Times New Roman" w:hAnsi="Times New Roman" w:cs="Times New Roman"/>
            <w:color w:val="auto"/>
            <w:sz w:val="24"/>
            <w:szCs w:val="24"/>
            <w:shd w:val="clear" w:color="auto" w:fill="FCFCFC"/>
          </w:rPr>
          <w:t>https://doi.org/10.1177%2F0895904803260042</w:t>
        </w:r>
      </w:hyperlink>
      <w:r w:rsidRPr="008712F5">
        <w:rPr>
          <w:rFonts w:ascii="Times New Roman" w:hAnsi="Times New Roman" w:cs="Times New Roman"/>
          <w:sz w:val="24"/>
          <w:szCs w:val="24"/>
          <w:shd w:val="clear" w:color="auto" w:fill="FCFCFC"/>
        </w:rPr>
        <w:t xml:space="preserve"> </w:t>
      </w:r>
    </w:p>
    <w:p w14:paraId="3BE32E03"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Shimizu, Y., &amp; Williams, G. (2013). Studying learners in intercultural contexts. In K. Clements, A. Bishop, J. Kilpatrick, F. Leung, &amp; C. Keitel (Eds.), </w:t>
      </w:r>
      <w:r w:rsidRPr="008712F5">
        <w:rPr>
          <w:rFonts w:ascii="Times New Roman" w:hAnsi="Times New Roman" w:cs="Times New Roman"/>
          <w:i/>
          <w:iCs/>
          <w:sz w:val="24"/>
          <w:szCs w:val="24"/>
          <w:shd w:val="clear" w:color="auto" w:fill="FCFCFC"/>
        </w:rPr>
        <w:t>Third international handbook in mathematics education</w:t>
      </w:r>
      <w:r w:rsidRPr="008712F5">
        <w:rPr>
          <w:rFonts w:ascii="Times New Roman" w:hAnsi="Times New Roman" w:cs="Times New Roman"/>
          <w:sz w:val="24"/>
          <w:szCs w:val="24"/>
          <w:shd w:val="clear" w:color="auto" w:fill="FCFCFC"/>
        </w:rPr>
        <w:t xml:space="preserve"> (pp. 145–167). New York: Springer. </w:t>
      </w:r>
      <w:hyperlink r:id="rId68" w:history="1">
        <w:r w:rsidRPr="008712F5">
          <w:rPr>
            <w:rStyle w:val="Hyperlink"/>
            <w:rFonts w:ascii="Times New Roman" w:hAnsi="Times New Roman" w:cs="Times New Roman"/>
            <w:color w:val="auto"/>
            <w:sz w:val="24"/>
            <w:szCs w:val="24"/>
            <w:shd w:val="clear" w:color="auto" w:fill="FCFCFC"/>
          </w:rPr>
          <w:t>https://doi.org/10.1007/978-1-4614-4684-2_5</w:t>
        </w:r>
      </w:hyperlink>
      <w:r w:rsidRPr="008712F5">
        <w:rPr>
          <w:rFonts w:ascii="Times New Roman" w:hAnsi="Times New Roman" w:cs="Times New Roman"/>
          <w:sz w:val="24"/>
          <w:szCs w:val="24"/>
          <w:shd w:val="clear" w:color="auto" w:fill="FCFCFC"/>
        </w:rPr>
        <w:t xml:space="preserve"> </w:t>
      </w:r>
    </w:p>
    <w:p w14:paraId="1568EEB3"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Sirin, S. R. (2005). Socioeconomic status and academic achievement: A meta-analytic review of research. </w:t>
      </w:r>
      <w:r w:rsidRPr="008712F5">
        <w:rPr>
          <w:rFonts w:ascii="Times New Roman" w:hAnsi="Times New Roman" w:cs="Times New Roman"/>
          <w:i/>
          <w:iCs/>
          <w:sz w:val="24"/>
          <w:szCs w:val="24"/>
          <w:shd w:val="clear" w:color="auto" w:fill="FCFCFC"/>
        </w:rPr>
        <w:t>Review of Educational Research</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75</w:t>
      </w:r>
      <w:r w:rsidRPr="008712F5">
        <w:rPr>
          <w:rFonts w:ascii="Times New Roman" w:hAnsi="Times New Roman" w:cs="Times New Roman"/>
          <w:sz w:val="24"/>
          <w:szCs w:val="24"/>
          <w:shd w:val="clear" w:color="auto" w:fill="FCFCFC"/>
        </w:rPr>
        <w:t xml:space="preserve">(3), 417–453. </w:t>
      </w:r>
      <w:hyperlink r:id="rId69" w:history="1">
        <w:r w:rsidRPr="008712F5">
          <w:rPr>
            <w:rStyle w:val="Hyperlink"/>
            <w:rFonts w:ascii="Times New Roman" w:hAnsi="Times New Roman" w:cs="Times New Roman"/>
            <w:color w:val="auto"/>
            <w:sz w:val="24"/>
            <w:szCs w:val="24"/>
            <w:shd w:val="clear" w:color="auto" w:fill="FCFCFC"/>
          </w:rPr>
          <w:t>https://doi.org/10.3102/00346543075003417</w:t>
        </w:r>
      </w:hyperlink>
      <w:r w:rsidRPr="008712F5">
        <w:rPr>
          <w:rFonts w:ascii="Times New Roman" w:hAnsi="Times New Roman" w:cs="Times New Roman"/>
          <w:sz w:val="24"/>
          <w:szCs w:val="24"/>
          <w:shd w:val="clear" w:color="auto" w:fill="FCFCFC"/>
        </w:rPr>
        <w:t xml:space="preserve"> </w:t>
      </w:r>
    </w:p>
    <w:p w14:paraId="759A190C"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proofErr w:type="spellStart"/>
      <w:r w:rsidRPr="008712F5">
        <w:rPr>
          <w:rFonts w:ascii="Times New Roman" w:hAnsi="Times New Roman" w:cs="Times New Roman"/>
          <w:sz w:val="24"/>
          <w:szCs w:val="24"/>
          <w:shd w:val="clear" w:color="auto" w:fill="FCFCFC"/>
        </w:rPr>
        <w:t>Skemp</w:t>
      </w:r>
      <w:proofErr w:type="spellEnd"/>
      <w:r w:rsidRPr="008712F5">
        <w:rPr>
          <w:rFonts w:ascii="Times New Roman" w:hAnsi="Times New Roman" w:cs="Times New Roman"/>
          <w:sz w:val="24"/>
          <w:szCs w:val="24"/>
          <w:shd w:val="clear" w:color="auto" w:fill="FCFCFC"/>
        </w:rPr>
        <w:t>, R. R. (1976). Relational understanding and instrumental understanding. </w:t>
      </w:r>
      <w:r w:rsidRPr="008712F5">
        <w:rPr>
          <w:rFonts w:ascii="Times New Roman" w:hAnsi="Times New Roman" w:cs="Times New Roman"/>
          <w:i/>
          <w:iCs/>
          <w:sz w:val="24"/>
          <w:szCs w:val="24"/>
          <w:shd w:val="clear" w:color="auto" w:fill="FCFCFC"/>
        </w:rPr>
        <w:t>Mathematics Teaching,</w:t>
      </w:r>
      <w:r w:rsidRPr="008712F5">
        <w:rPr>
          <w:rFonts w:ascii="Times New Roman" w:hAnsi="Times New Roman" w:cs="Times New Roman"/>
          <w:sz w:val="24"/>
          <w:szCs w:val="24"/>
          <w:shd w:val="clear" w:color="auto" w:fill="FCFCFC"/>
        </w:rPr>
        <w:t> </w:t>
      </w:r>
      <w:r w:rsidRPr="008712F5">
        <w:rPr>
          <w:rFonts w:ascii="Times New Roman" w:hAnsi="Times New Roman" w:cs="Times New Roman"/>
          <w:i/>
          <w:iCs/>
          <w:sz w:val="24"/>
          <w:szCs w:val="24"/>
          <w:shd w:val="clear" w:color="auto" w:fill="FCFCFC"/>
        </w:rPr>
        <w:t>77</w:t>
      </w:r>
      <w:r w:rsidRPr="008712F5">
        <w:rPr>
          <w:rFonts w:ascii="Times New Roman" w:hAnsi="Times New Roman" w:cs="Times New Roman"/>
          <w:sz w:val="24"/>
          <w:szCs w:val="24"/>
          <w:shd w:val="clear" w:color="auto" w:fill="FCFCFC"/>
        </w:rPr>
        <w:t>, 20–26.</w:t>
      </w:r>
    </w:p>
    <w:p w14:paraId="33BFE143"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lang w:val="nl-NL"/>
        </w:rPr>
        <w:t xml:space="preserve">Snijders, T. A. B., &amp; Bosker, R. J. (2012). </w:t>
      </w:r>
      <w:r w:rsidRPr="008712F5">
        <w:rPr>
          <w:rFonts w:ascii="Times New Roman" w:hAnsi="Times New Roman" w:cs="Times New Roman"/>
          <w:i/>
          <w:iCs/>
          <w:sz w:val="24"/>
          <w:szCs w:val="24"/>
          <w:shd w:val="clear" w:color="auto" w:fill="FCFCFC"/>
        </w:rPr>
        <w:t xml:space="preserve">Multilevel analysis: An introduction to basic and advanced multilevel </w:t>
      </w:r>
      <w:proofErr w:type="spellStart"/>
      <w:r w:rsidRPr="008712F5">
        <w:rPr>
          <w:rFonts w:ascii="Times New Roman" w:hAnsi="Times New Roman" w:cs="Times New Roman"/>
          <w:i/>
          <w:iCs/>
          <w:sz w:val="24"/>
          <w:szCs w:val="24"/>
          <w:shd w:val="clear" w:color="auto" w:fill="FCFCFC"/>
        </w:rPr>
        <w:t>modeling</w:t>
      </w:r>
      <w:proofErr w:type="spellEnd"/>
      <w:r w:rsidRPr="008712F5">
        <w:rPr>
          <w:rFonts w:ascii="Times New Roman" w:hAnsi="Times New Roman" w:cs="Times New Roman"/>
          <w:sz w:val="24"/>
          <w:szCs w:val="24"/>
          <w:shd w:val="clear" w:color="auto" w:fill="FCFCFC"/>
        </w:rPr>
        <w:t>. Thousand Oaks: Sage.</w:t>
      </w:r>
    </w:p>
    <w:p w14:paraId="6331A393"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Stapleton, L. M., </w:t>
      </w:r>
      <w:proofErr w:type="spellStart"/>
      <w:r w:rsidRPr="008712F5">
        <w:rPr>
          <w:rFonts w:ascii="Times New Roman" w:hAnsi="Times New Roman" w:cs="Times New Roman"/>
          <w:sz w:val="24"/>
          <w:szCs w:val="24"/>
          <w:shd w:val="clear" w:color="auto" w:fill="FCFCFC"/>
        </w:rPr>
        <w:t>McNeish</w:t>
      </w:r>
      <w:proofErr w:type="spellEnd"/>
      <w:r w:rsidRPr="008712F5">
        <w:rPr>
          <w:rFonts w:ascii="Times New Roman" w:hAnsi="Times New Roman" w:cs="Times New Roman"/>
          <w:sz w:val="24"/>
          <w:szCs w:val="24"/>
          <w:shd w:val="clear" w:color="auto" w:fill="FCFCFC"/>
        </w:rPr>
        <w:t xml:space="preserve">, D. M., &amp; Yang, J. S. (2016). Multilevel and single-level models for measured and latent variables when data are clustered. </w:t>
      </w:r>
      <w:r w:rsidRPr="008712F5">
        <w:rPr>
          <w:rFonts w:ascii="Times New Roman" w:hAnsi="Times New Roman" w:cs="Times New Roman"/>
          <w:i/>
          <w:iCs/>
          <w:sz w:val="24"/>
          <w:szCs w:val="24"/>
          <w:shd w:val="clear" w:color="auto" w:fill="FCFCFC"/>
        </w:rPr>
        <w:t>Educational Psychologist</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51</w:t>
      </w:r>
      <w:r w:rsidRPr="008712F5">
        <w:rPr>
          <w:rFonts w:ascii="Times New Roman" w:hAnsi="Times New Roman" w:cs="Times New Roman"/>
          <w:sz w:val="24"/>
          <w:szCs w:val="24"/>
          <w:shd w:val="clear" w:color="auto" w:fill="FCFCFC"/>
        </w:rPr>
        <w:t xml:space="preserve">(3-4), 317–330. </w:t>
      </w:r>
      <w:hyperlink r:id="rId70" w:history="1">
        <w:r w:rsidRPr="008712F5">
          <w:rPr>
            <w:rStyle w:val="Hyperlink"/>
            <w:rFonts w:ascii="Times New Roman" w:hAnsi="Times New Roman" w:cs="Times New Roman"/>
            <w:color w:val="auto"/>
            <w:sz w:val="24"/>
            <w:szCs w:val="24"/>
            <w:shd w:val="clear" w:color="auto" w:fill="FCFCFC"/>
          </w:rPr>
          <w:t>https://doi.org/10.1080/00461520.2016.1207178</w:t>
        </w:r>
      </w:hyperlink>
      <w:r w:rsidRPr="008712F5">
        <w:rPr>
          <w:rFonts w:ascii="Times New Roman" w:hAnsi="Times New Roman" w:cs="Times New Roman"/>
          <w:sz w:val="24"/>
          <w:szCs w:val="24"/>
          <w:shd w:val="clear" w:color="auto" w:fill="FCFCFC"/>
        </w:rPr>
        <w:t xml:space="preserve"> </w:t>
      </w:r>
    </w:p>
    <w:p w14:paraId="025D2F40"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Star, J. R. (2005). Reconceptualizing procedural knowledge. </w:t>
      </w:r>
      <w:r w:rsidRPr="008712F5">
        <w:rPr>
          <w:rFonts w:ascii="Times New Roman" w:hAnsi="Times New Roman" w:cs="Times New Roman"/>
          <w:i/>
          <w:iCs/>
          <w:sz w:val="24"/>
          <w:szCs w:val="24"/>
          <w:shd w:val="clear" w:color="auto" w:fill="FCFCFC"/>
        </w:rPr>
        <w:t>Journal for Research in Mathematics Education,</w:t>
      </w:r>
      <w:r w:rsidRPr="008712F5">
        <w:rPr>
          <w:rFonts w:ascii="Times New Roman" w:hAnsi="Times New Roman" w:cs="Times New Roman"/>
          <w:sz w:val="24"/>
          <w:szCs w:val="24"/>
          <w:shd w:val="clear" w:color="auto" w:fill="FCFCFC"/>
        </w:rPr>
        <w:t> </w:t>
      </w:r>
      <w:r w:rsidRPr="008712F5">
        <w:rPr>
          <w:rFonts w:ascii="Times New Roman" w:hAnsi="Times New Roman" w:cs="Times New Roman"/>
          <w:i/>
          <w:iCs/>
          <w:sz w:val="24"/>
          <w:szCs w:val="24"/>
          <w:shd w:val="clear" w:color="auto" w:fill="FCFCFC"/>
        </w:rPr>
        <w:t>36</w:t>
      </w:r>
      <w:r w:rsidRPr="008712F5">
        <w:rPr>
          <w:rFonts w:ascii="Times New Roman" w:hAnsi="Times New Roman" w:cs="Times New Roman"/>
          <w:sz w:val="24"/>
          <w:szCs w:val="24"/>
          <w:shd w:val="clear" w:color="auto" w:fill="FCFCFC"/>
        </w:rPr>
        <w:t xml:space="preserve">(5), 404–411. </w:t>
      </w:r>
      <w:hyperlink r:id="rId71" w:history="1">
        <w:r w:rsidRPr="008712F5">
          <w:rPr>
            <w:rStyle w:val="Hyperlink"/>
            <w:rFonts w:ascii="Times New Roman" w:hAnsi="Times New Roman" w:cs="Times New Roman"/>
            <w:color w:val="auto"/>
            <w:sz w:val="24"/>
            <w:szCs w:val="24"/>
            <w:shd w:val="clear" w:color="auto" w:fill="FCFCFC"/>
          </w:rPr>
          <w:t>https://doi.org/10.2307/30034943</w:t>
        </w:r>
      </w:hyperlink>
      <w:r w:rsidRPr="008712F5">
        <w:rPr>
          <w:rFonts w:ascii="Times New Roman" w:hAnsi="Times New Roman" w:cs="Times New Roman"/>
          <w:sz w:val="24"/>
          <w:szCs w:val="24"/>
          <w:shd w:val="clear" w:color="auto" w:fill="FCFCFC"/>
        </w:rPr>
        <w:t xml:space="preserve"> </w:t>
      </w:r>
    </w:p>
    <w:p w14:paraId="4BEA4C7E"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Wu, M. (2009). A comparison of PISA and TIMSS 2003 achievement results in mathematics. Prospects, 39, 33–46. </w:t>
      </w:r>
      <w:hyperlink r:id="rId72" w:history="1">
        <w:r w:rsidRPr="008712F5">
          <w:rPr>
            <w:rStyle w:val="Hyperlink"/>
            <w:rFonts w:ascii="Times New Roman" w:hAnsi="Times New Roman" w:cs="Times New Roman"/>
            <w:color w:val="auto"/>
            <w:sz w:val="24"/>
            <w:szCs w:val="24"/>
            <w:shd w:val="clear" w:color="auto" w:fill="FCFCFC"/>
          </w:rPr>
          <w:t>https://doi.org/10.1007/s11125-009-9109-y</w:t>
        </w:r>
      </w:hyperlink>
      <w:r w:rsidRPr="008712F5">
        <w:rPr>
          <w:rFonts w:ascii="Times New Roman" w:hAnsi="Times New Roman" w:cs="Times New Roman"/>
          <w:sz w:val="24"/>
          <w:szCs w:val="24"/>
          <w:shd w:val="clear" w:color="auto" w:fill="FCFCFC"/>
        </w:rPr>
        <w:t xml:space="preserve"> </w:t>
      </w:r>
    </w:p>
    <w:p w14:paraId="768557FD" w14:textId="77777777" w:rsidR="00C8411A" w:rsidRPr="008712F5" w:rsidRDefault="00C8411A" w:rsidP="00C8411A">
      <w:pPr>
        <w:spacing w:line="276" w:lineRule="auto"/>
        <w:ind w:left="284" w:hanging="284"/>
        <w:rPr>
          <w:rFonts w:ascii="Times New Roman" w:hAnsi="Times New Roman" w:cs="Times New Roman"/>
          <w:sz w:val="24"/>
          <w:szCs w:val="24"/>
          <w:shd w:val="clear" w:color="auto" w:fill="FCFCFC"/>
        </w:rPr>
      </w:pPr>
      <w:r w:rsidRPr="008712F5">
        <w:rPr>
          <w:rFonts w:ascii="Times New Roman" w:hAnsi="Times New Roman" w:cs="Times New Roman"/>
          <w:sz w:val="24"/>
          <w:szCs w:val="24"/>
          <w:shd w:val="clear" w:color="auto" w:fill="FCFCFC"/>
        </w:rPr>
        <w:t xml:space="preserve">Wu, Y. J., Carstensen, C. H., &amp; Lee, J. (2020). A new perspective on memorization practices among East Asian students based on PISA 2012. </w:t>
      </w:r>
      <w:r w:rsidRPr="008712F5">
        <w:rPr>
          <w:rFonts w:ascii="Times New Roman" w:hAnsi="Times New Roman" w:cs="Times New Roman"/>
          <w:i/>
          <w:iCs/>
          <w:sz w:val="24"/>
          <w:szCs w:val="24"/>
          <w:shd w:val="clear" w:color="auto" w:fill="FCFCFC"/>
        </w:rPr>
        <w:t>Educational Psychology</w:t>
      </w:r>
      <w:r w:rsidRPr="008712F5">
        <w:rPr>
          <w:rFonts w:ascii="Times New Roman" w:hAnsi="Times New Roman" w:cs="Times New Roman"/>
          <w:sz w:val="24"/>
          <w:szCs w:val="24"/>
          <w:shd w:val="clear" w:color="auto" w:fill="FCFCFC"/>
        </w:rPr>
        <w:t xml:space="preserve">, </w:t>
      </w:r>
      <w:r w:rsidRPr="008712F5">
        <w:rPr>
          <w:rFonts w:ascii="Times New Roman" w:hAnsi="Times New Roman" w:cs="Times New Roman"/>
          <w:i/>
          <w:iCs/>
          <w:sz w:val="24"/>
          <w:szCs w:val="24"/>
          <w:shd w:val="clear" w:color="auto" w:fill="FCFCFC"/>
        </w:rPr>
        <w:t>40</w:t>
      </w:r>
      <w:r w:rsidRPr="008712F5">
        <w:rPr>
          <w:rFonts w:ascii="Times New Roman" w:hAnsi="Times New Roman" w:cs="Times New Roman"/>
          <w:sz w:val="24"/>
          <w:szCs w:val="24"/>
          <w:shd w:val="clear" w:color="auto" w:fill="FCFCFC"/>
        </w:rPr>
        <w:t xml:space="preserve">(5), 643–662. </w:t>
      </w:r>
      <w:hyperlink r:id="rId73" w:history="1">
        <w:r w:rsidRPr="008712F5">
          <w:rPr>
            <w:rStyle w:val="Hyperlink"/>
            <w:rFonts w:ascii="Times New Roman" w:hAnsi="Times New Roman" w:cs="Times New Roman"/>
            <w:color w:val="auto"/>
            <w:sz w:val="24"/>
            <w:szCs w:val="24"/>
            <w:shd w:val="clear" w:color="auto" w:fill="FCFCFC"/>
          </w:rPr>
          <w:t>https://doi.org/10.1080/01443410.2019.1648766</w:t>
        </w:r>
      </w:hyperlink>
      <w:r w:rsidRPr="008712F5">
        <w:rPr>
          <w:rFonts w:ascii="Times New Roman" w:hAnsi="Times New Roman" w:cs="Times New Roman"/>
          <w:sz w:val="24"/>
          <w:szCs w:val="24"/>
          <w:shd w:val="clear" w:color="auto" w:fill="FCFCFC"/>
        </w:rPr>
        <w:t xml:space="preserve"> </w:t>
      </w:r>
    </w:p>
    <w:p w14:paraId="748D6A0F" w14:textId="77777777" w:rsidR="00C8411A" w:rsidRPr="008712F5" w:rsidRDefault="00C8411A" w:rsidP="00C8411A">
      <w:pPr>
        <w:spacing w:line="276" w:lineRule="auto"/>
        <w:ind w:left="284" w:hanging="284"/>
        <w:rPr>
          <w:rFonts w:ascii="Times New Roman" w:hAnsi="Times New Roman" w:cs="Times New Roman"/>
          <w:sz w:val="24"/>
          <w:szCs w:val="24"/>
          <w:lang w:val="en-US"/>
        </w:rPr>
      </w:pPr>
      <w:r w:rsidRPr="008712F5">
        <w:rPr>
          <w:rFonts w:ascii="Times New Roman" w:hAnsi="Times New Roman" w:cs="Times New Roman"/>
          <w:sz w:val="24"/>
          <w:szCs w:val="24"/>
          <w:lang w:val="en-US"/>
        </w:rPr>
        <w:t xml:space="preserve">Zhao, Y. (2017). What works may hurt: Side effects in education. </w:t>
      </w:r>
      <w:r w:rsidRPr="008712F5">
        <w:rPr>
          <w:rFonts w:ascii="Times New Roman" w:hAnsi="Times New Roman" w:cs="Times New Roman"/>
          <w:i/>
          <w:iCs/>
          <w:sz w:val="24"/>
          <w:szCs w:val="24"/>
          <w:lang w:val="en-US"/>
        </w:rPr>
        <w:t>Journal of Educational Change</w:t>
      </w:r>
      <w:r w:rsidRPr="008712F5">
        <w:rPr>
          <w:rFonts w:ascii="Times New Roman" w:hAnsi="Times New Roman" w:cs="Times New Roman"/>
          <w:sz w:val="24"/>
          <w:szCs w:val="24"/>
          <w:lang w:val="en-US"/>
        </w:rPr>
        <w:t xml:space="preserve">, </w:t>
      </w:r>
      <w:r w:rsidRPr="008712F5">
        <w:rPr>
          <w:rFonts w:ascii="Times New Roman" w:hAnsi="Times New Roman" w:cs="Times New Roman"/>
          <w:i/>
          <w:iCs/>
          <w:sz w:val="24"/>
          <w:szCs w:val="24"/>
          <w:lang w:val="en-US"/>
        </w:rPr>
        <w:t>18</w:t>
      </w:r>
      <w:r w:rsidRPr="008712F5">
        <w:rPr>
          <w:rFonts w:ascii="Times New Roman" w:hAnsi="Times New Roman" w:cs="Times New Roman"/>
          <w:sz w:val="24"/>
          <w:szCs w:val="24"/>
          <w:lang w:val="en-US"/>
        </w:rPr>
        <w:t>(1), 1</w:t>
      </w:r>
      <w:r w:rsidRPr="008712F5">
        <w:rPr>
          <w:rFonts w:ascii="Times New Roman" w:hAnsi="Times New Roman" w:cs="Times New Roman"/>
          <w:sz w:val="24"/>
          <w:szCs w:val="24"/>
          <w:shd w:val="clear" w:color="auto" w:fill="FCFCFC"/>
        </w:rPr>
        <w:t>–</w:t>
      </w:r>
      <w:r w:rsidRPr="008712F5">
        <w:rPr>
          <w:rFonts w:ascii="Times New Roman" w:hAnsi="Times New Roman" w:cs="Times New Roman"/>
          <w:sz w:val="24"/>
          <w:szCs w:val="24"/>
          <w:lang w:val="en-US"/>
        </w:rPr>
        <w:t xml:space="preserve">19. </w:t>
      </w:r>
      <w:hyperlink r:id="rId74" w:history="1">
        <w:r w:rsidRPr="008712F5">
          <w:rPr>
            <w:rStyle w:val="Hyperlink"/>
            <w:rFonts w:ascii="Times New Roman" w:hAnsi="Times New Roman" w:cs="Times New Roman"/>
            <w:color w:val="auto"/>
            <w:sz w:val="24"/>
            <w:szCs w:val="24"/>
            <w:lang w:val="en-US"/>
          </w:rPr>
          <w:t>https://doi.org/10.1007/s10833-016-9294-4</w:t>
        </w:r>
      </w:hyperlink>
      <w:r w:rsidRPr="008712F5">
        <w:rPr>
          <w:rFonts w:ascii="Times New Roman" w:hAnsi="Times New Roman" w:cs="Times New Roman"/>
          <w:sz w:val="24"/>
          <w:szCs w:val="24"/>
          <w:lang w:val="en-US"/>
        </w:rPr>
        <w:t xml:space="preserve"> </w:t>
      </w:r>
    </w:p>
    <w:p w14:paraId="702ACA0A" w14:textId="77777777" w:rsidR="00C8411A" w:rsidRPr="008712F5" w:rsidRDefault="00C8411A" w:rsidP="00C8411A">
      <w:pPr>
        <w:spacing w:line="276" w:lineRule="auto"/>
        <w:ind w:left="284" w:hanging="284"/>
        <w:rPr>
          <w:rFonts w:ascii="Times New Roman" w:hAnsi="Times New Roman" w:cs="Times New Roman"/>
          <w:sz w:val="24"/>
          <w:szCs w:val="24"/>
          <w:lang w:val="en-US"/>
        </w:rPr>
      </w:pPr>
      <w:r w:rsidRPr="008712F5">
        <w:rPr>
          <w:rFonts w:ascii="Times New Roman" w:hAnsi="Times New Roman" w:cs="Times New Roman"/>
          <w:sz w:val="24"/>
          <w:szCs w:val="24"/>
          <w:lang w:val="en-US"/>
        </w:rPr>
        <w:t xml:space="preserve">Zhao, Y. (2020). Two decades of havoc: A synthesis of criticism against PISA. </w:t>
      </w:r>
      <w:r w:rsidRPr="008712F5">
        <w:rPr>
          <w:rFonts w:ascii="Times New Roman" w:hAnsi="Times New Roman" w:cs="Times New Roman"/>
          <w:i/>
          <w:iCs/>
          <w:sz w:val="24"/>
          <w:szCs w:val="24"/>
          <w:lang w:val="en-US"/>
        </w:rPr>
        <w:t>Journal of Educational Change</w:t>
      </w:r>
      <w:r w:rsidRPr="008712F5">
        <w:rPr>
          <w:rFonts w:ascii="Times New Roman" w:hAnsi="Times New Roman" w:cs="Times New Roman"/>
          <w:sz w:val="24"/>
          <w:szCs w:val="24"/>
          <w:lang w:val="en-US"/>
        </w:rPr>
        <w:t xml:space="preserve">, </w:t>
      </w:r>
      <w:r w:rsidRPr="008712F5">
        <w:rPr>
          <w:rFonts w:ascii="Times New Roman" w:hAnsi="Times New Roman" w:cs="Times New Roman"/>
          <w:i/>
          <w:iCs/>
          <w:sz w:val="24"/>
          <w:szCs w:val="24"/>
          <w:lang w:val="en-US"/>
        </w:rPr>
        <w:t>21</w:t>
      </w:r>
      <w:r w:rsidRPr="008712F5">
        <w:rPr>
          <w:rFonts w:ascii="Times New Roman" w:hAnsi="Times New Roman" w:cs="Times New Roman"/>
          <w:sz w:val="24"/>
          <w:szCs w:val="24"/>
          <w:lang w:val="en-US"/>
        </w:rPr>
        <w:t>(2), 245</w:t>
      </w:r>
      <w:r w:rsidRPr="008712F5">
        <w:rPr>
          <w:rFonts w:ascii="Times New Roman" w:hAnsi="Times New Roman" w:cs="Times New Roman"/>
          <w:sz w:val="24"/>
          <w:szCs w:val="24"/>
          <w:shd w:val="clear" w:color="auto" w:fill="FCFCFC"/>
        </w:rPr>
        <w:t>–</w:t>
      </w:r>
      <w:r w:rsidRPr="008712F5">
        <w:rPr>
          <w:rFonts w:ascii="Times New Roman" w:hAnsi="Times New Roman" w:cs="Times New Roman"/>
          <w:sz w:val="24"/>
          <w:szCs w:val="24"/>
          <w:lang w:val="en-US"/>
        </w:rPr>
        <w:t xml:space="preserve">266. </w:t>
      </w:r>
      <w:hyperlink r:id="rId75" w:history="1">
        <w:r w:rsidRPr="008712F5">
          <w:rPr>
            <w:rStyle w:val="Hyperlink"/>
            <w:rFonts w:ascii="Times New Roman" w:hAnsi="Times New Roman" w:cs="Times New Roman"/>
            <w:color w:val="auto"/>
            <w:sz w:val="24"/>
            <w:szCs w:val="24"/>
            <w:lang w:val="en-US"/>
          </w:rPr>
          <w:t>https://doi.org/10.1007/s10833-019-09367-x</w:t>
        </w:r>
      </w:hyperlink>
      <w:r w:rsidRPr="008712F5">
        <w:rPr>
          <w:rFonts w:ascii="Times New Roman" w:hAnsi="Times New Roman" w:cs="Times New Roman"/>
          <w:sz w:val="24"/>
          <w:szCs w:val="24"/>
          <w:lang w:val="en-US"/>
        </w:rPr>
        <w:t xml:space="preserve"> </w:t>
      </w:r>
    </w:p>
    <w:p w14:paraId="3495E6EE" w14:textId="77777777" w:rsidR="00C8411A" w:rsidRPr="008712F5" w:rsidRDefault="00C8411A" w:rsidP="00C8411A"/>
    <w:p w14:paraId="24F3EF9C" w14:textId="285566C8" w:rsidR="003621CC" w:rsidRPr="008712F5" w:rsidRDefault="003621CC" w:rsidP="00C8411A">
      <w:pPr>
        <w:spacing w:line="276" w:lineRule="auto"/>
        <w:ind w:left="284" w:hanging="284"/>
        <w:rPr>
          <w:rFonts w:ascii="Times New Roman" w:hAnsi="Times New Roman" w:cs="Times New Roman"/>
          <w:sz w:val="24"/>
          <w:szCs w:val="24"/>
          <w:lang w:val="en-US"/>
        </w:rPr>
      </w:pPr>
    </w:p>
    <w:sectPr w:rsidR="003621CC" w:rsidRPr="008712F5" w:rsidSect="00A15883">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0AA0" w14:textId="77777777" w:rsidR="007311B5" w:rsidRDefault="007311B5" w:rsidP="00301E46">
      <w:r>
        <w:separator/>
      </w:r>
    </w:p>
    <w:p w14:paraId="494A4B7B" w14:textId="77777777" w:rsidR="007311B5" w:rsidRDefault="007311B5"/>
    <w:p w14:paraId="423E7FBB" w14:textId="77777777" w:rsidR="007311B5" w:rsidRDefault="007311B5"/>
  </w:endnote>
  <w:endnote w:type="continuationSeparator" w:id="0">
    <w:p w14:paraId="7159DE74" w14:textId="77777777" w:rsidR="007311B5" w:rsidRDefault="007311B5" w:rsidP="00301E46">
      <w:r>
        <w:continuationSeparator/>
      </w:r>
    </w:p>
    <w:p w14:paraId="1FB7FC35" w14:textId="77777777" w:rsidR="007311B5" w:rsidRDefault="007311B5"/>
    <w:p w14:paraId="70533EAA" w14:textId="77777777" w:rsidR="007311B5" w:rsidRDefault="007311B5"/>
  </w:endnote>
  <w:endnote w:id="1">
    <w:p w14:paraId="67A667B9" w14:textId="4C6EDB71" w:rsidR="008C6AF1" w:rsidRDefault="008C6AF1">
      <w:pPr>
        <w:pStyle w:val="EndnoteText"/>
      </w:pPr>
      <w:r>
        <w:rPr>
          <w:rStyle w:val="EndnoteReference"/>
        </w:rPr>
        <w:endnoteRef/>
      </w:r>
      <w:r>
        <w:t xml:space="preserve"> See </w:t>
      </w:r>
      <w:hyperlink r:id="rId1" w:history="1">
        <w:r w:rsidRPr="004F1B27">
          <w:t>https://www.iea.nl/about</w:t>
        </w:r>
      </w:hyperlink>
      <w:r>
        <w:t xml:space="preserve"> </w:t>
      </w:r>
    </w:p>
  </w:endnote>
  <w:endnote w:id="2">
    <w:p w14:paraId="43F571F2" w14:textId="66AA941D" w:rsidR="003513B0" w:rsidRDefault="003513B0">
      <w:pPr>
        <w:pStyle w:val="EndnoteText"/>
      </w:pPr>
      <w:r w:rsidRPr="004178A0">
        <w:rPr>
          <w:rStyle w:val="EndnoteReference"/>
          <w:color w:val="FF0000"/>
        </w:rPr>
        <w:endnoteRef/>
      </w:r>
      <w:r w:rsidRPr="004178A0">
        <w:rPr>
          <w:color w:val="FF0000"/>
        </w:rPr>
        <w:t xml:space="preserve"> See </w:t>
      </w:r>
      <w:hyperlink r:id="rId2" w:history="1">
        <w:r w:rsidRPr="004178A0">
          <w:rPr>
            <w:color w:val="FF0000"/>
          </w:rPr>
          <w:t>https://timssandpirls.bc.edu/timss2019/methods/pdf/T19_MP_Ch3-sample-design.pdf</w:t>
        </w:r>
      </w:hyperlink>
      <w:r w:rsidRPr="004178A0">
        <w:rPr>
          <w:color w:val="FF0000"/>
        </w:rPr>
        <w:t xml:space="preserve"> for more details on the sampling design.</w:t>
      </w:r>
    </w:p>
  </w:endnote>
  <w:endnote w:id="3">
    <w:p w14:paraId="26EA9DEA" w14:textId="427587D0" w:rsidR="003B053F" w:rsidRDefault="003B053F">
      <w:pPr>
        <w:pStyle w:val="EndnoteText"/>
      </w:pPr>
      <w:r w:rsidRPr="003B053F">
        <w:rPr>
          <w:rStyle w:val="EndnoteReference"/>
          <w:color w:val="FF0000"/>
        </w:rPr>
        <w:endnoteRef/>
      </w:r>
      <w:r w:rsidRPr="003B053F">
        <w:rPr>
          <w:color w:val="FF0000"/>
        </w:rPr>
        <w:t xml:space="preserve"> </w:t>
      </w:r>
      <w:r w:rsidR="00176551">
        <w:rPr>
          <w:color w:val="FF0000"/>
        </w:rPr>
        <w:t>The</w:t>
      </w:r>
      <w:r w:rsidRPr="003B053F">
        <w:rPr>
          <w:color w:val="FF0000"/>
        </w:rPr>
        <w:t xml:space="preserve"> use of MATWGT at level 2 corresponds with the recommendations by Mang et al. (2021).</w:t>
      </w:r>
    </w:p>
  </w:endnote>
  <w:endnote w:id="4">
    <w:p w14:paraId="540C2381" w14:textId="65EB6751" w:rsidR="00DB0FE6" w:rsidRPr="00DB0FE6" w:rsidRDefault="00DB0FE6">
      <w:pPr>
        <w:pStyle w:val="EndnoteText"/>
        <w:rPr>
          <w:color w:val="FF0000"/>
        </w:rPr>
      </w:pPr>
      <w:r w:rsidRPr="0037372A">
        <w:rPr>
          <w:rStyle w:val="EndnoteReference"/>
          <w:color w:val="FF0000"/>
        </w:rPr>
        <w:endnoteRef/>
      </w:r>
      <w:r w:rsidRPr="0037372A">
        <w:rPr>
          <w:color w:val="FF0000"/>
        </w:rPr>
        <w:t xml:space="preserve"> </w:t>
      </w:r>
      <w:r w:rsidR="0037372A" w:rsidRPr="0037372A">
        <w:rPr>
          <w:color w:val="FF0000"/>
        </w:rPr>
        <w:t>The c</w:t>
      </w:r>
      <w:r w:rsidRPr="0037372A">
        <w:rPr>
          <w:color w:val="FF0000"/>
        </w:rPr>
        <w:t xml:space="preserve">ontext </w:t>
      </w:r>
      <w:r w:rsidRPr="00DB0FE6">
        <w:rPr>
          <w:color w:val="FF0000"/>
        </w:rPr>
        <w:t xml:space="preserve">questionnaires can be found at </w:t>
      </w:r>
      <w:hyperlink r:id="rId3" w:history="1">
        <w:r w:rsidRPr="00DB0FE6">
          <w:rPr>
            <w:color w:val="FF0000"/>
          </w:rPr>
          <w:t>https://timssandpirls.bc.edu/timss2019/questionnaires/index.html</w:t>
        </w:r>
      </w:hyperlink>
      <w:r w:rsidRPr="00DB0FE6">
        <w:rPr>
          <w:color w:val="FF0000"/>
        </w:rPr>
        <w:t xml:space="preserve"> </w:t>
      </w:r>
    </w:p>
  </w:endnote>
  <w:endnote w:id="5">
    <w:p w14:paraId="67BAC72D" w14:textId="6A35DFBA" w:rsidR="00123C75" w:rsidRPr="004A595A" w:rsidRDefault="00123C75">
      <w:pPr>
        <w:pStyle w:val="EndnoteText"/>
        <w:rPr>
          <w:color w:val="FF0000"/>
        </w:rPr>
      </w:pPr>
      <w:r>
        <w:rPr>
          <w:rStyle w:val="EndnoteReference"/>
        </w:rPr>
        <w:endnoteRef/>
      </w:r>
      <w:r>
        <w:t xml:space="preserve"> </w:t>
      </w:r>
      <w:r w:rsidRPr="00123C75">
        <w:t xml:space="preserve">Note that from these questionnaire items BTBM15F was not easy to fit in that description, as the text seemed quite ambiguous. Does ‘Work problems together in the whole class with direct guidance from me’ refer to </w:t>
      </w:r>
      <w:r>
        <w:t xml:space="preserve">multiple </w:t>
      </w:r>
      <w:r w:rsidRPr="00123C75">
        <w:t>students actively working</w:t>
      </w:r>
      <w:r>
        <w:t xml:space="preserve"> on problems together, or are they working on their own, together in one classroom, under the guidance of the teacher?</w:t>
      </w:r>
      <w:r w:rsidR="004A595A">
        <w:t xml:space="preserve"> </w:t>
      </w:r>
      <w:r w:rsidR="004A595A" w:rsidRPr="004A595A">
        <w:rPr>
          <w:color w:val="FF0000"/>
        </w:rPr>
        <w:t>This might also explain the only just acceptable, but lower alpha value.</w:t>
      </w:r>
    </w:p>
  </w:endnote>
  <w:endnote w:id="6">
    <w:p w14:paraId="04E22C0E" w14:textId="599CD5BE" w:rsidR="00BD09CD" w:rsidRDefault="00BD09CD">
      <w:pPr>
        <w:pStyle w:val="EndnoteText"/>
      </w:pPr>
      <w:r w:rsidRPr="00BD09CD">
        <w:rPr>
          <w:rStyle w:val="EndnoteReference"/>
          <w:color w:val="FF0000"/>
        </w:rPr>
        <w:endnoteRef/>
      </w:r>
      <w:r w:rsidRPr="00BD09CD">
        <w:rPr>
          <w:color w:val="FF0000"/>
        </w:rPr>
        <w:t xml:space="preserve"> To not have to communicate the rather lengthy scale name, we refer to this scale with variations of limitations/barriers to teaching/instruction.</w:t>
      </w:r>
    </w:p>
  </w:endnote>
  <w:endnote w:id="7">
    <w:p w14:paraId="4F6E05DA" w14:textId="18F93671" w:rsidR="003B558C" w:rsidRDefault="003B558C">
      <w:pPr>
        <w:pStyle w:val="EndnoteText"/>
      </w:pPr>
      <w:r w:rsidRPr="003B558C">
        <w:rPr>
          <w:rStyle w:val="EndnoteReference"/>
          <w:color w:val="FF0000"/>
        </w:rPr>
        <w:endnoteRef/>
      </w:r>
      <w:r w:rsidRPr="003B558C">
        <w:rPr>
          <w:color w:val="FF0000"/>
        </w:rPr>
        <w:t xml:space="preserve"> Note that the model results for Ireland, New Zealand and Malaysia did not converge and therefore are not in the table. Only descriptive statistics for Malaysia were included in Table II because of the East Asian focus of the paper.</w:t>
      </w:r>
    </w:p>
  </w:endnote>
  <w:endnote w:id="8">
    <w:p w14:paraId="3A7E52F0" w14:textId="5C91E229" w:rsidR="00CA389E" w:rsidRDefault="00CA389E">
      <w:pPr>
        <w:pStyle w:val="EndnoteText"/>
      </w:pPr>
      <w:r w:rsidRPr="00CA389E">
        <w:rPr>
          <w:rStyle w:val="EndnoteReference"/>
          <w:color w:val="FF0000"/>
        </w:rPr>
        <w:endnoteRef/>
      </w:r>
      <w:r w:rsidRPr="00CA389E">
        <w:rPr>
          <w:color w:val="FF0000"/>
        </w:rPr>
        <w:t xml:space="preserve"> The betas are small here because the instructional time was measured in minutes, so the betas represent the change in mathematics achievement with an increase of one minute.</w:t>
      </w:r>
    </w:p>
  </w:endnote>
  <w:endnote w:id="9">
    <w:p w14:paraId="4C6F9135" w14:textId="63D909D2" w:rsidR="008C6AF1" w:rsidRDefault="008C6AF1">
      <w:pPr>
        <w:pStyle w:val="EndnoteText"/>
      </w:pPr>
      <w:r>
        <w:rPr>
          <w:rStyle w:val="EndnoteReference"/>
        </w:rPr>
        <w:endnoteRef/>
      </w:r>
      <w:r>
        <w:t xml:space="preserve"> See </w:t>
      </w:r>
      <w:hyperlink r:id="rId4" w:history="1">
        <w:r w:rsidRPr="00370AC0">
          <w:t>https://osf.io/</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6B38" w14:textId="77777777" w:rsidR="007311B5" w:rsidRDefault="007311B5" w:rsidP="00301E46">
      <w:r>
        <w:separator/>
      </w:r>
    </w:p>
    <w:p w14:paraId="2B8701E9" w14:textId="77777777" w:rsidR="007311B5" w:rsidRDefault="007311B5"/>
    <w:p w14:paraId="756114D1" w14:textId="77777777" w:rsidR="007311B5" w:rsidRDefault="007311B5"/>
  </w:footnote>
  <w:footnote w:type="continuationSeparator" w:id="0">
    <w:p w14:paraId="4FD87BC9" w14:textId="77777777" w:rsidR="007311B5" w:rsidRDefault="007311B5" w:rsidP="00301E46">
      <w:r>
        <w:continuationSeparator/>
      </w:r>
    </w:p>
    <w:p w14:paraId="3F11B0A0" w14:textId="77777777" w:rsidR="007311B5" w:rsidRDefault="007311B5"/>
    <w:p w14:paraId="24B1C577" w14:textId="77777777" w:rsidR="007311B5" w:rsidRDefault="00731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40B1" w14:textId="62E1CA82" w:rsidR="00283C1A" w:rsidRDefault="00283C1A">
    <w:pPr>
      <w:pStyle w:val="Header"/>
    </w:pPr>
    <w:r>
      <w:tab/>
    </w:r>
    <w:r>
      <w:tab/>
    </w:r>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p>
  <w:p w14:paraId="5CA0EA0D" w14:textId="77777777" w:rsidR="002B5672" w:rsidRDefault="002B5672"/>
  <w:p w14:paraId="44B85E8B" w14:textId="77777777" w:rsidR="005710C5" w:rsidRDefault="005710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B235B"/>
    <w:multiLevelType w:val="hybridMultilevel"/>
    <w:tmpl w:val="A6C087D4"/>
    <w:lvl w:ilvl="0" w:tplc="72886950">
      <w:start w:val="1"/>
      <w:numFmt w:val="decimal"/>
      <w:lvlText w:val="RQ%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920CE"/>
    <w:multiLevelType w:val="hybridMultilevel"/>
    <w:tmpl w:val="69262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2A450D"/>
    <w:multiLevelType w:val="hybridMultilevel"/>
    <w:tmpl w:val="8E527476"/>
    <w:lvl w:ilvl="0" w:tplc="FFFFFFFF">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C0D9B"/>
    <w:multiLevelType w:val="hybridMultilevel"/>
    <w:tmpl w:val="98F2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87"/>
    <w:rsid w:val="00001D7C"/>
    <w:rsid w:val="00001EFD"/>
    <w:rsid w:val="000233CA"/>
    <w:rsid w:val="00040473"/>
    <w:rsid w:val="00047102"/>
    <w:rsid w:val="00047E5E"/>
    <w:rsid w:val="00060571"/>
    <w:rsid w:val="00063677"/>
    <w:rsid w:val="000663A3"/>
    <w:rsid w:val="00071B85"/>
    <w:rsid w:val="000758DD"/>
    <w:rsid w:val="00084437"/>
    <w:rsid w:val="000B3035"/>
    <w:rsid w:val="000B4F56"/>
    <w:rsid w:val="000C6D28"/>
    <w:rsid w:val="000D5847"/>
    <w:rsid w:val="000D7610"/>
    <w:rsid w:val="000E42DC"/>
    <w:rsid w:val="000E6A74"/>
    <w:rsid w:val="000F1444"/>
    <w:rsid w:val="000F6707"/>
    <w:rsid w:val="0010174A"/>
    <w:rsid w:val="0011302A"/>
    <w:rsid w:val="00117EFE"/>
    <w:rsid w:val="00123C75"/>
    <w:rsid w:val="001251CB"/>
    <w:rsid w:val="001312D3"/>
    <w:rsid w:val="001319DB"/>
    <w:rsid w:val="00137BD2"/>
    <w:rsid w:val="00140AA0"/>
    <w:rsid w:val="00142442"/>
    <w:rsid w:val="001435FB"/>
    <w:rsid w:val="00146686"/>
    <w:rsid w:val="0015395C"/>
    <w:rsid w:val="0015690F"/>
    <w:rsid w:val="00166997"/>
    <w:rsid w:val="0017407E"/>
    <w:rsid w:val="00176551"/>
    <w:rsid w:val="001845E9"/>
    <w:rsid w:val="00185117"/>
    <w:rsid w:val="001A0F41"/>
    <w:rsid w:val="001A4095"/>
    <w:rsid w:val="001A6747"/>
    <w:rsid w:val="001B1A6D"/>
    <w:rsid w:val="001B6175"/>
    <w:rsid w:val="001C27D9"/>
    <w:rsid w:val="001D148C"/>
    <w:rsid w:val="001E0D2D"/>
    <w:rsid w:val="001E4444"/>
    <w:rsid w:val="001F0AFE"/>
    <w:rsid w:val="001F6E35"/>
    <w:rsid w:val="00213FE7"/>
    <w:rsid w:val="002312F5"/>
    <w:rsid w:val="0023161D"/>
    <w:rsid w:val="00237E87"/>
    <w:rsid w:val="00240A4D"/>
    <w:rsid w:val="00250CBD"/>
    <w:rsid w:val="0025127A"/>
    <w:rsid w:val="00251EB7"/>
    <w:rsid w:val="002527F4"/>
    <w:rsid w:val="00252CE1"/>
    <w:rsid w:val="00283473"/>
    <w:rsid w:val="00283C1A"/>
    <w:rsid w:val="0028464C"/>
    <w:rsid w:val="002B5672"/>
    <w:rsid w:val="002C2015"/>
    <w:rsid w:val="002C21FB"/>
    <w:rsid w:val="002F673B"/>
    <w:rsid w:val="00301E46"/>
    <w:rsid w:val="00311E40"/>
    <w:rsid w:val="0031764C"/>
    <w:rsid w:val="00320452"/>
    <w:rsid w:val="00322779"/>
    <w:rsid w:val="0034452D"/>
    <w:rsid w:val="00346AE5"/>
    <w:rsid w:val="00350319"/>
    <w:rsid w:val="003513B0"/>
    <w:rsid w:val="003540BE"/>
    <w:rsid w:val="00354216"/>
    <w:rsid w:val="00354FD7"/>
    <w:rsid w:val="003621CC"/>
    <w:rsid w:val="00365F2A"/>
    <w:rsid w:val="0037372A"/>
    <w:rsid w:val="003751C5"/>
    <w:rsid w:val="00382F8D"/>
    <w:rsid w:val="00387377"/>
    <w:rsid w:val="00387E1C"/>
    <w:rsid w:val="00397B7F"/>
    <w:rsid w:val="003A3BA8"/>
    <w:rsid w:val="003A69B1"/>
    <w:rsid w:val="003B053F"/>
    <w:rsid w:val="003B38CB"/>
    <w:rsid w:val="003B4574"/>
    <w:rsid w:val="003B558C"/>
    <w:rsid w:val="003B6D6C"/>
    <w:rsid w:val="003B77F0"/>
    <w:rsid w:val="003C2641"/>
    <w:rsid w:val="003C6FB8"/>
    <w:rsid w:val="003D1805"/>
    <w:rsid w:val="003D3533"/>
    <w:rsid w:val="003D5125"/>
    <w:rsid w:val="003E191A"/>
    <w:rsid w:val="003E54AA"/>
    <w:rsid w:val="003E6810"/>
    <w:rsid w:val="003F69A8"/>
    <w:rsid w:val="004178A0"/>
    <w:rsid w:val="00423C40"/>
    <w:rsid w:val="004242AC"/>
    <w:rsid w:val="00427559"/>
    <w:rsid w:val="00430883"/>
    <w:rsid w:val="0043441D"/>
    <w:rsid w:val="004344AF"/>
    <w:rsid w:val="0043464D"/>
    <w:rsid w:val="00446E31"/>
    <w:rsid w:val="00451F66"/>
    <w:rsid w:val="0045515F"/>
    <w:rsid w:val="00475E4A"/>
    <w:rsid w:val="00475FCC"/>
    <w:rsid w:val="00494437"/>
    <w:rsid w:val="00496730"/>
    <w:rsid w:val="004A595A"/>
    <w:rsid w:val="004A66F6"/>
    <w:rsid w:val="004C1989"/>
    <w:rsid w:val="004D2143"/>
    <w:rsid w:val="004D4DCF"/>
    <w:rsid w:val="004D560C"/>
    <w:rsid w:val="004D6766"/>
    <w:rsid w:val="004E0A45"/>
    <w:rsid w:val="004E1DA6"/>
    <w:rsid w:val="004E1EB7"/>
    <w:rsid w:val="004F25EE"/>
    <w:rsid w:val="004F5E55"/>
    <w:rsid w:val="0050185F"/>
    <w:rsid w:val="00502BF5"/>
    <w:rsid w:val="00505886"/>
    <w:rsid w:val="005067B5"/>
    <w:rsid w:val="00513E0E"/>
    <w:rsid w:val="00514857"/>
    <w:rsid w:val="005241DD"/>
    <w:rsid w:val="0053014E"/>
    <w:rsid w:val="00535B87"/>
    <w:rsid w:val="00536FB2"/>
    <w:rsid w:val="005438C7"/>
    <w:rsid w:val="00554DAD"/>
    <w:rsid w:val="00555EBC"/>
    <w:rsid w:val="00557B73"/>
    <w:rsid w:val="00561273"/>
    <w:rsid w:val="00565344"/>
    <w:rsid w:val="005710C5"/>
    <w:rsid w:val="00577D92"/>
    <w:rsid w:val="00595689"/>
    <w:rsid w:val="00595B9F"/>
    <w:rsid w:val="005A00D5"/>
    <w:rsid w:val="005A25B4"/>
    <w:rsid w:val="005A45F8"/>
    <w:rsid w:val="005A4A98"/>
    <w:rsid w:val="005A64E5"/>
    <w:rsid w:val="005C7198"/>
    <w:rsid w:val="005E088B"/>
    <w:rsid w:val="005E28A5"/>
    <w:rsid w:val="005E3603"/>
    <w:rsid w:val="005E70E4"/>
    <w:rsid w:val="005F2B0D"/>
    <w:rsid w:val="005F4CFD"/>
    <w:rsid w:val="006026D6"/>
    <w:rsid w:val="00612A8F"/>
    <w:rsid w:val="00622A80"/>
    <w:rsid w:val="00624793"/>
    <w:rsid w:val="00624BD2"/>
    <w:rsid w:val="006314D5"/>
    <w:rsid w:val="00631C27"/>
    <w:rsid w:val="006358BC"/>
    <w:rsid w:val="006402FB"/>
    <w:rsid w:val="00641051"/>
    <w:rsid w:val="00651A61"/>
    <w:rsid w:val="00667C46"/>
    <w:rsid w:val="006722D5"/>
    <w:rsid w:val="00676F8F"/>
    <w:rsid w:val="006812A6"/>
    <w:rsid w:val="00681BBC"/>
    <w:rsid w:val="00687CF7"/>
    <w:rsid w:val="00690EBA"/>
    <w:rsid w:val="00695941"/>
    <w:rsid w:val="006A24FA"/>
    <w:rsid w:val="006A7B17"/>
    <w:rsid w:val="006C2F3D"/>
    <w:rsid w:val="006D3639"/>
    <w:rsid w:val="006D73AB"/>
    <w:rsid w:val="006E0E12"/>
    <w:rsid w:val="006F295C"/>
    <w:rsid w:val="00711321"/>
    <w:rsid w:val="007135BB"/>
    <w:rsid w:val="00713863"/>
    <w:rsid w:val="007304A9"/>
    <w:rsid w:val="007311B5"/>
    <w:rsid w:val="00733E76"/>
    <w:rsid w:val="00740369"/>
    <w:rsid w:val="00757F2F"/>
    <w:rsid w:val="00760A71"/>
    <w:rsid w:val="00764A2D"/>
    <w:rsid w:val="00777AB0"/>
    <w:rsid w:val="00777B61"/>
    <w:rsid w:val="00785499"/>
    <w:rsid w:val="00787E7C"/>
    <w:rsid w:val="007A3AA6"/>
    <w:rsid w:val="007A61BC"/>
    <w:rsid w:val="007A768E"/>
    <w:rsid w:val="007B7061"/>
    <w:rsid w:val="007C2F03"/>
    <w:rsid w:val="007C3030"/>
    <w:rsid w:val="007C601D"/>
    <w:rsid w:val="007D0C3E"/>
    <w:rsid w:val="007D4E67"/>
    <w:rsid w:val="007D6A86"/>
    <w:rsid w:val="007E0219"/>
    <w:rsid w:val="007E14E0"/>
    <w:rsid w:val="007E223D"/>
    <w:rsid w:val="007E26C9"/>
    <w:rsid w:val="007E3C24"/>
    <w:rsid w:val="007F05E8"/>
    <w:rsid w:val="00802921"/>
    <w:rsid w:val="00802B85"/>
    <w:rsid w:val="0080553F"/>
    <w:rsid w:val="00806A64"/>
    <w:rsid w:val="00806BF2"/>
    <w:rsid w:val="00815548"/>
    <w:rsid w:val="008207DA"/>
    <w:rsid w:val="00826079"/>
    <w:rsid w:val="00832020"/>
    <w:rsid w:val="00842057"/>
    <w:rsid w:val="00846834"/>
    <w:rsid w:val="008534B3"/>
    <w:rsid w:val="008562D9"/>
    <w:rsid w:val="00861CAE"/>
    <w:rsid w:val="0086307C"/>
    <w:rsid w:val="00863A81"/>
    <w:rsid w:val="008712F5"/>
    <w:rsid w:val="008769C4"/>
    <w:rsid w:val="00882B9F"/>
    <w:rsid w:val="008A159D"/>
    <w:rsid w:val="008A363E"/>
    <w:rsid w:val="008A39DF"/>
    <w:rsid w:val="008A5393"/>
    <w:rsid w:val="008B6E93"/>
    <w:rsid w:val="008C4582"/>
    <w:rsid w:val="008C506E"/>
    <w:rsid w:val="008C6AF1"/>
    <w:rsid w:val="008D4F33"/>
    <w:rsid w:val="008E0166"/>
    <w:rsid w:val="008F4487"/>
    <w:rsid w:val="008F47EE"/>
    <w:rsid w:val="009028A6"/>
    <w:rsid w:val="00903F8F"/>
    <w:rsid w:val="009142C0"/>
    <w:rsid w:val="00915859"/>
    <w:rsid w:val="00917881"/>
    <w:rsid w:val="00923D21"/>
    <w:rsid w:val="00926788"/>
    <w:rsid w:val="009272FA"/>
    <w:rsid w:val="00932728"/>
    <w:rsid w:val="00935131"/>
    <w:rsid w:val="00935AFD"/>
    <w:rsid w:val="00946433"/>
    <w:rsid w:val="00953A67"/>
    <w:rsid w:val="009567EC"/>
    <w:rsid w:val="009702E3"/>
    <w:rsid w:val="0098375D"/>
    <w:rsid w:val="00984531"/>
    <w:rsid w:val="009A3454"/>
    <w:rsid w:val="009A40EF"/>
    <w:rsid w:val="009A7ACF"/>
    <w:rsid w:val="009B03B9"/>
    <w:rsid w:val="009B4D51"/>
    <w:rsid w:val="009C2600"/>
    <w:rsid w:val="009E459F"/>
    <w:rsid w:val="009E7686"/>
    <w:rsid w:val="009F08DF"/>
    <w:rsid w:val="009F37D9"/>
    <w:rsid w:val="009F55B9"/>
    <w:rsid w:val="009F6E8D"/>
    <w:rsid w:val="00A01375"/>
    <w:rsid w:val="00A05AB0"/>
    <w:rsid w:val="00A11465"/>
    <w:rsid w:val="00A13DC7"/>
    <w:rsid w:val="00A1564A"/>
    <w:rsid w:val="00A15883"/>
    <w:rsid w:val="00A32341"/>
    <w:rsid w:val="00A347BA"/>
    <w:rsid w:val="00A3773D"/>
    <w:rsid w:val="00A37F9A"/>
    <w:rsid w:val="00A43F2E"/>
    <w:rsid w:val="00A5317C"/>
    <w:rsid w:val="00A726EC"/>
    <w:rsid w:val="00A81BA8"/>
    <w:rsid w:val="00A85452"/>
    <w:rsid w:val="00A86247"/>
    <w:rsid w:val="00A95C36"/>
    <w:rsid w:val="00AA0F62"/>
    <w:rsid w:val="00AA14B6"/>
    <w:rsid w:val="00AA4112"/>
    <w:rsid w:val="00AB7ED0"/>
    <w:rsid w:val="00AD239D"/>
    <w:rsid w:val="00AD508E"/>
    <w:rsid w:val="00AD6BE4"/>
    <w:rsid w:val="00AD7E66"/>
    <w:rsid w:val="00B0081F"/>
    <w:rsid w:val="00B01428"/>
    <w:rsid w:val="00B134BD"/>
    <w:rsid w:val="00B22CCD"/>
    <w:rsid w:val="00B26BAC"/>
    <w:rsid w:val="00B27460"/>
    <w:rsid w:val="00B41288"/>
    <w:rsid w:val="00B50BE0"/>
    <w:rsid w:val="00B54E0C"/>
    <w:rsid w:val="00B61CBA"/>
    <w:rsid w:val="00B81ABE"/>
    <w:rsid w:val="00B904E4"/>
    <w:rsid w:val="00BA0C2B"/>
    <w:rsid w:val="00BA78BF"/>
    <w:rsid w:val="00BB178E"/>
    <w:rsid w:val="00BB1D46"/>
    <w:rsid w:val="00BB4139"/>
    <w:rsid w:val="00BB67AE"/>
    <w:rsid w:val="00BC1175"/>
    <w:rsid w:val="00BC1E5B"/>
    <w:rsid w:val="00BC3033"/>
    <w:rsid w:val="00BC402C"/>
    <w:rsid w:val="00BC45D6"/>
    <w:rsid w:val="00BD09CD"/>
    <w:rsid w:val="00BD48C2"/>
    <w:rsid w:val="00BD74E1"/>
    <w:rsid w:val="00BE100E"/>
    <w:rsid w:val="00BE212A"/>
    <w:rsid w:val="00BE2FE2"/>
    <w:rsid w:val="00BE63C5"/>
    <w:rsid w:val="00BE7A17"/>
    <w:rsid w:val="00BF2250"/>
    <w:rsid w:val="00C0626E"/>
    <w:rsid w:val="00C0640E"/>
    <w:rsid w:val="00C24722"/>
    <w:rsid w:val="00C26865"/>
    <w:rsid w:val="00C355A3"/>
    <w:rsid w:val="00C35C2B"/>
    <w:rsid w:val="00C510A4"/>
    <w:rsid w:val="00C52D37"/>
    <w:rsid w:val="00C70BF6"/>
    <w:rsid w:val="00C73853"/>
    <w:rsid w:val="00C80B64"/>
    <w:rsid w:val="00C8411A"/>
    <w:rsid w:val="00C92020"/>
    <w:rsid w:val="00C93E17"/>
    <w:rsid w:val="00C97E6C"/>
    <w:rsid w:val="00CA389E"/>
    <w:rsid w:val="00CA47C6"/>
    <w:rsid w:val="00CA4F42"/>
    <w:rsid w:val="00CB0079"/>
    <w:rsid w:val="00CB5784"/>
    <w:rsid w:val="00CB6619"/>
    <w:rsid w:val="00CC27ED"/>
    <w:rsid w:val="00CD3104"/>
    <w:rsid w:val="00CD6DCA"/>
    <w:rsid w:val="00CE5410"/>
    <w:rsid w:val="00CF41BD"/>
    <w:rsid w:val="00D00639"/>
    <w:rsid w:val="00D00BD6"/>
    <w:rsid w:val="00D04DB9"/>
    <w:rsid w:val="00D1040A"/>
    <w:rsid w:val="00D16B4D"/>
    <w:rsid w:val="00D23236"/>
    <w:rsid w:val="00D40C31"/>
    <w:rsid w:val="00D47D74"/>
    <w:rsid w:val="00D52F55"/>
    <w:rsid w:val="00D52F8C"/>
    <w:rsid w:val="00D56B7E"/>
    <w:rsid w:val="00D60617"/>
    <w:rsid w:val="00D66C0B"/>
    <w:rsid w:val="00D86E36"/>
    <w:rsid w:val="00D952D6"/>
    <w:rsid w:val="00D97FA6"/>
    <w:rsid w:val="00DA0E6D"/>
    <w:rsid w:val="00DB0FE6"/>
    <w:rsid w:val="00DB45F1"/>
    <w:rsid w:val="00DB7D7F"/>
    <w:rsid w:val="00DC04F9"/>
    <w:rsid w:val="00DC1011"/>
    <w:rsid w:val="00DC22E1"/>
    <w:rsid w:val="00DC38DC"/>
    <w:rsid w:val="00DC40CA"/>
    <w:rsid w:val="00DC4A78"/>
    <w:rsid w:val="00DE36CF"/>
    <w:rsid w:val="00DE4E97"/>
    <w:rsid w:val="00DE77BF"/>
    <w:rsid w:val="00DF4D26"/>
    <w:rsid w:val="00DF5AE1"/>
    <w:rsid w:val="00E02644"/>
    <w:rsid w:val="00E13330"/>
    <w:rsid w:val="00E17187"/>
    <w:rsid w:val="00E175AF"/>
    <w:rsid w:val="00E26587"/>
    <w:rsid w:val="00E316F7"/>
    <w:rsid w:val="00E43911"/>
    <w:rsid w:val="00E67AD3"/>
    <w:rsid w:val="00E70062"/>
    <w:rsid w:val="00E835A2"/>
    <w:rsid w:val="00EA0248"/>
    <w:rsid w:val="00EB0506"/>
    <w:rsid w:val="00EB54B0"/>
    <w:rsid w:val="00EB62B7"/>
    <w:rsid w:val="00EB649C"/>
    <w:rsid w:val="00EC7249"/>
    <w:rsid w:val="00ED706E"/>
    <w:rsid w:val="00EE4750"/>
    <w:rsid w:val="00EE7AFD"/>
    <w:rsid w:val="00EF601F"/>
    <w:rsid w:val="00F121B2"/>
    <w:rsid w:val="00F12CC8"/>
    <w:rsid w:val="00F220A6"/>
    <w:rsid w:val="00F23D41"/>
    <w:rsid w:val="00F33289"/>
    <w:rsid w:val="00F36B70"/>
    <w:rsid w:val="00F40412"/>
    <w:rsid w:val="00F4387D"/>
    <w:rsid w:val="00F45727"/>
    <w:rsid w:val="00F46289"/>
    <w:rsid w:val="00F52178"/>
    <w:rsid w:val="00F53376"/>
    <w:rsid w:val="00F57077"/>
    <w:rsid w:val="00F8011B"/>
    <w:rsid w:val="00F9549D"/>
    <w:rsid w:val="00FA0B63"/>
    <w:rsid w:val="00FA5080"/>
    <w:rsid w:val="00FA7418"/>
    <w:rsid w:val="00FC3844"/>
    <w:rsid w:val="00FD3970"/>
    <w:rsid w:val="00FD6B94"/>
    <w:rsid w:val="00FE3D40"/>
    <w:rsid w:val="00FE6FFB"/>
    <w:rsid w:val="00FF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E68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3D40"/>
    <w:pPr>
      <w:spacing w:after="160" w:line="276" w:lineRule="auto"/>
      <w:outlineLvl w:val="1"/>
    </w:pPr>
    <w:rPr>
      <w:rFonts w:ascii="Times New Roman" w:hAnsi="Times New Roman" w:cs="Times New Roman"/>
      <w:b/>
      <w:bCs/>
      <w:sz w:val="28"/>
      <w:szCs w:val="28"/>
    </w:rPr>
  </w:style>
  <w:style w:type="paragraph" w:styleId="Heading3">
    <w:name w:val="heading 3"/>
    <w:basedOn w:val="ICMEHeading3"/>
    <w:next w:val="Normal"/>
    <w:link w:val="Heading3Char"/>
    <w:uiPriority w:val="9"/>
    <w:unhideWhenUsed/>
    <w:qFormat/>
    <w:rsid w:val="007C2F03"/>
    <w:pPr>
      <w:spacing w:line="276" w:lineRule="auto"/>
    </w:pPr>
    <w:rPr>
      <w:rFonts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D40"/>
    <w:rPr>
      <w:rFonts w:ascii="Times New Roman" w:hAnsi="Times New Roman" w:cs="Times New Roman"/>
      <w:b/>
      <w:bCs/>
      <w:sz w:val="28"/>
      <w:szCs w:val="28"/>
    </w:rPr>
  </w:style>
  <w:style w:type="paragraph" w:customStyle="1" w:styleId="ICMEHeading3">
    <w:name w:val="ICME Heading 3"/>
    <w:basedOn w:val="Normal"/>
    <w:qFormat/>
    <w:rsid w:val="00C93E17"/>
    <w:pPr>
      <w:keepNext/>
      <w:spacing w:after="120" w:line="320" w:lineRule="atLeast"/>
      <w:jc w:val="both"/>
      <w:outlineLvl w:val="2"/>
    </w:pPr>
    <w:rPr>
      <w:rFonts w:ascii="Times New Roman" w:hAnsi="Times New Roman"/>
      <w:b/>
      <w:sz w:val="24"/>
      <w:szCs w:val="28"/>
      <w:lang w:val="de-DE" w:eastAsia="de-DE"/>
    </w:rPr>
  </w:style>
  <w:style w:type="character" w:customStyle="1" w:styleId="Heading3Char">
    <w:name w:val="Heading 3 Char"/>
    <w:basedOn w:val="DefaultParagraphFont"/>
    <w:link w:val="Heading3"/>
    <w:uiPriority w:val="9"/>
    <w:rsid w:val="007C2F03"/>
    <w:rPr>
      <w:rFonts w:ascii="Times New Roman" w:hAnsi="Times New Roman" w:cs="Times New Roman"/>
      <w:b/>
      <w:lang w:eastAsia="de-DE"/>
    </w:rPr>
  </w:style>
  <w:style w:type="paragraph" w:styleId="ListParagraph">
    <w:name w:val="List Paragraph"/>
    <w:basedOn w:val="Normal"/>
    <w:uiPriority w:val="34"/>
    <w:qFormat/>
    <w:rsid w:val="009A3454"/>
    <w:pPr>
      <w:ind w:left="720"/>
      <w:contextualSpacing/>
    </w:pPr>
  </w:style>
  <w:style w:type="paragraph" w:customStyle="1" w:styleId="ICMENormal">
    <w:name w:val="ICME Normal"/>
    <w:qFormat/>
    <w:rsid w:val="00C93E17"/>
    <w:pPr>
      <w:spacing w:after="120" w:line="320" w:lineRule="atLeast"/>
      <w:jc w:val="both"/>
    </w:pPr>
    <w:rPr>
      <w:rFonts w:ascii="Times New Roman" w:hAnsi="Times New Roman"/>
      <w:lang w:val="en-US" w:eastAsia="de-DE"/>
    </w:rPr>
  </w:style>
  <w:style w:type="paragraph" w:customStyle="1" w:styleId="ICMEReferences">
    <w:name w:val="ICME References"/>
    <w:basedOn w:val="ICMENormal"/>
    <w:qFormat/>
    <w:rsid w:val="00C93E17"/>
    <w:pPr>
      <w:spacing w:line="260" w:lineRule="atLeast"/>
      <w:ind w:left="289" w:hanging="289"/>
    </w:pPr>
    <w:rPr>
      <w:szCs w:val="26"/>
    </w:rPr>
  </w:style>
  <w:style w:type="table" w:styleId="TableGrid">
    <w:name w:val="Table Grid"/>
    <w:basedOn w:val="TableNormal"/>
    <w:uiPriority w:val="39"/>
    <w:rsid w:val="001F6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A0C2B"/>
    <w:pPr>
      <w:spacing w:after="200"/>
    </w:pPr>
    <w:rPr>
      <w:i/>
      <w:iCs/>
      <w:color w:val="44546A" w:themeColor="text2"/>
      <w:sz w:val="18"/>
      <w:szCs w:val="18"/>
    </w:rPr>
  </w:style>
  <w:style w:type="character" w:styleId="Hyperlink">
    <w:name w:val="Hyperlink"/>
    <w:basedOn w:val="DefaultParagraphFont"/>
    <w:uiPriority w:val="99"/>
    <w:unhideWhenUsed/>
    <w:rsid w:val="00690EBA"/>
    <w:rPr>
      <w:color w:val="0563C1" w:themeColor="hyperlink"/>
      <w:u w:val="single"/>
    </w:rPr>
  </w:style>
  <w:style w:type="character" w:styleId="UnresolvedMention">
    <w:name w:val="Unresolved Mention"/>
    <w:basedOn w:val="DefaultParagraphFont"/>
    <w:uiPriority w:val="99"/>
    <w:semiHidden/>
    <w:unhideWhenUsed/>
    <w:rsid w:val="00A85452"/>
    <w:rPr>
      <w:color w:val="605E5C"/>
      <w:shd w:val="clear" w:color="auto" w:fill="E1DFDD"/>
    </w:rPr>
  </w:style>
  <w:style w:type="paragraph" w:styleId="NoSpacing">
    <w:name w:val="No Spacing"/>
    <w:uiPriority w:val="1"/>
    <w:qFormat/>
    <w:rsid w:val="00917881"/>
  </w:style>
  <w:style w:type="paragraph" w:styleId="FootnoteText">
    <w:name w:val="footnote text"/>
    <w:basedOn w:val="Normal"/>
    <w:link w:val="FootnoteTextChar"/>
    <w:uiPriority w:val="99"/>
    <w:semiHidden/>
    <w:unhideWhenUsed/>
    <w:rsid w:val="00301E46"/>
    <w:rPr>
      <w:sz w:val="20"/>
      <w:szCs w:val="20"/>
    </w:rPr>
  </w:style>
  <w:style w:type="character" w:customStyle="1" w:styleId="FootnoteTextChar">
    <w:name w:val="Footnote Text Char"/>
    <w:basedOn w:val="DefaultParagraphFont"/>
    <w:link w:val="FootnoteText"/>
    <w:uiPriority w:val="99"/>
    <w:semiHidden/>
    <w:rsid w:val="00301E46"/>
    <w:rPr>
      <w:sz w:val="20"/>
      <w:szCs w:val="20"/>
    </w:rPr>
  </w:style>
  <w:style w:type="character" w:styleId="FootnoteReference">
    <w:name w:val="footnote reference"/>
    <w:basedOn w:val="DefaultParagraphFont"/>
    <w:uiPriority w:val="99"/>
    <w:semiHidden/>
    <w:unhideWhenUsed/>
    <w:rsid w:val="00301E46"/>
    <w:rPr>
      <w:vertAlign w:val="superscript"/>
    </w:rPr>
  </w:style>
  <w:style w:type="character" w:styleId="FollowedHyperlink">
    <w:name w:val="FollowedHyperlink"/>
    <w:basedOn w:val="DefaultParagraphFont"/>
    <w:uiPriority w:val="99"/>
    <w:semiHidden/>
    <w:unhideWhenUsed/>
    <w:rsid w:val="003C6FB8"/>
    <w:rPr>
      <w:color w:val="954F72" w:themeColor="followedHyperlink"/>
      <w:u w:val="single"/>
    </w:rPr>
  </w:style>
  <w:style w:type="table" w:styleId="PlainTable2">
    <w:name w:val="Plain Table 2"/>
    <w:basedOn w:val="TableNormal"/>
    <w:uiPriority w:val="42"/>
    <w:rsid w:val="00F4041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BC45D6"/>
    <w:pPr>
      <w:tabs>
        <w:tab w:val="center" w:pos="4513"/>
        <w:tab w:val="right" w:pos="9026"/>
      </w:tabs>
    </w:pPr>
  </w:style>
  <w:style w:type="character" w:customStyle="1" w:styleId="HeaderChar">
    <w:name w:val="Header Char"/>
    <w:basedOn w:val="DefaultParagraphFont"/>
    <w:link w:val="Header"/>
    <w:uiPriority w:val="99"/>
    <w:rsid w:val="00BC45D6"/>
  </w:style>
  <w:style w:type="paragraph" w:styleId="Footer">
    <w:name w:val="footer"/>
    <w:basedOn w:val="Normal"/>
    <w:link w:val="FooterChar"/>
    <w:uiPriority w:val="99"/>
    <w:unhideWhenUsed/>
    <w:rsid w:val="00BC45D6"/>
    <w:pPr>
      <w:tabs>
        <w:tab w:val="center" w:pos="4513"/>
        <w:tab w:val="right" w:pos="9026"/>
      </w:tabs>
    </w:pPr>
  </w:style>
  <w:style w:type="character" w:customStyle="1" w:styleId="FooterChar">
    <w:name w:val="Footer Char"/>
    <w:basedOn w:val="DefaultParagraphFont"/>
    <w:link w:val="Footer"/>
    <w:uiPriority w:val="99"/>
    <w:rsid w:val="00BC45D6"/>
  </w:style>
  <w:style w:type="paragraph" w:styleId="EndnoteText">
    <w:name w:val="endnote text"/>
    <w:basedOn w:val="Normal"/>
    <w:link w:val="EndnoteTextChar"/>
    <w:uiPriority w:val="99"/>
    <w:unhideWhenUsed/>
    <w:rsid w:val="008C6AF1"/>
    <w:rPr>
      <w:rFonts w:ascii="Times New Roman" w:hAnsi="Times New Roman"/>
      <w:szCs w:val="20"/>
    </w:rPr>
  </w:style>
  <w:style w:type="character" w:customStyle="1" w:styleId="EndnoteTextChar">
    <w:name w:val="Endnote Text Char"/>
    <w:basedOn w:val="DefaultParagraphFont"/>
    <w:link w:val="EndnoteText"/>
    <w:uiPriority w:val="99"/>
    <w:rsid w:val="008C6AF1"/>
    <w:rPr>
      <w:rFonts w:ascii="Times New Roman" w:hAnsi="Times New Roman"/>
      <w:szCs w:val="20"/>
    </w:rPr>
  </w:style>
  <w:style w:type="character" w:styleId="EndnoteReference">
    <w:name w:val="endnote reference"/>
    <w:basedOn w:val="DefaultParagraphFont"/>
    <w:uiPriority w:val="99"/>
    <w:semiHidden/>
    <w:unhideWhenUsed/>
    <w:rsid w:val="008C6AF1"/>
    <w:rPr>
      <w:vertAlign w:val="superscript"/>
    </w:rPr>
  </w:style>
  <w:style w:type="character" w:styleId="CommentReference">
    <w:name w:val="annotation reference"/>
    <w:basedOn w:val="DefaultParagraphFont"/>
    <w:uiPriority w:val="99"/>
    <w:semiHidden/>
    <w:unhideWhenUsed/>
    <w:rsid w:val="003540BE"/>
    <w:rPr>
      <w:sz w:val="16"/>
      <w:szCs w:val="16"/>
    </w:rPr>
  </w:style>
  <w:style w:type="paragraph" w:styleId="CommentText">
    <w:name w:val="annotation text"/>
    <w:basedOn w:val="Normal"/>
    <w:link w:val="CommentTextChar"/>
    <w:uiPriority w:val="99"/>
    <w:semiHidden/>
    <w:unhideWhenUsed/>
    <w:rsid w:val="003540BE"/>
    <w:rPr>
      <w:sz w:val="20"/>
      <w:szCs w:val="20"/>
    </w:rPr>
  </w:style>
  <w:style w:type="character" w:customStyle="1" w:styleId="CommentTextChar">
    <w:name w:val="Comment Text Char"/>
    <w:basedOn w:val="DefaultParagraphFont"/>
    <w:link w:val="CommentText"/>
    <w:uiPriority w:val="99"/>
    <w:semiHidden/>
    <w:rsid w:val="003540BE"/>
    <w:rPr>
      <w:sz w:val="20"/>
      <w:szCs w:val="20"/>
    </w:rPr>
  </w:style>
  <w:style w:type="paragraph" w:styleId="CommentSubject">
    <w:name w:val="annotation subject"/>
    <w:basedOn w:val="CommentText"/>
    <w:next w:val="CommentText"/>
    <w:link w:val="CommentSubjectChar"/>
    <w:uiPriority w:val="99"/>
    <w:semiHidden/>
    <w:unhideWhenUsed/>
    <w:rsid w:val="003540BE"/>
    <w:rPr>
      <w:b/>
      <w:bCs/>
    </w:rPr>
  </w:style>
  <w:style w:type="character" w:customStyle="1" w:styleId="CommentSubjectChar">
    <w:name w:val="Comment Subject Char"/>
    <w:basedOn w:val="CommentTextChar"/>
    <w:link w:val="CommentSubject"/>
    <w:uiPriority w:val="99"/>
    <w:semiHidden/>
    <w:rsid w:val="003540BE"/>
    <w:rPr>
      <w:b/>
      <w:bCs/>
      <w:sz w:val="20"/>
      <w:szCs w:val="20"/>
    </w:rPr>
  </w:style>
  <w:style w:type="paragraph" w:customStyle="1" w:styleId="msonormal0">
    <w:name w:val="msonormal"/>
    <w:basedOn w:val="Normal"/>
    <w:rsid w:val="00BC1E5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06081">
      <w:bodyDiv w:val="1"/>
      <w:marLeft w:val="0"/>
      <w:marRight w:val="0"/>
      <w:marTop w:val="0"/>
      <w:marBottom w:val="0"/>
      <w:divBdr>
        <w:top w:val="none" w:sz="0" w:space="0" w:color="auto"/>
        <w:left w:val="none" w:sz="0" w:space="0" w:color="auto"/>
        <w:bottom w:val="none" w:sz="0" w:space="0" w:color="auto"/>
        <w:right w:val="none" w:sz="0" w:space="0" w:color="auto"/>
      </w:divBdr>
    </w:div>
    <w:div w:id="318000985">
      <w:bodyDiv w:val="1"/>
      <w:marLeft w:val="0"/>
      <w:marRight w:val="0"/>
      <w:marTop w:val="0"/>
      <w:marBottom w:val="0"/>
      <w:divBdr>
        <w:top w:val="none" w:sz="0" w:space="0" w:color="auto"/>
        <w:left w:val="none" w:sz="0" w:space="0" w:color="auto"/>
        <w:bottom w:val="none" w:sz="0" w:space="0" w:color="auto"/>
        <w:right w:val="none" w:sz="0" w:space="0" w:color="auto"/>
      </w:divBdr>
    </w:div>
    <w:div w:id="506558435">
      <w:bodyDiv w:val="1"/>
      <w:marLeft w:val="0"/>
      <w:marRight w:val="0"/>
      <w:marTop w:val="0"/>
      <w:marBottom w:val="0"/>
      <w:divBdr>
        <w:top w:val="none" w:sz="0" w:space="0" w:color="auto"/>
        <w:left w:val="none" w:sz="0" w:space="0" w:color="auto"/>
        <w:bottom w:val="none" w:sz="0" w:space="0" w:color="auto"/>
        <w:right w:val="none" w:sz="0" w:space="0" w:color="auto"/>
      </w:divBdr>
    </w:div>
    <w:div w:id="736443115">
      <w:bodyDiv w:val="1"/>
      <w:marLeft w:val="0"/>
      <w:marRight w:val="0"/>
      <w:marTop w:val="0"/>
      <w:marBottom w:val="0"/>
      <w:divBdr>
        <w:top w:val="none" w:sz="0" w:space="0" w:color="auto"/>
        <w:left w:val="none" w:sz="0" w:space="0" w:color="auto"/>
        <w:bottom w:val="none" w:sz="0" w:space="0" w:color="auto"/>
        <w:right w:val="none" w:sz="0" w:space="0" w:color="auto"/>
      </w:divBdr>
    </w:div>
    <w:div w:id="1008168921">
      <w:bodyDiv w:val="1"/>
      <w:marLeft w:val="0"/>
      <w:marRight w:val="0"/>
      <w:marTop w:val="0"/>
      <w:marBottom w:val="0"/>
      <w:divBdr>
        <w:top w:val="none" w:sz="0" w:space="0" w:color="auto"/>
        <w:left w:val="none" w:sz="0" w:space="0" w:color="auto"/>
        <w:bottom w:val="none" w:sz="0" w:space="0" w:color="auto"/>
        <w:right w:val="none" w:sz="0" w:space="0" w:color="auto"/>
      </w:divBdr>
    </w:div>
    <w:div w:id="1172837868">
      <w:bodyDiv w:val="1"/>
      <w:marLeft w:val="0"/>
      <w:marRight w:val="0"/>
      <w:marTop w:val="0"/>
      <w:marBottom w:val="0"/>
      <w:divBdr>
        <w:top w:val="none" w:sz="0" w:space="0" w:color="auto"/>
        <w:left w:val="none" w:sz="0" w:space="0" w:color="auto"/>
        <w:bottom w:val="none" w:sz="0" w:space="0" w:color="auto"/>
        <w:right w:val="none" w:sz="0" w:space="0" w:color="auto"/>
      </w:divBdr>
    </w:div>
    <w:div w:id="1551112304">
      <w:bodyDiv w:val="1"/>
      <w:marLeft w:val="0"/>
      <w:marRight w:val="0"/>
      <w:marTop w:val="0"/>
      <w:marBottom w:val="0"/>
      <w:divBdr>
        <w:top w:val="none" w:sz="0" w:space="0" w:color="auto"/>
        <w:left w:val="none" w:sz="0" w:space="0" w:color="auto"/>
        <w:bottom w:val="none" w:sz="0" w:space="0" w:color="auto"/>
        <w:right w:val="none" w:sz="0" w:space="0" w:color="auto"/>
      </w:divBdr>
    </w:div>
    <w:div w:id="185148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348/000709900157976" TargetMode="External"/><Relationship Id="rId21" Type="http://schemas.openxmlformats.org/officeDocument/2006/relationships/hyperlink" Target="https://doi.org/10.1016/j.stueduc.2016.03.005" TargetMode="External"/><Relationship Id="rId42" Type="http://schemas.openxmlformats.org/officeDocument/2006/relationships/hyperlink" Target="https://doi.org/10.1007/978-3-319-62597-3_13" TargetMode="External"/><Relationship Id="rId47" Type="http://schemas.openxmlformats.org/officeDocument/2006/relationships/hyperlink" Target="https://doi.org/10.1186/s40536-021-00099-0" TargetMode="External"/><Relationship Id="rId63" Type="http://schemas.openxmlformats.org/officeDocument/2006/relationships/hyperlink" Target="https://CRAN.R-project.org/package=BIFIEsurvey" TargetMode="External"/><Relationship Id="rId68" Type="http://schemas.openxmlformats.org/officeDocument/2006/relationships/hyperlink" Target="https://doi.org/10.1007/978-1-4614-4684-2_5" TargetMode="External"/><Relationship Id="rId16" Type="http://schemas.openxmlformats.org/officeDocument/2006/relationships/hyperlink" Target="https://doi.org/10.3389/feduc.2019.00063" TargetMode="External"/><Relationship Id="rId11" Type="http://schemas.openxmlformats.org/officeDocument/2006/relationships/hyperlink" Target="https://doi.org/10.1080/096392897331587" TargetMode="External"/><Relationship Id="rId24" Type="http://schemas.openxmlformats.org/officeDocument/2006/relationships/hyperlink" Target="https://doi.org/10.1007/BF03397038" TargetMode="External"/><Relationship Id="rId32" Type="http://schemas.openxmlformats.org/officeDocument/2006/relationships/hyperlink" Target="https://doi.org/10.3102%2F01623737027002111" TargetMode="External"/><Relationship Id="rId37" Type="http://schemas.openxmlformats.org/officeDocument/2006/relationships/hyperlink" Target="https://doi.org/10.1007/978-94-007-6437-8_24" TargetMode="External"/><Relationship Id="rId40" Type="http://schemas.openxmlformats.org/officeDocument/2006/relationships/hyperlink" Target="https://doi.org/10.1023/A:1017936429620" TargetMode="External"/><Relationship Id="rId45" Type="http://schemas.openxmlformats.org/officeDocument/2006/relationships/hyperlink" Target="https://www.iea.nl/sites/default/files/2019-04/GA55_Weaknesses_strengths_groups_Lie.pdf" TargetMode="External"/><Relationship Id="rId53" Type="http://schemas.openxmlformats.org/officeDocument/2006/relationships/hyperlink" Target="https://www.gov.uk/government/publications/research-review-series-mathematics/research-review-series-mathematics" TargetMode="External"/><Relationship Id="rId58" Type="http://schemas.openxmlformats.org/officeDocument/2006/relationships/hyperlink" Target="https://www.R-project.org/" TargetMode="External"/><Relationship Id="rId66" Type="http://schemas.openxmlformats.org/officeDocument/2006/relationships/hyperlink" Target="https://doi.org/10.3102%2F0013189X10363170" TargetMode="External"/><Relationship Id="rId74" Type="http://schemas.openxmlformats.org/officeDocument/2006/relationships/hyperlink" Target="https://doi.org/10.1007/s10833-016-9294-4" TargetMode="External"/><Relationship Id="rId5" Type="http://schemas.openxmlformats.org/officeDocument/2006/relationships/webSettings" Target="webSettings.xml"/><Relationship Id="rId61" Type="http://schemas.openxmlformats.org/officeDocument/2006/relationships/hyperlink" Target="https://doi.org/10.1007/s11858-017-0834-z" TargetMode="External"/><Relationship Id="rId19" Type="http://schemas.openxmlformats.org/officeDocument/2006/relationships/hyperlink" Target="https://doi.org/10.1080/00220671.1945.10881369" TargetMode="External"/><Relationship Id="rId14" Type="http://schemas.openxmlformats.org/officeDocument/2006/relationships/hyperlink" Target="https://doi.org/10.1016/S0883-0355(98)00060-3" TargetMode="External"/><Relationship Id="rId22" Type="http://schemas.openxmlformats.org/officeDocument/2006/relationships/hyperlink" Target="https://doi.org/10.1177%2F016146816306400801" TargetMode="External"/><Relationship Id="rId27" Type="http://schemas.openxmlformats.org/officeDocument/2006/relationships/hyperlink" Target="https://doi.org/10.1787/5jm29kpt0xxx-en" TargetMode="External"/><Relationship Id="rId30" Type="http://schemas.openxmlformats.org/officeDocument/2006/relationships/hyperlink" Target="https://doi.org/10.1080/09243453.2013.806334" TargetMode="External"/><Relationship Id="rId35" Type="http://schemas.openxmlformats.org/officeDocument/2006/relationships/hyperlink" Target="https://doi.org/10.1016/j.learninstruc.2020.101310" TargetMode="External"/><Relationship Id="rId43" Type="http://schemas.openxmlformats.org/officeDocument/2006/relationships/hyperlink" Target="https://doi.org/10.1016/S0883-0355(02)00055-1" TargetMode="External"/><Relationship Id="rId48" Type="http://schemas.openxmlformats.org/officeDocument/2006/relationships/hyperlink" Target="https://timssandpirls.bc.edu/timss2019/methods/pdf/TIMSS-2019-MP-Technical-Report.pdf" TargetMode="External"/><Relationship Id="rId56" Type="http://schemas.openxmlformats.org/officeDocument/2006/relationships/hyperlink" Target="https://www.oecd.org/publications/pisa-2015-results-volume-ii-9789264267510-en.htm" TargetMode="External"/><Relationship Id="rId64" Type="http://schemas.openxmlformats.org/officeDocument/2006/relationships/hyperlink" Target="http://www.rstudio.com/" TargetMode="External"/><Relationship Id="rId69" Type="http://schemas.openxmlformats.org/officeDocument/2006/relationships/hyperlink" Target="https://doi.org/10.3102/00346543075003417" TargetMode="External"/><Relationship Id="rId77" Type="http://schemas.openxmlformats.org/officeDocument/2006/relationships/theme" Target="theme/theme1.xml"/><Relationship Id="rId8" Type="http://schemas.openxmlformats.org/officeDocument/2006/relationships/hyperlink" Target="mailto:C.Bokhove@soton.ac.uk" TargetMode="External"/><Relationship Id="rId51" Type="http://schemas.openxmlformats.org/officeDocument/2006/relationships/hyperlink" Target="https://timssandpirls.bc.edu/timss2019/international-results" TargetMode="External"/><Relationship Id="rId72" Type="http://schemas.openxmlformats.org/officeDocument/2006/relationships/hyperlink" Target="https://doi.org/10.1007/s11125-009-9109-y" TargetMode="External"/><Relationship Id="rId3" Type="http://schemas.openxmlformats.org/officeDocument/2006/relationships/styles" Target="styles.xml"/><Relationship Id="rId12" Type="http://schemas.openxmlformats.org/officeDocument/2006/relationships/hyperlink" Target="https://doi.org/10.1080/00131881.2013.767022" TargetMode="External"/><Relationship Id="rId17" Type="http://schemas.openxmlformats.org/officeDocument/2006/relationships/hyperlink" Target="https://doi.org/10.3390/educsci8040202" TargetMode="External"/><Relationship Id="rId25" Type="http://schemas.openxmlformats.org/officeDocument/2006/relationships/hyperlink" Target="https://www.bbc.co.uk/news/education-50563833" TargetMode="External"/><Relationship Id="rId33" Type="http://schemas.openxmlformats.org/officeDocument/2006/relationships/hyperlink" Target="https://doi.org/10.1080/10705519909540118" TargetMode="External"/><Relationship Id="rId38" Type="http://schemas.openxmlformats.org/officeDocument/2006/relationships/hyperlink" Target="https://doi.org/10.17226/9822" TargetMode="External"/><Relationship Id="rId46" Type="http://schemas.openxmlformats.org/officeDocument/2006/relationships/hyperlink" Target="https://doi.org/10.1007/BF03217450" TargetMode="External"/><Relationship Id="rId59" Type="http://schemas.openxmlformats.org/officeDocument/2006/relationships/hyperlink" Target="https://CRAN.R-project.org/package=psych" TargetMode="External"/><Relationship Id="rId67" Type="http://schemas.openxmlformats.org/officeDocument/2006/relationships/hyperlink" Target="https://doi.org/10.1177%2F0895904803260042" TargetMode="External"/><Relationship Id="rId20" Type="http://schemas.openxmlformats.org/officeDocument/2006/relationships/hyperlink" Target="https://doi.org/10.1007/s11858-007-0035-2" TargetMode="External"/><Relationship Id="rId41" Type="http://schemas.openxmlformats.org/officeDocument/2006/relationships/hyperlink" Target="https://doi.org/10.1007/0-387-29723-5_2" TargetMode="External"/><Relationship Id="rId54" Type="http://schemas.openxmlformats.org/officeDocument/2006/relationships/hyperlink" Target="https://doi.org/10.1007/s11165-019-09901-0" TargetMode="External"/><Relationship Id="rId62" Type="http://schemas.openxmlformats.org/officeDocument/2006/relationships/hyperlink" Target="https://doi.org/10.1007/s10648-015-9302-x" TargetMode="External"/><Relationship Id="rId70" Type="http://schemas.openxmlformats.org/officeDocument/2006/relationships/hyperlink" Target="https://doi.org/10.1080/00461520.2016.1207178" TargetMode="External"/><Relationship Id="rId75" Type="http://schemas.openxmlformats.org/officeDocument/2006/relationships/hyperlink" Target="https://doi.org/10.1007/s10833-019-09367-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80/13803611.2021.2022319" TargetMode="External"/><Relationship Id="rId23" Type="http://schemas.openxmlformats.org/officeDocument/2006/relationships/hyperlink" Target="https://doi.org/10.1007/s10763-009-9182-y" TargetMode="External"/><Relationship Id="rId28" Type="http://schemas.openxmlformats.org/officeDocument/2006/relationships/hyperlink" Target="https://doi.org/10.1007/s11858-014-0590-2" TargetMode="External"/><Relationship Id="rId36" Type="http://schemas.openxmlformats.org/officeDocument/2006/relationships/hyperlink" Target="https://doi.org/10.1002/berj.3519" TargetMode="External"/><Relationship Id="rId49" Type="http://schemas.openxmlformats.org/officeDocument/2006/relationships/hyperlink" Target="https://bibliography.lib.eduhk.hk/bibs/502412e1" TargetMode="External"/><Relationship Id="rId57" Type="http://schemas.openxmlformats.org/officeDocument/2006/relationships/hyperlink" Target="https://doi.org/10.1093/teamat/hrw007" TargetMode="External"/><Relationship Id="rId10" Type="http://schemas.openxmlformats.org/officeDocument/2006/relationships/header" Target="header1.xml"/><Relationship Id="rId31" Type="http://schemas.openxmlformats.org/officeDocument/2006/relationships/hyperlink" Target="https://doi.org/10.3102%2F0013189X020009002" TargetMode="External"/><Relationship Id="rId44" Type="http://schemas.openxmlformats.org/officeDocument/2006/relationships/hyperlink" Target="https://www.jstor.org/stable/40248308" TargetMode="External"/><Relationship Id="rId52" Type="http://schemas.openxmlformats.org/officeDocument/2006/relationships/hyperlink" Target="https://doi.org/10.1007/s10984-005-7950-3" TargetMode="External"/><Relationship Id="rId60" Type="http://schemas.openxmlformats.org/officeDocument/2006/relationships/hyperlink" Target="https://doi.org/10.1080/15305058.2014.966911" TargetMode="External"/><Relationship Id="rId65" Type="http://schemas.openxmlformats.org/officeDocument/2006/relationships/hyperlink" Target="https://doi.org/10.1002/9780470316696" TargetMode="External"/><Relationship Id="rId73" Type="http://schemas.openxmlformats.org/officeDocument/2006/relationships/hyperlink" Target="https://doi.org/10.1080/01443410.2019.1648766" TargetMode="External"/><Relationship Id="rId4" Type="http://schemas.openxmlformats.org/officeDocument/2006/relationships/settings" Target="settings.xml"/><Relationship Id="rId9" Type="http://schemas.openxmlformats.org/officeDocument/2006/relationships/hyperlink" Target="https://orcid.org/0000-0002-4860-8723" TargetMode="External"/><Relationship Id="rId13" Type="http://schemas.openxmlformats.org/officeDocument/2006/relationships/hyperlink" Target="https://doi.org/10.1007/BF03219558" TargetMode="External"/><Relationship Id="rId18" Type="http://schemas.openxmlformats.org/officeDocument/2006/relationships/hyperlink" Target="https://doi.org/10.1007/s10648-020-09571-9" TargetMode="External"/><Relationship Id="rId39" Type="http://schemas.openxmlformats.org/officeDocument/2006/relationships/hyperlink" Target="https://doi.org/10.1080/00461520.2013.804395" TargetMode="External"/><Relationship Id="rId34" Type="http://schemas.openxmlformats.org/officeDocument/2006/relationships/hyperlink" Target="https://doi.org/10.1080/03054985.2015.1028525" TargetMode="External"/><Relationship Id="rId50" Type="http://schemas.openxmlformats.org/officeDocument/2006/relationships/hyperlink" Target="https://timss2019.org/psi/" TargetMode="External"/><Relationship Id="rId55" Type="http://schemas.openxmlformats.org/officeDocument/2006/relationships/hyperlink" Target="https://www.oecd.org/education/pisa-2018-results-volume-i-5f07c754-en.ht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doi.org/10.2307/30034943" TargetMode="External"/><Relationship Id="rId2" Type="http://schemas.openxmlformats.org/officeDocument/2006/relationships/numbering" Target="numbering.xml"/><Relationship Id="rId29" Type="http://schemas.openxmlformats.org/officeDocument/2006/relationships/hyperlink" Target="https://timssandpirls.bc.edu/timss2019/international-database"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imssandpirls.bc.edu/timss2019/questionnaires/index.html" TargetMode="External"/><Relationship Id="rId2" Type="http://schemas.openxmlformats.org/officeDocument/2006/relationships/hyperlink" Target="https://timssandpirls.bc.edu/timss2019/methods/pdf/T19_MP_Ch3-sample-design.pdf" TargetMode="External"/><Relationship Id="rId1" Type="http://schemas.openxmlformats.org/officeDocument/2006/relationships/hyperlink" Target="https://www.iea.nl/about" TargetMode="External"/><Relationship Id="rId4" Type="http://schemas.openxmlformats.org/officeDocument/2006/relationships/hyperlink" Target="https://osf.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F2798-4E13-4BD9-B9E6-6575FF5F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11408</Words>
  <Characters>65029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2022-06-09T12:43:00Z</dcterms:created>
  <dcterms:modified xsi:type="dcterms:W3CDTF">2022-06-09T12:43:00Z</dcterms:modified>
</cp:coreProperties>
</file>