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BCE47" w14:textId="26734C7A" w:rsidR="00C844A9" w:rsidRDefault="00C844A9" w:rsidP="00C844A9">
      <w:pPr>
        <w:rPr>
          <w:b/>
          <w:bCs/>
        </w:rPr>
      </w:pPr>
      <w:r>
        <w:rPr>
          <w:b/>
          <w:bCs/>
        </w:rPr>
        <w:t>Research News in Clinical Context</w:t>
      </w:r>
    </w:p>
    <w:p w14:paraId="77C61E6A" w14:textId="7179333C" w:rsidR="00C844A9" w:rsidRDefault="00C844A9" w:rsidP="00C844A9">
      <w:pPr>
        <w:jc w:val="both"/>
        <w:rPr>
          <w:rFonts w:cstheme="minorHAnsi"/>
          <w:vertAlign w:val="superscript"/>
        </w:rPr>
      </w:pPr>
      <w:r w:rsidRPr="00407170">
        <w:rPr>
          <w:rFonts w:cstheme="minorHAnsi"/>
        </w:rPr>
        <w:t>Heather L. Armstrong</w:t>
      </w:r>
      <w:r w:rsidRPr="00407170">
        <w:rPr>
          <w:rFonts w:cstheme="minorHAnsi"/>
          <w:vertAlign w:val="superscript"/>
        </w:rPr>
        <w:t>1</w:t>
      </w:r>
      <w:r w:rsidR="00E37D18">
        <w:rPr>
          <w:rFonts w:cstheme="minorHAnsi"/>
          <w:vertAlign w:val="superscript"/>
        </w:rPr>
        <w:t>*</w:t>
      </w:r>
      <w:r w:rsidRPr="00407170">
        <w:rPr>
          <w:rFonts w:cstheme="minorHAnsi"/>
        </w:rPr>
        <w:t>, Rebecca Thomson Glover</w:t>
      </w:r>
      <w:r w:rsidRPr="00407170">
        <w:rPr>
          <w:rFonts w:cstheme="minorHAnsi"/>
          <w:vertAlign w:val="superscript"/>
        </w:rPr>
        <w:t>2</w:t>
      </w:r>
      <w:r w:rsidRPr="00407170">
        <w:rPr>
          <w:rFonts w:cstheme="minorHAnsi"/>
        </w:rPr>
        <w:t>, &amp; Giovanni Villa</w:t>
      </w:r>
      <w:r w:rsidRPr="00407170">
        <w:rPr>
          <w:rFonts w:cstheme="minorHAnsi"/>
          <w:vertAlign w:val="superscript"/>
        </w:rPr>
        <w:t>3</w:t>
      </w:r>
    </w:p>
    <w:p w14:paraId="0689B53C" w14:textId="77777777" w:rsidR="00C844A9" w:rsidRDefault="00C844A9" w:rsidP="00C844A9">
      <w:pPr>
        <w:jc w:val="both"/>
        <w:rPr>
          <w:rFonts w:cstheme="minorHAnsi"/>
        </w:rPr>
      </w:pPr>
      <w:r>
        <w:rPr>
          <w:rFonts w:cstheme="minorHAnsi"/>
        </w:rPr>
        <w:t>1. University of Southampton, Southampton, United Kingdom</w:t>
      </w:r>
    </w:p>
    <w:p w14:paraId="6BFA617C" w14:textId="734032B0" w:rsidR="00C844A9" w:rsidRDefault="00C844A9" w:rsidP="00C844A9">
      <w:pPr>
        <w:jc w:val="both"/>
        <w:rPr>
          <w:rFonts w:cstheme="minorHAnsi"/>
        </w:rPr>
      </w:pPr>
      <w:r>
        <w:rPr>
          <w:rFonts w:cstheme="minorHAnsi"/>
        </w:rPr>
        <w:t>2. St Helens &amp; Knowsley Hospitals NHS Trust, St Helens, United Kingdom</w:t>
      </w:r>
    </w:p>
    <w:p w14:paraId="00E58127" w14:textId="2AD5F884" w:rsidR="00C844A9" w:rsidRDefault="00C844A9" w:rsidP="00C844A9">
      <w:pPr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r w:rsidR="00C077F8">
        <w:rPr>
          <w:rFonts w:cstheme="minorHAnsi"/>
        </w:rPr>
        <w:t>Brighton &amp; Sussex Medical School</w:t>
      </w:r>
      <w:r w:rsidR="00E37D18">
        <w:rPr>
          <w:rFonts w:cstheme="minorHAnsi"/>
        </w:rPr>
        <w:t>, Brighton, United Kingdom</w:t>
      </w:r>
    </w:p>
    <w:p w14:paraId="5C679771" w14:textId="0EFF020F" w:rsidR="00C844A9" w:rsidRPr="00E37D18" w:rsidRDefault="00E37D18" w:rsidP="004657A5">
      <w:r w:rsidRPr="00E37D18">
        <w:t>*Corresponding author</w:t>
      </w:r>
    </w:p>
    <w:p w14:paraId="133BDF96" w14:textId="77777777" w:rsidR="00C844A9" w:rsidRDefault="00C844A9" w:rsidP="004657A5">
      <w:pPr>
        <w:rPr>
          <w:b/>
          <w:bCs/>
        </w:rPr>
      </w:pPr>
    </w:p>
    <w:p w14:paraId="3FDA554C" w14:textId="16101A3E" w:rsidR="004657A5" w:rsidRPr="00397A6C" w:rsidRDefault="008549AB" w:rsidP="004657A5">
      <w:pPr>
        <w:rPr>
          <w:b/>
          <w:bCs/>
          <w:lang w:val="en-US"/>
        </w:rPr>
      </w:pPr>
      <w:r>
        <w:rPr>
          <w:b/>
          <w:bCs/>
        </w:rPr>
        <w:t>Covid-19 pandemic</w:t>
      </w:r>
      <w:r w:rsidR="006911D7">
        <w:rPr>
          <w:b/>
          <w:bCs/>
        </w:rPr>
        <w:t xml:space="preserve"> in Britain: </w:t>
      </w:r>
      <w:r w:rsidR="00601717">
        <w:rPr>
          <w:b/>
          <w:bCs/>
        </w:rPr>
        <w:t xml:space="preserve"> </w:t>
      </w:r>
      <w:r w:rsidR="00397A6C">
        <w:rPr>
          <w:b/>
          <w:bCs/>
        </w:rPr>
        <w:t>C</w:t>
      </w:r>
      <w:r>
        <w:rPr>
          <w:b/>
          <w:bCs/>
        </w:rPr>
        <w:t>reating a backlog of need for young people and those reporting sexual risk behaviours</w:t>
      </w:r>
      <w:r w:rsidR="00601717">
        <w:rPr>
          <w:b/>
          <w:bCs/>
        </w:rPr>
        <w:t xml:space="preserve"> </w:t>
      </w:r>
    </w:p>
    <w:p w14:paraId="36071D7A" w14:textId="644278F5" w:rsidR="004657A5" w:rsidRDefault="004657A5" w:rsidP="004657A5">
      <w:r>
        <w:t>S</w:t>
      </w:r>
      <w:r w:rsidR="00C844A9">
        <w:t>exual and reproductive health (SR</w:t>
      </w:r>
      <w:r>
        <w:t>H</w:t>
      </w:r>
      <w:r w:rsidR="00C844A9">
        <w:t>)</w:t>
      </w:r>
      <w:r>
        <w:t xml:space="preserve"> services rapidly adjusted to meet restrictions during the </w:t>
      </w:r>
      <w:r w:rsidRPr="00CD2752">
        <w:t>COVID-19 pandemic</w:t>
      </w:r>
      <w:r w:rsidR="00A27BB9">
        <w:t>.</w:t>
      </w:r>
      <w:r w:rsidR="00B63662">
        <w:t xml:space="preserve"> </w:t>
      </w:r>
      <w:r>
        <w:t>A British cross-sectional</w:t>
      </w:r>
      <w:r w:rsidRPr="00282454">
        <w:t xml:space="preserve"> web </w:t>
      </w:r>
      <w:r>
        <w:t xml:space="preserve">questionnaire surveyed </w:t>
      </w:r>
      <w:r w:rsidRPr="00282454">
        <w:t>6654</w:t>
      </w:r>
      <w:r>
        <w:t xml:space="preserve"> participants </w:t>
      </w:r>
      <w:r w:rsidR="00F7598E">
        <w:t xml:space="preserve">about accessing SRH services </w:t>
      </w:r>
      <w:r>
        <w:t xml:space="preserve">in the lockdown </w:t>
      </w:r>
      <w:r w:rsidR="006D487B">
        <w:t xml:space="preserve">period </w:t>
      </w:r>
      <w:r>
        <w:t>March</w:t>
      </w:r>
      <w:r w:rsidR="00C844A9">
        <w:t>-July</w:t>
      </w:r>
      <w:r>
        <w:t xml:space="preserve"> 2020. </w:t>
      </w:r>
      <w:r w:rsidR="00F7598E">
        <w:t>Among</w:t>
      </w:r>
      <w:r w:rsidRPr="000E62AC">
        <w:t xml:space="preserve"> </w:t>
      </w:r>
      <w:r>
        <w:t xml:space="preserve">3108 </w:t>
      </w:r>
      <w:r w:rsidRPr="000E62AC">
        <w:t xml:space="preserve">sexually experienced </w:t>
      </w:r>
      <w:r>
        <w:t>participants</w:t>
      </w:r>
      <w:r w:rsidR="00F7598E">
        <w:t xml:space="preserve"> aged 18-44 years</w:t>
      </w:r>
      <w:r w:rsidR="00C844A9">
        <w:t>,</w:t>
      </w:r>
      <w:r>
        <w:t xml:space="preserve"> </w:t>
      </w:r>
      <w:r w:rsidRPr="006403DB">
        <w:t>2</w:t>
      </w:r>
      <w:r w:rsidR="00707906">
        <w:t>1</w:t>
      </w:r>
      <w:r w:rsidRPr="006403DB">
        <w:t xml:space="preserve">% </w:t>
      </w:r>
      <w:r w:rsidR="000613FF">
        <w:t xml:space="preserve">reported using </w:t>
      </w:r>
      <w:r w:rsidR="00707906">
        <w:t>SRH services but</w:t>
      </w:r>
      <w:r w:rsidR="00C844A9">
        <w:t xml:space="preserve"> </w:t>
      </w:r>
      <w:r w:rsidR="00707906">
        <w:t xml:space="preserve">nearly 10% </w:t>
      </w:r>
      <w:r w:rsidR="00215434">
        <w:t xml:space="preserve">described being </w:t>
      </w:r>
      <w:r>
        <w:t>unable</w:t>
      </w:r>
      <w:r w:rsidRPr="001E5F26">
        <w:t xml:space="preserve"> to </w:t>
      </w:r>
      <w:r>
        <w:t xml:space="preserve">access </w:t>
      </w:r>
      <w:r w:rsidR="006D487B">
        <w:t>services</w:t>
      </w:r>
      <w:r>
        <w:t xml:space="preserve"> at </w:t>
      </w:r>
      <w:r w:rsidRPr="001E5F26">
        <w:t>least once</w:t>
      </w:r>
      <w:r>
        <w:t xml:space="preserve">. </w:t>
      </w:r>
      <w:r w:rsidR="00F7598E">
        <w:t>Compared to participants aged 35-44 years,</w:t>
      </w:r>
      <w:r w:rsidR="00F7598E" w:rsidRPr="00CA5CC2">
        <w:t xml:space="preserve"> </w:t>
      </w:r>
      <w:r w:rsidR="00C844A9">
        <w:t xml:space="preserve">men and women aged 18-24 years </w:t>
      </w:r>
      <w:r w:rsidR="00707906">
        <w:t>described greater</w:t>
      </w:r>
      <w:r>
        <w:t xml:space="preserve"> difficulty accessing</w:t>
      </w:r>
      <w:r w:rsidR="00410132">
        <w:t xml:space="preserve"> services</w:t>
      </w:r>
      <w:r>
        <w:t xml:space="preserve"> </w:t>
      </w:r>
      <w:r w:rsidR="00CA5CC2">
        <w:t xml:space="preserve">(adjusted OR 2.93 and 5.34 for men and women, respectively). </w:t>
      </w:r>
      <w:r w:rsidR="00C935F8">
        <w:t>Reportin</w:t>
      </w:r>
      <w:r w:rsidR="006911D7">
        <w:t>g</w:t>
      </w:r>
      <w:r w:rsidR="00A27BB9">
        <w:t xml:space="preserve"> </w:t>
      </w:r>
      <w:r w:rsidR="005079AE">
        <w:t xml:space="preserve">condomless sex </w:t>
      </w:r>
      <w:r w:rsidR="00C935F8">
        <w:t>also</w:t>
      </w:r>
      <w:r w:rsidR="00410132">
        <w:t xml:space="preserve"> </w:t>
      </w:r>
      <w:r w:rsidR="00C935F8">
        <w:t>increased the odds of not being able to access services</w:t>
      </w:r>
      <w:r w:rsidR="00F7598E">
        <w:t xml:space="preserve">, as in the case of </w:t>
      </w:r>
      <w:r w:rsidR="00215434">
        <w:t>men</w:t>
      </w:r>
      <w:r w:rsidR="000613FF">
        <w:t xml:space="preserve"> </w:t>
      </w:r>
      <w:r>
        <w:t xml:space="preserve">reporting condomless sex with new partners </w:t>
      </w:r>
      <w:r w:rsidRPr="00092F1F">
        <w:t>(</w:t>
      </w:r>
      <w:r w:rsidR="00215434">
        <w:t xml:space="preserve">adjusted </w:t>
      </w:r>
      <w:r w:rsidRPr="00092F1F">
        <w:t>OR</w:t>
      </w:r>
      <w:r w:rsidR="00215434">
        <w:t xml:space="preserve"> </w:t>
      </w:r>
      <w:r w:rsidRPr="00092F1F">
        <w:t>13.3</w:t>
      </w:r>
      <w:r w:rsidR="00215434">
        <w:t xml:space="preserve"> vs. men not reporting condomless sex</w:t>
      </w:r>
      <w:r w:rsidRPr="00092F1F">
        <w:t>)</w:t>
      </w:r>
      <w:r>
        <w:t xml:space="preserve">. </w:t>
      </w:r>
      <w:r w:rsidR="000613FF">
        <w:t>A</w:t>
      </w:r>
      <w:r w:rsidR="00F7598E">
        <w:t xml:space="preserve">ccess to </w:t>
      </w:r>
      <w:r w:rsidRPr="008C092A">
        <w:t>SRH services</w:t>
      </w:r>
      <w:r>
        <w:t xml:space="preserve"> </w:t>
      </w:r>
      <w:r w:rsidR="000613FF">
        <w:t>continued</w:t>
      </w:r>
      <w:r w:rsidR="000613FF" w:rsidRPr="000613FF">
        <w:t xml:space="preserve"> </w:t>
      </w:r>
      <w:r w:rsidR="000613FF">
        <w:t xml:space="preserve">during lockdown, but there was </w:t>
      </w:r>
      <w:r w:rsidR="00F7598E">
        <w:t xml:space="preserve">unmet need among younger people and those </w:t>
      </w:r>
      <w:r w:rsidR="006D487B">
        <w:t xml:space="preserve">with sexual </w:t>
      </w:r>
      <w:r w:rsidR="00F7598E">
        <w:t xml:space="preserve">risk </w:t>
      </w:r>
      <w:r w:rsidR="006D487B">
        <w:t>behaviours</w:t>
      </w:r>
      <w:r w:rsidR="006911D7">
        <w:t xml:space="preserve"> such as condomless sex</w:t>
      </w:r>
      <w:r>
        <w:t xml:space="preserve">.  </w:t>
      </w:r>
    </w:p>
    <w:p w14:paraId="601FFB96" w14:textId="42576817" w:rsidR="004657A5" w:rsidRDefault="004657A5" w:rsidP="004657A5">
      <w:r w:rsidRPr="00F327E5">
        <w:t xml:space="preserve">Dema E, Gibbs J, Clifton S, </w:t>
      </w:r>
      <w:r w:rsidRPr="00F955BB">
        <w:rPr>
          <w:i/>
          <w:iCs/>
        </w:rPr>
        <w:t>et al.</w:t>
      </w:r>
      <w:r w:rsidRPr="00F327E5">
        <w:t xml:space="preserve"> Initial impacts of the COVID-19 pandemic on sexual and reproductive health service use and unmet need in Britain: </w:t>
      </w:r>
      <w:r w:rsidR="00F955BB">
        <w:t>F</w:t>
      </w:r>
      <w:r w:rsidRPr="00F327E5">
        <w:t>indings from a quasi-representative survey (</w:t>
      </w:r>
      <w:proofErr w:type="spellStart"/>
      <w:r w:rsidRPr="00F327E5">
        <w:t>Natsal</w:t>
      </w:r>
      <w:proofErr w:type="spellEnd"/>
      <w:r w:rsidRPr="00F327E5">
        <w:t xml:space="preserve">-COVID). </w:t>
      </w:r>
      <w:r w:rsidRPr="00733B75">
        <w:rPr>
          <w:i/>
          <w:iCs/>
        </w:rPr>
        <w:t>Lancet Public Health</w:t>
      </w:r>
      <w:r w:rsidRPr="00F327E5">
        <w:t xml:space="preserve"> 2022;7(1</w:t>
      </w:r>
      <w:proofErr w:type="gramStart"/>
      <w:r w:rsidRPr="00F327E5">
        <w:t>):e</w:t>
      </w:r>
      <w:proofErr w:type="gramEnd"/>
      <w:r w:rsidRPr="00F327E5">
        <w:t>36-47.</w:t>
      </w:r>
    </w:p>
    <w:p w14:paraId="1C60131B" w14:textId="77777777" w:rsidR="00C844A9" w:rsidRDefault="00C844A9" w:rsidP="004657A5">
      <w:pPr>
        <w:rPr>
          <w:b/>
          <w:bCs/>
        </w:rPr>
      </w:pPr>
    </w:p>
    <w:p w14:paraId="46039936" w14:textId="3407137B" w:rsidR="004657A5" w:rsidRPr="00D744A2" w:rsidRDefault="004657A5" w:rsidP="004657A5">
      <w:pPr>
        <w:rPr>
          <w:b/>
          <w:bCs/>
        </w:rPr>
      </w:pPr>
      <w:r w:rsidRPr="00D744A2">
        <w:rPr>
          <w:b/>
          <w:bCs/>
        </w:rPr>
        <w:t xml:space="preserve">What are we missing? Selective versus universal testing for oropharyngeal </w:t>
      </w:r>
      <w:r w:rsidRPr="00D744A2">
        <w:rPr>
          <w:b/>
          <w:bCs/>
          <w:i/>
          <w:iCs/>
        </w:rPr>
        <w:t>Neisseria gonorrhoeae</w:t>
      </w:r>
      <w:r w:rsidRPr="00D744A2">
        <w:rPr>
          <w:b/>
          <w:bCs/>
        </w:rPr>
        <w:t xml:space="preserve"> in women</w:t>
      </w:r>
    </w:p>
    <w:p w14:paraId="07B0948D" w14:textId="2A67338E" w:rsidR="00C935F8" w:rsidRPr="00DE1E65" w:rsidRDefault="00FC4BFA" w:rsidP="004657A5">
      <w:r w:rsidRPr="00FC4BFA">
        <w:t xml:space="preserve">Oropharyngeal infection with </w:t>
      </w:r>
      <w:r w:rsidRPr="00BB014E">
        <w:rPr>
          <w:i/>
          <w:iCs/>
        </w:rPr>
        <w:t>Neisseria gonorrhoeae</w:t>
      </w:r>
      <w:r w:rsidRPr="00FC4BFA">
        <w:t xml:space="preserve"> is </w:t>
      </w:r>
      <w:r>
        <w:t>often asymptomatic</w:t>
      </w:r>
      <w:r w:rsidRPr="00FC4BFA">
        <w:t xml:space="preserve">. </w:t>
      </w:r>
      <w:r w:rsidR="00F961C9">
        <w:t>G</w:t>
      </w:r>
      <w:r w:rsidR="006D487B">
        <w:t xml:space="preserve">uidelines advocate </w:t>
      </w:r>
      <w:r w:rsidR="003727C8">
        <w:t xml:space="preserve">that </w:t>
      </w:r>
      <w:r w:rsidR="004657A5">
        <w:t>testing</w:t>
      </w:r>
      <w:r w:rsidR="003727C8">
        <w:t xml:space="preserve"> for oropharyngeal </w:t>
      </w:r>
      <w:r w:rsidR="00F961C9" w:rsidRPr="00F961C9">
        <w:t>gonorrhoea</w:t>
      </w:r>
      <w:r w:rsidR="00F961C9" w:rsidRPr="00F961C9" w:rsidDel="00F961C9">
        <w:t xml:space="preserve"> </w:t>
      </w:r>
      <w:r w:rsidR="00E52649">
        <w:t xml:space="preserve">in women </w:t>
      </w:r>
      <w:r w:rsidR="003727C8">
        <w:t xml:space="preserve">should be </w:t>
      </w:r>
      <w:r w:rsidR="00F961C9">
        <w:t xml:space="preserve">guided by </w:t>
      </w:r>
      <w:r w:rsidR="004657A5">
        <w:t xml:space="preserve">sexual </w:t>
      </w:r>
      <w:r w:rsidR="00EF1B39">
        <w:t>behaviour and risk group</w:t>
      </w:r>
      <w:r w:rsidR="005B2BB5">
        <w:t>.</w:t>
      </w:r>
      <w:r w:rsidR="00733B75">
        <w:t>[1]</w:t>
      </w:r>
      <w:r w:rsidR="004657A5">
        <w:t xml:space="preserve"> </w:t>
      </w:r>
      <w:r w:rsidR="00FB1611">
        <w:t>Based on</w:t>
      </w:r>
      <w:r w:rsidR="004657A5">
        <w:t xml:space="preserve"> surveillance data </w:t>
      </w:r>
      <w:r w:rsidR="003727C8">
        <w:t xml:space="preserve">collected </w:t>
      </w:r>
      <w:r w:rsidR="004657A5">
        <w:t xml:space="preserve">from all STI clinics in the Netherlands </w:t>
      </w:r>
      <w:r w:rsidR="00F961C9">
        <w:t xml:space="preserve">in </w:t>
      </w:r>
      <w:r w:rsidR="004657A5">
        <w:t>2008</w:t>
      </w:r>
      <w:r w:rsidR="00F961C9">
        <w:t>-</w:t>
      </w:r>
      <w:r w:rsidR="00C844A9">
        <w:t>2017</w:t>
      </w:r>
      <w:r w:rsidR="00DB71D1">
        <w:t xml:space="preserve"> (n=</w:t>
      </w:r>
      <w:r w:rsidR="00DB71D1" w:rsidRPr="00DB71D1">
        <w:t>545</w:t>
      </w:r>
      <w:r w:rsidR="00DB71D1">
        <w:t>,</w:t>
      </w:r>
      <w:r w:rsidR="00DB71D1" w:rsidRPr="00DB71D1">
        <w:t>750</w:t>
      </w:r>
      <w:r w:rsidR="00461AE2">
        <w:t xml:space="preserve"> </w:t>
      </w:r>
      <w:r w:rsidR="006911D7">
        <w:t>consultations</w:t>
      </w:r>
      <w:r w:rsidR="00DB71D1">
        <w:t>)</w:t>
      </w:r>
      <w:r w:rsidR="00EF1B39">
        <w:t xml:space="preserve">, prevalence of oropharyngeal </w:t>
      </w:r>
      <w:r w:rsidR="00EF1B39" w:rsidRPr="00BB014E">
        <w:t>gonorrhoea</w:t>
      </w:r>
      <w:r w:rsidR="00EF1B39">
        <w:rPr>
          <w:i/>
          <w:iCs/>
        </w:rPr>
        <w:t xml:space="preserve"> </w:t>
      </w:r>
      <w:r w:rsidR="00EF1B39">
        <w:t>among</w:t>
      </w:r>
      <w:r w:rsidR="00EF1B39" w:rsidRPr="00223894">
        <w:t xml:space="preserve"> </w:t>
      </w:r>
      <w:r w:rsidR="00EF1B39" w:rsidRPr="003727C8">
        <w:t>women</w:t>
      </w:r>
      <w:r w:rsidR="00EF1B39">
        <w:t xml:space="preserve"> </w:t>
      </w:r>
      <w:r w:rsidR="00FB1611">
        <w:t xml:space="preserve">was 1.4% </w:t>
      </w:r>
      <w:r w:rsidR="00DC4F32">
        <w:t>both</w:t>
      </w:r>
      <w:r w:rsidR="00EF1B39">
        <w:t xml:space="preserve"> </w:t>
      </w:r>
      <w:r w:rsidR="00E3795B">
        <w:t>at clinics</w:t>
      </w:r>
      <w:r w:rsidR="00461AE2">
        <w:t xml:space="preserve"> </w:t>
      </w:r>
      <w:r w:rsidR="00EF1B39">
        <w:t>that offered routine</w:t>
      </w:r>
      <w:r w:rsidR="00DB71D1">
        <w:t xml:space="preserve"> universal</w:t>
      </w:r>
      <w:r w:rsidR="00EF1B39">
        <w:t xml:space="preserve"> </w:t>
      </w:r>
      <w:r w:rsidR="00FB1611">
        <w:t>testing</w:t>
      </w:r>
      <w:r w:rsidR="00DC4F32">
        <w:t xml:space="preserve"> and those that offered</w:t>
      </w:r>
      <w:r w:rsidR="00FB1611">
        <w:t xml:space="preserve"> selective testing</w:t>
      </w:r>
      <w:r w:rsidR="00F961C9">
        <w:t xml:space="preserve">; </w:t>
      </w:r>
      <w:r w:rsidR="00DC4F32">
        <w:t>p</w:t>
      </w:r>
      <w:r w:rsidR="00FB1611">
        <w:t>revalence of oropharyngeal-only infections was 48%</w:t>
      </w:r>
      <w:r w:rsidR="00DC4F32">
        <w:t xml:space="preserve"> and </w:t>
      </w:r>
      <w:r w:rsidR="00FB1611">
        <w:t>43</w:t>
      </w:r>
      <w:r w:rsidR="00DC4F32">
        <w:t>% respectively</w:t>
      </w:r>
      <w:r w:rsidR="00DB71D1">
        <w:t xml:space="preserve">. </w:t>
      </w:r>
      <w:r w:rsidR="00E3795B">
        <w:t>S</w:t>
      </w:r>
      <w:r w:rsidR="004657A5">
        <w:t xml:space="preserve">elective testing </w:t>
      </w:r>
      <w:r w:rsidR="00DB71D1">
        <w:t xml:space="preserve">would </w:t>
      </w:r>
      <w:r w:rsidR="00DC4F32">
        <w:t>potentially miss</w:t>
      </w:r>
      <w:r w:rsidR="00DB71D1">
        <w:t xml:space="preserve"> </w:t>
      </w:r>
      <w:r w:rsidR="00DC4F32">
        <w:t xml:space="preserve">70% of all </w:t>
      </w:r>
      <w:r w:rsidR="004657A5" w:rsidRPr="00EC5DB4">
        <w:t>oropharyngeal infections</w:t>
      </w:r>
      <w:r w:rsidR="00DC4F32">
        <w:t>, of which</w:t>
      </w:r>
      <w:r w:rsidR="00DC4F32" w:rsidRPr="00DC4F32">
        <w:t xml:space="preserve"> half </w:t>
      </w:r>
      <w:r w:rsidR="00DC4F32">
        <w:t xml:space="preserve">would occur </w:t>
      </w:r>
      <w:r w:rsidR="00DC4F32" w:rsidRPr="00DC4F32">
        <w:t xml:space="preserve">without concurrent </w:t>
      </w:r>
      <w:proofErr w:type="spellStart"/>
      <w:r w:rsidR="00F961C9">
        <w:t>ano</w:t>
      </w:r>
      <w:proofErr w:type="spellEnd"/>
      <w:r w:rsidR="00F961C9">
        <w:t>-</w:t>
      </w:r>
      <w:r w:rsidR="00DC4F32" w:rsidRPr="00DC4F32">
        <w:t>genital infections</w:t>
      </w:r>
      <w:r w:rsidR="004657A5">
        <w:t xml:space="preserve">. </w:t>
      </w:r>
      <w:r w:rsidR="00181E22">
        <w:t>C</w:t>
      </w:r>
      <w:r w:rsidR="009A0B5D">
        <w:t>onsidering the diverse risk profile of women accessing STI clinics in different settings</w:t>
      </w:r>
      <w:r w:rsidR="00181E22">
        <w:t xml:space="preserve"> and the relatively low prevalence</w:t>
      </w:r>
      <w:r w:rsidR="00F961C9">
        <w:t xml:space="preserve">, </w:t>
      </w:r>
      <w:r w:rsidR="009A0B5D">
        <w:t>f</w:t>
      </w:r>
      <w:r w:rsidR="004037FE">
        <w:t xml:space="preserve">urther studies are needed to </w:t>
      </w:r>
      <w:r w:rsidR="00F961C9">
        <w:t xml:space="preserve">define the </w:t>
      </w:r>
      <w:r w:rsidR="009A0B5D">
        <w:t>optimal strategies</w:t>
      </w:r>
      <w:r w:rsidR="00F961C9">
        <w:t xml:space="preserve"> for </w:t>
      </w:r>
      <w:r w:rsidR="009A0B5D">
        <w:t>detect</w:t>
      </w:r>
      <w:r w:rsidR="00F961C9">
        <w:t>ing</w:t>
      </w:r>
      <w:r w:rsidR="009A0B5D">
        <w:t xml:space="preserve"> o</w:t>
      </w:r>
      <w:r w:rsidR="009A0B5D" w:rsidRPr="00FC4BFA">
        <w:t xml:space="preserve">ropharyngeal </w:t>
      </w:r>
      <w:r w:rsidR="009A0B5D" w:rsidRPr="00BB014E">
        <w:t>gonorrhoeae</w:t>
      </w:r>
      <w:r w:rsidR="009A0B5D" w:rsidRPr="00FC4BFA">
        <w:t xml:space="preserve"> </w:t>
      </w:r>
      <w:r w:rsidR="004037FE" w:rsidRPr="004037FE">
        <w:t>in women</w:t>
      </w:r>
      <w:r w:rsidR="009A0B5D">
        <w:t>.</w:t>
      </w:r>
    </w:p>
    <w:p w14:paraId="70F3AF77" w14:textId="3621CD2D" w:rsidR="004657A5" w:rsidRDefault="004657A5" w:rsidP="004657A5">
      <w:r w:rsidRPr="002773C7">
        <w:t xml:space="preserve">van </w:t>
      </w:r>
      <w:proofErr w:type="spellStart"/>
      <w:r w:rsidRPr="002773C7">
        <w:t>Liere</w:t>
      </w:r>
      <w:proofErr w:type="spellEnd"/>
      <w:r w:rsidRPr="002773C7">
        <w:t xml:space="preserve"> GAFS, </w:t>
      </w:r>
      <w:proofErr w:type="spellStart"/>
      <w:r w:rsidRPr="002773C7">
        <w:t>Dukers-Muijrers</w:t>
      </w:r>
      <w:proofErr w:type="spellEnd"/>
      <w:r w:rsidRPr="002773C7">
        <w:t xml:space="preserve"> NHTM, </w:t>
      </w:r>
      <w:proofErr w:type="spellStart"/>
      <w:r w:rsidRPr="002773C7">
        <w:t>Kuizenga</w:t>
      </w:r>
      <w:proofErr w:type="spellEnd"/>
      <w:r w:rsidRPr="002773C7">
        <w:t>-Wessel S,</w:t>
      </w:r>
      <w:r w:rsidR="00FA1F33">
        <w:t xml:space="preserve"> </w:t>
      </w:r>
      <w:r w:rsidR="00FA1F33" w:rsidRPr="00F955BB">
        <w:rPr>
          <w:i/>
          <w:iCs/>
        </w:rPr>
        <w:t>et al</w:t>
      </w:r>
      <w:r w:rsidRPr="00F955BB">
        <w:rPr>
          <w:i/>
          <w:iCs/>
        </w:rPr>
        <w:t>.</w:t>
      </w:r>
      <w:r w:rsidRPr="002773C7">
        <w:t xml:space="preserve"> Routine universal testing versus selective or incidental testing for oropharyngeal Neisseria gonorrhoeae in women in the Netherlands: a retrospective cohort study [published correction appears in </w:t>
      </w:r>
      <w:r w:rsidRPr="004D1B29">
        <w:rPr>
          <w:i/>
          <w:iCs/>
        </w:rPr>
        <w:t>Lancet Infect Dis</w:t>
      </w:r>
      <w:r w:rsidRPr="002773C7">
        <w:t xml:space="preserve"> 2021;21(9</w:t>
      </w:r>
      <w:proofErr w:type="gramStart"/>
      <w:r w:rsidRPr="002773C7">
        <w:t>):e</w:t>
      </w:r>
      <w:proofErr w:type="gramEnd"/>
      <w:r w:rsidRPr="002773C7">
        <w:t xml:space="preserve">258]. </w:t>
      </w:r>
      <w:r w:rsidRPr="004D1B29">
        <w:rPr>
          <w:i/>
          <w:iCs/>
        </w:rPr>
        <w:t>Lancet Infect Di</w:t>
      </w:r>
      <w:r w:rsidRPr="002773C7">
        <w:t xml:space="preserve">. 2021;21(6):858-67. </w:t>
      </w:r>
    </w:p>
    <w:p w14:paraId="4E6BDAFD" w14:textId="22213EBD" w:rsidR="008567F4" w:rsidRDefault="008567F4" w:rsidP="00D2599B"/>
    <w:p w14:paraId="1C1107D2" w14:textId="5E7D16AD" w:rsidR="00D2599B" w:rsidRDefault="00C844A9" w:rsidP="00D2599B">
      <w:pPr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</w:pPr>
      <w:r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  <w:t xml:space="preserve">Editor’s Choice: </w:t>
      </w:r>
      <w:r w:rsidR="00D2599B"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  <w:t xml:space="preserve"> </w:t>
      </w:r>
      <w:r w:rsidR="00181E22"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  <w:t xml:space="preserve">The impact of PrEP programs on the profile of people newly diagnosed with HIV </w:t>
      </w:r>
    </w:p>
    <w:p w14:paraId="4FC37061" w14:textId="4BF69220" w:rsidR="00D2599B" w:rsidRDefault="00043814" w:rsidP="00D2599B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  <w:r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In July 2017, </w:t>
      </w:r>
      <w:r w:rsidR="00D2599B">
        <w:rPr>
          <w:rFonts w:eastAsia="Times New Roman" w:cstheme="minorHAnsi"/>
          <w:color w:val="222222"/>
          <w:shd w:val="clear" w:color="auto" w:fill="FFFFFF"/>
          <w:lang w:eastAsia="en-GB"/>
        </w:rPr>
        <w:t>Scotland</w:t>
      </w:r>
      <w:r w:rsidR="00181E22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implemented </w:t>
      </w:r>
      <w:r w:rsidR="00013EAF">
        <w:rPr>
          <w:rFonts w:eastAsia="Times New Roman" w:cstheme="minorHAnsi"/>
          <w:color w:val="222222"/>
          <w:shd w:val="clear" w:color="auto" w:fill="FFFFFF"/>
          <w:lang w:eastAsia="en-GB"/>
        </w:rPr>
        <w:t>a HIV</w:t>
      </w:r>
      <w:r w:rsidR="00D2599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PrEP program </w:t>
      </w:r>
      <w:r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to be </w:t>
      </w:r>
      <w:r w:rsidR="00013EAF">
        <w:rPr>
          <w:rFonts w:eastAsia="Times New Roman" w:cstheme="minorHAnsi"/>
          <w:color w:val="222222"/>
          <w:shd w:val="clear" w:color="auto" w:fill="FFFFFF"/>
          <w:lang w:eastAsia="en-GB"/>
        </w:rPr>
        <w:t>deliver</w:t>
      </w:r>
      <w:r>
        <w:rPr>
          <w:rFonts w:eastAsia="Times New Roman" w:cstheme="minorHAnsi"/>
          <w:color w:val="222222"/>
          <w:shd w:val="clear" w:color="auto" w:fill="FFFFFF"/>
          <w:lang w:eastAsia="en-GB"/>
        </w:rPr>
        <w:t>ed</w:t>
      </w:r>
      <w:r w:rsidR="00013EAF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through sexual health clinics</w:t>
      </w:r>
      <w:r w:rsidR="00D2599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. </w:t>
      </w:r>
      <w:r w:rsidR="00181E22">
        <w:rPr>
          <w:rFonts w:eastAsia="Times New Roman" w:cstheme="minorHAnsi"/>
          <w:color w:val="222222"/>
          <w:shd w:val="clear" w:color="auto" w:fill="FFFFFF"/>
          <w:lang w:eastAsia="en-GB"/>
        </w:rPr>
        <w:t>U</w:t>
      </w:r>
      <w:r w:rsidR="00D2599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sing surveillance data, </w:t>
      </w:r>
      <w:r w:rsidR="00181E22">
        <w:rPr>
          <w:rFonts w:eastAsia="Times New Roman" w:cstheme="minorHAnsi"/>
          <w:color w:val="222222"/>
          <w:shd w:val="clear" w:color="auto" w:fill="FFFFFF"/>
          <w:lang w:eastAsia="en-GB"/>
        </w:rPr>
        <w:t>investigators compared the</w:t>
      </w:r>
      <w:r w:rsidR="00D2599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characteristics of people newly diagnosed with HIV in the two years prior to July 2017 (n=418) with those newly diagnosed in the year following implementation (n=197). Those diagnosed </w:t>
      </w:r>
      <w:r w:rsidR="00013EAF">
        <w:rPr>
          <w:rFonts w:eastAsia="Times New Roman" w:cstheme="minorHAnsi"/>
          <w:color w:val="222222"/>
          <w:shd w:val="clear" w:color="auto" w:fill="FFFFFF"/>
          <w:lang w:eastAsia="en-GB"/>
        </w:rPr>
        <w:t>prior to implementation</w:t>
      </w:r>
      <w:r w:rsidR="00D2599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were more likely to be male (82% vs</w:t>
      </w:r>
      <w:r w:rsidR="00013EAF">
        <w:rPr>
          <w:rFonts w:eastAsia="Times New Roman" w:cstheme="minorHAnsi"/>
          <w:color w:val="222222"/>
          <w:shd w:val="clear" w:color="auto" w:fill="FFFFFF"/>
          <w:lang w:eastAsia="en-GB"/>
        </w:rPr>
        <w:t>.</w:t>
      </w:r>
      <w:r w:rsidR="00D2599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72%)</w:t>
      </w:r>
      <w:r w:rsidR="00013EAF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and</w:t>
      </w:r>
      <w:r w:rsidR="00D2599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white British (78% vs</w:t>
      </w:r>
      <w:r w:rsidR="00013EAF">
        <w:rPr>
          <w:rFonts w:eastAsia="Times New Roman" w:cstheme="minorHAnsi"/>
          <w:color w:val="222222"/>
          <w:shd w:val="clear" w:color="auto" w:fill="FFFFFF"/>
          <w:lang w:eastAsia="en-GB"/>
        </w:rPr>
        <w:t>.</w:t>
      </w:r>
      <w:r w:rsidR="00D2599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64%), </w:t>
      </w:r>
      <w:r w:rsidR="00013EAF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to </w:t>
      </w:r>
      <w:r w:rsidR="00D2599B">
        <w:rPr>
          <w:rFonts w:eastAsia="Times New Roman" w:cstheme="minorHAnsi"/>
          <w:color w:val="222222"/>
          <w:shd w:val="clear" w:color="auto" w:fill="FFFFFF"/>
          <w:lang w:eastAsia="en-GB"/>
        </w:rPr>
        <w:t>report sex between men (52% vs</w:t>
      </w:r>
      <w:r w:rsidR="00013EAF">
        <w:rPr>
          <w:rFonts w:eastAsia="Times New Roman" w:cstheme="minorHAnsi"/>
          <w:color w:val="222222"/>
          <w:shd w:val="clear" w:color="auto" w:fill="FFFFFF"/>
          <w:lang w:eastAsia="en-GB"/>
        </w:rPr>
        <w:t>.</w:t>
      </w:r>
      <w:r w:rsidR="00D2599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41%), and to have acquired HIV locally (72% vs</w:t>
      </w:r>
      <w:r w:rsidR="00013EAF">
        <w:rPr>
          <w:rFonts w:eastAsia="Times New Roman" w:cstheme="minorHAnsi"/>
          <w:color w:val="222222"/>
          <w:shd w:val="clear" w:color="auto" w:fill="FFFFFF"/>
          <w:lang w:eastAsia="en-GB"/>
        </w:rPr>
        <w:t>.</w:t>
      </w:r>
      <w:r w:rsidR="00D2599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58%). Those diagnosed </w:t>
      </w:r>
      <w:r w:rsidR="00013EAF">
        <w:rPr>
          <w:rFonts w:eastAsia="Times New Roman" w:cstheme="minorHAnsi"/>
          <w:color w:val="222222"/>
          <w:shd w:val="clear" w:color="auto" w:fill="FFFFFF"/>
          <w:lang w:eastAsia="en-GB"/>
        </w:rPr>
        <w:t>after implementation</w:t>
      </w:r>
      <w:r w:rsidR="00D2599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were more likely to have acquired HIV through mixed-gender sex (39% vs</w:t>
      </w:r>
      <w:r w:rsidR="00013EAF">
        <w:rPr>
          <w:rFonts w:eastAsia="Times New Roman" w:cstheme="minorHAnsi"/>
          <w:color w:val="222222"/>
          <w:shd w:val="clear" w:color="auto" w:fill="FFFFFF"/>
          <w:lang w:eastAsia="en-GB"/>
        </w:rPr>
        <w:t>.</w:t>
      </w:r>
      <w:r w:rsidR="00D2599B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27%). The sexual health clinic-based PrEP program appears to favour white British men who have sex with men. Alternative, supplemental delivery models may be needed to reach more diverse populations at risk for HIV. </w:t>
      </w:r>
    </w:p>
    <w:p w14:paraId="68DE9CC9" w14:textId="3C8452A4" w:rsidR="00D2599B" w:rsidRPr="00B048BC" w:rsidRDefault="001803ED" w:rsidP="00C844A9">
      <w:pPr>
        <w:jc w:val="both"/>
        <w:rPr>
          <w:rFonts w:cstheme="minorHAnsi"/>
        </w:rPr>
      </w:pPr>
      <w:r w:rsidRPr="00613FE9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Grimshaw C, Estcourt CS, </w:t>
      </w:r>
      <w:proofErr w:type="spellStart"/>
      <w:r w:rsidRPr="00613FE9">
        <w:rPr>
          <w:rFonts w:eastAsia="Times New Roman" w:cstheme="minorHAnsi"/>
          <w:color w:val="222222"/>
          <w:shd w:val="clear" w:color="auto" w:fill="FFFFFF"/>
          <w:lang w:eastAsia="en-GB"/>
        </w:rPr>
        <w:t>Nandwani</w:t>
      </w:r>
      <w:proofErr w:type="spellEnd"/>
      <w:r w:rsidRPr="00613FE9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R, </w:t>
      </w:r>
      <w:r w:rsidR="004D1B29" w:rsidRPr="00F955B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et al</w:t>
      </w:r>
      <w:r w:rsidRPr="00F955BB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.</w:t>
      </w:r>
      <w:r w:rsidRPr="00613FE9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Pr="001E57FE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Implementation of a national HIV pre-exposure prophylaxis service is associated with changes in characteristics of people with newly diagnosed HIV: </w:t>
      </w:r>
      <w:r w:rsidR="00F955BB">
        <w:rPr>
          <w:rFonts w:eastAsia="Times New Roman" w:cstheme="minorHAnsi"/>
          <w:color w:val="222222"/>
          <w:shd w:val="clear" w:color="auto" w:fill="FFFFFF"/>
          <w:lang w:eastAsia="en-GB"/>
        </w:rPr>
        <w:t>A</w:t>
      </w:r>
      <w:r w:rsidRPr="001E57FE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retrospective cohort study. </w:t>
      </w:r>
      <w:r w:rsidRPr="00FA6A67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 xml:space="preserve">Sex </w:t>
      </w:r>
      <w:proofErr w:type="spellStart"/>
      <w:r w:rsidRPr="00FA6A67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Transm</w:t>
      </w:r>
      <w:proofErr w:type="spellEnd"/>
      <w:r w:rsidRPr="00FA6A67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 xml:space="preserve"> Infect</w:t>
      </w:r>
      <w:r w:rsidRPr="001E57FE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202</w:t>
      </w:r>
      <w:r w:rsidR="00FA6A67">
        <w:rPr>
          <w:rFonts w:eastAsia="Times New Roman" w:cstheme="minorHAnsi"/>
          <w:color w:val="222222"/>
          <w:shd w:val="clear" w:color="auto" w:fill="FFFFFF"/>
          <w:lang w:eastAsia="en-GB"/>
        </w:rPr>
        <w:t>2;98(1):53-7</w:t>
      </w:r>
      <w:r w:rsidRPr="001E57FE">
        <w:rPr>
          <w:rFonts w:eastAsia="Times New Roman" w:cstheme="minorHAnsi"/>
          <w:color w:val="222222"/>
          <w:shd w:val="clear" w:color="auto" w:fill="FFFFFF"/>
          <w:lang w:eastAsia="en-GB"/>
        </w:rPr>
        <w:t>.</w:t>
      </w:r>
    </w:p>
    <w:p w14:paraId="1D733049" w14:textId="77777777" w:rsidR="001E57FE" w:rsidRDefault="001E57FE" w:rsidP="00C844A9">
      <w:pPr>
        <w:jc w:val="both"/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</w:pPr>
    </w:p>
    <w:p w14:paraId="14CA27E7" w14:textId="10BE4577" w:rsidR="00D2599B" w:rsidRDefault="00253BCF" w:rsidP="00C844A9">
      <w:pPr>
        <w:jc w:val="both"/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</w:pPr>
      <w:r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  <w:t>Resistance-guided combination therapy for</w:t>
      </w:r>
      <w:r w:rsidR="00C720D8"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  <w:t xml:space="preserve"> </w:t>
      </w:r>
      <w:r w:rsidR="00C720D8">
        <w:rPr>
          <w:rFonts w:eastAsia="Times New Roman" w:cstheme="minorHAnsi"/>
          <w:b/>
          <w:bCs/>
          <w:i/>
          <w:iCs/>
          <w:color w:val="222222"/>
          <w:shd w:val="clear" w:color="auto" w:fill="FFFFFF"/>
          <w:lang w:eastAsia="en-GB"/>
        </w:rPr>
        <w:t xml:space="preserve">Mycoplasma </w:t>
      </w:r>
      <w:proofErr w:type="spellStart"/>
      <w:r w:rsidR="00C720D8">
        <w:rPr>
          <w:rFonts w:eastAsia="Times New Roman" w:cstheme="minorHAnsi"/>
          <w:b/>
          <w:bCs/>
          <w:i/>
          <w:iCs/>
          <w:color w:val="222222"/>
          <w:shd w:val="clear" w:color="auto" w:fill="FFFFFF"/>
          <w:lang w:eastAsia="en-GB"/>
        </w:rPr>
        <w:t>genitalium</w:t>
      </w:r>
      <w:proofErr w:type="spellEnd"/>
      <w:r w:rsidR="00C720D8"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  <w:t xml:space="preserve"> </w:t>
      </w:r>
      <w:r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  <w:t xml:space="preserve">reveals the predictive value of </w:t>
      </w:r>
      <w:r w:rsidR="00C720D8" w:rsidRPr="00C720D8">
        <w:rPr>
          <w:rFonts w:cstheme="minorHAnsi"/>
          <w:b/>
          <w:bCs/>
        </w:rPr>
        <w:t xml:space="preserve">single nucleotide polymorphisms </w:t>
      </w:r>
      <w:r w:rsidR="00C720D8">
        <w:rPr>
          <w:rFonts w:cstheme="minorHAnsi"/>
          <w:b/>
          <w:bCs/>
        </w:rPr>
        <w:t>in the</w:t>
      </w:r>
      <w:r w:rsidR="00C720D8" w:rsidRPr="00C720D8">
        <w:rPr>
          <w:rFonts w:cstheme="minorHAnsi"/>
          <w:b/>
          <w:bCs/>
        </w:rPr>
        <w:t xml:space="preserve"> </w:t>
      </w:r>
      <w:proofErr w:type="spellStart"/>
      <w:r w:rsidR="00C720D8" w:rsidRPr="00C720D8">
        <w:rPr>
          <w:rFonts w:cstheme="minorHAnsi"/>
          <w:b/>
          <w:bCs/>
          <w:i/>
          <w:iCs/>
        </w:rPr>
        <w:t>par</w:t>
      </w:r>
      <w:r w:rsidR="00C720D8" w:rsidRPr="00C720D8">
        <w:rPr>
          <w:rFonts w:cstheme="minorHAnsi"/>
          <w:b/>
          <w:bCs/>
        </w:rPr>
        <w:t>C</w:t>
      </w:r>
      <w:proofErr w:type="spellEnd"/>
      <w:r w:rsidR="00C720D8" w:rsidRPr="00C720D8">
        <w:rPr>
          <w:rFonts w:cstheme="minorHAnsi"/>
          <w:b/>
          <w:bCs/>
        </w:rPr>
        <w:t xml:space="preserve"> </w:t>
      </w:r>
      <w:r w:rsidR="00C720D8">
        <w:rPr>
          <w:rFonts w:cstheme="minorHAnsi"/>
          <w:b/>
          <w:bCs/>
        </w:rPr>
        <w:t xml:space="preserve">gene </w:t>
      </w:r>
    </w:p>
    <w:p w14:paraId="19976A32" w14:textId="7FB396AB" w:rsidR="00C720D8" w:rsidRPr="00613FE9" w:rsidRDefault="006508FF" w:rsidP="00C720D8">
      <w:pPr>
        <w:jc w:val="both"/>
        <w:rPr>
          <w:rFonts w:cstheme="minorHAnsi"/>
        </w:rPr>
      </w:pPr>
      <w:r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Treating </w:t>
      </w:r>
      <w:r w:rsidRPr="006508FF">
        <w:rPr>
          <w:rFonts w:eastAsia="Times New Roman" w:cstheme="minorHAnsi"/>
          <w:color w:val="222222"/>
          <w:shd w:val="clear" w:color="auto" w:fill="FFFFFF"/>
          <w:lang w:eastAsia="en-GB"/>
        </w:rPr>
        <w:t>MG infection</w:t>
      </w:r>
      <w:r w:rsidR="00253BCF">
        <w:rPr>
          <w:rFonts w:eastAsia="Times New Roman" w:cstheme="minorHAnsi"/>
          <w:color w:val="222222"/>
          <w:shd w:val="clear" w:color="auto" w:fill="FFFFFF"/>
          <w:lang w:eastAsia="en-GB"/>
        </w:rPr>
        <w:t>s</w:t>
      </w:r>
      <w:r w:rsidRPr="006508FF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is challenging because of rising antimicrobial resistance and limited treatment options. </w:t>
      </w:r>
      <w:r w:rsidR="00253BCF">
        <w:rPr>
          <w:rFonts w:eastAsia="Times New Roman" w:cstheme="minorHAnsi"/>
          <w:color w:val="222222"/>
          <w:shd w:val="clear" w:color="auto" w:fill="FFFFFF"/>
          <w:lang w:eastAsia="en-GB"/>
        </w:rPr>
        <w:t>In a</w:t>
      </w:r>
      <w:r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="00C720D8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prospective clinical </w:t>
      </w:r>
      <w:r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study </w:t>
      </w:r>
      <w:r w:rsidR="00AA6FFC">
        <w:rPr>
          <w:rFonts w:eastAsia="Times New Roman" w:cstheme="minorHAnsi"/>
          <w:color w:val="222222"/>
          <w:shd w:val="clear" w:color="auto" w:fill="FFFFFF"/>
          <w:lang w:eastAsia="en-GB"/>
        </w:rPr>
        <w:t>in Melbourne</w:t>
      </w:r>
      <w:r w:rsidR="00253BCF">
        <w:rPr>
          <w:rFonts w:eastAsia="Times New Roman" w:cstheme="minorHAnsi"/>
          <w:color w:val="222222"/>
          <w:shd w:val="clear" w:color="auto" w:fill="FFFFFF"/>
          <w:lang w:eastAsia="en-GB"/>
        </w:rPr>
        <w:t>,</w:t>
      </w:r>
      <w:r w:rsidR="00AA6FFC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="00253BCF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347 </w:t>
      </w:r>
      <w:r w:rsidR="00C720D8">
        <w:rPr>
          <w:rFonts w:eastAsia="Times New Roman" w:cstheme="minorHAnsi"/>
          <w:color w:val="222222"/>
          <w:shd w:val="clear" w:color="auto" w:fill="FFFFFF"/>
          <w:lang w:eastAsia="en-GB"/>
        </w:rPr>
        <w:t>patients diagnosed with MG</w:t>
      </w:r>
      <w:r w:rsidR="00AA6FFC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="00C720D8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received doxycycline for 7 days, followed by combination treatment based on </w:t>
      </w:r>
      <w:r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the </w:t>
      </w:r>
      <w:r w:rsidR="00C720D8">
        <w:rPr>
          <w:rFonts w:eastAsia="Times New Roman" w:cstheme="minorHAnsi"/>
          <w:color w:val="222222"/>
          <w:shd w:val="clear" w:color="auto" w:fill="FFFFFF"/>
          <w:lang w:eastAsia="en-GB"/>
        </w:rPr>
        <w:t>macrolide resistance profile</w:t>
      </w:r>
      <w:r>
        <w:rPr>
          <w:rFonts w:eastAsia="Times New Roman" w:cstheme="minorHAnsi"/>
          <w:color w:val="222222"/>
          <w:shd w:val="clear" w:color="auto" w:fill="FFFFFF"/>
          <w:lang w:eastAsia="en-GB"/>
        </w:rPr>
        <w:t>. M</w:t>
      </w:r>
      <w:r w:rsidR="00C720D8">
        <w:rPr>
          <w:rFonts w:eastAsia="Times New Roman" w:cstheme="minorHAnsi"/>
          <w:color w:val="222222"/>
          <w:shd w:val="clear" w:color="auto" w:fill="FFFFFF"/>
          <w:lang w:eastAsia="en-GB"/>
        </w:rPr>
        <w:t>acrolide-susceptible</w:t>
      </w:r>
      <w:r w:rsidR="00AA6FFC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infections (n=100) received</w:t>
      </w:r>
      <w:r w:rsidR="00C720D8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doxycycline + azithromycin</w:t>
      </w:r>
      <w:r w:rsidR="00AA6FFC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for 4 days</w:t>
      </w:r>
      <w:r w:rsidR="00C720D8">
        <w:rPr>
          <w:rFonts w:eastAsia="Times New Roman" w:cstheme="minorHAnsi"/>
          <w:color w:val="222222"/>
          <w:shd w:val="clear" w:color="auto" w:fill="FFFFFF"/>
          <w:lang w:eastAsia="en-GB"/>
        </w:rPr>
        <w:t>; macrolide-resistant</w:t>
      </w:r>
      <w:r w:rsidR="00AA6FFC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infections (n=247) received </w:t>
      </w:r>
      <w:r w:rsidR="00C720D8">
        <w:rPr>
          <w:rFonts w:eastAsia="Times New Roman" w:cstheme="minorHAnsi"/>
          <w:color w:val="222222"/>
          <w:shd w:val="clear" w:color="auto" w:fill="FFFFFF"/>
          <w:lang w:eastAsia="en-GB"/>
        </w:rPr>
        <w:t>doxycycline + moxifloxacin</w:t>
      </w:r>
      <w:r w:rsidR="00AA6FFC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for 7 days</w:t>
      </w:r>
      <w:r w:rsidR="00C720D8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. </w:t>
      </w:r>
      <w:r w:rsidR="00AA6FFC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Cure rates after 14-28 days were 93% and 85% for </w:t>
      </w:r>
      <w:r w:rsidR="00C720D8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macrolide-susceptible </w:t>
      </w:r>
      <w:r w:rsidR="00AA6FFC">
        <w:rPr>
          <w:rFonts w:eastAsia="Times New Roman" w:cstheme="minorHAnsi"/>
          <w:color w:val="222222"/>
          <w:shd w:val="clear" w:color="auto" w:fill="FFFFFF"/>
          <w:lang w:eastAsia="en-GB"/>
        </w:rPr>
        <w:t>and macrolide-resistant infections, respectively.</w:t>
      </w:r>
      <w:r w:rsidR="00C720D8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proofErr w:type="spellStart"/>
      <w:r w:rsidR="00C720D8" w:rsidRPr="00C720D8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par</w:t>
      </w:r>
      <w:r w:rsidR="00C720D8">
        <w:rPr>
          <w:rFonts w:eastAsia="Times New Roman" w:cstheme="minorHAnsi"/>
          <w:color w:val="222222"/>
          <w:shd w:val="clear" w:color="auto" w:fill="FFFFFF"/>
          <w:lang w:eastAsia="en-GB"/>
        </w:rPr>
        <w:t>C</w:t>
      </w:r>
      <w:proofErr w:type="spellEnd"/>
      <w:r w:rsidR="00C720D8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gene sequencing (n=164 macrolide-resistant infections</w:t>
      </w:r>
      <w:r w:rsidR="00253BCF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) showed that </w:t>
      </w:r>
      <w:r w:rsidR="00253BCF" w:rsidRPr="00253BCF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absence of SNPs at </w:t>
      </w:r>
      <w:proofErr w:type="spellStart"/>
      <w:r w:rsidR="00253BCF" w:rsidRPr="00253BCF">
        <w:rPr>
          <w:rFonts w:eastAsia="Times New Roman" w:cstheme="minorHAnsi"/>
          <w:color w:val="222222"/>
          <w:shd w:val="clear" w:color="auto" w:fill="FFFFFF"/>
          <w:lang w:eastAsia="en-GB"/>
        </w:rPr>
        <w:t>parC</w:t>
      </w:r>
      <w:proofErr w:type="spellEnd"/>
      <w:r w:rsidR="00253BCF" w:rsidRPr="00253BCF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S83/D87 was associated with </w:t>
      </w:r>
      <w:r w:rsidR="00335C7F">
        <w:rPr>
          <w:rFonts w:eastAsia="Times New Roman" w:cstheme="minorHAnsi"/>
          <w:color w:val="222222"/>
          <w:shd w:val="clear" w:color="auto" w:fill="FFFFFF"/>
          <w:lang w:eastAsia="en-GB"/>
        </w:rPr>
        <w:t>&gt;</w:t>
      </w:r>
      <w:r w:rsidR="00253BCF" w:rsidRPr="00253BCF">
        <w:rPr>
          <w:rFonts w:eastAsia="Times New Roman" w:cstheme="minorHAnsi"/>
          <w:color w:val="222222"/>
          <w:shd w:val="clear" w:color="auto" w:fill="FFFFFF"/>
          <w:lang w:eastAsia="en-GB"/>
        </w:rPr>
        <w:t>98% cure following doxycycline + moxifloxacin</w:t>
      </w:r>
      <w:r w:rsidR="00253BCF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, whereas </w:t>
      </w:r>
      <w:r w:rsidR="00253BCF" w:rsidRPr="00253BCF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presence of the </w:t>
      </w:r>
      <w:proofErr w:type="spellStart"/>
      <w:r w:rsidR="00253BCF" w:rsidRPr="00253BCF">
        <w:rPr>
          <w:rFonts w:eastAsia="Times New Roman" w:cstheme="minorHAnsi"/>
          <w:color w:val="222222"/>
          <w:shd w:val="clear" w:color="auto" w:fill="FFFFFF"/>
          <w:lang w:eastAsia="en-GB"/>
        </w:rPr>
        <w:t>parC</w:t>
      </w:r>
      <w:proofErr w:type="spellEnd"/>
      <w:r w:rsidR="00253BCF" w:rsidRPr="00253BCF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="00335C7F">
        <w:rPr>
          <w:rFonts w:eastAsia="Times New Roman" w:cstheme="minorHAnsi"/>
          <w:color w:val="222222"/>
          <w:shd w:val="clear" w:color="auto" w:fill="FFFFFF"/>
          <w:lang w:eastAsia="en-GB"/>
        </w:rPr>
        <w:t>mutation</w:t>
      </w:r>
      <w:r w:rsidR="00335C7F" w:rsidRPr="00253BCF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="00253BCF" w:rsidRPr="00253BCF">
        <w:rPr>
          <w:rFonts w:eastAsia="Times New Roman" w:cstheme="minorHAnsi"/>
          <w:color w:val="222222"/>
          <w:shd w:val="clear" w:color="auto" w:fill="FFFFFF"/>
          <w:lang w:eastAsia="en-GB"/>
        </w:rPr>
        <w:t>S83I</w:t>
      </w:r>
      <w:r w:rsidR="00335C7F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="00253BCF" w:rsidRPr="00253BCF">
        <w:rPr>
          <w:rFonts w:eastAsia="Times New Roman" w:cstheme="minorHAnsi"/>
          <w:color w:val="222222"/>
          <w:shd w:val="clear" w:color="auto" w:fill="FFFFFF"/>
          <w:lang w:eastAsia="en-GB"/>
        </w:rPr>
        <w:t>was associated with failure in 6</w:t>
      </w:r>
      <w:r w:rsidR="00335C7F">
        <w:rPr>
          <w:rFonts w:eastAsia="Times New Roman" w:cstheme="minorHAnsi"/>
          <w:color w:val="222222"/>
          <w:shd w:val="clear" w:color="auto" w:fill="FFFFFF"/>
          <w:lang w:eastAsia="en-GB"/>
        </w:rPr>
        <w:t>3</w:t>
      </w:r>
      <w:r w:rsidR="00253BCF" w:rsidRPr="00253BCF">
        <w:rPr>
          <w:rFonts w:eastAsia="Times New Roman" w:cstheme="minorHAnsi"/>
          <w:color w:val="222222"/>
          <w:shd w:val="clear" w:color="auto" w:fill="FFFFFF"/>
          <w:lang w:eastAsia="en-GB"/>
        </w:rPr>
        <w:t>%. Side effects</w:t>
      </w:r>
      <w:r w:rsidR="00335C7F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occurred in </w:t>
      </w:r>
      <w:r w:rsidR="00253BCF" w:rsidRPr="00253BCF">
        <w:rPr>
          <w:rFonts w:eastAsia="Times New Roman" w:cstheme="minorHAnsi"/>
          <w:color w:val="222222"/>
          <w:shd w:val="clear" w:color="auto" w:fill="FFFFFF"/>
          <w:lang w:eastAsia="en-GB"/>
        </w:rPr>
        <w:t>40</w:t>
      </w:r>
      <w:r w:rsidR="00335C7F">
        <w:rPr>
          <w:rFonts w:eastAsia="Times New Roman" w:cstheme="minorHAnsi"/>
          <w:color w:val="222222"/>
          <w:shd w:val="clear" w:color="auto" w:fill="FFFFFF"/>
          <w:lang w:eastAsia="en-GB"/>
        </w:rPr>
        <w:t>-</w:t>
      </w:r>
      <w:r w:rsidR="00253BCF" w:rsidRPr="00253BCF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46% and </w:t>
      </w:r>
      <w:r w:rsidR="00335C7F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were </w:t>
      </w:r>
      <w:r w:rsidR="00253BCF" w:rsidRPr="00253BCF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predominantly mild and gastrointestinal. </w:t>
      </w:r>
      <w:r w:rsidR="00335C7F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The data support resistance testing to guide clinical care. </w:t>
      </w:r>
    </w:p>
    <w:p w14:paraId="490CC42E" w14:textId="2AB6BDED" w:rsidR="00D2599B" w:rsidRPr="00613FE9" w:rsidRDefault="00C720D8" w:rsidP="00D2599B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proofErr w:type="spellStart"/>
      <w:r w:rsidR="00D2599B" w:rsidRPr="00613FE9">
        <w:rPr>
          <w:rFonts w:cstheme="minorHAnsi"/>
        </w:rPr>
        <w:t>Vodstrcil</w:t>
      </w:r>
      <w:proofErr w:type="spellEnd"/>
      <w:r w:rsidR="001E57FE">
        <w:rPr>
          <w:rFonts w:cstheme="minorHAnsi"/>
        </w:rPr>
        <w:t xml:space="preserve"> LA</w:t>
      </w:r>
      <w:r w:rsidR="00D2599B" w:rsidRPr="00613FE9">
        <w:rPr>
          <w:rFonts w:cstheme="minorHAnsi"/>
        </w:rPr>
        <w:t>, Plummer</w:t>
      </w:r>
      <w:r w:rsidR="001E57FE">
        <w:rPr>
          <w:rFonts w:cstheme="minorHAnsi"/>
        </w:rPr>
        <w:t xml:space="preserve"> EL</w:t>
      </w:r>
      <w:r w:rsidR="00D2599B" w:rsidRPr="00613FE9">
        <w:rPr>
          <w:rFonts w:cstheme="minorHAnsi"/>
        </w:rPr>
        <w:t>, Doyle</w:t>
      </w:r>
      <w:r w:rsidR="001E57FE">
        <w:rPr>
          <w:rFonts w:cstheme="minorHAnsi"/>
        </w:rPr>
        <w:t xml:space="preserve"> M</w:t>
      </w:r>
      <w:r w:rsidR="00D2599B" w:rsidRPr="00613FE9">
        <w:rPr>
          <w:rFonts w:cstheme="minorHAnsi"/>
        </w:rPr>
        <w:t xml:space="preserve">, </w:t>
      </w:r>
      <w:r w:rsidR="00FA6A67" w:rsidRPr="00F955BB">
        <w:rPr>
          <w:rFonts w:cstheme="minorHAnsi"/>
          <w:i/>
          <w:iCs/>
        </w:rPr>
        <w:t>et al.</w:t>
      </w:r>
      <w:r w:rsidR="00D2599B" w:rsidRPr="00613FE9">
        <w:rPr>
          <w:rFonts w:cstheme="minorHAnsi"/>
        </w:rPr>
        <w:t xml:space="preserve"> </w:t>
      </w:r>
      <w:r w:rsidR="00D2599B" w:rsidRPr="001E57FE">
        <w:rPr>
          <w:rFonts w:cstheme="minorHAnsi"/>
          <w:bCs/>
        </w:rPr>
        <w:t xml:space="preserve">Combination therapy for Mycoplasma </w:t>
      </w:r>
      <w:proofErr w:type="spellStart"/>
      <w:r w:rsidR="00D2599B" w:rsidRPr="001E57FE">
        <w:rPr>
          <w:rFonts w:cstheme="minorHAnsi"/>
          <w:bCs/>
        </w:rPr>
        <w:t>genitalium</w:t>
      </w:r>
      <w:proofErr w:type="spellEnd"/>
      <w:r w:rsidR="00D2599B" w:rsidRPr="001E57FE">
        <w:rPr>
          <w:rFonts w:cstheme="minorHAnsi"/>
          <w:bCs/>
        </w:rPr>
        <w:t xml:space="preserve">, and new insights into the utility of </w:t>
      </w:r>
      <w:proofErr w:type="spellStart"/>
      <w:r w:rsidR="00D2599B" w:rsidRPr="001E57FE">
        <w:rPr>
          <w:rFonts w:cstheme="minorHAnsi"/>
          <w:bCs/>
        </w:rPr>
        <w:t>parC</w:t>
      </w:r>
      <w:proofErr w:type="spellEnd"/>
      <w:r w:rsidR="00D2599B" w:rsidRPr="001E57FE">
        <w:rPr>
          <w:rFonts w:cstheme="minorHAnsi"/>
          <w:bCs/>
        </w:rPr>
        <w:t xml:space="preserve"> mutant detection to improve cure</w:t>
      </w:r>
      <w:r w:rsidR="00043814">
        <w:rPr>
          <w:rFonts w:cstheme="minorHAnsi"/>
          <w:bCs/>
        </w:rPr>
        <w:t>.</w:t>
      </w:r>
      <w:r w:rsidR="00D2599B" w:rsidRPr="001E57FE">
        <w:rPr>
          <w:rFonts w:cstheme="minorHAnsi"/>
          <w:bCs/>
        </w:rPr>
        <w:t xml:space="preserve"> </w:t>
      </w:r>
      <w:r w:rsidR="00D2599B" w:rsidRPr="00FA6A67">
        <w:rPr>
          <w:rFonts w:cstheme="minorHAnsi"/>
          <w:bCs/>
          <w:i/>
          <w:iCs/>
        </w:rPr>
        <w:t>Clin</w:t>
      </w:r>
      <w:r w:rsidR="00D2599B" w:rsidRPr="00FA6A67">
        <w:rPr>
          <w:rFonts w:cstheme="minorHAnsi"/>
          <w:i/>
          <w:iCs/>
        </w:rPr>
        <w:t xml:space="preserve"> Infect Dis</w:t>
      </w:r>
      <w:r w:rsidR="00D2599B" w:rsidRPr="00613FE9">
        <w:rPr>
          <w:rFonts w:cstheme="minorHAnsi"/>
        </w:rPr>
        <w:t xml:space="preserve"> 2022</w:t>
      </w:r>
      <w:r w:rsidR="00B93485">
        <w:rPr>
          <w:rFonts w:cstheme="minorHAnsi"/>
        </w:rPr>
        <w:t xml:space="preserve"> Jan</w:t>
      </w:r>
      <w:r w:rsidR="00FA6A67">
        <w:rPr>
          <w:rFonts w:cstheme="minorHAnsi"/>
        </w:rPr>
        <w:t>.</w:t>
      </w:r>
      <w:r w:rsidR="00FA6A67" w:rsidRPr="00613FE9">
        <w:rPr>
          <w:rFonts w:cstheme="minorHAnsi"/>
        </w:rPr>
        <w:t xml:space="preserve"> </w:t>
      </w:r>
      <w:proofErr w:type="spellStart"/>
      <w:r w:rsidR="00C610E2">
        <w:rPr>
          <w:rFonts w:cstheme="minorHAnsi"/>
        </w:rPr>
        <w:t>Epub</w:t>
      </w:r>
      <w:proofErr w:type="spellEnd"/>
      <w:r w:rsidR="00C610E2">
        <w:rPr>
          <w:rFonts w:cstheme="minorHAnsi"/>
        </w:rPr>
        <w:t xml:space="preserve"> ahead of print.</w:t>
      </w:r>
    </w:p>
    <w:p w14:paraId="72A71F43" w14:textId="15D2FC73" w:rsidR="00E37D18" w:rsidRDefault="00E37D18" w:rsidP="00E37D18">
      <w:pPr>
        <w:rPr>
          <w:bCs/>
        </w:rPr>
      </w:pPr>
    </w:p>
    <w:p w14:paraId="52FE88F2" w14:textId="77777777" w:rsidR="008768E5" w:rsidRDefault="008768E5" w:rsidP="008768E5">
      <w:pPr>
        <w:jc w:val="both"/>
        <w:rPr>
          <w:b/>
        </w:rPr>
      </w:pPr>
      <w:r w:rsidRPr="000F1CA1">
        <w:rPr>
          <w:b/>
        </w:rPr>
        <w:t xml:space="preserve">Food insecurity is </w:t>
      </w:r>
      <w:r>
        <w:rPr>
          <w:b/>
        </w:rPr>
        <w:t>associated with</w:t>
      </w:r>
      <w:r w:rsidRPr="000F1CA1">
        <w:rPr>
          <w:b/>
        </w:rPr>
        <w:t xml:space="preserve"> </w:t>
      </w:r>
      <w:r>
        <w:rPr>
          <w:b/>
        </w:rPr>
        <w:t>inflammation</w:t>
      </w:r>
      <w:r w:rsidRPr="000F1CA1">
        <w:rPr>
          <w:b/>
        </w:rPr>
        <w:t xml:space="preserve"> in people living with HIV</w:t>
      </w:r>
      <w:r>
        <w:rPr>
          <w:b/>
        </w:rPr>
        <w:t xml:space="preserve"> </w:t>
      </w:r>
    </w:p>
    <w:p w14:paraId="09D88FDF" w14:textId="01B52159" w:rsidR="008768E5" w:rsidRPr="000807A3" w:rsidRDefault="008768E5" w:rsidP="008768E5">
      <w:pPr>
        <w:jc w:val="both"/>
        <w:rPr>
          <w:bCs/>
        </w:rPr>
      </w:pPr>
      <w:r>
        <w:rPr>
          <w:bCs/>
        </w:rPr>
        <w:t>Investigators in Miami analysed the relationship between inflammatory markers (soluble CD14, CD163, and CD27) and food security among 325 participants with treated HIV infection (61% male, 64% black,</w:t>
      </w:r>
      <w:r w:rsidRPr="00EC1F0B">
        <w:rPr>
          <w:bCs/>
        </w:rPr>
        <w:t xml:space="preserve"> </w:t>
      </w:r>
      <w:r>
        <w:rPr>
          <w:bCs/>
        </w:rPr>
        <w:t>mean age 56 years, 86% viral load &lt;200 copies/mL, mean CD4 count 602 cells/</w:t>
      </w:r>
      <w:r w:rsidRPr="00EC1F0B">
        <w:rPr>
          <w:bCs/>
        </w:rPr>
        <w:t>µL</w:t>
      </w:r>
      <w:r>
        <w:rPr>
          <w:bCs/>
        </w:rPr>
        <w:t>). A</w:t>
      </w:r>
      <w:r w:rsidRPr="000807A3">
        <w:rPr>
          <w:bCs/>
        </w:rPr>
        <w:t xml:space="preserve"> </w:t>
      </w:r>
      <w:r>
        <w:rPr>
          <w:bCs/>
        </w:rPr>
        <w:t xml:space="preserve">validated questionnaire was used to class </w:t>
      </w:r>
      <w:r w:rsidRPr="000807A3">
        <w:rPr>
          <w:bCs/>
        </w:rPr>
        <w:t xml:space="preserve">households into </w:t>
      </w:r>
      <w:r>
        <w:rPr>
          <w:bCs/>
        </w:rPr>
        <w:t xml:space="preserve">full, marginal, low, and very low food security. A multivariable model adjusted for sociodemographic variables, lifestyle, anthropometric and metabolic parameters, HIV RNA, CD4 cell count, and C-reactive protein levels. Food insecurity was independently associated with higher sCD14 and sCD27 levels; </w:t>
      </w:r>
      <w:r w:rsidRPr="000807A3">
        <w:rPr>
          <w:bCs/>
        </w:rPr>
        <w:t>very low food security predicted higher sCD163 levels</w:t>
      </w:r>
      <w:r>
        <w:rPr>
          <w:bCs/>
        </w:rPr>
        <w:t xml:space="preserve"> among those with lower CD4 cell counts. Interventions to </w:t>
      </w:r>
      <w:r w:rsidRPr="000807A3">
        <w:rPr>
          <w:bCs/>
        </w:rPr>
        <w:t>improv</w:t>
      </w:r>
      <w:r>
        <w:rPr>
          <w:bCs/>
        </w:rPr>
        <w:t>e</w:t>
      </w:r>
      <w:r w:rsidRPr="000807A3">
        <w:rPr>
          <w:bCs/>
        </w:rPr>
        <w:t xml:space="preserve"> financial security, access</w:t>
      </w:r>
      <w:r>
        <w:rPr>
          <w:bCs/>
        </w:rPr>
        <w:t xml:space="preserve"> </w:t>
      </w:r>
      <w:r w:rsidRPr="000807A3">
        <w:rPr>
          <w:bCs/>
        </w:rPr>
        <w:t xml:space="preserve">to high-quality foods, and nutrition knowledge could </w:t>
      </w:r>
      <w:r>
        <w:rPr>
          <w:bCs/>
        </w:rPr>
        <w:t xml:space="preserve">bring </w:t>
      </w:r>
      <w:r w:rsidRPr="000807A3">
        <w:rPr>
          <w:bCs/>
        </w:rPr>
        <w:t xml:space="preserve">significant health benefits </w:t>
      </w:r>
      <w:r>
        <w:rPr>
          <w:bCs/>
        </w:rPr>
        <w:t>to</w:t>
      </w:r>
      <w:r w:rsidRPr="000807A3">
        <w:rPr>
          <w:bCs/>
        </w:rPr>
        <w:t xml:space="preserve"> </w:t>
      </w:r>
      <w:r>
        <w:rPr>
          <w:bCs/>
        </w:rPr>
        <w:t>people living with HIV.</w:t>
      </w:r>
    </w:p>
    <w:p w14:paraId="54141D53" w14:textId="689F9249" w:rsidR="008768E5" w:rsidRPr="000F1CA1" w:rsidRDefault="008768E5" w:rsidP="008768E5">
      <w:pPr>
        <w:jc w:val="both"/>
        <w:rPr>
          <w:bCs/>
        </w:rPr>
      </w:pPr>
      <w:proofErr w:type="spellStart"/>
      <w:r w:rsidRPr="000F1CA1">
        <w:rPr>
          <w:bCs/>
        </w:rPr>
        <w:lastRenderedPageBreak/>
        <w:t>Tamargo</w:t>
      </w:r>
      <w:proofErr w:type="spellEnd"/>
      <w:r w:rsidRPr="000F1CA1">
        <w:rPr>
          <w:bCs/>
        </w:rPr>
        <w:t xml:space="preserve"> JA, Hernandez-Boyer J, </w:t>
      </w:r>
      <w:proofErr w:type="spellStart"/>
      <w:r w:rsidRPr="000F1CA1">
        <w:rPr>
          <w:bCs/>
        </w:rPr>
        <w:t>Teeman</w:t>
      </w:r>
      <w:proofErr w:type="spellEnd"/>
      <w:r w:rsidRPr="000F1CA1">
        <w:rPr>
          <w:bCs/>
        </w:rPr>
        <w:t xml:space="preserve"> C, </w:t>
      </w:r>
      <w:r w:rsidR="004B3C4A" w:rsidRPr="00C610E2">
        <w:rPr>
          <w:bCs/>
          <w:i/>
          <w:iCs/>
        </w:rPr>
        <w:t>et al</w:t>
      </w:r>
      <w:r w:rsidRPr="00C610E2">
        <w:rPr>
          <w:bCs/>
          <w:i/>
          <w:iCs/>
        </w:rPr>
        <w:t>.</w:t>
      </w:r>
      <w:r w:rsidRPr="000F1CA1">
        <w:rPr>
          <w:bCs/>
        </w:rPr>
        <w:t xml:space="preserve"> Immune </w:t>
      </w:r>
      <w:r w:rsidR="004B3C4A">
        <w:rPr>
          <w:bCs/>
        </w:rPr>
        <w:t>a</w:t>
      </w:r>
      <w:r w:rsidRPr="000F1CA1">
        <w:rPr>
          <w:bCs/>
        </w:rPr>
        <w:t xml:space="preserve">ctivation: </w:t>
      </w:r>
      <w:r w:rsidR="00C610E2">
        <w:rPr>
          <w:bCs/>
        </w:rPr>
        <w:t>A</w:t>
      </w:r>
      <w:r w:rsidRPr="000F1CA1">
        <w:rPr>
          <w:bCs/>
        </w:rPr>
        <w:t xml:space="preserve"> </w:t>
      </w:r>
      <w:r w:rsidR="004B3C4A">
        <w:rPr>
          <w:bCs/>
        </w:rPr>
        <w:t>l</w:t>
      </w:r>
      <w:r w:rsidRPr="000F1CA1">
        <w:rPr>
          <w:bCs/>
        </w:rPr>
        <w:t xml:space="preserve">ink </w:t>
      </w:r>
      <w:r w:rsidR="004B3C4A">
        <w:rPr>
          <w:bCs/>
        </w:rPr>
        <w:t>b</w:t>
      </w:r>
      <w:r w:rsidRPr="000F1CA1">
        <w:rPr>
          <w:bCs/>
        </w:rPr>
        <w:t xml:space="preserve">etween </w:t>
      </w:r>
      <w:r w:rsidR="004B3C4A">
        <w:rPr>
          <w:bCs/>
        </w:rPr>
        <w:t>f</w:t>
      </w:r>
      <w:r w:rsidRPr="000F1CA1">
        <w:rPr>
          <w:bCs/>
        </w:rPr>
        <w:t xml:space="preserve">ood </w:t>
      </w:r>
      <w:r w:rsidR="004B3C4A">
        <w:rPr>
          <w:bCs/>
        </w:rPr>
        <w:t>i</w:t>
      </w:r>
      <w:r w:rsidRPr="000F1CA1">
        <w:rPr>
          <w:bCs/>
        </w:rPr>
        <w:t xml:space="preserve">nsecurity and </w:t>
      </w:r>
      <w:r w:rsidR="004B3C4A">
        <w:rPr>
          <w:bCs/>
        </w:rPr>
        <w:t>c</w:t>
      </w:r>
      <w:r w:rsidRPr="000F1CA1">
        <w:rPr>
          <w:bCs/>
        </w:rPr>
        <w:t xml:space="preserve">hronic </w:t>
      </w:r>
      <w:r w:rsidR="004B3C4A">
        <w:rPr>
          <w:bCs/>
        </w:rPr>
        <w:t>d</w:t>
      </w:r>
      <w:r w:rsidRPr="000F1CA1">
        <w:rPr>
          <w:bCs/>
        </w:rPr>
        <w:t xml:space="preserve">isease in </w:t>
      </w:r>
      <w:r w:rsidR="004B3C4A">
        <w:rPr>
          <w:bCs/>
        </w:rPr>
        <w:t>p</w:t>
      </w:r>
      <w:r w:rsidRPr="000F1CA1">
        <w:rPr>
          <w:bCs/>
        </w:rPr>
        <w:t xml:space="preserve">eople </w:t>
      </w:r>
      <w:r w:rsidR="004B3C4A">
        <w:rPr>
          <w:bCs/>
        </w:rPr>
        <w:t>l</w:t>
      </w:r>
      <w:r w:rsidRPr="000F1CA1">
        <w:rPr>
          <w:bCs/>
        </w:rPr>
        <w:t xml:space="preserve">iving </w:t>
      </w:r>
      <w:r w:rsidR="004B3C4A">
        <w:rPr>
          <w:bCs/>
        </w:rPr>
        <w:t>w</w:t>
      </w:r>
      <w:r w:rsidRPr="000F1CA1">
        <w:rPr>
          <w:bCs/>
        </w:rPr>
        <w:t xml:space="preserve">ith </w:t>
      </w:r>
      <w:r w:rsidR="004B3C4A">
        <w:rPr>
          <w:bCs/>
        </w:rPr>
        <w:t>h</w:t>
      </w:r>
      <w:r w:rsidRPr="000F1CA1">
        <w:rPr>
          <w:bCs/>
        </w:rPr>
        <w:t xml:space="preserve">uman </w:t>
      </w:r>
      <w:r w:rsidR="004B3C4A">
        <w:rPr>
          <w:bCs/>
        </w:rPr>
        <w:t>i</w:t>
      </w:r>
      <w:r w:rsidRPr="000F1CA1">
        <w:rPr>
          <w:bCs/>
        </w:rPr>
        <w:t xml:space="preserve">mmunodeficiency </w:t>
      </w:r>
      <w:r w:rsidR="004B3C4A">
        <w:rPr>
          <w:bCs/>
        </w:rPr>
        <w:t>v</w:t>
      </w:r>
      <w:r w:rsidRPr="000F1CA1">
        <w:rPr>
          <w:bCs/>
        </w:rPr>
        <w:t xml:space="preserve">irus. </w:t>
      </w:r>
      <w:r w:rsidR="004B3C4A" w:rsidRPr="001C58D8">
        <w:rPr>
          <w:bCs/>
          <w:i/>
          <w:iCs/>
        </w:rPr>
        <w:t>J</w:t>
      </w:r>
      <w:r w:rsidRPr="001C58D8">
        <w:rPr>
          <w:bCs/>
          <w:i/>
          <w:iCs/>
        </w:rPr>
        <w:t xml:space="preserve"> Infec</w:t>
      </w:r>
      <w:r w:rsidR="004B3C4A" w:rsidRPr="001C58D8">
        <w:rPr>
          <w:bCs/>
          <w:i/>
          <w:iCs/>
        </w:rPr>
        <w:t>t</w:t>
      </w:r>
      <w:r w:rsidRPr="001C58D8">
        <w:rPr>
          <w:bCs/>
          <w:i/>
          <w:iCs/>
        </w:rPr>
        <w:t xml:space="preserve"> Dis</w:t>
      </w:r>
      <w:r w:rsidRPr="000F1CA1">
        <w:rPr>
          <w:bCs/>
        </w:rPr>
        <w:t xml:space="preserve"> 2021;224(12):2043-52.</w:t>
      </w:r>
    </w:p>
    <w:p w14:paraId="3E289808" w14:textId="43B40298" w:rsidR="00E37D18" w:rsidRDefault="00E37D18" w:rsidP="00E37D18">
      <w:pPr>
        <w:rPr>
          <w:bCs/>
        </w:rPr>
      </w:pPr>
    </w:p>
    <w:p w14:paraId="4F344369" w14:textId="77777777" w:rsidR="008768E5" w:rsidRPr="000F1CA1" w:rsidRDefault="008768E5" w:rsidP="008768E5">
      <w:pPr>
        <w:jc w:val="both"/>
        <w:rPr>
          <w:b/>
        </w:rPr>
      </w:pPr>
      <w:r w:rsidRPr="000F1CA1">
        <w:rPr>
          <w:b/>
        </w:rPr>
        <w:t xml:space="preserve">Evolution of </w:t>
      </w:r>
      <w:r>
        <w:rPr>
          <w:b/>
        </w:rPr>
        <w:t xml:space="preserve">anti-hepatitis B surface antibodies (anti-HBs) </w:t>
      </w:r>
      <w:r w:rsidRPr="000F1CA1">
        <w:rPr>
          <w:b/>
        </w:rPr>
        <w:t>in people living with HIV</w:t>
      </w:r>
      <w:r>
        <w:rPr>
          <w:b/>
        </w:rPr>
        <w:t xml:space="preserve"> (PLWH) who received neonatal HBV vaccination </w:t>
      </w:r>
    </w:p>
    <w:p w14:paraId="230AF261" w14:textId="77777777" w:rsidR="008768E5" w:rsidRPr="00E96A43" w:rsidRDefault="008768E5" w:rsidP="008768E5">
      <w:pPr>
        <w:jc w:val="both"/>
        <w:rPr>
          <w:bCs/>
        </w:rPr>
      </w:pPr>
      <w:r>
        <w:rPr>
          <w:bCs/>
        </w:rPr>
        <w:t>Taiwan implemented universal neonatal HBV vaccination in July 1986 (</w:t>
      </w:r>
      <w:r w:rsidRPr="004A0D01">
        <w:rPr>
          <w:bCs/>
        </w:rPr>
        <w:t>estimated coverage rate 97.7%</w:t>
      </w:r>
      <w:r>
        <w:rPr>
          <w:bCs/>
        </w:rPr>
        <w:t xml:space="preserve">). Investigators retrospectively studied 492 people who were born after July 1986, diagnosed with HIV in 2004-2020, and tested for hepatitis B surface antigen (HBsAg)/anti-hepatitis B core antibodies (anti-HBc)/anti-HBs at HIV diagnosis (baseline) and yearly thereafter. Overall, 265 (54%) were triple negative at baseline and of </w:t>
      </w:r>
      <w:proofErr w:type="gramStart"/>
      <w:r>
        <w:rPr>
          <w:bCs/>
        </w:rPr>
        <w:t>these 4 experienced incident HBV infection</w:t>
      </w:r>
      <w:proofErr w:type="gramEnd"/>
      <w:r>
        <w:rPr>
          <w:bCs/>
        </w:rPr>
        <w:t xml:space="preserve"> prior to revaccination. Among 165 (34%) with anti-HBs alone at baseline, 38 (23%) became triple negative during median 4 years of follow-up; 4 (baseline anti-HBs 10-90</w:t>
      </w:r>
      <w:r w:rsidRPr="00FC74C6">
        <w:rPr>
          <w:bCs/>
        </w:rPr>
        <w:t xml:space="preserve"> </w:t>
      </w:r>
      <w:proofErr w:type="spellStart"/>
      <w:r w:rsidRPr="00F7658D">
        <w:rPr>
          <w:bCs/>
        </w:rPr>
        <w:t>mIU</w:t>
      </w:r>
      <w:proofErr w:type="spellEnd"/>
      <w:r w:rsidRPr="00F7658D">
        <w:rPr>
          <w:bCs/>
        </w:rPr>
        <w:t>/m</w:t>
      </w:r>
      <w:r>
        <w:rPr>
          <w:bCs/>
        </w:rPr>
        <w:t>L) acquired incident HBV infection. T</w:t>
      </w:r>
      <w:r w:rsidRPr="00E96A43">
        <w:rPr>
          <w:bCs/>
        </w:rPr>
        <w:t xml:space="preserve">enofovir coverage </w:t>
      </w:r>
      <w:r>
        <w:rPr>
          <w:bCs/>
        </w:rPr>
        <w:t xml:space="preserve">was </w:t>
      </w:r>
      <w:r w:rsidRPr="00E96A43">
        <w:rPr>
          <w:bCs/>
        </w:rPr>
        <w:t>≤60%</w:t>
      </w:r>
      <w:r>
        <w:rPr>
          <w:bCs/>
        </w:rPr>
        <w:t xml:space="preserve"> in the 8 people with incident HBV infection, and</w:t>
      </w:r>
      <w:r w:rsidRPr="00E96A43">
        <w:rPr>
          <w:bCs/>
        </w:rPr>
        <w:t xml:space="preserve"> 6 </w:t>
      </w:r>
      <w:r>
        <w:rPr>
          <w:bCs/>
        </w:rPr>
        <w:t xml:space="preserve">also had </w:t>
      </w:r>
      <w:r w:rsidRPr="00E96A43">
        <w:rPr>
          <w:bCs/>
        </w:rPr>
        <w:t xml:space="preserve">incident </w:t>
      </w:r>
      <w:r>
        <w:rPr>
          <w:bCs/>
        </w:rPr>
        <w:t>STIs.</w:t>
      </w:r>
      <w:r w:rsidRPr="00825A7C">
        <w:t xml:space="preserve"> </w:t>
      </w:r>
      <w:r>
        <w:rPr>
          <w:bCs/>
        </w:rPr>
        <w:t>PLWH, particularly those with CD4 counts &lt;500 cells</w:t>
      </w:r>
      <w:r w:rsidRPr="00F7658D">
        <w:rPr>
          <w:bCs/>
        </w:rPr>
        <w:t>/µL</w:t>
      </w:r>
      <w:r>
        <w:rPr>
          <w:bCs/>
        </w:rPr>
        <w:t>, show reduced</w:t>
      </w:r>
      <w:r w:rsidRPr="00825A7C">
        <w:rPr>
          <w:bCs/>
        </w:rPr>
        <w:t xml:space="preserve"> durability </w:t>
      </w:r>
      <w:r>
        <w:rPr>
          <w:bCs/>
        </w:rPr>
        <w:t xml:space="preserve">of HBV </w:t>
      </w:r>
      <w:proofErr w:type="spellStart"/>
      <w:r>
        <w:rPr>
          <w:bCs/>
        </w:rPr>
        <w:t>seroprotection</w:t>
      </w:r>
      <w:proofErr w:type="spellEnd"/>
      <w:r>
        <w:rPr>
          <w:bCs/>
        </w:rPr>
        <w:t xml:space="preserve"> after neonatal vaccination.</w:t>
      </w:r>
      <w:r w:rsidRPr="00403CEF">
        <w:t xml:space="preserve"> </w:t>
      </w:r>
      <w:r>
        <w:rPr>
          <w:bCs/>
        </w:rPr>
        <w:t>M</w:t>
      </w:r>
      <w:r w:rsidRPr="00403CEF">
        <w:rPr>
          <w:bCs/>
        </w:rPr>
        <w:t>onitoring of HBV serologic markers and timely administration of booster vaccination should be emphasi</w:t>
      </w:r>
      <w:r>
        <w:rPr>
          <w:bCs/>
        </w:rPr>
        <w:t>s</w:t>
      </w:r>
      <w:r w:rsidRPr="00403CEF">
        <w:rPr>
          <w:bCs/>
        </w:rPr>
        <w:t>ed.</w:t>
      </w:r>
    </w:p>
    <w:p w14:paraId="1FB34B33" w14:textId="31D5EC90" w:rsidR="008768E5" w:rsidRDefault="008768E5" w:rsidP="008768E5">
      <w:pPr>
        <w:rPr>
          <w:bCs/>
        </w:rPr>
      </w:pPr>
      <w:r w:rsidRPr="00B63CC0">
        <w:rPr>
          <w:bCs/>
          <w:lang w:val="it-CH"/>
        </w:rPr>
        <w:t xml:space="preserve">Huang YC, Sun HY, Sheng WH, </w:t>
      </w:r>
      <w:r w:rsidR="001C58D8" w:rsidRPr="00C610E2">
        <w:rPr>
          <w:bCs/>
          <w:i/>
          <w:iCs/>
          <w:lang w:val="it-CH"/>
        </w:rPr>
        <w:t>et al</w:t>
      </w:r>
      <w:r w:rsidRPr="00C610E2">
        <w:rPr>
          <w:bCs/>
          <w:i/>
          <w:iCs/>
          <w:lang w:val="it-CH"/>
        </w:rPr>
        <w:t xml:space="preserve">. </w:t>
      </w:r>
      <w:r w:rsidRPr="000F1CA1">
        <w:rPr>
          <w:bCs/>
        </w:rPr>
        <w:t xml:space="preserve">Evolution of hepatitis B virus (HBV) serologic markers among antiretroviral-naïve, young people living with HIV who had undergone neonatal HBV vaccination and initiated antiretroviral therapy. </w:t>
      </w:r>
      <w:r w:rsidRPr="001C58D8">
        <w:rPr>
          <w:bCs/>
          <w:i/>
          <w:iCs/>
        </w:rPr>
        <w:t>Clin Infect Dis</w:t>
      </w:r>
      <w:r w:rsidRPr="000F1CA1">
        <w:rPr>
          <w:bCs/>
        </w:rPr>
        <w:t xml:space="preserve"> 2021</w:t>
      </w:r>
      <w:r w:rsidR="00B54C05">
        <w:rPr>
          <w:bCs/>
        </w:rPr>
        <w:t xml:space="preserve"> Dec</w:t>
      </w:r>
      <w:r w:rsidR="0030079F">
        <w:rPr>
          <w:bCs/>
        </w:rPr>
        <w:t>.</w:t>
      </w:r>
      <w:r w:rsidR="00C610E2">
        <w:rPr>
          <w:bCs/>
        </w:rPr>
        <w:t xml:space="preserve"> </w:t>
      </w:r>
      <w:proofErr w:type="spellStart"/>
      <w:r w:rsidR="00C610E2">
        <w:rPr>
          <w:bCs/>
        </w:rPr>
        <w:t>Epub</w:t>
      </w:r>
      <w:proofErr w:type="spellEnd"/>
      <w:r w:rsidR="00C610E2">
        <w:rPr>
          <w:bCs/>
        </w:rPr>
        <w:t xml:space="preserve"> ahead of print.</w:t>
      </w:r>
    </w:p>
    <w:p w14:paraId="08C93BD0" w14:textId="77777777" w:rsidR="004B4D67" w:rsidRDefault="004B4D67" w:rsidP="008768E5">
      <w:pPr>
        <w:rPr>
          <w:bCs/>
        </w:rPr>
      </w:pPr>
    </w:p>
    <w:p w14:paraId="5F62FBDE" w14:textId="3BBEAFF2" w:rsidR="004B4D67" w:rsidRPr="004B4D67" w:rsidRDefault="004B4D67" w:rsidP="008768E5">
      <w:pPr>
        <w:rPr>
          <w:b/>
        </w:rPr>
      </w:pPr>
      <w:r>
        <w:rPr>
          <w:b/>
        </w:rPr>
        <w:t>Reference</w:t>
      </w:r>
    </w:p>
    <w:p w14:paraId="549AE6A2" w14:textId="77777777" w:rsidR="004B4D67" w:rsidRDefault="004B4D67" w:rsidP="004B4D67">
      <w:pPr>
        <w:pStyle w:val="ListParagraph"/>
        <w:numPr>
          <w:ilvl w:val="0"/>
          <w:numId w:val="1"/>
        </w:numPr>
      </w:pPr>
      <w:r>
        <w:t xml:space="preserve">Fifer H, Saunders J, </w:t>
      </w:r>
      <w:proofErr w:type="spellStart"/>
      <w:r>
        <w:t>Soni</w:t>
      </w:r>
      <w:proofErr w:type="spellEnd"/>
      <w:r>
        <w:t xml:space="preserve"> S, </w:t>
      </w:r>
      <w:r w:rsidRPr="00C610E2">
        <w:rPr>
          <w:i/>
          <w:iCs/>
        </w:rPr>
        <w:t>et al.</w:t>
      </w:r>
      <w:r>
        <w:t xml:space="preserve"> </w:t>
      </w:r>
      <w:r w:rsidRPr="00FA1F33">
        <w:rPr>
          <w:i/>
          <w:iCs/>
        </w:rPr>
        <w:t>British Association for Sexual Health and HIV national guideline for the management of infection with Neisseria gonorrhoeae (2019).</w:t>
      </w:r>
      <w:r>
        <w:t xml:space="preserve"> Macclesfield: British Association for Sexual Health and HIV. Available from https://www.bashhguidelines.org/media/1208/gc-2019.pdf [Accessed 22 </w:t>
      </w:r>
      <w:proofErr w:type="gramStart"/>
      <w:r>
        <w:t>Feb,</w:t>
      </w:r>
      <w:proofErr w:type="gramEnd"/>
      <w:r>
        <w:t xml:space="preserve"> 2022].</w:t>
      </w:r>
    </w:p>
    <w:p w14:paraId="6E65B38C" w14:textId="4EA5F9F8" w:rsidR="00E37D18" w:rsidRDefault="00E37D18"/>
    <w:p w14:paraId="50737F87" w14:textId="365F0002" w:rsidR="00E37D18" w:rsidRDefault="00E37D18">
      <w:pPr>
        <w:rPr>
          <w:b/>
          <w:bCs/>
        </w:rPr>
      </w:pPr>
      <w:r>
        <w:rPr>
          <w:b/>
          <w:bCs/>
        </w:rPr>
        <w:t>Funding Statement</w:t>
      </w:r>
    </w:p>
    <w:p w14:paraId="7590225E" w14:textId="11285018" w:rsidR="00E37D18" w:rsidRDefault="00E37D18">
      <w:r>
        <w:t>This research received no specific grant from any funding agency in the public, commercial, or not-for-profit sectors.</w:t>
      </w:r>
    </w:p>
    <w:p w14:paraId="529555C0" w14:textId="42E05C6E" w:rsidR="00E37D18" w:rsidRDefault="00E37D18">
      <w:pPr>
        <w:rPr>
          <w:b/>
          <w:bCs/>
        </w:rPr>
      </w:pPr>
      <w:r>
        <w:rPr>
          <w:b/>
          <w:bCs/>
        </w:rPr>
        <w:t>Competing Interests Statement</w:t>
      </w:r>
    </w:p>
    <w:p w14:paraId="7D211A9F" w14:textId="71777CC1" w:rsidR="00E37D18" w:rsidRDefault="00E37D18">
      <w:r>
        <w:t>All authors report no competing interests.</w:t>
      </w:r>
    </w:p>
    <w:p w14:paraId="0FF9DA6C" w14:textId="114919EB" w:rsidR="00E37D18" w:rsidRDefault="00E37D18">
      <w:pPr>
        <w:rPr>
          <w:b/>
          <w:bCs/>
        </w:rPr>
      </w:pPr>
      <w:proofErr w:type="spellStart"/>
      <w:r w:rsidRPr="00E37D18">
        <w:rPr>
          <w:b/>
          <w:bCs/>
        </w:rPr>
        <w:t>Contributorship</w:t>
      </w:r>
      <w:proofErr w:type="spellEnd"/>
      <w:r w:rsidRPr="00E37D18">
        <w:rPr>
          <w:b/>
          <w:bCs/>
        </w:rPr>
        <w:t xml:space="preserve"> Statement</w:t>
      </w:r>
    </w:p>
    <w:p w14:paraId="3C740F5C" w14:textId="24A94F7D" w:rsidR="00E37D18" w:rsidRPr="00E37D18" w:rsidRDefault="00E37D18">
      <w:r>
        <w:t>All authors contributed to the selection of articles and to the writing of summaries. HLA submitted the final version to the journal.</w:t>
      </w:r>
    </w:p>
    <w:p w14:paraId="0C72202D" w14:textId="77777777" w:rsidR="00E37D18" w:rsidRPr="00E37D18" w:rsidRDefault="00E37D18">
      <w:pPr>
        <w:rPr>
          <w:b/>
          <w:bCs/>
        </w:rPr>
      </w:pPr>
    </w:p>
    <w:sectPr w:rsidR="00E37D18" w:rsidRPr="00E37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C2A7F"/>
    <w:multiLevelType w:val="hybridMultilevel"/>
    <w:tmpl w:val="F7D42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63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A5"/>
    <w:rsid w:val="00013EAF"/>
    <w:rsid w:val="00043814"/>
    <w:rsid w:val="000613FF"/>
    <w:rsid w:val="000B3B3E"/>
    <w:rsid w:val="000C7F64"/>
    <w:rsid w:val="00117082"/>
    <w:rsid w:val="00167179"/>
    <w:rsid w:val="001803ED"/>
    <w:rsid w:val="00181E22"/>
    <w:rsid w:val="001C58D8"/>
    <w:rsid w:val="001E35EB"/>
    <w:rsid w:val="001E57FE"/>
    <w:rsid w:val="002120A5"/>
    <w:rsid w:val="00215434"/>
    <w:rsid w:val="00253BCF"/>
    <w:rsid w:val="002801E0"/>
    <w:rsid w:val="002F6DD5"/>
    <w:rsid w:val="0030079F"/>
    <w:rsid w:val="00304CB6"/>
    <w:rsid w:val="003125A3"/>
    <w:rsid w:val="00335C7F"/>
    <w:rsid w:val="003727C8"/>
    <w:rsid w:val="00397A6C"/>
    <w:rsid w:val="003B1A22"/>
    <w:rsid w:val="003F0D7B"/>
    <w:rsid w:val="004037FE"/>
    <w:rsid w:val="00403CEF"/>
    <w:rsid w:val="00410132"/>
    <w:rsid w:val="00461AE2"/>
    <w:rsid w:val="004657A5"/>
    <w:rsid w:val="0047533D"/>
    <w:rsid w:val="004A0D01"/>
    <w:rsid w:val="004B3C4A"/>
    <w:rsid w:val="004B4D67"/>
    <w:rsid w:val="004D1B29"/>
    <w:rsid w:val="005079AE"/>
    <w:rsid w:val="005105CC"/>
    <w:rsid w:val="00544E1D"/>
    <w:rsid w:val="005660C8"/>
    <w:rsid w:val="005B2BB5"/>
    <w:rsid w:val="005F7B8A"/>
    <w:rsid w:val="00601717"/>
    <w:rsid w:val="006508FF"/>
    <w:rsid w:val="006911D7"/>
    <w:rsid w:val="006C1A2A"/>
    <w:rsid w:val="006D487B"/>
    <w:rsid w:val="006F5969"/>
    <w:rsid w:val="00707906"/>
    <w:rsid w:val="00733B75"/>
    <w:rsid w:val="007575FB"/>
    <w:rsid w:val="0078587F"/>
    <w:rsid w:val="007B2BEF"/>
    <w:rsid w:val="00806778"/>
    <w:rsid w:val="00825A7C"/>
    <w:rsid w:val="00840A77"/>
    <w:rsid w:val="008549AB"/>
    <w:rsid w:val="008567F4"/>
    <w:rsid w:val="008768E5"/>
    <w:rsid w:val="00890A89"/>
    <w:rsid w:val="008B445E"/>
    <w:rsid w:val="008D28AC"/>
    <w:rsid w:val="009A0793"/>
    <w:rsid w:val="009A0B5D"/>
    <w:rsid w:val="00A177E4"/>
    <w:rsid w:val="00A27BB9"/>
    <w:rsid w:val="00AA6FFC"/>
    <w:rsid w:val="00B048BC"/>
    <w:rsid w:val="00B35C01"/>
    <w:rsid w:val="00B43430"/>
    <w:rsid w:val="00B54C05"/>
    <w:rsid w:val="00B63662"/>
    <w:rsid w:val="00B93485"/>
    <w:rsid w:val="00BA469E"/>
    <w:rsid w:val="00BB014E"/>
    <w:rsid w:val="00BB3059"/>
    <w:rsid w:val="00BF0C9A"/>
    <w:rsid w:val="00C077F8"/>
    <w:rsid w:val="00C54B76"/>
    <w:rsid w:val="00C610E2"/>
    <w:rsid w:val="00C720D8"/>
    <w:rsid w:val="00C844A9"/>
    <w:rsid w:val="00C8517B"/>
    <w:rsid w:val="00C935F8"/>
    <w:rsid w:val="00CA5CC2"/>
    <w:rsid w:val="00CB20A7"/>
    <w:rsid w:val="00D2599B"/>
    <w:rsid w:val="00D91853"/>
    <w:rsid w:val="00DA4E2C"/>
    <w:rsid w:val="00DB71D1"/>
    <w:rsid w:val="00DC4F32"/>
    <w:rsid w:val="00E01A45"/>
    <w:rsid w:val="00E3795B"/>
    <w:rsid w:val="00E37D18"/>
    <w:rsid w:val="00E52649"/>
    <w:rsid w:val="00E96A43"/>
    <w:rsid w:val="00EA19D2"/>
    <w:rsid w:val="00EC1F0B"/>
    <w:rsid w:val="00EF1B39"/>
    <w:rsid w:val="00F13F6E"/>
    <w:rsid w:val="00F22346"/>
    <w:rsid w:val="00F63D9F"/>
    <w:rsid w:val="00F7598E"/>
    <w:rsid w:val="00F7658D"/>
    <w:rsid w:val="00F955BB"/>
    <w:rsid w:val="00F961C9"/>
    <w:rsid w:val="00FA1F33"/>
    <w:rsid w:val="00FA47C4"/>
    <w:rsid w:val="00FA49C5"/>
    <w:rsid w:val="00FA6A67"/>
    <w:rsid w:val="00FB1611"/>
    <w:rsid w:val="00FC4BFA"/>
    <w:rsid w:val="00FC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6C820"/>
  <w15:chartTrackingRefBased/>
  <w15:docId w15:val="{1D2BDD5F-EB3A-4B6A-9418-81818797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844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84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4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4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4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59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35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CC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CC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thomson-glover</dc:creator>
  <cp:keywords/>
  <dc:description/>
  <cp:lastModifiedBy>Reviewer</cp:lastModifiedBy>
  <cp:revision>2</cp:revision>
  <dcterms:created xsi:type="dcterms:W3CDTF">2022-06-20T13:39:00Z</dcterms:created>
  <dcterms:modified xsi:type="dcterms:W3CDTF">2022-06-20T13:39:00Z</dcterms:modified>
</cp:coreProperties>
</file>