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5D8D" w14:textId="388F4A2D" w:rsidR="00E956DA" w:rsidRPr="005F3929" w:rsidRDefault="00FD5C48" w:rsidP="005F3929">
      <w:pPr>
        <w:pStyle w:val="AuthorList"/>
        <w:spacing w:line="480" w:lineRule="auto"/>
        <w:jc w:val="center"/>
        <w:rPr>
          <w:bCs/>
          <w:sz w:val="22"/>
          <w:szCs w:val="22"/>
          <w:lang w:val="en-GB"/>
        </w:rPr>
      </w:pPr>
      <w:bookmarkStart w:id="0" w:name="_Hlk60998102"/>
      <w:bookmarkStart w:id="1" w:name="_Hlk65407009"/>
      <w:r>
        <w:rPr>
          <w:bCs/>
          <w:sz w:val="22"/>
          <w:szCs w:val="22"/>
          <w:lang w:val="en-GB"/>
        </w:rPr>
        <w:t xml:space="preserve">Potential </w:t>
      </w:r>
      <w:r w:rsidR="00902FFA">
        <w:rPr>
          <w:bCs/>
          <w:sz w:val="22"/>
          <w:szCs w:val="22"/>
          <w:lang w:val="en-GB"/>
        </w:rPr>
        <w:t xml:space="preserve">Biomarker Identification by </w:t>
      </w:r>
      <w:r w:rsidR="00E956DA" w:rsidRPr="005F3929">
        <w:rPr>
          <w:bCs/>
          <w:sz w:val="22"/>
          <w:szCs w:val="22"/>
          <w:lang w:val="en-GB"/>
        </w:rPr>
        <w:t xml:space="preserve">RNA-seq analysis </w:t>
      </w:r>
      <w:r w:rsidR="00902FFA">
        <w:rPr>
          <w:bCs/>
          <w:sz w:val="22"/>
          <w:szCs w:val="22"/>
          <w:lang w:val="en-GB"/>
        </w:rPr>
        <w:t>in</w:t>
      </w:r>
      <w:r w:rsidR="00DF3609">
        <w:rPr>
          <w:bCs/>
          <w:sz w:val="22"/>
          <w:szCs w:val="22"/>
          <w:lang w:val="en-GB"/>
        </w:rPr>
        <w:t xml:space="preserve"> Antibiotic-related</w:t>
      </w:r>
      <w:r w:rsidR="00E956DA" w:rsidRPr="005F3929">
        <w:rPr>
          <w:bCs/>
          <w:sz w:val="22"/>
          <w:szCs w:val="22"/>
          <w:lang w:val="en-GB"/>
        </w:rPr>
        <w:t xml:space="preserve"> Drug Reaction with Eosinophilia and Systemic Symptoms (DRESS)</w:t>
      </w:r>
      <w:bookmarkEnd w:id="0"/>
      <w:bookmarkEnd w:id="1"/>
      <w:r w:rsidR="00C500D1">
        <w:rPr>
          <w:bCs/>
          <w:sz w:val="22"/>
          <w:szCs w:val="22"/>
          <w:lang w:val="en-GB"/>
        </w:rPr>
        <w:t>: a Pilot Study</w:t>
      </w:r>
    </w:p>
    <w:p w14:paraId="6D35CF4C" w14:textId="200B99CE" w:rsidR="00E956DA" w:rsidRPr="005F3929" w:rsidRDefault="00E956DA" w:rsidP="005F3929">
      <w:pPr>
        <w:pStyle w:val="AuthorList"/>
        <w:spacing w:line="480" w:lineRule="auto"/>
        <w:rPr>
          <w:sz w:val="22"/>
          <w:szCs w:val="22"/>
        </w:rPr>
      </w:pPr>
      <w:r w:rsidRPr="005F3929">
        <w:rPr>
          <w:sz w:val="22"/>
          <w:szCs w:val="22"/>
          <w:lang w:val="en-GB"/>
        </w:rPr>
        <w:t>Y</w:t>
      </w:r>
      <w:r w:rsidR="00E946C4">
        <w:rPr>
          <w:sz w:val="22"/>
          <w:szCs w:val="22"/>
          <w:lang w:val="en-GB"/>
        </w:rPr>
        <w:t xml:space="preserve">ing </w:t>
      </w:r>
      <w:r w:rsidRPr="005F3929">
        <w:rPr>
          <w:sz w:val="22"/>
          <w:szCs w:val="22"/>
          <w:lang w:val="en-GB"/>
        </w:rPr>
        <w:t>X</w:t>
      </w:r>
      <w:r w:rsidR="00E946C4">
        <w:rPr>
          <w:sz w:val="22"/>
          <w:szCs w:val="22"/>
          <w:lang w:val="en-GB"/>
        </w:rPr>
        <w:t>in</w:t>
      </w:r>
      <w:r w:rsidRPr="005F3929">
        <w:rPr>
          <w:sz w:val="22"/>
          <w:szCs w:val="22"/>
          <w:lang w:val="en-GB"/>
        </w:rPr>
        <w:t xml:space="preserve"> Teo</w:t>
      </w:r>
      <w:r w:rsidRPr="005F3929">
        <w:rPr>
          <w:sz w:val="22"/>
          <w:szCs w:val="22"/>
          <w:vertAlign w:val="superscript"/>
          <w:lang w:val="en-GB"/>
        </w:rPr>
        <w:t>1,2</w:t>
      </w:r>
      <w:r w:rsidRPr="005F3929">
        <w:rPr>
          <w:sz w:val="22"/>
          <w:szCs w:val="22"/>
          <w:lang w:val="en-GB"/>
        </w:rPr>
        <w:t>, W</w:t>
      </w:r>
      <w:r w:rsidR="00E9700D">
        <w:rPr>
          <w:sz w:val="22"/>
          <w:szCs w:val="22"/>
          <w:lang w:val="en-GB"/>
        </w:rPr>
        <w:t xml:space="preserve">ei </w:t>
      </w:r>
      <w:r w:rsidRPr="005F3929">
        <w:rPr>
          <w:sz w:val="22"/>
          <w:szCs w:val="22"/>
          <w:lang w:val="en-GB"/>
        </w:rPr>
        <w:t>Y</w:t>
      </w:r>
      <w:r w:rsidR="00E9700D">
        <w:rPr>
          <w:sz w:val="22"/>
          <w:szCs w:val="22"/>
          <w:lang w:val="en-GB"/>
        </w:rPr>
        <w:t>ann</w:t>
      </w:r>
      <w:r w:rsidRPr="005F3929">
        <w:rPr>
          <w:sz w:val="22"/>
          <w:szCs w:val="22"/>
          <w:lang w:val="en-GB"/>
        </w:rPr>
        <w:t xml:space="preserve"> Haw</w:t>
      </w:r>
      <w:r w:rsidRPr="005F3929">
        <w:rPr>
          <w:sz w:val="22"/>
          <w:szCs w:val="22"/>
          <w:vertAlign w:val="superscript"/>
          <w:lang w:val="en-GB"/>
        </w:rPr>
        <w:t>1</w:t>
      </w:r>
      <w:r w:rsidRPr="005F3929">
        <w:rPr>
          <w:sz w:val="22"/>
          <w:szCs w:val="22"/>
          <w:lang w:val="en-GB"/>
        </w:rPr>
        <w:t>, A</w:t>
      </w:r>
      <w:r w:rsidR="00E9700D">
        <w:rPr>
          <w:sz w:val="22"/>
          <w:szCs w:val="22"/>
          <w:lang w:val="en-GB"/>
        </w:rPr>
        <w:t xml:space="preserve">ndreas </w:t>
      </w:r>
      <w:r w:rsidRPr="005F3929">
        <w:rPr>
          <w:sz w:val="22"/>
          <w:szCs w:val="22"/>
          <w:lang w:val="en-GB"/>
        </w:rPr>
        <w:t>Vallejo</w:t>
      </w:r>
      <w:r w:rsidRPr="005F3929">
        <w:rPr>
          <w:sz w:val="22"/>
          <w:szCs w:val="22"/>
          <w:vertAlign w:val="superscript"/>
          <w:lang w:val="en-GB"/>
        </w:rPr>
        <w:t>1</w:t>
      </w:r>
      <w:r w:rsidRPr="005F3929">
        <w:rPr>
          <w:sz w:val="22"/>
          <w:szCs w:val="22"/>
          <w:lang w:val="en-GB"/>
        </w:rPr>
        <w:t>, C</w:t>
      </w:r>
      <w:r w:rsidR="00E9700D">
        <w:rPr>
          <w:sz w:val="22"/>
          <w:szCs w:val="22"/>
          <w:lang w:val="en-GB"/>
        </w:rPr>
        <w:t>arolann</w:t>
      </w:r>
      <w:r w:rsidRPr="005F3929">
        <w:rPr>
          <w:sz w:val="22"/>
          <w:szCs w:val="22"/>
          <w:lang w:val="en-GB"/>
        </w:rPr>
        <w:t xml:space="preserve"> McGuire</w:t>
      </w:r>
      <w:r w:rsidRPr="005F3929">
        <w:rPr>
          <w:sz w:val="22"/>
          <w:szCs w:val="22"/>
          <w:vertAlign w:val="superscript"/>
          <w:lang w:val="en-GB"/>
        </w:rPr>
        <w:t>1</w:t>
      </w:r>
      <w:r w:rsidRPr="005F3929">
        <w:rPr>
          <w:sz w:val="22"/>
          <w:szCs w:val="22"/>
          <w:lang w:val="en-GB"/>
        </w:rPr>
        <w:t>, J</w:t>
      </w:r>
      <w:r w:rsidR="00E9700D">
        <w:rPr>
          <w:sz w:val="22"/>
          <w:szCs w:val="22"/>
          <w:lang w:val="en-GB"/>
        </w:rPr>
        <w:t>eongmin</w:t>
      </w:r>
      <w:r w:rsidRPr="005F3929">
        <w:rPr>
          <w:sz w:val="22"/>
          <w:szCs w:val="22"/>
          <w:lang w:val="en-GB"/>
        </w:rPr>
        <w:t xml:space="preserve"> Woo</w:t>
      </w:r>
      <w:r w:rsidRPr="005F3929">
        <w:rPr>
          <w:sz w:val="22"/>
          <w:szCs w:val="22"/>
          <w:vertAlign w:val="superscript"/>
          <w:lang w:val="en-GB"/>
        </w:rPr>
        <w:t>1</w:t>
      </w:r>
      <w:r w:rsidRPr="005F3929">
        <w:rPr>
          <w:sz w:val="22"/>
          <w:szCs w:val="22"/>
          <w:lang w:val="en-GB"/>
        </w:rPr>
        <w:t>, P</w:t>
      </w:r>
      <w:r w:rsidR="00E9700D">
        <w:rPr>
          <w:sz w:val="22"/>
          <w:szCs w:val="22"/>
          <w:lang w:val="en-GB"/>
        </w:rPr>
        <w:t xml:space="preserve">eter </w:t>
      </w:r>
      <w:r w:rsidRPr="005F3929">
        <w:rPr>
          <w:sz w:val="22"/>
          <w:szCs w:val="22"/>
          <w:lang w:val="en-GB"/>
        </w:rPr>
        <w:t>S</w:t>
      </w:r>
      <w:r w:rsidR="00CE3AF4">
        <w:rPr>
          <w:sz w:val="22"/>
          <w:szCs w:val="22"/>
          <w:lang w:val="en-GB"/>
        </w:rPr>
        <w:t>imon</w:t>
      </w:r>
      <w:r w:rsidRPr="005F3929">
        <w:rPr>
          <w:sz w:val="22"/>
          <w:szCs w:val="22"/>
          <w:lang w:val="en-GB"/>
        </w:rPr>
        <w:t xml:space="preserve"> Friedmann</w:t>
      </w:r>
      <w:r w:rsidRPr="005F3929">
        <w:rPr>
          <w:sz w:val="22"/>
          <w:szCs w:val="22"/>
          <w:vertAlign w:val="superscript"/>
          <w:lang w:val="en-GB"/>
        </w:rPr>
        <w:t>1</w:t>
      </w:r>
      <w:r w:rsidRPr="005F3929">
        <w:rPr>
          <w:sz w:val="22"/>
          <w:szCs w:val="22"/>
          <w:lang w:val="en-GB"/>
        </w:rPr>
        <w:t>, M</w:t>
      </w:r>
      <w:r w:rsidR="00E9700D">
        <w:rPr>
          <w:sz w:val="22"/>
          <w:szCs w:val="22"/>
          <w:lang w:val="en-GB"/>
        </w:rPr>
        <w:t xml:space="preserve">arta </w:t>
      </w:r>
      <w:r w:rsidRPr="005F3929">
        <w:rPr>
          <w:sz w:val="22"/>
          <w:szCs w:val="22"/>
          <w:lang w:val="en-GB"/>
        </w:rPr>
        <w:t>E</w:t>
      </w:r>
      <w:r w:rsidR="00154C87">
        <w:rPr>
          <w:sz w:val="22"/>
          <w:szCs w:val="22"/>
          <w:lang w:val="en-GB"/>
        </w:rPr>
        <w:t>w</w:t>
      </w:r>
      <w:r w:rsidR="00E9700D">
        <w:rPr>
          <w:sz w:val="22"/>
          <w:szCs w:val="22"/>
          <w:lang w:val="en-GB"/>
        </w:rPr>
        <w:t>a</w:t>
      </w:r>
      <w:r w:rsidRPr="005F3929">
        <w:rPr>
          <w:sz w:val="22"/>
          <w:szCs w:val="22"/>
          <w:lang w:val="en-GB"/>
        </w:rPr>
        <w:t xml:space="preserve"> Polak</w:t>
      </w:r>
      <w:r w:rsidRPr="005F3929">
        <w:rPr>
          <w:sz w:val="22"/>
          <w:szCs w:val="22"/>
          <w:vertAlign w:val="superscript"/>
          <w:lang w:val="en-GB"/>
        </w:rPr>
        <w:t>1,</w:t>
      </w:r>
      <w:r w:rsidRPr="005F3929">
        <w:rPr>
          <w:sz w:val="22"/>
          <w:szCs w:val="22"/>
          <w:vertAlign w:val="superscript"/>
        </w:rPr>
        <w:t>†*</w:t>
      </w:r>
      <w:r w:rsidRPr="005F3929">
        <w:rPr>
          <w:sz w:val="22"/>
          <w:szCs w:val="22"/>
          <w:lang w:val="en-GB"/>
        </w:rPr>
        <w:t>, M</w:t>
      </w:r>
      <w:r w:rsidR="00E9700D">
        <w:rPr>
          <w:sz w:val="22"/>
          <w:szCs w:val="22"/>
          <w:lang w:val="en-GB"/>
        </w:rPr>
        <w:t xml:space="preserve">ichael </w:t>
      </w:r>
      <w:r w:rsidRPr="005F3929">
        <w:rPr>
          <w:sz w:val="22"/>
          <w:szCs w:val="22"/>
          <w:lang w:val="en-GB"/>
        </w:rPr>
        <w:t>R</w:t>
      </w:r>
      <w:r w:rsidR="00E9700D">
        <w:rPr>
          <w:sz w:val="22"/>
          <w:szCs w:val="22"/>
          <w:lang w:val="en-GB"/>
        </w:rPr>
        <w:t>oger</w:t>
      </w:r>
      <w:r w:rsidRPr="005F3929">
        <w:rPr>
          <w:sz w:val="22"/>
          <w:szCs w:val="22"/>
          <w:lang w:val="en-GB"/>
        </w:rPr>
        <w:t xml:space="preserve"> Ardern-Jones</w:t>
      </w:r>
      <w:r w:rsidRPr="005F3929">
        <w:rPr>
          <w:sz w:val="22"/>
          <w:szCs w:val="22"/>
          <w:vertAlign w:val="superscript"/>
          <w:lang w:val="en-GB"/>
        </w:rPr>
        <w:t>1,2,</w:t>
      </w:r>
      <w:r w:rsidRPr="005F3929">
        <w:rPr>
          <w:sz w:val="22"/>
          <w:szCs w:val="22"/>
          <w:vertAlign w:val="superscript"/>
        </w:rPr>
        <w:t>†*</w:t>
      </w:r>
    </w:p>
    <w:p w14:paraId="445E9816" w14:textId="77777777" w:rsidR="00E956DA" w:rsidRPr="005F3929" w:rsidRDefault="00E956DA" w:rsidP="005F3929">
      <w:pPr>
        <w:spacing w:before="240" w:after="0" w:line="480" w:lineRule="auto"/>
        <w:rPr>
          <w:rFonts w:cs="Times New Roman"/>
          <w:b/>
          <w:sz w:val="22"/>
        </w:rPr>
      </w:pPr>
      <w:r w:rsidRPr="005F3929">
        <w:rPr>
          <w:rFonts w:cs="Times New Roman"/>
          <w:sz w:val="22"/>
          <w:vertAlign w:val="superscript"/>
        </w:rPr>
        <w:t>1</w:t>
      </w:r>
      <w:r w:rsidRPr="005F3929">
        <w:rPr>
          <w:rFonts w:cs="Times New Roman"/>
          <w:sz w:val="22"/>
          <w:lang w:val="en-GB"/>
        </w:rPr>
        <w:t>Clinical Experimental Sciences, Faculty of Medicine, University of Southampton, Southampton SO16 6YD, United Kingdom</w:t>
      </w:r>
    </w:p>
    <w:p w14:paraId="7BFD5908" w14:textId="77777777" w:rsidR="00E956DA" w:rsidRPr="005F3929" w:rsidRDefault="00E956DA" w:rsidP="005F3929">
      <w:pPr>
        <w:spacing w:after="0" w:line="480" w:lineRule="auto"/>
        <w:rPr>
          <w:rFonts w:cs="Times New Roman"/>
          <w:sz w:val="22"/>
        </w:rPr>
      </w:pPr>
      <w:r w:rsidRPr="005F3929">
        <w:rPr>
          <w:rFonts w:cs="Times New Roman"/>
          <w:sz w:val="22"/>
          <w:vertAlign w:val="superscript"/>
        </w:rPr>
        <w:t>2</w:t>
      </w:r>
      <w:r w:rsidRPr="005F3929">
        <w:rPr>
          <w:rFonts w:cs="Times New Roman"/>
          <w:sz w:val="22"/>
          <w:lang w:val="en-GB"/>
        </w:rPr>
        <w:t>Department of Dermatology, Southampton General Hospital, University Hospitals Southampton NHS Foundation Trust</w:t>
      </w:r>
    </w:p>
    <w:p w14:paraId="414D8E54" w14:textId="77777777" w:rsidR="00E956DA" w:rsidRPr="005F3929" w:rsidRDefault="00E956DA" w:rsidP="005F3929">
      <w:pPr>
        <w:spacing w:after="0" w:line="480" w:lineRule="auto"/>
        <w:rPr>
          <w:rFonts w:cs="Times New Roman"/>
          <w:sz w:val="22"/>
          <w:lang w:val="en-GB"/>
        </w:rPr>
      </w:pPr>
      <w:r w:rsidRPr="005F3929">
        <w:rPr>
          <w:rFonts w:cs="Times New Roman"/>
          <w:color w:val="020202"/>
          <w:sz w:val="22"/>
          <w:shd w:val="clear" w:color="auto" w:fill="F9F9F9"/>
        </w:rPr>
        <w:t>†</w:t>
      </w:r>
      <w:r w:rsidRPr="005F3929">
        <w:rPr>
          <w:rFonts w:cs="Times New Roman"/>
          <w:sz w:val="22"/>
          <w:lang w:val="en-GB"/>
        </w:rPr>
        <w:t xml:space="preserve"> These authors share senior authorship</w:t>
      </w:r>
    </w:p>
    <w:p w14:paraId="575A0142" w14:textId="762E9F16" w:rsidR="00E956DA" w:rsidRDefault="00E956DA" w:rsidP="005F3929">
      <w:pPr>
        <w:spacing w:before="240" w:after="0" w:line="480" w:lineRule="auto"/>
        <w:rPr>
          <w:rFonts w:cs="Times New Roman"/>
          <w:b/>
          <w:sz w:val="22"/>
        </w:rPr>
      </w:pPr>
      <w:r w:rsidRPr="005F3929">
        <w:rPr>
          <w:rFonts w:cs="Times New Roman"/>
          <w:b/>
          <w:sz w:val="22"/>
        </w:rPr>
        <w:t xml:space="preserve">*Correspondence: </w:t>
      </w:r>
      <w:r w:rsidRPr="005F3929">
        <w:rPr>
          <w:rFonts w:cs="Times New Roman"/>
          <w:b/>
          <w:sz w:val="22"/>
        </w:rPr>
        <w:br/>
      </w:r>
      <w:r w:rsidRPr="005F3929">
        <w:rPr>
          <w:rFonts w:cs="Times New Roman"/>
          <w:sz w:val="22"/>
        </w:rPr>
        <w:t xml:space="preserve">Corresponding Author(s): Marta Ewa Polak </w:t>
      </w:r>
      <w:hyperlink r:id="rId8" w:history="1">
        <w:r w:rsidRPr="005F3929">
          <w:rPr>
            <w:rStyle w:val="Hyperlink"/>
            <w:rFonts w:cs="Times New Roman"/>
            <w:sz w:val="22"/>
          </w:rPr>
          <w:t>m.e.polak@soton.ac.uk</w:t>
        </w:r>
      </w:hyperlink>
      <w:r w:rsidRPr="005F3929">
        <w:rPr>
          <w:rFonts w:cs="Times New Roman"/>
          <w:sz w:val="22"/>
        </w:rPr>
        <w:t xml:space="preserve"> , Michael Ardern-Jones </w:t>
      </w:r>
      <w:hyperlink r:id="rId9" w:history="1">
        <w:r w:rsidRPr="005F3929">
          <w:rPr>
            <w:rStyle w:val="Hyperlink"/>
            <w:rFonts w:cs="Times New Roman"/>
            <w:sz w:val="22"/>
          </w:rPr>
          <w:t>m.aj@soton.ac.uk</w:t>
        </w:r>
      </w:hyperlink>
      <w:r w:rsidRPr="005F3929">
        <w:rPr>
          <w:rFonts w:cs="Times New Roman"/>
          <w:sz w:val="22"/>
        </w:rPr>
        <w:t xml:space="preserve"> </w:t>
      </w:r>
      <w:r w:rsidRPr="005F3929">
        <w:rPr>
          <w:rFonts w:cs="Times New Roman"/>
          <w:sz w:val="22"/>
        </w:rPr>
        <w:br/>
      </w:r>
      <w:r w:rsidR="00E946C4">
        <w:rPr>
          <w:rFonts w:cs="Times New Roman"/>
          <w:b/>
          <w:sz w:val="22"/>
        </w:rPr>
        <w:t xml:space="preserve">Acknowledgements: </w:t>
      </w:r>
    </w:p>
    <w:p w14:paraId="7599F4D1" w14:textId="338941E4" w:rsidR="00E946C4" w:rsidRPr="00E946C4" w:rsidRDefault="00E946C4" w:rsidP="00E946C4">
      <w:pPr>
        <w:spacing w:before="240" w:after="0" w:line="480" w:lineRule="auto"/>
        <w:jc w:val="both"/>
        <w:rPr>
          <w:rFonts w:cs="Times New Roman"/>
          <w:bCs/>
          <w:sz w:val="22"/>
        </w:rPr>
      </w:pPr>
      <w:r w:rsidRPr="00E946C4">
        <w:rPr>
          <w:rFonts w:cs="Times New Roman"/>
          <w:bCs/>
          <w:sz w:val="22"/>
        </w:rPr>
        <w:t>The authors acknowledge the use of the IRIDIS High Performance Computing Facility, and associated support services at the University of Southampton, in the completion of this work as well as assistance from Christopher Woelk PhD, and Tilman Sanchez-Elsner PhD. We thank the Oxford Genomics Centre at the Wellcome Centre for Human Genetics (funded by Wellcome Trust grant reference 203141/Z/16/Z) for the generation and initial processing of the sequencing data.</w:t>
      </w:r>
    </w:p>
    <w:p w14:paraId="7F8246FD" w14:textId="7818431B" w:rsidR="00575B3F" w:rsidRDefault="00575B3F" w:rsidP="005F3929">
      <w:pPr>
        <w:spacing w:before="0" w:after="200" w:line="480" w:lineRule="auto"/>
        <w:rPr>
          <w:rFonts w:cs="Times New Roman"/>
          <w:b/>
          <w:bCs/>
          <w:sz w:val="22"/>
          <w:lang w:val="en-GB"/>
        </w:rPr>
      </w:pPr>
      <w:r>
        <w:rPr>
          <w:rFonts w:cs="Times New Roman"/>
          <w:b/>
          <w:bCs/>
          <w:sz w:val="22"/>
          <w:lang w:val="en-GB"/>
        </w:rPr>
        <w:t xml:space="preserve">Abstract word count: </w:t>
      </w:r>
      <w:r w:rsidRPr="00575B3F">
        <w:rPr>
          <w:rFonts w:cs="Times New Roman"/>
          <w:sz w:val="22"/>
          <w:lang w:val="en-GB"/>
        </w:rPr>
        <w:t>2</w:t>
      </w:r>
      <w:r w:rsidR="002C5985">
        <w:rPr>
          <w:rFonts w:cs="Times New Roman"/>
          <w:sz w:val="22"/>
          <w:lang w:val="en-GB"/>
        </w:rPr>
        <w:t>42</w:t>
      </w:r>
      <w:r>
        <w:rPr>
          <w:rFonts w:cs="Times New Roman"/>
          <w:b/>
          <w:bCs/>
          <w:sz w:val="22"/>
          <w:lang w:val="en-GB"/>
        </w:rPr>
        <w:t xml:space="preserve"> </w:t>
      </w:r>
    </w:p>
    <w:p w14:paraId="1C6598C3" w14:textId="55D369C1" w:rsidR="00E956DA" w:rsidRPr="005F3929" w:rsidRDefault="00E956DA" w:rsidP="005F3929">
      <w:pPr>
        <w:spacing w:before="0" w:after="200" w:line="480" w:lineRule="auto"/>
        <w:rPr>
          <w:rFonts w:cs="Times New Roman"/>
          <w:bCs/>
          <w:sz w:val="22"/>
          <w:lang w:val="en-GB"/>
        </w:rPr>
      </w:pPr>
      <w:r w:rsidRPr="005F3929">
        <w:rPr>
          <w:rFonts w:cs="Times New Roman"/>
          <w:b/>
          <w:bCs/>
          <w:sz w:val="22"/>
          <w:lang w:val="en-GB"/>
        </w:rPr>
        <w:t xml:space="preserve">Word count: </w:t>
      </w:r>
      <w:r w:rsidR="00D633C4">
        <w:rPr>
          <w:rFonts w:cs="Times New Roman"/>
          <w:bCs/>
          <w:sz w:val="22"/>
          <w:lang w:val="en-GB"/>
        </w:rPr>
        <w:t>4197</w:t>
      </w:r>
    </w:p>
    <w:p w14:paraId="00A22598" w14:textId="77777777" w:rsidR="00E956DA" w:rsidRPr="005F3929" w:rsidRDefault="00E956DA" w:rsidP="005F3929">
      <w:pPr>
        <w:spacing w:before="0" w:after="200" w:line="480" w:lineRule="auto"/>
        <w:rPr>
          <w:rFonts w:cs="Times New Roman"/>
          <w:b/>
          <w:bCs/>
          <w:sz w:val="22"/>
          <w:lang w:val="en-GB"/>
        </w:rPr>
      </w:pPr>
      <w:r w:rsidRPr="005F3929">
        <w:rPr>
          <w:rFonts w:cs="Times New Roman"/>
          <w:b/>
          <w:bCs/>
          <w:sz w:val="22"/>
          <w:lang w:val="en-GB"/>
        </w:rPr>
        <w:t xml:space="preserve">Tables: </w:t>
      </w:r>
      <w:r w:rsidRPr="005F3929">
        <w:rPr>
          <w:rFonts w:cs="Times New Roman"/>
          <w:bCs/>
          <w:sz w:val="22"/>
          <w:lang w:val="en-GB"/>
        </w:rPr>
        <w:t>1</w:t>
      </w:r>
    </w:p>
    <w:p w14:paraId="6788E6E6" w14:textId="77777777" w:rsidR="00E956DA" w:rsidRPr="005F3929" w:rsidRDefault="00E956DA" w:rsidP="005F3929">
      <w:pPr>
        <w:spacing w:before="0" w:after="200" w:line="480" w:lineRule="auto"/>
        <w:rPr>
          <w:rFonts w:cs="Times New Roman"/>
          <w:bCs/>
          <w:sz w:val="22"/>
          <w:lang w:val="en-GB"/>
        </w:rPr>
      </w:pPr>
      <w:r w:rsidRPr="005F3929">
        <w:rPr>
          <w:rFonts w:cs="Times New Roman"/>
          <w:b/>
          <w:bCs/>
          <w:sz w:val="22"/>
          <w:lang w:val="en-GB"/>
        </w:rPr>
        <w:t xml:space="preserve">Figures: </w:t>
      </w:r>
      <w:r w:rsidRPr="005F3929">
        <w:rPr>
          <w:rFonts w:cs="Times New Roman"/>
          <w:bCs/>
          <w:sz w:val="22"/>
          <w:lang w:val="en-GB"/>
        </w:rPr>
        <w:t>6</w:t>
      </w:r>
    </w:p>
    <w:p w14:paraId="788B9817" w14:textId="559E91C5" w:rsidR="00E956DA" w:rsidRPr="005F3929" w:rsidRDefault="00E956DA" w:rsidP="005F3929">
      <w:pPr>
        <w:spacing w:before="0" w:after="200" w:line="480" w:lineRule="auto"/>
        <w:rPr>
          <w:rFonts w:cs="Times New Roman"/>
          <w:sz w:val="22"/>
          <w:lang w:val="en-GB"/>
        </w:rPr>
      </w:pPr>
      <w:r w:rsidRPr="005F3929">
        <w:rPr>
          <w:rFonts w:cs="Times New Roman"/>
          <w:sz w:val="22"/>
        </w:rPr>
        <w:br w:type="page"/>
      </w:r>
    </w:p>
    <w:p w14:paraId="1E56A551" w14:textId="46680715" w:rsidR="00E956DA" w:rsidRPr="005F3929" w:rsidRDefault="00E956DA" w:rsidP="005F3929">
      <w:pPr>
        <w:pStyle w:val="AuthorList"/>
        <w:spacing w:line="480" w:lineRule="auto"/>
        <w:rPr>
          <w:sz w:val="22"/>
          <w:szCs w:val="22"/>
        </w:rPr>
      </w:pPr>
      <w:r w:rsidRPr="005F3929">
        <w:rPr>
          <w:sz w:val="22"/>
          <w:szCs w:val="22"/>
        </w:rPr>
        <w:lastRenderedPageBreak/>
        <w:t>Abstract</w:t>
      </w:r>
    </w:p>
    <w:p w14:paraId="71198297" w14:textId="18660FAE" w:rsidR="005406B9" w:rsidRPr="005F3929" w:rsidRDefault="005406B9" w:rsidP="005F3929">
      <w:pPr>
        <w:spacing w:line="480" w:lineRule="auto"/>
        <w:jc w:val="both"/>
        <w:rPr>
          <w:rFonts w:cs="Times New Roman"/>
          <w:sz w:val="22"/>
        </w:rPr>
      </w:pPr>
      <w:r w:rsidRPr="005F3929">
        <w:rPr>
          <w:rFonts w:cs="Times New Roman"/>
          <w:sz w:val="22"/>
        </w:rPr>
        <w:t>One of the most severe forms of cutaneous adverse drug reactions is ‘drug reaction with eosinophilia and systemic symptoms’ (DRESS), hence subsequent avoidance of the causal drug is imperative.</w:t>
      </w:r>
      <w:r w:rsidR="00EC09B2">
        <w:rPr>
          <w:rFonts w:cs="Times New Roman"/>
          <w:sz w:val="22"/>
        </w:rPr>
        <w:t xml:space="preserve"> However, a</w:t>
      </w:r>
      <w:r w:rsidRPr="005F3929">
        <w:rPr>
          <w:rFonts w:cs="Times New Roman"/>
          <w:sz w:val="22"/>
        </w:rPr>
        <w:t xml:space="preserve">ttribution of drug culpability in DRESS is challenging and standard skin allergy tests are not recommended due to patient safety reasons. </w:t>
      </w:r>
      <w:r w:rsidR="00EC09B2">
        <w:rPr>
          <w:rFonts w:cs="Times New Roman"/>
          <w:sz w:val="22"/>
        </w:rPr>
        <w:t>Antibiotics are a common cause of DRESS</w:t>
      </w:r>
      <w:r w:rsidR="00C3278E">
        <w:rPr>
          <w:rFonts w:cs="Times New Roman"/>
          <w:sz w:val="22"/>
        </w:rPr>
        <w:t xml:space="preserve"> and absence of confirmatory diagnostic test can result in unnecessary avoidance of efficacious treatment</w:t>
      </w:r>
      <w:r w:rsidR="00EC09B2">
        <w:rPr>
          <w:rFonts w:cs="Times New Roman"/>
          <w:sz w:val="22"/>
        </w:rPr>
        <w:t xml:space="preserve">. </w:t>
      </w:r>
      <w:r w:rsidRPr="005F3929">
        <w:rPr>
          <w:rFonts w:cs="Times New Roman"/>
          <w:sz w:val="22"/>
        </w:rPr>
        <w:t xml:space="preserve">We </w:t>
      </w:r>
      <w:r w:rsidR="003E4232">
        <w:rPr>
          <w:rFonts w:cs="Times New Roman"/>
          <w:sz w:val="22"/>
        </w:rPr>
        <w:t xml:space="preserve">therefore </w:t>
      </w:r>
      <w:r w:rsidRPr="005F3929">
        <w:rPr>
          <w:rFonts w:cs="Times New Roman"/>
          <w:sz w:val="22"/>
        </w:rPr>
        <w:t>sought to identify potential biomarkers for development of a diagnostic test</w:t>
      </w:r>
      <w:r w:rsidR="00D33EDA">
        <w:rPr>
          <w:rFonts w:cs="Times New Roman"/>
          <w:sz w:val="22"/>
        </w:rPr>
        <w:t xml:space="preserve"> in antibiotic-associated DRESS</w:t>
      </w:r>
      <w:r w:rsidRPr="005F3929">
        <w:rPr>
          <w:rFonts w:cs="Times New Roman"/>
          <w:sz w:val="22"/>
        </w:rPr>
        <w:t>. Peripheral blood mononuclear cells (PBMCs) from a ‘discovery’ cohort (n=5) challenged to</w:t>
      </w:r>
      <w:r w:rsidR="00AF0836">
        <w:rPr>
          <w:rFonts w:cs="Times New Roman"/>
          <w:sz w:val="22"/>
        </w:rPr>
        <w:t xml:space="preserve"> causative antibiotic</w:t>
      </w:r>
      <w:r w:rsidRPr="005F3929">
        <w:rPr>
          <w:rFonts w:cs="Times New Roman"/>
          <w:sz w:val="22"/>
        </w:rPr>
        <w:t xml:space="preserve"> or control were analysed for transcriptomic profile. A panel of genes was then tested in a validation cohort (n=6) and compared to tolerant controls and other inflammatory conditions which can clinically mimic DRESS. A scoring system to identify presence of drug hypersensitivity was developed based on gene expression alterations of this panel. The DRESS transcriptomic panel identified antibiotic-DRESS cases in a validation cohort but was not altered in other inflammatory conditions. Machine learning or differential expression selection of a biomarker panel</w:t>
      </w:r>
      <w:r w:rsidR="00BE5979">
        <w:rPr>
          <w:rFonts w:cs="Times New Roman"/>
          <w:sz w:val="22"/>
        </w:rPr>
        <w:t xml:space="preserve"> consisting of six genes</w:t>
      </w:r>
      <w:r w:rsidRPr="005F3929">
        <w:rPr>
          <w:rFonts w:cs="Times New Roman"/>
          <w:sz w:val="22"/>
        </w:rPr>
        <w:t xml:space="preserve"> </w:t>
      </w:r>
      <w:r w:rsidR="00EB5EED">
        <w:rPr>
          <w:rFonts w:cs="Times New Roman"/>
          <w:sz w:val="22"/>
        </w:rPr>
        <w:t>(</w:t>
      </w:r>
      <w:r w:rsidR="00EB5EED" w:rsidRPr="00EB5EED">
        <w:rPr>
          <w:rFonts w:cs="Times New Roman"/>
          <w:sz w:val="22"/>
        </w:rPr>
        <w:t>STAC, GPR183, CD40, CISH, CD4, and CCL8</w:t>
      </w:r>
      <w:r w:rsidR="00EB5EED">
        <w:rPr>
          <w:rFonts w:cs="Times New Roman"/>
          <w:sz w:val="22"/>
        </w:rPr>
        <w:t xml:space="preserve">) </w:t>
      </w:r>
      <w:r w:rsidRPr="005F3929">
        <w:rPr>
          <w:rFonts w:cs="Times New Roman"/>
          <w:sz w:val="22"/>
        </w:rPr>
        <w:t xml:space="preserve">showed high sensitivity and specificity (100% and 85.7-100% respectively) for identification of the culprit </w:t>
      </w:r>
      <w:r w:rsidR="00144E0C">
        <w:rPr>
          <w:rFonts w:cs="Times New Roman"/>
          <w:sz w:val="22"/>
        </w:rPr>
        <w:t>drug</w:t>
      </w:r>
      <w:r w:rsidRPr="005F3929">
        <w:rPr>
          <w:rFonts w:cs="Times New Roman"/>
          <w:sz w:val="22"/>
        </w:rPr>
        <w:t xml:space="preserve"> in </w:t>
      </w:r>
      <w:r w:rsidR="00144E0C">
        <w:rPr>
          <w:rFonts w:cs="Times New Roman"/>
          <w:sz w:val="22"/>
        </w:rPr>
        <w:t xml:space="preserve">these cohorts of antibiotic-associated </w:t>
      </w:r>
      <w:r w:rsidRPr="005F3929">
        <w:rPr>
          <w:rFonts w:cs="Times New Roman"/>
          <w:sz w:val="22"/>
        </w:rPr>
        <w:t xml:space="preserve">DRESS. </w:t>
      </w:r>
      <w:r w:rsidR="00FB2F11" w:rsidRPr="00FB2F11">
        <w:rPr>
          <w:rFonts w:cs="Times New Roman"/>
          <w:sz w:val="22"/>
        </w:rPr>
        <w:t>Further work is required to determine whether the same panel can be</w:t>
      </w:r>
      <w:r w:rsidR="00FB2F11">
        <w:rPr>
          <w:rFonts w:cs="Times New Roman"/>
          <w:sz w:val="22"/>
        </w:rPr>
        <w:t xml:space="preserve"> repeated for</w:t>
      </w:r>
      <w:r w:rsidR="00FB2F11" w:rsidRPr="00FB2F11">
        <w:rPr>
          <w:rFonts w:cs="Times New Roman"/>
          <w:sz w:val="22"/>
        </w:rPr>
        <w:t xml:space="preserve"> larger cohorts, different medications, and other T cell mediated drug hypersensitivity reactions.</w:t>
      </w:r>
    </w:p>
    <w:p w14:paraId="152AC846" w14:textId="77777777" w:rsidR="00C6667B" w:rsidRDefault="00C6667B" w:rsidP="005F3929">
      <w:pPr>
        <w:spacing w:line="480" w:lineRule="auto"/>
        <w:jc w:val="both"/>
        <w:rPr>
          <w:rFonts w:cs="Times New Roman"/>
          <w:b/>
          <w:bCs/>
          <w:sz w:val="22"/>
        </w:rPr>
      </w:pPr>
    </w:p>
    <w:p w14:paraId="7AB3C0AE" w14:textId="16A6B998" w:rsidR="005406B9" w:rsidRPr="005F3929" w:rsidRDefault="00530B1D" w:rsidP="005F3929">
      <w:pPr>
        <w:spacing w:line="480" w:lineRule="auto"/>
        <w:jc w:val="both"/>
        <w:rPr>
          <w:rFonts w:cs="Times New Roman"/>
          <w:sz w:val="22"/>
        </w:rPr>
      </w:pPr>
      <w:r w:rsidRPr="00530B1D">
        <w:rPr>
          <w:rFonts w:cs="Times New Roman"/>
          <w:b/>
          <w:bCs/>
          <w:sz w:val="22"/>
        </w:rPr>
        <w:t>Impact statement</w:t>
      </w:r>
      <w:r w:rsidR="005406B9" w:rsidRPr="005F3929">
        <w:rPr>
          <w:rFonts w:cs="Times New Roman"/>
          <w:sz w:val="22"/>
        </w:rPr>
        <w:t>:</w:t>
      </w:r>
    </w:p>
    <w:p w14:paraId="1BCBE88D" w14:textId="1E743E1C" w:rsidR="008E1855" w:rsidRPr="005F3929" w:rsidRDefault="005406B9" w:rsidP="005F3929">
      <w:pPr>
        <w:spacing w:line="480" w:lineRule="auto"/>
        <w:rPr>
          <w:rFonts w:cs="Times New Roman"/>
          <w:sz w:val="22"/>
        </w:rPr>
      </w:pPr>
      <w:r w:rsidRPr="005F3929">
        <w:rPr>
          <w:rFonts w:cs="Times New Roman"/>
          <w:sz w:val="22"/>
        </w:rPr>
        <w:t xml:space="preserve">Transcriptomic analysis of DRESS revealed important insights into the key activated pathways and identified a </w:t>
      </w:r>
      <w:r w:rsidR="00AB2BC0">
        <w:rPr>
          <w:rFonts w:cs="Times New Roman"/>
          <w:sz w:val="22"/>
        </w:rPr>
        <w:t>panel of six genes as potential</w:t>
      </w:r>
      <w:r w:rsidRPr="005F3929">
        <w:rPr>
          <w:rFonts w:cs="Times New Roman"/>
          <w:sz w:val="22"/>
        </w:rPr>
        <w:t xml:space="preserve"> test with high sensitivity for drug culpability attribution</w:t>
      </w:r>
      <w:r w:rsidR="00F52D99">
        <w:rPr>
          <w:rFonts w:cs="Times New Roman"/>
          <w:sz w:val="22"/>
        </w:rPr>
        <w:t xml:space="preserve"> in antibiotic-</w:t>
      </w:r>
      <w:r w:rsidR="00BE5979">
        <w:rPr>
          <w:rFonts w:cs="Times New Roman"/>
          <w:sz w:val="22"/>
        </w:rPr>
        <w:t xml:space="preserve">associated </w:t>
      </w:r>
      <w:r w:rsidR="00F52D99">
        <w:rPr>
          <w:rFonts w:cs="Times New Roman"/>
          <w:sz w:val="22"/>
        </w:rPr>
        <w:t>DRESS</w:t>
      </w:r>
      <w:r w:rsidRPr="005F3929">
        <w:rPr>
          <w:rFonts w:cs="Times New Roman"/>
          <w:sz w:val="22"/>
        </w:rPr>
        <w:t>.</w:t>
      </w:r>
    </w:p>
    <w:p w14:paraId="32373224" w14:textId="77777777" w:rsidR="00C6667B" w:rsidRDefault="00C6667B" w:rsidP="005F3929">
      <w:pPr>
        <w:spacing w:line="480" w:lineRule="auto"/>
        <w:rPr>
          <w:rFonts w:cs="Times New Roman"/>
          <w:b/>
          <w:bCs/>
          <w:sz w:val="22"/>
        </w:rPr>
      </w:pPr>
    </w:p>
    <w:p w14:paraId="0ED0924E" w14:textId="078C737D" w:rsidR="008E1855" w:rsidRPr="00575B3F" w:rsidRDefault="008E1855" w:rsidP="005F3929">
      <w:pPr>
        <w:spacing w:line="480" w:lineRule="auto"/>
        <w:rPr>
          <w:rFonts w:cs="Times New Roman"/>
          <w:b/>
          <w:bCs/>
          <w:sz w:val="22"/>
        </w:rPr>
      </w:pPr>
      <w:r w:rsidRPr="00575B3F">
        <w:rPr>
          <w:rFonts w:cs="Times New Roman"/>
          <w:b/>
          <w:bCs/>
          <w:sz w:val="22"/>
        </w:rPr>
        <w:t>Keywords</w:t>
      </w:r>
      <w:r w:rsidR="00575B3F" w:rsidRPr="00575B3F">
        <w:rPr>
          <w:rFonts w:cs="Times New Roman"/>
          <w:b/>
          <w:bCs/>
          <w:sz w:val="22"/>
        </w:rPr>
        <w:t xml:space="preserve">: </w:t>
      </w:r>
    </w:p>
    <w:p w14:paraId="30391580" w14:textId="313AB17C" w:rsidR="00575B3F" w:rsidRDefault="00575B3F" w:rsidP="00575B3F">
      <w:pPr>
        <w:pStyle w:val="AuthorList"/>
        <w:spacing w:line="480" w:lineRule="auto"/>
        <w:rPr>
          <w:b w:val="0"/>
          <w:bCs/>
          <w:sz w:val="22"/>
          <w:szCs w:val="22"/>
          <w:lang w:val="en-GB"/>
        </w:rPr>
      </w:pPr>
      <w:r>
        <w:rPr>
          <w:b w:val="0"/>
          <w:bCs/>
          <w:sz w:val="22"/>
          <w:szCs w:val="22"/>
          <w:lang w:val="en-GB"/>
        </w:rPr>
        <w:lastRenderedPageBreak/>
        <w:t>Biomarker</w:t>
      </w:r>
    </w:p>
    <w:p w14:paraId="6DC6972D" w14:textId="39E69C67" w:rsidR="00575B3F" w:rsidRPr="00575B3F" w:rsidRDefault="00575B3F" w:rsidP="00575B3F">
      <w:pPr>
        <w:spacing w:line="480" w:lineRule="auto"/>
        <w:rPr>
          <w:lang w:val="en-GB"/>
        </w:rPr>
      </w:pPr>
      <w:r>
        <w:rPr>
          <w:lang w:val="en-GB"/>
        </w:rPr>
        <w:t>Diagnostics</w:t>
      </w:r>
    </w:p>
    <w:p w14:paraId="0C92ADB4" w14:textId="68AC2CA1" w:rsidR="00575B3F" w:rsidRDefault="00575B3F" w:rsidP="00575B3F">
      <w:pPr>
        <w:pStyle w:val="AuthorList"/>
        <w:spacing w:line="480" w:lineRule="auto"/>
        <w:rPr>
          <w:b w:val="0"/>
          <w:bCs/>
          <w:sz w:val="22"/>
          <w:szCs w:val="22"/>
          <w:lang w:val="en-GB"/>
        </w:rPr>
      </w:pPr>
      <w:r>
        <w:rPr>
          <w:b w:val="0"/>
          <w:bCs/>
          <w:sz w:val="22"/>
          <w:szCs w:val="22"/>
          <w:lang w:val="en-GB"/>
        </w:rPr>
        <w:t>Drug allergy</w:t>
      </w:r>
    </w:p>
    <w:p w14:paraId="678AAE32" w14:textId="3DF8220C" w:rsidR="00575B3F" w:rsidRDefault="00575B3F" w:rsidP="00575B3F">
      <w:pPr>
        <w:pStyle w:val="AuthorList"/>
        <w:spacing w:line="480" w:lineRule="auto"/>
        <w:rPr>
          <w:b w:val="0"/>
          <w:bCs/>
          <w:sz w:val="22"/>
          <w:szCs w:val="22"/>
          <w:lang w:val="en-GB"/>
        </w:rPr>
      </w:pPr>
      <w:r w:rsidRPr="005F3929">
        <w:rPr>
          <w:b w:val="0"/>
          <w:bCs/>
          <w:sz w:val="22"/>
          <w:szCs w:val="22"/>
          <w:lang w:val="en-GB"/>
        </w:rPr>
        <w:t>Drug reaction with eosinophilia and systemic symptoms (DRESS)</w:t>
      </w:r>
    </w:p>
    <w:p w14:paraId="52AE363F" w14:textId="33C01D7E" w:rsidR="006935D2" w:rsidRPr="00575B3F" w:rsidRDefault="00575B3F" w:rsidP="00575B3F">
      <w:pPr>
        <w:pStyle w:val="AuthorList"/>
        <w:spacing w:line="480" w:lineRule="auto"/>
        <w:rPr>
          <w:sz w:val="22"/>
          <w:szCs w:val="22"/>
        </w:rPr>
      </w:pPr>
      <w:r w:rsidRPr="005F3929">
        <w:rPr>
          <w:b w:val="0"/>
          <w:bCs/>
          <w:sz w:val="22"/>
          <w:szCs w:val="22"/>
          <w:lang w:val="en-GB"/>
        </w:rPr>
        <w:t>Immunology</w:t>
      </w:r>
      <w:r w:rsidRPr="005F3929">
        <w:rPr>
          <w:sz w:val="22"/>
          <w:szCs w:val="22"/>
        </w:rPr>
        <w:t xml:space="preserve"> </w:t>
      </w:r>
      <w:r w:rsidR="00E956DA" w:rsidRPr="005F3929">
        <w:rPr>
          <w:sz w:val="22"/>
          <w:szCs w:val="22"/>
        </w:rPr>
        <w:br w:type="page"/>
      </w:r>
    </w:p>
    <w:p w14:paraId="7B72AD80" w14:textId="0B80439B" w:rsidR="00E956DA" w:rsidRPr="005F3929" w:rsidRDefault="00E956DA" w:rsidP="005F3929">
      <w:pPr>
        <w:spacing w:line="480" w:lineRule="auto"/>
        <w:contextualSpacing/>
        <w:rPr>
          <w:rFonts w:cs="Times New Roman"/>
          <w:b/>
          <w:bCs/>
          <w:sz w:val="22"/>
        </w:rPr>
      </w:pPr>
      <w:r w:rsidRPr="005F3929">
        <w:rPr>
          <w:rFonts w:cs="Times New Roman"/>
          <w:b/>
          <w:bCs/>
          <w:sz w:val="22"/>
        </w:rPr>
        <w:lastRenderedPageBreak/>
        <w:t>Introduction</w:t>
      </w:r>
    </w:p>
    <w:p w14:paraId="7976F0FF" w14:textId="5A508281" w:rsidR="00E956DA" w:rsidRPr="005F3929" w:rsidRDefault="00E956DA" w:rsidP="00C6235C">
      <w:pPr>
        <w:spacing w:line="480" w:lineRule="auto"/>
        <w:jc w:val="both"/>
        <w:rPr>
          <w:rFonts w:cs="Times New Roman"/>
          <w:sz w:val="22"/>
        </w:rPr>
      </w:pPr>
      <w:r w:rsidRPr="005F3929">
        <w:rPr>
          <w:rFonts w:cs="Times New Roman"/>
          <w:sz w:val="22"/>
        </w:rPr>
        <w:t>Drug hypersensitivity caused by T cell mediated reactions are clinically distinct in their presentation from IgE-mediated drug allergy reactions and present as a range of different clinical phenotypes</w:t>
      </w:r>
      <w:r w:rsidRPr="005A6218">
        <w:rPr>
          <w:rFonts w:cs="Times New Roman"/>
          <w:sz w:val="22"/>
          <w:vertAlign w:val="superscript"/>
        </w:rPr>
        <w:t>1</w:t>
      </w:r>
      <w:r w:rsidRPr="005F3929">
        <w:rPr>
          <w:rFonts w:cs="Times New Roman"/>
          <w:sz w:val="22"/>
        </w:rPr>
        <w:t>, including Drug Reaction with Eosinophilia and Systemic Symptoms (DRESS). DRESS typically presents with a florid skin eruption combined with hallmark systemic features of fever, lymphadenopathy, blood dyscrasias such as eosinophilia, and internal organ involvement</w:t>
      </w:r>
      <w:r w:rsidRPr="005A6218">
        <w:rPr>
          <w:rFonts w:cs="Times New Roman"/>
          <w:sz w:val="22"/>
          <w:vertAlign w:val="superscript"/>
        </w:rPr>
        <w:t>1-3</w:t>
      </w:r>
      <w:r w:rsidRPr="005F3929">
        <w:rPr>
          <w:rFonts w:cs="Times New Roman"/>
          <w:sz w:val="22"/>
        </w:rPr>
        <w:t>. The liver is the most commonly involved among the organs, found in 51–94.2% of patients; followed by renal involvement, lung, cardiac and central nervous system</w:t>
      </w:r>
      <w:r w:rsidRPr="005A6218">
        <w:rPr>
          <w:rFonts w:cs="Times New Roman"/>
          <w:sz w:val="22"/>
          <w:vertAlign w:val="superscript"/>
        </w:rPr>
        <w:t>4-7</w:t>
      </w:r>
      <w:r w:rsidRPr="005F3929">
        <w:rPr>
          <w:rFonts w:cs="Times New Roman"/>
          <w:sz w:val="22"/>
        </w:rPr>
        <w:t>. Future lifelong avoidance of the culprit drug is crucial as DRESS can be life-threatening, reported mortality being 2-6%</w:t>
      </w:r>
      <w:r w:rsidRPr="005A6218">
        <w:rPr>
          <w:rFonts w:cs="Times New Roman"/>
          <w:sz w:val="22"/>
          <w:vertAlign w:val="superscript"/>
        </w:rPr>
        <w:t>2, 4, 8</w:t>
      </w:r>
      <w:r w:rsidRPr="005F3929">
        <w:rPr>
          <w:rFonts w:cs="Times New Roman"/>
          <w:sz w:val="22"/>
        </w:rPr>
        <w:t xml:space="preserve">. Confirmation of causality can be difficult if the culprit drug is not clinically obvious.  </w:t>
      </w:r>
    </w:p>
    <w:p w14:paraId="63085D3F" w14:textId="0CE85559" w:rsidR="00E956DA" w:rsidRPr="005F3929" w:rsidRDefault="00E956DA" w:rsidP="00C6235C">
      <w:pPr>
        <w:spacing w:line="480" w:lineRule="auto"/>
        <w:jc w:val="both"/>
        <w:rPr>
          <w:rFonts w:cs="Times New Roman"/>
          <w:sz w:val="22"/>
        </w:rPr>
      </w:pPr>
      <w:r w:rsidRPr="005F3929">
        <w:rPr>
          <w:rFonts w:cs="Times New Roman"/>
          <w:sz w:val="22"/>
        </w:rPr>
        <w:t>Skin tests and oral challenge cannot be performed acutely and are generally not recommended because of the risk of re-inducing DRESS. Clinical algorithms to assess causality are of value, especially for post-marketing surveillance systems, but their lack of confirmatory testing limits their utility to inform treatment decisions for an individual patient</w:t>
      </w:r>
      <w:r w:rsidRPr="005A6218">
        <w:rPr>
          <w:rFonts w:cs="Times New Roman"/>
          <w:sz w:val="22"/>
          <w:vertAlign w:val="superscript"/>
        </w:rPr>
        <w:t>9</w:t>
      </w:r>
      <w:r w:rsidR="005A6218" w:rsidRPr="005F3929">
        <w:rPr>
          <w:rFonts w:cs="Times New Roman"/>
          <w:sz w:val="22"/>
        </w:rPr>
        <w:t xml:space="preserve">. </w:t>
      </w:r>
      <w:r w:rsidRPr="005F3929">
        <w:rPr>
          <w:rFonts w:cs="Times New Roman"/>
          <w:sz w:val="22"/>
        </w:rPr>
        <w:t>We and others have demonstrated the diagnostic use of classical immunology tests to measure drug specific T cell activation</w:t>
      </w:r>
      <w:r w:rsidRPr="005A6218">
        <w:rPr>
          <w:rFonts w:cs="Times New Roman"/>
          <w:sz w:val="22"/>
          <w:vertAlign w:val="superscript"/>
        </w:rPr>
        <w:t>10, 11</w:t>
      </w:r>
      <w:r w:rsidRPr="005F3929">
        <w:rPr>
          <w:rFonts w:cs="Times New Roman"/>
          <w:sz w:val="22"/>
        </w:rPr>
        <w:t xml:space="preserve">.  However, such </w:t>
      </w:r>
      <w:r w:rsidRPr="005A6218">
        <w:rPr>
          <w:rFonts w:cs="Times New Roman"/>
          <w:i/>
          <w:iCs/>
          <w:sz w:val="22"/>
        </w:rPr>
        <w:t>in vitro</w:t>
      </w:r>
      <w:r w:rsidRPr="005F3929">
        <w:rPr>
          <w:rFonts w:cs="Times New Roman"/>
          <w:sz w:val="22"/>
        </w:rPr>
        <w:t xml:space="preserve"> assays are not widely available due to being labour intensive, complex, and involving radioisotopes</w:t>
      </w:r>
      <w:r w:rsidR="005A6218" w:rsidRPr="005F3929">
        <w:rPr>
          <w:rFonts w:cs="Times New Roman"/>
          <w:sz w:val="22"/>
        </w:rPr>
        <w:t xml:space="preserve">. </w:t>
      </w:r>
      <w:r w:rsidRPr="005F3929">
        <w:rPr>
          <w:rFonts w:cs="Times New Roman"/>
          <w:sz w:val="22"/>
        </w:rPr>
        <w:t xml:space="preserve">Therefore, there is an unmet need to develop a simple, </w:t>
      </w:r>
      <w:r w:rsidR="005A6218" w:rsidRPr="005F3929">
        <w:rPr>
          <w:rFonts w:cs="Times New Roman"/>
          <w:sz w:val="22"/>
        </w:rPr>
        <w:t>quick,</w:t>
      </w:r>
      <w:r w:rsidRPr="005F3929">
        <w:rPr>
          <w:rFonts w:cs="Times New Roman"/>
          <w:sz w:val="22"/>
        </w:rPr>
        <w:t xml:space="preserve"> and robust in vitro assay that can be undertaken widely in routine diagnostic laboratories.</w:t>
      </w:r>
    </w:p>
    <w:p w14:paraId="52EE2868" w14:textId="6CF02F4A" w:rsidR="00E956DA" w:rsidRPr="005F3929" w:rsidRDefault="00E956DA" w:rsidP="00C6235C">
      <w:pPr>
        <w:spacing w:line="480" w:lineRule="auto"/>
        <w:jc w:val="both"/>
        <w:rPr>
          <w:rFonts w:cs="Times New Roman"/>
          <w:sz w:val="22"/>
        </w:rPr>
      </w:pPr>
      <w:r w:rsidRPr="005F3929">
        <w:rPr>
          <w:rFonts w:cs="Times New Roman"/>
          <w:sz w:val="22"/>
        </w:rPr>
        <w:t xml:space="preserve">We set out to develop an </w:t>
      </w:r>
      <w:r w:rsidRPr="005F3929">
        <w:rPr>
          <w:rFonts w:cs="Times New Roman"/>
          <w:i/>
          <w:sz w:val="22"/>
        </w:rPr>
        <w:t>in vitro</w:t>
      </w:r>
      <w:r w:rsidRPr="005F3929">
        <w:rPr>
          <w:rFonts w:cs="Times New Roman"/>
          <w:sz w:val="22"/>
        </w:rPr>
        <w:t xml:space="preserve"> gene transcription signature to identify drug-induced cell activation because reverse transcriptase polymerase chain reaction (RT-PCR) based assays are already widely employed in clinical laboratories and therefore this approach would be scalable to routine laboratories. To determine the optimal biomarkers for drug T cell activation, we undertook ribonucleic acid-sequencing (RNA-seq) of drug-exposed peripheral blood mononuclear cells (PBMCs) from antibiotic-induced DRESS cases</w:t>
      </w:r>
      <w:r w:rsidR="00E76559">
        <w:rPr>
          <w:rFonts w:cs="Times New Roman"/>
          <w:sz w:val="22"/>
        </w:rPr>
        <w:t>, as these were the cases most frequently referred for further diagnostic work-up in our centre</w:t>
      </w:r>
      <w:r w:rsidRPr="005F3929">
        <w:rPr>
          <w:rFonts w:cs="Times New Roman"/>
          <w:sz w:val="22"/>
        </w:rPr>
        <w:t>. Differential expression from control samples identified candidate genes as markers of drug hypersensitivity, which were further validated against a second cohort, against tolerant controls and other inflammatory conditions.</w:t>
      </w:r>
    </w:p>
    <w:p w14:paraId="1590F48D" w14:textId="77777777" w:rsidR="00E956DA" w:rsidRPr="005F3929" w:rsidRDefault="00E956DA" w:rsidP="005F3929">
      <w:pPr>
        <w:spacing w:before="0" w:after="200" w:line="480" w:lineRule="auto"/>
        <w:rPr>
          <w:rFonts w:cs="Times New Roman"/>
          <w:sz w:val="22"/>
        </w:rPr>
      </w:pPr>
      <w:r w:rsidRPr="005F3929">
        <w:rPr>
          <w:rFonts w:cs="Times New Roman"/>
          <w:sz w:val="22"/>
        </w:rPr>
        <w:br w:type="page"/>
      </w:r>
    </w:p>
    <w:p w14:paraId="750285BC" w14:textId="77777777" w:rsidR="00E956DA" w:rsidRPr="005F3929" w:rsidRDefault="00E956DA" w:rsidP="005F3929">
      <w:pPr>
        <w:spacing w:line="480" w:lineRule="auto"/>
        <w:rPr>
          <w:rFonts w:cs="Times New Roman"/>
          <w:sz w:val="22"/>
          <w:lang w:val="en-GB"/>
        </w:rPr>
      </w:pPr>
      <w:r w:rsidRPr="005F3929">
        <w:rPr>
          <w:rFonts w:cs="Times New Roman"/>
          <w:b/>
          <w:bCs/>
          <w:sz w:val="22"/>
          <w:lang w:val="en-GB"/>
        </w:rPr>
        <w:lastRenderedPageBreak/>
        <w:t xml:space="preserve">Materials and Methods </w:t>
      </w:r>
    </w:p>
    <w:p w14:paraId="7CD16631" w14:textId="77777777" w:rsidR="00E956DA" w:rsidRPr="005F3929" w:rsidRDefault="00E956DA" w:rsidP="005F3929">
      <w:pPr>
        <w:spacing w:before="0" w:after="0" w:line="480" w:lineRule="auto"/>
        <w:rPr>
          <w:rFonts w:cs="Times New Roman"/>
          <w:b/>
          <w:bCs/>
          <w:sz w:val="22"/>
          <w:lang w:val="en-GB"/>
        </w:rPr>
      </w:pPr>
      <w:r w:rsidRPr="005F3929">
        <w:rPr>
          <w:rFonts w:cs="Times New Roman"/>
          <w:b/>
          <w:bCs/>
          <w:sz w:val="22"/>
          <w:lang w:val="en-GB"/>
        </w:rPr>
        <w:t>Patients and controls</w:t>
      </w:r>
    </w:p>
    <w:p w14:paraId="084A7165" w14:textId="2FBFAA8E" w:rsidR="00E956DA" w:rsidRPr="005F3929" w:rsidRDefault="00CB6146" w:rsidP="003C2D4C">
      <w:pPr>
        <w:spacing w:before="0" w:after="0" w:line="480" w:lineRule="auto"/>
        <w:jc w:val="both"/>
        <w:rPr>
          <w:rFonts w:cs="Times New Roman"/>
          <w:sz w:val="22"/>
          <w:lang w:val="en-GB"/>
        </w:rPr>
      </w:pPr>
      <w:r>
        <w:rPr>
          <w:rFonts w:cs="Times New Roman"/>
          <w:sz w:val="22"/>
          <w:lang w:val="en-GB"/>
        </w:rPr>
        <w:t xml:space="preserve">Eleven </w:t>
      </w:r>
      <w:r w:rsidR="00A35D86">
        <w:rPr>
          <w:rFonts w:cs="Times New Roman"/>
          <w:sz w:val="22"/>
          <w:lang w:val="en-GB"/>
        </w:rPr>
        <w:t xml:space="preserve">antibiotic-associated </w:t>
      </w:r>
      <w:r>
        <w:rPr>
          <w:rFonts w:cs="Times New Roman"/>
          <w:sz w:val="22"/>
          <w:lang w:val="en-GB"/>
        </w:rPr>
        <w:t xml:space="preserve">DRESS patients, as confirmed by RegiSCAR score </w:t>
      </w:r>
      <w:r w:rsidRPr="00CB6146">
        <w:rPr>
          <w:rFonts w:cs="Times New Roman"/>
          <w:sz w:val="22"/>
          <w:lang w:val="en-GB"/>
        </w:rPr>
        <w:t>≥3</w:t>
      </w:r>
      <w:r>
        <w:rPr>
          <w:rFonts w:cs="Times New Roman"/>
          <w:sz w:val="22"/>
          <w:lang w:val="en-GB"/>
        </w:rPr>
        <w:t xml:space="preserve"> </w:t>
      </w:r>
      <w:r w:rsidRPr="005F3929">
        <w:rPr>
          <w:rFonts w:cs="Times New Roman"/>
          <w:sz w:val="22"/>
          <w:lang w:val="en-GB"/>
        </w:rPr>
        <w:t>and with positive results on lymphocyte proliferation or enzyme-linked immunosorbent spot assay (ELISpot) testing</w:t>
      </w:r>
      <w:r w:rsidRPr="005F3929">
        <w:rPr>
          <w:rFonts w:cs="Times New Roman"/>
          <w:sz w:val="22"/>
          <w:vertAlign w:val="superscript"/>
          <w:lang w:val="en-GB"/>
        </w:rPr>
        <w:t>4</w:t>
      </w:r>
      <w:r>
        <w:rPr>
          <w:rFonts w:cs="Times New Roman"/>
          <w:sz w:val="22"/>
          <w:lang w:val="en-GB"/>
        </w:rPr>
        <w:t xml:space="preserve">, </w:t>
      </w:r>
      <w:r w:rsidR="00E956DA" w:rsidRPr="005F3929">
        <w:rPr>
          <w:rFonts w:cs="Times New Roman"/>
          <w:sz w:val="22"/>
          <w:lang w:val="en-GB"/>
        </w:rPr>
        <w:t>were recruited to the study through the Department of Dermatology, University Hospital Southampton NHS Foundation Trust.</w:t>
      </w:r>
      <w:r w:rsidR="00A35D86">
        <w:rPr>
          <w:rFonts w:cs="Times New Roman"/>
          <w:sz w:val="22"/>
          <w:lang w:val="en-GB"/>
        </w:rPr>
        <w:t xml:space="preserve"> Causative antibiotics included: cefoxitin, dapsone, teicoplanin and vancomycin.</w:t>
      </w:r>
      <w:r w:rsidR="00E956DA" w:rsidRPr="005F3929">
        <w:rPr>
          <w:rFonts w:cs="Times New Roman"/>
          <w:sz w:val="22"/>
          <w:lang w:val="en-GB"/>
        </w:rPr>
        <w:t xml:space="preserve"> Ethical approval was obtained from the Health Research Authority (17/NE/0346). Only subjects with no active infections or malignancies and without history of immunosuppression were included. Patients were divided into a ‘discovery’ cohort (</w:t>
      </w:r>
      <w:r>
        <w:rPr>
          <w:rFonts w:cs="Times New Roman"/>
          <w:sz w:val="22"/>
          <w:lang w:val="en-GB"/>
        </w:rPr>
        <w:t xml:space="preserve">n = </w:t>
      </w:r>
      <w:r w:rsidR="00E956DA" w:rsidRPr="005F3929">
        <w:rPr>
          <w:rFonts w:cs="Times New Roman"/>
          <w:sz w:val="22"/>
          <w:lang w:val="en-GB"/>
        </w:rPr>
        <w:t>5</w:t>
      </w:r>
      <w:r>
        <w:rPr>
          <w:rFonts w:cs="Times New Roman"/>
          <w:sz w:val="22"/>
          <w:lang w:val="en-GB"/>
        </w:rPr>
        <w:t>)</w:t>
      </w:r>
      <w:r w:rsidR="00E956DA" w:rsidRPr="005F3929">
        <w:rPr>
          <w:rFonts w:cs="Times New Roman"/>
          <w:sz w:val="22"/>
          <w:lang w:val="en-GB"/>
        </w:rPr>
        <w:t xml:space="preserve"> and a ‘validation’ cohort (</w:t>
      </w:r>
      <w:r>
        <w:rPr>
          <w:rFonts w:cs="Times New Roman"/>
          <w:sz w:val="22"/>
          <w:lang w:val="en-GB"/>
        </w:rPr>
        <w:t>n =6)</w:t>
      </w:r>
      <w:r w:rsidRPr="005F3929">
        <w:rPr>
          <w:rFonts w:cs="Times New Roman"/>
          <w:sz w:val="22"/>
          <w:lang w:val="en-GB"/>
        </w:rPr>
        <w:t xml:space="preserve"> </w:t>
      </w:r>
      <w:r>
        <w:rPr>
          <w:rFonts w:cs="Times New Roman"/>
          <w:sz w:val="22"/>
          <w:lang w:val="en-GB"/>
        </w:rPr>
        <w:t>(</w:t>
      </w:r>
      <w:r w:rsidR="00E956DA" w:rsidRPr="005F3929">
        <w:rPr>
          <w:rFonts w:cs="Times New Roman"/>
          <w:bCs/>
          <w:sz w:val="22"/>
          <w:lang w:val="en-GB"/>
        </w:rPr>
        <w:t>Table 1)</w:t>
      </w:r>
      <w:r w:rsidR="00E956DA" w:rsidRPr="005F3929">
        <w:rPr>
          <w:rFonts w:cs="Times New Roman"/>
          <w:sz w:val="22"/>
          <w:lang w:val="en-GB"/>
        </w:rPr>
        <w:t xml:space="preserve">. </w:t>
      </w:r>
      <w:r w:rsidRPr="00CB6146">
        <w:rPr>
          <w:rFonts w:cs="Times New Roman"/>
          <w:sz w:val="22"/>
          <w:lang w:val="en-GB"/>
        </w:rPr>
        <w:t>7 comparative tolerant controls were also tested.</w:t>
      </w:r>
      <w:r>
        <w:rPr>
          <w:rFonts w:cs="Times New Roman"/>
          <w:sz w:val="22"/>
          <w:lang w:val="en-GB"/>
        </w:rPr>
        <w:t xml:space="preserve"> </w:t>
      </w:r>
      <w:r w:rsidR="00E956DA" w:rsidRPr="005F3929">
        <w:rPr>
          <w:rFonts w:cs="Times New Roman"/>
          <w:sz w:val="22"/>
          <w:lang w:val="en-GB"/>
        </w:rPr>
        <w:t xml:space="preserve">All testing was undertaken on fresh (not frozen) samples isolated from anticoagulated peripheral blood. The tests were undertaken on average (mean) 370.7 days from rash onset (median: 124 days, IQR 71-347). </w:t>
      </w:r>
    </w:p>
    <w:p w14:paraId="2AECF274" w14:textId="77777777" w:rsidR="00E956DA" w:rsidRPr="005F3929" w:rsidRDefault="00E956DA" w:rsidP="005F3929">
      <w:pPr>
        <w:spacing w:before="0" w:after="0" w:line="480" w:lineRule="auto"/>
        <w:rPr>
          <w:rFonts w:cs="Times New Roman"/>
          <w:sz w:val="22"/>
          <w:lang w:val="en-GB"/>
        </w:rPr>
      </w:pPr>
    </w:p>
    <w:p w14:paraId="5F1E1FE9" w14:textId="77777777" w:rsidR="00E956DA" w:rsidRPr="005F3929" w:rsidRDefault="00E956DA" w:rsidP="005F3929">
      <w:pPr>
        <w:spacing w:before="0" w:after="0" w:line="480" w:lineRule="auto"/>
        <w:rPr>
          <w:rFonts w:cs="Times New Roman"/>
          <w:b/>
          <w:bCs/>
          <w:sz w:val="22"/>
          <w:lang w:val="en-GB"/>
        </w:rPr>
      </w:pPr>
      <w:r w:rsidRPr="005F3929">
        <w:rPr>
          <w:rFonts w:cs="Times New Roman"/>
          <w:b/>
          <w:bCs/>
          <w:sz w:val="22"/>
          <w:lang w:val="en-GB"/>
        </w:rPr>
        <w:t xml:space="preserve">Lymphocyte Proliferation and ELISpot test  </w:t>
      </w:r>
    </w:p>
    <w:p w14:paraId="21BB0A55" w14:textId="37EB906E" w:rsidR="00E956DA" w:rsidRPr="005F3929" w:rsidRDefault="00E956DA" w:rsidP="003C2D4C">
      <w:pPr>
        <w:spacing w:before="0" w:after="0" w:line="480" w:lineRule="auto"/>
        <w:jc w:val="both"/>
        <w:rPr>
          <w:rFonts w:cs="Times New Roman"/>
          <w:sz w:val="22"/>
          <w:lang w:val="en-GB"/>
        </w:rPr>
      </w:pPr>
      <w:r w:rsidRPr="005F3929">
        <w:rPr>
          <w:rFonts w:cs="Times New Roman"/>
          <w:sz w:val="22"/>
          <w:lang w:val="en-GB"/>
        </w:rPr>
        <w:t xml:space="preserve">Lymphocyte proliferation test and IFN-γ enzyme-linked immunosorbent spot assay (ELISpot) </w:t>
      </w:r>
      <w:r w:rsidR="00523133">
        <w:rPr>
          <w:rFonts w:cs="Times New Roman"/>
          <w:sz w:val="22"/>
          <w:lang w:val="en-GB"/>
        </w:rPr>
        <w:t xml:space="preserve">were </w:t>
      </w:r>
      <w:r w:rsidRPr="005F3929">
        <w:rPr>
          <w:rFonts w:cs="Times New Roman"/>
          <w:sz w:val="22"/>
          <w:lang w:val="en-GB"/>
        </w:rPr>
        <w:t xml:space="preserve">performed as </w:t>
      </w:r>
      <w:r w:rsidR="00523133">
        <w:rPr>
          <w:rFonts w:cs="Times New Roman"/>
          <w:sz w:val="22"/>
          <w:lang w:val="en-GB"/>
        </w:rPr>
        <w:t>p</w:t>
      </w:r>
      <w:r w:rsidRPr="005F3929">
        <w:rPr>
          <w:rFonts w:cs="Times New Roman"/>
          <w:sz w:val="22"/>
          <w:lang w:val="en-GB"/>
        </w:rPr>
        <w:t>reviously described</w:t>
      </w:r>
      <w:r w:rsidRPr="005F3929">
        <w:rPr>
          <w:rFonts w:cs="Times New Roman"/>
          <w:sz w:val="22"/>
          <w:vertAlign w:val="superscript"/>
          <w:lang w:val="en-GB"/>
        </w:rPr>
        <w:t>10, 11</w:t>
      </w:r>
      <w:r w:rsidRPr="005F3929">
        <w:rPr>
          <w:rFonts w:cs="Times New Roman"/>
          <w:sz w:val="22"/>
          <w:lang w:val="en-GB"/>
        </w:rPr>
        <w:t xml:space="preserve">. Each drug was tested to four different concentrations, with fourfold dilutions performed starting from the following highest concentrations: cefoxitin 128.25μg/ml, dapsone 0.74 μg/ml, teicoplanin 51.28μg/ml, vancomycin 434.79μg/ml. </w:t>
      </w:r>
    </w:p>
    <w:p w14:paraId="1F882CCE" w14:textId="77777777" w:rsidR="00E956DA" w:rsidRPr="005F3929" w:rsidRDefault="00E956DA" w:rsidP="005F3929">
      <w:pPr>
        <w:spacing w:before="0" w:after="0" w:line="480" w:lineRule="auto"/>
        <w:rPr>
          <w:rFonts w:cs="Times New Roman"/>
          <w:sz w:val="22"/>
          <w:lang w:val="en-GB"/>
        </w:rPr>
      </w:pPr>
    </w:p>
    <w:p w14:paraId="462BB114" w14:textId="77777777" w:rsidR="00E956DA" w:rsidRPr="005F3929" w:rsidRDefault="00E956DA" w:rsidP="005F3929">
      <w:pPr>
        <w:spacing w:before="0" w:after="0" w:line="480" w:lineRule="auto"/>
        <w:rPr>
          <w:rFonts w:cs="Times New Roman"/>
          <w:b/>
          <w:bCs/>
          <w:sz w:val="22"/>
          <w:lang w:val="en-GB"/>
        </w:rPr>
      </w:pPr>
      <w:r w:rsidRPr="005F3929">
        <w:rPr>
          <w:rFonts w:cs="Times New Roman"/>
          <w:b/>
          <w:bCs/>
          <w:sz w:val="22"/>
          <w:lang w:val="en-GB"/>
        </w:rPr>
        <w:t>RNA isolation and purification</w:t>
      </w:r>
    </w:p>
    <w:p w14:paraId="153528BB" w14:textId="603B7A48" w:rsidR="00E956DA" w:rsidRPr="005F3929" w:rsidRDefault="00E956DA" w:rsidP="001766D6">
      <w:pPr>
        <w:spacing w:before="0" w:after="0" w:line="480" w:lineRule="auto"/>
        <w:jc w:val="both"/>
        <w:rPr>
          <w:rFonts w:cs="Times New Roman"/>
          <w:sz w:val="22"/>
          <w:lang w:val="en-GB"/>
        </w:rPr>
      </w:pPr>
      <w:r w:rsidRPr="005F3929">
        <w:rPr>
          <w:rFonts w:cs="Times New Roman"/>
          <w:sz w:val="22"/>
          <w:lang w:val="en-GB"/>
        </w:rPr>
        <w:t>PBMCs (7.5x10</w:t>
      </w:r>
      <w:r w:rsidRPr="005F3929">
        <w:rPr>
          <w:rFonts w:cs="Times New Roman"/>
          <w:sz w:val="22"/>
          <w:vertAlign w:val="superscript"/>
          <w:lang w:val="en-GB"/>
        </w:rPr>
        <w:t>5</w:t>
      </w:r>
      <w:r w:rsidRPr="005F3929">
        <w:rPr>
          <w:rFonts w:cs="Times New Roman"/>
          <w:sz w:val="22"/>
          <w:lang w:val="en-GB"/>
        </w:rPr>
        <w:t xml:space="preserve"> cells per well, in duplicates) were incubated for 24 hours with medium (control) or culprit drug at concentrations with observed highest responses on LPA and ELISpot testing (cefoxitin 32.06μg/ml, dapsone 0.19μg/ml, teicoplanin 12.82μg/ml, vancomycin 217.40μg/ml) before RNA harvesting for transcriptomic analysis.</w:t>
      </w:r>
      <w:r w:rsidR="001766D6">
        <w:rPr>
          <w:rFonts w:cs="Times New Roman"/>
          <w:sz w:val="22"/>
          <w:lang w:val="en-GB"/>
        </w:rPr>
        <w:t xml:space="preserve"> Following this</w:t>
      </w:r>
      <w:r w:rsidRPr="005F3929">
        <w:rPr>
          <w:rFonts w:cs="Times New Roman"/>
          <w:sz w:val="22"/>
          <w:lang w:val="en-GB"/>
        </w:rPr>
        <w:t xml:space="preserve">, PBMCs were harvested, washed, and suspended in RLT lysing buffer (Qiagen, UK) before storage at −20 °C. Each sample was thawed immediately before RNA isolation and whole transcriptome RNA-sequencing. RNA extraction and purification were performed according to manufacturer’s protocol (RNeasy Plus Mini Kit, Qiagen, UK). DNA contamination in the collected RNA was eliminated by use of gDNA </w:t>
      </w:r>
      <w:r w:rsidRPr="005F3929">
        <w:rPr>
          <w:rFonts w:cs="Times New Roman"/>
          <w:sz w:val="22"/>
          <w:lang w:val="en-GB"/>
        </w:rPr>
        <w:lastRenderedPageBreak/>
        <w:t>Eliminator spin column. RNA quantity and quality checking were performed using the NanoDrop™ 1000 spectrophotometer (Thermo Fisher Scientific, Waltham, MA, USA) and Agilent 2100 Bioanalyzer. All samples displayed a 260/280 ratio &gt;1.8 and RNA integrity numbers (RIN) &gt; 7.7. Purified RNA samples were stored at −80 °C until use.</w:t>
      </w:r>
    </w:p>
    <w:p w14:paraId="336846F5" w14:textId="77777777" w:rsidR="00E956DA" w:rsidRPr="005F3929" w:rsidRDefault="00E956DA" w:rsidP="001766D6">
      <w:pPr>
        <w:spacing w:before="0" w:after="0" w:line="480" w:lineRule="auto"/>
        <w:jc w:val="both"/>
        <w:rPr>
          <w:rFonts w:cs="Times New Roman"/>
          <w:sz w:val="22"/>
          <w:lang w:val="en-GB"/>
        </w:rPr>
      </w:pPr>
    </w:p>
    <w:p w14:paraId="4276E13F" w14:textId="77777777" w:rsidR="00E956DA" w:rsidRPr="005F3929" w:rsidRDefault="00E956DA" w:rsidP="001766D6">
      <w:pPr>
        <w:spacing w:before="0" w:after="0" w:line="480" w:lineRule="auto"/>
        <w:jc w:val="both"/>
        <w:rPr>
          <w:rFonts w:cs="Times New Roman"/>
          <w:b/>
          <w:bCs/>
          <w:sz w:val="22"/>
          <w:lang w:val="en-GB"/>
        </w:rPr>
      </w:pPr>
      <w:r w:rsidRPr="005F3929">
        <w:rPr>
          <w:rFonts w:cs="Times New Roman"/>
          <w:b/>
          <w:bCs/>
          <w:sz w:val="22"/>
          <w:lang w:val="en-GB"/>
        </w:rPr>
        <w:t>mRNA-Seq library construction and sequencing</w:t>
      </w:r>
    </w:p>
    <w:p w14:paraId="65AC0939" w14:textId="1848DEA2" w:rsidR="00E956DA" w:rsidRDefault="00E956DA" w:rsidP="001766D6">
      <w:pPr>
        <w:spacing w:before="0" w:after="0" w:line="480" w:lineRule="auto"/>
        <w:jc w:val="both"/>
        <w:rPr>
          <w:rFonts w:cs="Times New Roman"/>
          <w:sz w:val="22"/>
          <w:lang w:val="en-GB"/>
        </w:rPr>
      </w:pPr>
      <w:r w:rsidRPr="005F3929">
        <w:rPr>
          <w:rFonts w:cs="Times New Roman"/>
          <w:sz w:val="22"/>
          <w:lang w:val="en-GB"/>
        </w:rPr>
        <w:t xml:space="preserve">Total RNA samples were subjected to indexed cDNA library construction, using the Illumina TruSeq poly(A) + RNA-Seq library construction, according to the manufacturer’s instructions. For sequencing, all samples were pooled in a single pool and sequenced on 3 lanes, yielding 75-bp paired-end reads, using an Illumina HiSeq 4000 platform (an outsourced service at the Oxford Genomics Centre). </w:t>
      </w:r>
    </w:p>
    <w:p w14:paraId="3E919E28" w14:textId="77777777" w:rsidR="001766D6" w:rsidRPr="005F3929" w:rsidRDefault="001766D6" w:rsidP="001766D6">
      <w:pPr>
        <w:spacing w:before="0" w:after="0" w:line="480" w:lineRule="auto"/>
        <w:jc w:val="both"/>
        <w:rPr>
          <w:rFonts w:cs="Times New Roman"/>
          <w:sz w:val="22"/>
          <w:lang w:val="en-GB"/>
        </w:rPr>
      </w:pPr>
    </w:p>
    <w:p w14:paraId="2EE135BA" w14:textId="77777777" w:rsidR="00E956DA" w:rsidRPr="005F3929" w:rsidRDefault="00E956DA" w:rsidP="001766D6">
      <w:pPr>
        <w:spacing w:before="0" w:after="0" w:line="480" w:lineRule="auto"/>
        <w:jc w:val="both"/>
        <w:rPr>
          <w:rFonts w:cs="Times New Roman"/>
          <w:b/>
          <w:bCs/>
          <w:sz w:val="22"/>
          <w:lang w:val="en-GB"/>
        </w:rPr>
      </w:pPr>
      <w:r w:rsidRPr="005F3929">
        <w:rPr>
          <w:rFonts w:cs="Times New Roman"/>
          <w:b/>
          <w:bCs/>
          <w:sz w:val="22"/>
          <w:lang w:val="en-GB"/>
        </w:rPr>
        <w:t>Bioinformatics analysis</w:t>
      </w:r>
    </w:p>
    <w:p w14:paraId="10D6F64B" w14:textId="77777777" w:rsidR="00E956DA" w:rsidRPr="005F3929" w:rsidRDefault="00E956DA" w:rsidP="001766D6">
      <w:pPr>
        <w:spacing w:before="0" w:after="0" w:line="480" w:lineRule="auto"/>
        <w:jc w:val="both"/>
        <w:rPr>
          <w:rFonts w:cs="Times New Roman"/>
          <w:sz w:val="22"/>
          <w:lang w:val="en-GB"/>
        </w:rPr>
      </w:pPr>
      <w:r w:rsidRPr="005F3929">
        <w:rPr>
          <w:rFonts w:cs="Times New Roman"/>
          <w:sz w:val="22"/>
          <w:lang w:val="en-GB"/>
        </w:rPr>
        <w:t>Quality-controlled reads were aligned to the reference genome GRCh37.EBVB95-8wt.ERCC using the HISAT aligner. Alignments were counted for each gene using the featureCounts package</w:t>
      </w:r>
      <w:r w:rsidRPr="005F3929">
        <w:rPr>
          <w:rFonts w:cs="Times New Roman"/>
          <w:sz w:val="22"/>
          <w:vertAlign w:val="superscript"/>
          <w:lang w:val="en-GB"/>
        </w:rPr>
        <w:t>12</w:t>
      </w:r>
      <w:r w:rsidRPr="005F3929">
        <w:rPr>
          <w:rFonts w:cs="Times New Roman"/>
          <w:sz w:val="22"/>
          <w:lang w:val="en-GB"/>
        </w:rPr>
        <w:t>. Aligned reads were further analysed in R using the Bioconductor suite of packages. Filtered trimmed mean of M values (TMM) normalised counts per million (cpm) (EdgeR, filtering out genes less than two gene counts in at least half of the samples) were used for downstream analyses</w:t>
      </w:r>
      <w:r w:rsidRPr="005F3929">
        <w:rPr>
          <w:rFonts w:cs="Times New Roman"/>
          <w:sz w:val="22"/>
          <w:vertAlign w:val="superscript"/>
          <w:lang w:val="en-GB"/>
        </w:rPr>
        <w:t>13</w:t>
      </w:r>
      <w:r w:rsidRPr="005F3929">
        <w:rPr>
          <w:rFonts w:cs="Times New Roman"/>
          <w:sz w:val="22"/>
          <w:lang w:val="en-GB"/>
        </w:rPr>
        <w:t>. Determination of differentially expressed genes (DEG) was performed using EdgeR with a nested paired design</w:t>
      </w:r>
      <w:r w:rsidRPr="005F3929">
        <w:rPr>
          <w:rFonts w:cs="Times New Roman"/>
          <w:sz w:val="22"/>
          <w:vertAlign w:val="superscript"/>
          <w:lang w:val="en-GB"/>
        </w:rPr>
        <w:t>13</w:t>
      </w:r>
      <w:r w:rsidRPr="005F3929">
        <w:rPr>
          <w:rFonts w:cs="Times New Roman"/>
          <w:sz w:val="22"/>
          <w:lang w:val="en-GB"/>
        </w:rPr>
        <w:t>. The expected false discovery rate (FDR) was estimated using the Benjamini-and-Hochberg method. An FDR adjusted p≤0.05 was considered significant.</w:t>
      </w:r>
    </w:p>
    <w:p w14:paraId="21B346EE" w14:textId="77777777" w:rsidR="00E956DA" w:rsidRPr="005F3929" w:rsidRDefault="00E956DA" w:rsidP="001766D6">
      <w:pPr>
        <w:spacing w:before="0" w:after="0" w:line="480" w:lineRule="auto"/>
        <w:jc w:val="both"/>
        <w:rPr>
          <w:rFonts w:cs="Times New Roman"/>
          <w:sz w:val="22"/>
          <w:lang w:val="en-GB"/>
        </w:rPr>
      </w:pPr>
      <w:bookmarkStart w:id="2" w:name="_Hlk65406427"/>
      <w:r w:rsidRPr="005F3929">
        <w:rPr>
          <w:rFonts w:cs="Times New Roman"/>
          <w:sz w:val="22"/>
          <w:lang w:val="en-GB"/>
        </w:rPr>
        <w:t>RNA-seq data were deposited in accordance with MIAME guidelines, in Gene Expression Omnibus (GEO) under accession number GSE160369.</w:t>
      </w:r>
    </w:p>
    <w:bookmarkEnd w:id="2"/>
    <w:p w14:paraId="75B4EE53" w14:textId="77777777" w:rsidR="00E956DA" w:rsidRPr="005F3929" w:rsidRDefault="00E956DA" w:rsidP="005F3929">
      <w:pPr>
        <w:spacing w:before="0" w:after="0" w:line="480" w:lineRule="auto"/>
        <w:rPr>
          <w:rFonts w:cs="Times New Roman"/>
          <w:sz w:val="22"/>
          <w:lang w:val="en-GB"/>
        </w:rPr>
      </w:pPr>
    </w:p>
    <w:p w14:paraId="3927EC80" w14:textId="77777777" w:rsidR="00E956DA" w:rsidRPr="005F3929" w:rsidRDefault="00E956DA" w:rsidP="005F3929">
      <w:pPr>
        <w:spacing w:before="0" w:after="0" w:line="480" w:lineRule="auto"/>
        <w:rPr>
          <w:rFonts w:cs="Times New Roman"/>
          <w:b/>
          <w:bCs/>
          <w:sz w:val="22"/>
          <w:lang w:val="en-GB"/>
        </w:rPr>
      </w:pPr>
      <w:r w:rsidRPr="005F3929">
        <w:rPr>
          <w:rFonts w:cs="Times New Roman"/>
          <w:b/>
          <w:bCs/>
          <w:sz w:val="22"/>
          <w:lang w:val="en-GB"/>
        </w:rPr>
        <w:t xml:space="preserve">Quantitative Reverse Transcription-PCR (qRT-PCR) </w:t>
      </w:r>
    </w:p>
    <w:p w14:paraId="4BA8B833" w14:textId="77777777" w:rsidR="00E956DA" w:rsidRPr="005F3929" w:rsidRDefault="00E956DA" w:rsidP="001766D6">
      <w:pPr>
        <w:spacing w:before="0" w:after="0" w:line="480" w:lineRule="auto"/>
        <w:jc w:val="both"/>
        <w:rPr>
          <w:rFonts w:cs="Times New Roman"/>
          <w:sz w:val="22"/>
          <w:lang w:val="en-GB"/>
        </w:rPr>
      </w:pPr>
      <w:r w:rsidRPr="005F3929">
        <w:rPr>
          <w:rFonts w:cs="Times New Roman"/>
          <w:sz w:val="22"/>
          <w:lang w:val="en-GB"/>
        </w:rPr>
        <w:t xml:space="preserve">The expression of chosen genes was validated with quantitative PCR using the TaqMan gene expression assays for target genes: </w:t>
      </w:r>
      <w:r w:rsidRPr="005F3929">
        <w:rPr>
          <w:rFonts w:cs="Times New Roman"/>
          <w:i/>
          <w:sz w:val="22"/>
          <w:lang w:val="en-GB"/>
        </w:rPr>
        <w:t>YWHAZ</w:t>
      </w:r>
      <w:r w:rsidRPr="005F3929">
        <w:rPr>
          <w:rFonts w:cs="Times New Roman"/>
          <w:sz w:val="22"/>
          <w:lang w:val="en-GB"/>
        </w:rPr>
        <w:t xml:space="preserve"> (Hs01122445_g1), </w:t>
      </w:r>
      <w:r w:rsidRPr="005F3929">
        <w:rPr>
          <w:rFonts w:cs="Times New Roman"/>
          <w:i/>
          <w:sz w:val="22"/>
          <w:lang w:val="en-GB"/>
        </w:rPr>
        <w:t>STAC</w:t>
      </w:r>
      <w:r w:rsidRPr="005F3929">
        <w:rPr>
          <w:rFonts w:cs="Times New Roman"/>
          <w:sz w:val="22"/>
          <w:lang w:val="en-GB"/>
        </w:rPr>
        <w:t xml:space="preserve"> (Hs00182385_m1), </w:t>
      </w:r>
      <w:r w:rsidRPr="005F3929">
        <w:rPr>
          <w:rFonts w:cs="Times New Roman"/>
          <w:i/>
          <w:sz w:val="22"/>
          <w:lang w:val="en-GB"/>
        </w:rPr>
        <w:t>CISH</w:t>
      </w:r>
      <w:r w:rsidRPr="005F3929">
        <w:rPr>
          <w:rFonts w:cs="Times New Roman"/>
          <w:sz w:val="22"/>
          <w:lang w:val="en-GB"/>
        </w:rPr>
        <w:t xml:space="preserve"> (Hs00367082_g1), </w:t>
      </w:r>
      <w:r w:rsidRPr="005F3929">
        <w:rPr>
          <w:rFonts w:cs="Times New Roman"/>
          <w:i/>
          <w:sz w:val="22"/>
          <w:lang w:val="en-GB"/>
        </w:rPr>
        <w:t>FN1</w:t>
      </w:r>
      <w:r w:rsidRPr="005F3929">
        <w:rPr>
          <w:rFonts w:cs="Times New Roman"/>
          <w:sz w:val="22"/>
          <w:lang w:val="en-GB"/>
        </w:rPr>
        <w:t xml:space="preserve"> (Hs01549976_m1) and </w:t>
      </w:r>
      <w:r w:rsidRPr="005F3929">
        <w:rPr>
          <w:rFonts w:cs="Times New Roman"/>
          <w:i/>
          <w:sz w:val="22"/>
          <w:lang w:val="en-GB"/>
        </w:rPr>
        <w:t>CD4</w:t>
      </w:r>
      <w:r w:rsidRPr="005F3929">
        <w:rPr>
          <w:rFonts w:cs="Times New Roman"/>
          <w:sz w:val="22"/>
          <w:lang w:val="en-GB"/>
        </w:rPr>
        <w:t xml:space="preserve"> (Hs01058407_m1) (Applied Biosystems, Life Technologies, UK) in PBMCs isolated from whole blood. RNA extraction (RNeasy Plus Mini Kit, Qiagen) and cDNA reverse transcription, </w:t>
      </w:r>
      <w:r w:rsidRPr="005F3929">
        <w:rPr>
          <w:rFonts w:cs="Times New Roman"/>
          <w:sz w:val="22"/>
          <w:lang w:val="en-GB"/>
        </w:rPr>
        <w:lastRenderedPageBreak/>
        <w:t>including RT-negative control, (High-Capacity cDNA Reverse Transcription Kit, Applied Biosystems; ThermoFisher Scientific UK) were carried out according to the manufacturer’s protocol. qPCR was performed in 384-well plate assay, using Applied Biosystems 7900HT Fast Real-Time PCR System. Gene expression levels were normalised to housekeeping gene expression (</w:t>
      </w:r>
      <w:r w:rsidRPr="005F3929">
        <w:rPr>
          <w:rFonts w:cs="Times New Roman"/>
          <w:i/>
          <w:sz w:val="22"/>
          <w:lang w:val="en-GB"/>
        </w:rPr>
        <w:t>YWHAZ</w:t>
      </w:r>
      <w:r w:rsidRPr="005F3929">
        <w:rPr>
          <w:rFonts w:cs="Times New Roman"/>
          <w:sz w:val="22"/>
          <w:lang w:val="en-GB"/>
        </w:rPr>
        <w:t>).</w:t>
      </w:r>
    </w:p>
    <w:p w14:paraId="22AF643B" w14:textId="77777777" w:rsidR="00E956DA" w:rsidRPr="005F3929" w:rsidRDefault="00E956DA" w:rsidP="005F3929">
      <w:pPr>
        <w:spacing w:before="0" w:after="0" w:line="480" w:lineRule="auto"/>
        <w:rPr>
          <w:rFonts w:cs="Times New Roman"/>
          <w:sz w:val="22"/>
          <w:lang w:val="en-GB"/>
        </w:rPr>
      </w:pPr>
    </w:p>
    <w:p w14:paraId="3DA4EDE5" w14:textId="77777777" w:rsidR="00E956DA" w:rsidRPr="005F3929" w:rsidRDefault="00E956DA" w:rsidP="005F3929">
      <w:pPr>
        <w:spacing w:before="0" w:after="0" w:line="480" w:lineRule="auto"/>
        <w:rPr>
          <w:rFonts w:cs="Times New Roman"/>
          <w:b/>
          <w:bCs/>
          <w:sz w:val="22"/>
          <w:lang w:val="en-GB"/>
        </w:rPr>
      </w:pPr>
      <w:r w:rsidRPr="005F3929">
        <w:rPr>
          <w:rFonts w:cs="Times New Roman"/>
          <w:b/>
          <w:bCs/>
          <w:sz w:val="22"/>
          <w:lang w:val="en-GB"/>
        </w:rPr>
        <w:t>TaqMan array card</w:t>
      </w:r>
    </w:p>
    <w:p w14:paraId="7B474873" w14:textId="74514959" w:rsidR="00E956DA" w:rsidRPr="005F3929" w:rsidRDefault="00E956DA" w:rsidP="001766D6">
      <w:pPr>
        <w:spacing w:before="0" w:after="0" w:line="480" w:lineRule="auto"/>
        <w:jc w:val="both"/>
        <w:rPr>
          <w:rFonts w:cs="Times New Roman"/>
          <w:sz w:val="22"/>
          <w:lang w:val="en-GB"/>
        </w:rPr>
      </w:pPr>
      <w:r w:rsidRPr="005F3929">
        <w:rPr>
          <w:rFonts w:cs="Times New Roman"/>
          <w:sz w:val="22"/>
          <w:lang w:val="en-GB"/>
        </w:rPr>
        <w:t xml:space="preserve">Customised RT-PCR cards from Applied Biosystems (http://www.appliedbiosystems.com) were used in the quantitative analysis of the 22 selected candidate genes. Eight samples with two technical duplicates were tested per card. The 384-well microfluidic card was preloaded with our chosen genes. Each cDNA sample was added to an equal volume of mastermix (TaqMan, Applied Biosystems) and then loaded onto the array card. PCR amplification was performed using a 7900HT Fast Real-time PCR System (Applied Biosystems) following the protocol described by the manufacturer. Relative expression of each gene was normalized to </w:t>
      </w:r>
      <w:r w:rsidRPr="005F3929">
        <w:rPr>
          <w:rFonts w:cs="Times New Roman"/>
          <w:i/>
          <w:sz w:val="22"/>
          <w:lang w:val="en-GB"/>
        </w:rPr>
        <w:t>YWHAZ</w:t>
      </w:r>
      <w:r w:rsidRPr="005F3929">
        <w:rPr>
          <w:rFonts w:cs="Times New Roman"/>
          <w:sz w:val="22"/>
          <w:lang w:val="en-GB"/>
        </w:rPr>
        <w:t xml:space="preserve"> as the sole housekeeping gene, and log2-transformed for analysis (RQ = </w:t>
      </w:r>
      <w:bookmarkStart w:id="3" w:name="_Hlk46406071"/>
      <w:r w:rsidRPr="005F3929">
        <w:rPr>
          <w:rFonts w:cs="Times New Roman"/>
          <w:sz w:val="22"/>
          <w:lang w:val="en-GB"/>
        </w:rPr>
        <w:t>2</w:t>
      </w:r>
      <w:r w:rsidRPr="005F3929">
        <w:rPr>
          <w:rFonts w:cs="Times New Roman"/>
          <w:sz w:val="22"/>
          <w:vertAlign w:val="superscript"/>
          <w:lang w:val="en-GB"/>
        </w:rPr>
        <w:t>-ΔΔCt</w:t>
      </w:r>
      <w:bookmarkEnd w:id="3"/>
      <w:r w:rsidRPr="005F3929">
        <w:rPr>
          <w:rFonts w:cs="Times New Roman"/>
          <w:sz w:val="22"/>
          <w:lang w:val="en-GB"/>
        </w:rPr>
        <w:t>). All data were generated in duplicate for each gene expression per sample.</w:t>
      </w:r>
    </w:p>
    <w:p w14:paraId="78B350F2" w14:textId="77777777" w:rsidR="00E956DA" w:rsidRPr="005F3929" w:rsidRDefault="00E956DA" w:rsidP="005F3929">
      <w:pPr>
        <w:spacing w:before="0" w:after="0" w:line="480" w:lineRule="auto"/>
        <w:rPr>
          <w:rFonts w:cs="Times New Roman"/>
          <w:sz w:val="22"/>
          <w:lang w:val="en-GB"/>
        </w:rPr>
      </w:pPr>
    </w:p>
    <w:p w14:paraId="123546C8" w14:textId="77777777" w:rsidR="00E956DA" w:rsidRPr="005F3929" w:rsidRDefault="00E956DA" w:rsidP="005F3929">
      <w:pPr>
        <w:spacing w:before="0" w:after="0" w:line="480" w:lineRule="auto"/>
        <w:rPr>
          <w:rFonts w:cs="Times New Roman"/>
          <w:b/>
          <w:bCs/>
          <w:sz w:val="22"/>
          <w:lang w:val="en-GB"/>
        </w:rPr>
      </w:pPr>
      <w:r w:rsidRPr="005F3929">
        <w:rPr>
          <w:rFonts w:cs="Times New Roman"/>
          <w:b/>
          <w:bCs/>
          <w:sz w:val="22"/>
          <w:lang w:val="en-GB"/>
        </w:rPr>
        <w:t>Evaluation of diagnostic performances</w:t>
      </w:r>
    </w:p>
    <w:p w14:paraId="20E92BAB" w14:textId="77777777" w:rsidR="00E956DA" w:rsidRPr="005F3929" w:rsidRDefault="00E956DA" w:rsidP="001766D6">
      <w:pPr>
        <w:spacing w:before="0" w:after="0" w:line="480" w:lineRule="auto"/>
        <w:jc w:val="both"/>
        <w:rPr>
          <w:rFonts w:cs="Times New Roman"/>
          <w:sz w:val="22"/>
          <w:lang w:val="en-GB"/>
        </w:rPr>
      </w:pPr>
      <w:r w:rsidRPr="005F3929">
        <w:rPr>
          <w:rFonts w:cs="Times New Roman"/>
          <w:sz w:val="22"/>
          <w:lang w:val="en-GB"/>
        </w:rPr>
        <w:t>Ranking of detected genes for selection of candidate biomarker genes was done using absolute log fold change (FC) cut off (logFC</w:t>
      </w:r>
      <w:r w:rsidRPr="005F3929">
        <w:rPr>
          <w:rFonts w:cs="Times New Roman"/>
          <w:sz w:val="22"/>
          <w:lang w:val="en-GB"/>
        </w:rPr>
        <w:sym w:font="Symbol" w:char="F0B3"/>
      </w:r>
      <w:r w:rsidRPr="005F3929">
        <w:rPr>
          <w:rFonts w:cs="Times New Roman"/>
          <w:sz w:val="22"/>
          <w:lang w:val="en-GB"/>
        </w:rPr>
        <w:t>|1.5|) calculated using generalised linear model in EdgeR, combined with minimum expression levels for all donors (minimum cpm</w:t>
      </w:r>
      <w:r w:rsidRPr="005F3929">
        <w:rPr>
          <w:rFonts w:cs="Times New Roman"/>
          <w:sz w:val="22"/>
          <w:lang w:val="en-GB"/>
        </w:rPr>
        <w:sym w:font="Symbol" w:char="F0B3"/>
      </w:r>
      <w:r w:rsidRPr="005F3929">
        <w:rPr>
          <w:rFonts w:cs="Times New Roman"/>
          <w:sz w:val="22"/>
          <w:lang w:val="en-GB"/>
        </w:rPr>
        <w:t>4, maximum cpm</w:t>
      </w:r>
      <w:r w:rsidRPr="005F3929">
        <w:rPr>
          <w:rFonts w:cs="Times New Roman"/>
          <w:sz w:val="22"/>
          <w:lang w:val="en-GB"/>
        </w:rPr>
        <w:sym w:font="Symbol" w:char="F0B3"/>
      </w:r>
      <w:r w:rsidRPr="005F3929">
        <w:rPr>
          <w:rFonts w:cs="Times New Roman"/>
          <w:sz w:val="22"/>
          <w:lang w:val="en-GB"/>
        </w:rPr>
        <w:t>100). Random forest analysis was performed using package Ranger in R (importance measure = impurity, number of trees = 500, alpha = 0.9). Combinatorial panel analysis with top 10 candidate genes identified on random forest algorithm were performed using CombiRoc webtool</w:t>
      </w:r>
      <w:r w:rsidRPr="005F3929">
        <w:rPr>
          <w:rFonts w:cs="Times New Roman"/>
          <w:sz w:val="22"/>
          <w:vertAlign w:val="superscript"/>
          <w:lang w:val="en-GB"/>
        </w:rPr>
        <w:t>14</w:t>
      </w:r>
      <w:r w:rsidRPr="005F3929">
        <w:rPr>
          <w:rFonts w:cs="Times New Roman"/>
          <w:sz w:val="22"/>
          <w:lang w:val="en-GB"/>
        </w:rPr>
        <w:t>. Receiver-operating characteristic (ROC) curves were calculated in order to assess the diagnostic power of the gene combination by the area under the curve (AUC) of the ROC curve. Potential biomarkers were considered valuable if sensitivity and specificity were &gt;85%, as well as AUC ≥0.8.</w:t>
      </w:r>
    </w:p>
    <w:p w14:paraId="2C3CFDC3" w14:textId="77777777" w:rsidR="00E956DA" w:rsidRPr="005F3929" w:rsidRDefault="00E956DA" w:rsidP="005F3929">
      <w:pPr>
        <w:spacing w:before="0" w:after="0" w:line="480" w:lineRule="auto"/>
        <w:rPr>
          <w:rFonts w:cs="Times New Roman"/>
          <w:b/>
          <w:sz w:val="22"/>
          <w:lang w:val="en-GB"/>
        </w:rPr>
      </w:pPr>
    </w:p>
    <w:p w14:paraId="3ADFF5FC" w14:textId="77777777" w:rsidR="00E956DA" w:rsidRPr="005F3929" w:rsidRDefault="00E956DA" w:rsidP="005F3929">
      <w:pPr>
        <w:spacing w:before="0" w:after="0" w:line="480" w:lineRule="auto"/>
        <w:rPr>
          <w:rFonts w:cs="Times New Roman"/>
          <w:b/>
          <w:sz w:val="22"/>
          <w:lang w:val="en-GB"/>
        </w:rPr>
      </w:pPr>
      <w:r w:rsidRPr="005F3929">
        <w:rPr>
          <w:rFonts w:cs="Times New Roman"/>
          <w:b/>
          <w:sz w:val="22"/>
          <w:lang w:val="en-GB"/>
        </w:rPr>
        <w:t>Comparison with systemic inflammatory conditions</w:t>
      </w:r>
    </w:p>
    <w:p w14:paraId="3CEC9DB6" w14:textId="0CCD8C04" w:rsidR="00E956DA" w:rsidRPr="005F3929" w:rsidRDefault="00E956DA" w:rsidP="001766D6">
      <w:pPr>
        <w:spacing w:before="0" w:after="0" w:line="480" w:lineRule="auto"/>
        <w:jc w:val="both"/>
        <w:rPr>
          <w:rFonts w:cs="Times New Roman"/>
          <w:sz w:val="22"/>
          <w:lang w:val="en-GB"/>
        </w:rPr>
      </w:pPr>
      <w:r w:rsidRPr="005F3929">
        <w:rPr>
          <w:rFonts w:cs="Times New Roman"/>
          <w:sz w:val="22"/>
          <w:lang w:val="en-GB"/>
        </w:rPr>
        <w:lastRenderedPageBreak/>
        <w:t>Datasets for 4 systemic conditions: influenza, sepsis, systemic lupus erythematosus and dermatomyositis were downloaded from publicly available genomic data repositories (GSE114588, GSE60424, GSE112087, GSE125977). Transcriptome analysis was from PBMC in the influenza and sepsis datasets whilst sequencing was performed on whole blood in the other diseases. FASTQ files for GSE114588 and GSE60424 were aligned using Kallisto</w:t>
      </w:r>
      <w:r w:rsidRPr="005F3929">
        <w:rPr>
          <w:rFonts w:cs="Times New Roman"/>
          <w:sz w:val="22"/>
          <w:vertAlign w:val="superscript"/>
          <w:lang w:val="en-GB"/>
        </w:rPr>
        <w:t>15</w:t>
      </w:r>
      <w:r w:rsidRPr="005F3929">
        <w:rPr>
          <w:rFonts w:cs="Times New Roman"/>
          <w:sz w:val="22"/>
          <w:lang w:val="en-GB"/>
        </w:rPr>
        <w:t xml:space="preserve"> against the GRCh38 human reference genome followed by differential analysis using Sleuth</w:t>
      </w:r>
      <w:r w:rsidRPr="005F3929">
        <w:rPr>
          <w:rFonts w:cs="Times New Roman"/>
          <w:sz w:val="22"/>
          <w:vertAlign w:val="superscript"/>
          <w:lang w:val="en-GB"/>
        </w:rPr>
        <w:t>16</w:t>
      </w:r>
      <w:r w:rsidR="005A6218" w:rsidRPr="005F3929">
        <w:rPr>
          <w:rFonts w:cs="Times New Roman"/>
          <w:sz w:val="22"/>
          <w:lang w:val="en-GB"/>
        </w:rPr>
        <w:t xml:space="preserve">. </w:t>
      </w:r>
      <w:r w:rsidRPr="005F3929">
        <w:rPr>
          <w:rFonts w:cs="Times New Roman"/>
          <w:sz w:val="22"/>
          <w:lang w:val="en-GB"/>
        </w:rPr>
        <w:t>Disease describing gene expression signatures were generated by comparing TMM normalised gene expression levels between experimental and control group using EdgeR package</w:t>
      </w:r>
      <w:r w:rsidRPr="005F3929">
        <w:rPr>
          <w:rFonts w:cs="Times New Roman"/>
          <w:sz w:val="22"/>
          <w:vertAlign w:val="superscript"/>
          <w:lang w:val="en-GB"/>
        </w:rPr>
        <w:t>13</w:t>
      </w:r>
      <w:r w:rsidRPr="005F3929">
        <w:rPr>
          <w:rFonts w:cs="Times New Roman"/>
          <w:sz w:val="22"/>
          <w:lang w:val="en-GB"/>
        </w:rPr>
        <w:t xml:space="preserve"> (FC </w:t>
      </w:r>
      <w:r w:rsidRPr="005F3929">
        <w:rPr>
          <w:rFonts w:cs="Times New Roman"/>
          <w:sz w:val="22"/>
          <w:lang w:val="en-GB"/>
        </w:rPr>
        <w:sym w:font="Symbol" w:char="F0B3"/>
      </w:r>
      <w:r w:rsidRPr="005F3929">
        <w:rPr>
          <w:rFonts w:cs="Times New Roman"/>
          <w:sz w:val="22"/>
          <w:lang w:val="en-GB"/>
        </w:rPr>
        <w:t>log2 and adjusted p value &lt;0.05). Raw RNA-seq data for GSE112087 was quantified to gene-level counts using the ARCHS4 pipeline</w:t>
      </w:r>
      <w:r w:rsidRPr="005F3929">
        <w:rPr>
          <w:rFonts w:cs="Times New Roman"/>
          <w:sz w:val="22"/>
          <w:vertAlign w:val="superscript"/>
          <w:lang w:val="en-GB"/>
        </w:rPr>
        <w:t>17</w:t>
      </w:r>
      <w:r w:rsidRPr="005F3929">
        <w:rPr>
          <w:rFonts w:cs="Times New Roman"/>
          <w:sz w:val="22"/>
          <w:lang w:val="en-GB"/>
        </w:rPr>
        <w:t xml:space="preserve"> with similar thresholds as the other datasets. Published values (FC </w:t>
      </w:r>
      <w:r w:rsidRPr="005F3929">
        <w:rPr>
          <w:rFonts w:cs="Times New Roman"/>
          <w:sz w:val="22"/>
          <w:lang w:val="en-GB"/>
        </w:rPr>
        <w:sym w:font="Symbol" w:char="F0B3"/>
      </w:r>
      <w:r w:rsidRPr="005F3929">
        <w:rPr>
          <w:rFonts w:cs="Times New Roman"/>
          <w:sz w:val="22"/>
          <w:lang w:val="en-GB"/>
        </w:rPr>
        <w:t>log2) relating to dermatomyositis subjects from GSE125977 were extracted for comparative analysis. Enrichment analyses performed to published gene sets associated with these four inflammatory conditions (influenza 2, sepsis 5, systemic lupus erythematosus 5, dermatomyositis 1) did not show significant overlap (enrichment scores: 0.27-0.55, FDR&lt;0.05).</w:t>
      </w:r>
    </w:p>
    <w:p w14:paraId="5C6B2ECD" w14:textId="77777777" w:rsidR="00E956DA" w:rsidRPr="005F3929" w:rsidRDefault="00E956DA" w:rsidP="005F3929">
      <w:pPr>
        <w:spacing w:before="0" w:after="0" w:line="480" w:lineRule="auto"/>
        <w:rPr>
          <w:rFonts w:cs="Times New Roman"/>
          <w:sz w:val="22"/>
          <w:lang w:val="en-GB"/>
        </w:rPr>
      </w:pPr>
    </w:p>
    <w:p w14:paraId="16EF4697" w14:textId="77777777" w:rsidR="00E956DA" w:rsidRPr="005F3929" w:rsidRDefault="00E956DA" w:rsidP="005F3929">
      <w:pPr>
        <w:spacing w:before="0" w:after="0" w:line="480" w:lineRule="auto"/>
        <w:rPr>
          <w:rFonts w:cs="Times New Roman"/>
          <w:b/>
          <w:bCs/>
          <w:sz w:val="22"/>
          <w:lang w:val="en-GB"/>
        </w:rPr>
      </w:pPr>
      <w:r w:rsidRPr="005F3929">
        <w:rPr>
          <w:rFonts w:cs="Times New Roman"/>
          <w:b/>
          <w:bCs/>
          <w:sz w:val="22"/>
          <w:lang w:val="en-GB"/>
        </w:rPr>
        <w:t xml:space="preserve">Functional enrichment analysis </w:t>
      </w:r>
    </w:p>
    <w:p w14:paraId="7473D9B5" w14:textId="77777777" w:rsidR="00E956DA" w:rsidRPr="005F3929" w:rsidRDefault="00E956DA" w:rsidP="001766D6">
      <w:pPr>
        <w:spacing w:before="0" w:after="0" w:line="480" w:lineRule="auto"/>
        <w:jc w:val="both"/>
        <w:rPr>
          <w:rFonts w:cs="Times New Roman"/>
          <w:bCs/>
          <w:sz w:val="22"/>
          <w:lang w:val="en-GB"/>
        </w:rPr>
      </w:pPr>
      <w:r w:rsidRPr="005F3929">
        <w:rPr>
          <w:rFonts w:cs="Times New Roman"/>
          <w:bCs/>
          <w:sz w:val="22"/>
          <w:lang w:val="en-GB"/>
        </w:rPr>
        <w:t>Gene set enrichment analysis (GSEA)</w:t>
      </w:r>
      <w:r w:rsidRPr="005F3929">
        <w:rPr>
          <w:rFonts w:cs="Times New Roman"/>
          <w:bCs/>
          <w:sz w:val="22"/>
          <w:vertAlign w:val="superscript"/>
          <w:lang w:val="en-GB"/>
        </w:rPr>
        <w:t>18, 19</w:t>
      </w:r>
      <w:r w:rsidRPr="005F3929">
        <w:rPr>
          <w:rFonts w:cs="Times New Roman"/>
          <w:bCs/>
          <w:sz w:val="22"/>
          <w:lang w:val="en-GB"/>
        </w:rPr>
        <w:t xml:space="preserve"> was performed for complete DRESS dataset (11747 transcripts, average were calculated for transcripts associated with the same genes (3 genes)) using curated gene signatures of 4 inflammatory diseases above downloaded from MSigDB (Molecular Signatures Database v7.1) (Supplementary Material Table S5). Largest collections relating to dermatomyositis from DisGeNET platform (v7.0)</w:t>
      </w:r>
      <w:r w:rsidRPr="005F3929">
        <w:rPr>
          <w:rFonts w:cs="Times New Roman"/>
          <w:bCs/>
          <w:sz w:val="22"/>
          <w:vertAlign w:val="superscript"/>
          <w:lang w:val="en-GB"/>
        </w:rPr>
        <w:t>20, 21</w:t>
      </w:r>
      <w:r w:rsidRPr="005F3929">
        <w:rPr>
          <w:rFonts w:cs="Times New Roman"/>
          <w:bCs/>
          <w:sz w:val="22"/>
          <w:lang w:val="en-GB"/>
        </w:rPr>
        <w:t xml:space="preserve"> were used in view of no available curated gene sets for this disease on other MSigDB platform</w:t>
      </w:r>
      <w:r w:rsidRPr="005F3929">
        <w:rPr>
          <w:rFonts w:cs="Times New Roman"/>
          <w:bCs/>
          <w:sz w:val="22"/>
          <w:vertAlign w:val="superscript"/>
          <w:lang w:val="en-GB"/>
        </w:rPr>
        <w:t>18, 22</w:t>
      </w:r>
      <w:r w:rsidRPr="005F3929">
        <w:rPr>
          <w:rFonts w:cs="Times New Roman"/>
          <w:bCs/>
          <w:sz w:val="22"/>
          <w:lang w:val="en-GB"/>
        </w:rPr>
        <w:t xml:space="preserve">. Similarities were examined at cut-off of FDR-adjusted p-value &lt;0.05 and Enrichment Scores.  </w:t>
      </w:r>
    </w:p>
    <w:p w14:paraId="1B73E034" w14:textId="77777777" w:rsidR="00E956DA" w:rsidRPr="005F3929" w:rsidRDefault="00E956DA" w:rsidP="001766D6">
      <w:pPr>
        <w:spacing w:before="0" w:after="0" w:line="480" w:lineRule="auto"/>
        <w:jc w:val="both"/>
        <w:rPr>
          <w:rFonts w:cs="Times New Roman"/>
          <w:bCs/>
          <w:sz w:val="22"/>
          <w:lang w:val="en-GB"/>
        </w:rPr>
      </w:pPr>
    </w:p>
    <w:p w14:paraId="476CF0A6" w14:textId="77777777" w:rsidR="00E956DA" w:rsidRPr="005F3929" w:rsidRDefault="00E956DA" w:rsidP="005F3929">
      <w:pPr>
        <w:spacing w:before="0" w:after="0" w:line="480" w:lineRule="auto"/>
        <w:rPr>
          <w:rFonts w:cs="Times New Roman"/>
          <w:b/>
          <w:bCs/>
          <w:sz w:val="22"/>
          <w:lang w:val="en-GB"/>
        </w:rPr>
      </w:pPr>
      <w:r w:rsidRPr="005F3929">
        <w:rPr>
          <w:rFonts w:cs="Times New Roman"/>
          <w:b/>
          <w:bCs/>
          <w:sz w:val="22"/>
          <w:lang w:val="en-GB"/>
        </w:rPr>
        <w:t>Scoring classification</w:t>
      </w:r>
    </w:p>
    <w:p w14:paraId="3958EE44" w14:textId="6C7F7EFA" w:rsidR="00E956DA" w:rsidRPr="005F3929" w:rsidRDefault="00E956DA" w:rsidP="001766D6">
      <w:pPr>
        <w:spacing w:before="0" w:after="0" w:line="480" w:lineRule="auto"/>
        <w:jc w:val="both"/>
        <w:rPr>
          <w:rFonts w:cs="Times New Roman"/>
          <w:bCs/>
          <w:sz w:val="22"/>
          <w:lang w:val="en-GB"/>
        </w:rPr>
      </w:pPr>
      <w:r w:rsidRPr="005F3929">
        <w:rPr>
          <w:rFonts w:cs="Times New Roman"/>
          <w:bCs/>
          <w:sz w:val="22"/>
          <w:lang w:val="en-GB"/>
        </w:rPr>
        <w:t xml:space="preserve">Mean values for each biomarker gene was calculated from RT-qPCR data from 6 DRESS subjects tested using the array card and compared against logFC RNAseq data to determine up- and down-regulated genes in the </w:t>
      </w:r>
      <w:r w:rsidR="00AB2BC0">
        <w:rPr>
          <w:rFonts w:cs="Times New Roman"/>
          <w:bCs/>
          <w:sz w:val="22"/>
          <w:lang w:val="en-GB"/>
        </w:rPr>
        <w:t>identified</w:t>
      </w:r>
      <w:r w:rsidRPr="005F3929">
        <w:rPr>
          <w:rFonts w:cs="Times New Roman"/>
          <w:bCs/>
          <w:sz w:val="22"/>
          <w:lang w:val="en-GB"/>
        </w:rPr>
        <w:t xml:space="preserve"> panel. For every transcript expression which matched this expected change, 1 point was added whilst 1 point was subtracted if direction of change was opposite to that of the identified signature. Log</w:t>
      </w:r>
      <w:r w:rsidRPr="005F3929">
        <w:rPr>
          <w:rFonts w:cs="Times New Roman"/>
          <w:bCs/>
          <w:sz w:val="22"/>
          <w:vertAlign w:val="subscript"/>
          <w:lang w:val="en-GB"/>
        </w:rPr>
        <w:t>2</w:t>
      </w:r>
      <w:r w:rsidRPr="005F3929">
        <w:rPr>
          <w:rFonts w:cs="Times New Roman"/>
          <w:bCs/>
          <w:sz w:val="22"/>
          <w:lang w:val="en-GB"/>
        </w:rPr>
        <w:t xml:space="preserve"> </w:t>
      </w:r>
      <w:r w:rsidRPr="005F3929">
        <w:rPr>
          <w:rFonts w:cs="Times New Roman"/>
          <w:sz w:val="22"/>
          <w:lang w:val="en-GB"/>
        </w:rPr>
        <w:t> 2</w:t>
      </w:r>
      <w:r w:rsidRPr="005F3929">
        <w:rPr>
          <w:rFonts w:cs="Times New Roman"/>
          <w:sz w:val="22"/>
          <w:vertAlign w:val="superscript"/>
          <w:lang w:val="en-GB"/>
        </w:rPr>
        <w:t>-ΔΔCt</w:t>
      </w:r>
      <w:r w:rsidRPr="005F3929">
        <w:rPr>
          <w:rFonts w:cs="Times New Roman"/>
          <w:bCs/>
          <w:sz w:val="22"/>
          <w:lang w:val="en-GB"/>
        </w:rPr>
        <w:t xml:space="preserve"> values </w:t>
      </w:r>
      <w:r w:rsidRPr="005F3929">
        <w:rPr>
          <w:rFonts w:cs="Times New Roman"/>
          <w:bCs/>
          <w:sz w:val="22"/>
          <w:lang w:val="en-GB"/>
        </w:rPr>
        <w:lastRenderedPageBreak/>
        <w:t xml:space="preserve">for each subject (6 DRESS, 7 tolerant controls) were used in this scoring. No points were added or subtracted if values fell between -0.25 and 0.25. </w:t>
      </w:r>
    </w:p>
    <w:p w14:paraId="23B97801" w14:textId="77777777" w:rsidR="00E956DA" w:rsidRPr="005F3929" w:rsidRDefault="00E956DA" w:rsidP="005F3929">
      <w:pPr>
        <w:spacing w:before="0" w:after="0" w:line="480" w:lineRule="auto"/>
        <w:rPr>
          <w:rFonts w:cs="Times New Roman"/>
          <w:bCs/>
          <w:sz w:val="22"/>
          <w:lang w:val="en-GB"/>
        </w:rPr>
      </w:pPr>
    </w:p>
    <w:p w14:paraId="1D3D74EA" w14:textId="77777777" w:rsidR="00E956DA" w:rsidRPr="005F3929" w:rsidRDefault="00E956DA" w:rsidP="005F3929">
      <w:pPr>
        <w:spacing w:before="0" w:after="0" w:line="480" w:lineRule="auto"/>
        <w:rPr>
          <w:rFonts w:cs="Times New Roman"/>
          <w:b/>
          <w:bCs/>
          <w:sz w:val="22"/>
          <w:lang w:val="en-GB"/>
        </w:rPr>
      </w:pPr>
      <w:r w:rsidRPr="005F3929">
        <w:rPr>
          <w:rFonts w:cs="Times New Roman"/>
          <w:b/>
          <w:bCs/>
          <w:sz w:val="22"/>
          <w:lang w:val="en-GB"/>
        </w:rPr>
        <w:t>Statistics</w:t>
      </w:r>
    </w:p>
    <w:p w14:paraId="59BAF179" w14:textId="77777777" w:rsidR="00E956DA" w:rsidRPr="005F3929" w:rsidRDefault="00E956DA" w:rsidP="001766D6">
      <w:pPr>
        <w:spacing w:before="0" w:after="0" w:line="480" w:lineRule="auto"/>
        <w:jc w:val="both"/>
        <w:rPr>
          <w:rFonts w:cs="Times New Roman"/>
          <w:sz w:val="22"/>
          <w:lang w:val="en-GB"/>
        </w:rPr>
      </w:pPr>
      <w:r w:rsidRPr="005F3929">
        <w:rPr>
          <w:rFonts w:cs="Times New Roman"/>
          <w:sz w:val="22"/>
          <w:lang w:val="en-GB"/>
        </w:rPr>
        <w:t>Statistical analyses were performed using Prism 8.1 (GraphPad Software) and methods embedded in bioinformatics pipelines (Generalised Linear Model, EdgeR, Benjamini-and-Hochberg FDR-corrected p-value test). Mann-Whitney U test was used for comparison between non-matched non-parametric samples and Fisher’s exact test for contingency table analysis. Correlations between RNA-seq and qPCR results were performed using Pearson test and linear regression analysis. Data were considered significant at p&lt;0.05.</w:t>
      </w:r>
    </w:p>
    <w:p w14:paraId="2E5B23C3" w14:textId="77777777" w:rsidR="001766D6" w:rsidRDefault="001766D6">
      <w:pPr>
        <w:spacing w:before="0" w:after="160" w:line="259" w:lineRule="auto"/>
        <w:rPr>
          <w:rFonts w:cs="Times New Roman"/>
          <w:b/>
          <w:bCs/>
          <w:sz w:val="22"/>
          <w:lang w:val="en-GB"/>
        </w:rPr>
      </w:pPr>
      <w:r>
        <w:rPr>
          <w:rFonts w:cs="Times New Roman"/>
          <w:b/>
          <w:bCs/>
          <w:sz w:val="22"/>
          <w:lang w:val="en-GB"/>
        </w:rPr>
        <w:br w:type="page"/>
      </w:r>
    </w:p>
    <w:p w14:paraId="58BE451D" w14:textId="6BE43F3E" w:rsidR="00E956DA" w:rsidRPr="005F3929" w:rsidRDefault="00E956DA" w:rsidP="005F3929">
      <w:pPr>
        <w:spacing w:before="0" w:after="0" w:line="480" w:lineRule="auto"/>
        <w:rPr>
          <w:rFonts w:cs="Times New Roman"/>
          <w:b/>
          <w:bCs/>
          <w:sz w:val="22"/>
          <w:lang w:val="en-GB"/>
        </w:rPr>
      </w:pPr>
      <w:r w:rsidRPr="005F3929">
        <w:rPr>
          <w:rFonts w:cs="Times New Roman"/>
          <w:b/>
          <w:bCs/>
          <w:sz w:val="22"/>
          <w:lang w:val="en-GB"/>
        </w:rPr>
        <w:lastRenderedPageBreak/>
        <w:t xml:space="preserve">Results </w:t>
      </w:r>
    </w:p>
    <w:p w14:paraId="1E5DD416" w14:textId="77777777" w:rsidR="00E956DA" w:rsidRPr="005F3929" w:rsidRDefault="00E956DA" w:rsidP="005F3929">
      <w:pPr>
        <w:spacing w:before="0" w:after="0" w:line="480" w:lineRule="auto"/>
        <w:rPr>
          <w:rFonts w:cs="Times New Roman"/>
          <w:b/>
          <w:bCs/>
          <w:sz w:val="22"/>
          <w:lang w:val="en-GB"/>
        </w:rPr>
      </w:pPr>
      <w:r w:rsidRPr="005F3929">
        <w:rPr>
          <w:rFonts w:cs="Times New Roman"/>
          <w:b/>
          <w:bCs/>
          <w:sz w:val="22"/>
          <w:lang w:val="en-GB"/>
        </w:rPr>
        <w:t xml:space="preserve">Correlation between clinical diagnosis and </w:t>
      </w:r>
      <w:r w:rsidRPr="005F3929">
        <w:rPr>
          <w:rFonts w:cs="Times New Roman"/>
          <w:b/>
          <w:bCs/>
          <w:i/>
          <w:iCs/>
          <w:sz w:val="22"/>
          <w:lang w:val="en-GB"/>
        </w:rPr>
        <w:t>in vitro</w:t>
      </w:r>
      <w:r w:rsidRPr="005F3929">
        <w:rPr>
          <w:rFonts w:cs="Times New Roman"/>
          <w:b/>
          <w:bCs/>
          <w:i/>
          <w:sz w:val="22"/>
          <w:lang w:val="en-GB"/>
        </w:rPr>
        <w:t xml:space="preserve"> </w:t>
      </w:r>
      <w:r w:rsidRPr="005F3929">
        <w:rPr>
          <w:rFonts w:cs="Times New Roman"/>
          <w:b/>
          <w:bCs/>
          <w:sz w:val="22"/>
          <w:lang w:val="en-GB"/>
        </w:rPr>
        <w:t xml:space="preserve">assays </w:t>
      </w:r>
    </w:p>
    <w:p w14:paraId="109E0678" w14:textId="3B67C069" w:rsidR="00E956DA" w:rsidRPr="005F3929" w:rsidRDefault="00E956DA" w:rsidP="009856E7">
      <w:pPr>
        <w:spacing w:before="0" w:after="0" w:line="480" w:lineRule="auto"/>
        <w:jc w:val="both"/>
        <w:rPr>
          <w:rFonts w:cs="Times New Roman"/>
          <w:sz w:val="22"/>
          <w:lang w:val="en-GB"/>
        </w:rPr>
      </w:pPr>
      <w:r w:rsidRPr="005F3929">
        <w:rPr>
          <w:rFonts w:cs="Times New Roman"/>
          <w:sz w:val="22"/>
          <w:lang w:val="en-GB"/>
        </w:rPr>
        <w:t xml:space="preserve">DRESS was the most common presentation of DHR in Southampton tertiary referral centre (53% of diagnosed DHR in 2017-2018) and in our cohort, antibiotics were the dominant causal drugs for this condition (Figure 1a). 5 cases of antibiotic-induced DRESS were selected (‘discovery’ cohort). </w:t>
      </w:r>
      <w:r w:rsidR="00D17754">
        <w:rPr>
          <w:rFonts w:cs="Times New Roman"/>
          <w:sz w:val="22"/>
          <w:lang w:val="en-GB"/>
        </w:rPr>
        <w:t xml:space="preserve">Causative antibiotics include: cefoxitin, vancomycin, teicoplanin and dapsone. </w:t>
      </w:r>
      <w:r w:rsidRPr="005F3929">
        <w:rPr>
          <w:rFonts w:cs="Times New Roman"/>
          <w:sz w:val="22"/>
          <w:lang w:val="en-GB"/>
        </w:rPr>
        <w:t xml:space="preserve">Cohort characteristics (median age 49 years, IQR: 36-71), are described in Table 1. We confirmed that all identified antibiotic-DRESS cases demonstrated positive </w:t>
      </w:r>
      <w:r w:rsidRPr="005F3929">
        <w:rPr>
          <w:rFonts w:cs="Times New Roman"/>
          <w:iCs/>
          <w:sz w:val="22"/>
          <w:lang w:val="en-GB"/>
        </w:rPr>
        <w:t>in vitro</w:t>
      </w:r>
      <w:r w:rsidRPr="005F3929">
        <w:rPr>
          <w:rFonts w:cs="Times New Roman"/>
          <w:sz w:val="22"/>
          <w:lang w:val="en-GB"/>
        </w:rPr>
        <w:t xml:space="preserve"> responses to stimulation with the culprit antibiotic, whereas no drug-induced responses were detected in tolerant controls (LPA p = 0.0025, IFN-γ p =0.0025, Mann-Whitney U test) (Figure 1 b,c). </w:t>
      </w:r>
    </w:p>
    <w:p w14:paraId="196ADF18" w14:textId="77777777" w:rsidR="00E956DA" w:rsidRPr="005F3929" w:rsidRDefault="00E956DA" w:rsidP="009856E7">
      <w:pPr>
        <w:spacing w:before="0" w:after="0" w:line="480" w:lineRule="auto"/>
        <w:jc w:val="both"/>
        <w:rPr>
          <w:rFonts w:cs="Times New Roman"/>
          <w:sz w:val="22"/>
          <w:lang w:val="en-GB"/>
        </w:rPr>
      </w:pPr>
    </w:p>
    <w:p w14:paraId="1BCD950F" w14:textId="77777777" w:rsidR="00E956DA" w:rsidRPr="005F3929" w:rsidRDefault="00E956DA" w:rsidP="009856E7">
      <w:pPr>
        <w:spacing w:before="0" w:after="0" w:line="480" w:lineRule="auto"/>
        <w:jc w:val="both"/>
        <w:rPr>
          <w:rFonts w:cs="Times New Roman"/>
          <w:b/>
          <w:bCs/>
          <w:sz w:val="22"/>
          <w:lang w:val="en-GB"/>
        </w:rPr>
      </w:pPr>
      <w:r w:rsidRPr="005F3929">
        <w:rPr>
          <w:rFonts w:cs="Times New Roman"/>
          <w:b/>
          <w:bCs/>
          <w:sz w:val="22"/>
          <w:lang w:val="en-GB"/>
        </w:rPr>
        <w:t xml:space="preserve">Antibiotic exposure induces transcriptomic programmes encoding immune activation in PBMCs from DRESS patients </w:t>
      </w:r>
    </w:p>
    <w:p w14:paraId="38DC126D" w14:textId="77777777" w:rsidR="00E956DA" w:rsidRPr="005F3929" w:rsidRDefault="00E956DA" w:rsidP="009856E7">
      <w:pPr>
        <w:spacing w:before="0" w:after="0" w:line="480" w:lineRule="auto"/>
        <w:jc w:val="both"/>
        <w:rPr>
          <w:rFonts w:cs="Times New Roman"/>
          <w:sz w:val="22"/>
          <w:lang w:val="en-GB"/>
        </w:rPr>
      </w:pPr>
      <w:r w:rsidRPr="005F3929">
        <w:rPr>
          <w:rFonts w:cs="Times New Roman"/>
          <w:sz w:val="22"/>
          <w:lang w:val="en-GB"/>
        </w:rPr>
        <w:t xml:space="preserve">To identify transcriptomic biomarkers specific for DRESS induced by antibiotics, discovery cohort PBMCs were co-cultured with culprit drug or control </w:t>
      </w:r>
      <w:r w:rsidRPr="007962F6">
        <w:rPr>
          <w:rFonts w:cs="Times New Roman"/>
          <w:i/>
          <w:sz w:val="22"/>
          <w:lang w:val="en-GB"/>
        </w:rPr>
        <w:t>in vitro</w:t>
      </w:r>
      <w:r w:rsidRPr="005F3929">
        <w:rPr>
          <w:rFonts w:cs="Times New Roman"/>
          <w:sz w:val="22"/>
          <w:lang w:val="en-GB"/>
        </w:rPr>
        <w:t xml:space="preserve"> for 24 hours before isolation of RNA for transcriptome profiling (Figure 2a). This identified 267 drug-specific differentially expressed genes (DEGs) (149 up and 118 down-regulated; EdgeR, </w:t>
      </w:r>
      <w:bookmarkStart w:id="4" w:name="_Hlk57130598"/>
      <w:r w:rsidRPr="005F3929">
        <w:rPr>
          <w:rFonts w:cs="Times New Roman"/>
          <w:sz w:val="22"/>
          <w:lang w:val="en-GB"/>
        </w:rPr>
        <w:t>FDR p&lt;0.05, logFC ≥|1|</w:t>
      </w:r>
      <w:bookmarkEnd w:id="4"/>
      <w:r w:rsidRPr="005F3929">
        <w:rPr>
          <w:rFonts w:cs="Times New Roman"/>
          <w:sz w:val="22"/>
          <w:lang w:val="en-GB"/>
        </w:rPr>
        <w:t>, Figure 2b). Transcript-to-transcript clustering (GraphiaPro, Pearson r</w:t>
      </w:r>
      <w:r w:rsidRPr="005F3929">
        <w:rPr>
          <w:rFonts w:cs="Times New Roman"/>
          <w:sz w:val="22"/>
          <w:lang w:val="en-GB"/>
        </w:rPr>
        <w:sym w:font="Symbol" w:char="F0B3"/>
      </w:r>
      <w:r w:rsidRPr="005F3929">
        <w:rPr>
          <w:rFonts w:cs="Times New Roman"/>
          <w:sz w:val="22"/>
          <w:lang w:val="en-GB"/>
        </w:rPr>
        <w:t>0.85, MCL = 1.7) identified 4 main clusters (Figure 2c). Clusters 1 and 3, comprising 141 genes in total, were enriched in genes regulating cytokine receptor activity (Cluster 1, FDR p =7.67x10</w:t>
      </w:r>
      <w:r w:rsidRPr="005F3929">
        <w:rPr>
          <w:rFonts w:cs="Times New Roman"/>
          <w:sz w:val="22"/>
          <w:vertAlign w:val="superscript"/>
          <w:lang w:val="en-GB"/>
        </w:rPr>
        <w:t>-7</w:t>
      </w:r>
      <w:r w:rsidRPr="005F3929">
        <w:rPr>
          <w:rFonts w:cs="Times New Roman"/>
          <w:sz w:val="22"/>
          <w:lang w:val="en-GB"/>
        </w:rPr>
        <w:t>) and T cell activation via NFAT (Cluster 3, FDR p =1x10</w:t>
      </w:r>
      <w:r w:rsidRPr="005F3929">
        <w:rPr>
          <w:rFonts w:cs="Times New Roman"/>
          <w:sz w:val="22"/>
          <w:vertAlign w:val="superscript"/>
          <w:lang w:val="en-GB"/>
        </w:rPr>
        <w:t>-3</w:t>
      </w:r>
      <w:r w:rsidRPr="005F3929">
        <w:rPr>
          <w:rFonts w:cs="Times New Roman"/>
          <w:sz w:val="22"/>
          <w:lang w:val="en-GB"/>
        </w:rPr>
        <w:t>, Figure 2d, e). In contrast, genes in clusters 2 and 4 were downregulated, and indicated modulation of innate immune system function (Cluster 2, FDR p =1.87x10</w:t>
      </w:r>
      <w:r w:rsidRPr="005F3929">
        <w:rPr>
          <w:rFonts w:cs="Times New Roman"/>
          <w:sz w:val="22"/>
          <w:vertAlign w:val="superscript"/>
          <w:lang w:val="en-GB"/>
        </w:rPr>
        <w:t>-2</w:t>
      </w:r>
      <w:r w:rsidRPr="005F3929">
        <w:rPr>
          <w:rFonts w:cs="Times New Roman"/>
          <w:sz w:val="22"/>
          <w:lang w:val="en-GB"/>
        </w:rPr>
        <w:t>) and reduced integrin interactions (Cluster 4, FDR p = 1.65 x10</w:t>
      </w:r>
      <w:r w:rsidRPr="005F3929">
        <w:rPr>
          <w:rFonts w:cs="Times New Roman"/>
          <w:sz w:val="22"/>
          <w:vertAlign w:val="superscript"/>
          <w:lang w:val="en-GB"/>
        </w:rPr>
        <w:t>-3</w:t>
      </w:r>
      <w:r w:rsidRPr="005F3929">
        <w:rPr>
          <w:rFonts w:cs="Times New Roman"/>
          <w:sz w:val="22"/>
          <w:lang w:val="en-GB"/>
        </w:rPr>
        <w:t xml:space="preserve">, Figure 2d, e). </w:t>
      </w:r>
    </w:p>
    <w:p w14:paraId="286B8340" w14:textId="77777777" w:rsidR="00E956DA" w:rsidRPr="005F3929" w:rsidRDefault="00E956DA" w:rsidP="009856E7">
      <w:pPr>
        <w:spacing w:before="0" w:after="0" w:line="480" w:lineRule="auto"/>
        <w:jc w:val="both"/>
        <w:rPr>
          <w:rFonts w:cs="Times New Roman"/>
          <w:b/>
          <w:bCs/>
          <w:sz w:val="22"/>
          <w:lang w:val="en-GB"/>
        </w:rPr>
      </w:pPr>
    </w:p>
    <w:p w14:paraId="3F96FAAD" w14:textId="77777777" w:rsidR="00E956DA" w:rsidRPr="005F3929" w:rsidRDefault="00E956DA" w:rsidP="009856E7">
      <w:pPr>
        <w:spacing w:before="0" w:after="0" w:line="480" w:lineRule="auto"/>
        <w:jc w:val="both"/>
        <w:rPr>
          <w:rFonts w:cs="Times New Roman"/>
          <w:b/>
          <w:bCs/>
          <w:sz w:val="22"/>
          <w:lang w:val="en-GB"/>
        </w:rPr>
      </w:pPr>
      <w:r w:rsidRPr="005F3929">
        <w:rPr>
          <w:rFonts w:cs="Times New Roman"/>
          <w:b/>
          <w:bCs/>
          <w:sz w:val="22"/>
          <w:lang w:val="en-GB"/>
        </w:rPr>
        <w:t xml:space="preserve">Identification of candidate molecular biomarkers for DRESS </w:t>
      </w:r>
    </w:p>
    <w:p w14:paraId="1E1BA32E" w14:textId="72372F9C" w:rsidR="00E956DA" w:rsidRPr="005F3929" w:rsidRDefault="00E956DA" w:rsidP="009856E7">
      <w:pPr>
        <w:spacing w:before="0" w:after="0" w:line="480" w:lineRule="auto"/>
        <w:jc w:val="both"/>
        <w:rPr>
          <w:rFonts w:cs="Times New Roman"/>
          <w:sz w:val="22"/>
          <w:lang w:val="en-GB"/>
        </w:rPr>
      </w:pPr>
      <w:r w:rsidRPr="005F3929">
        <w:rPr>
          <w:rFonts w:cs="Times New Roman"/>
          <w:sz w:val="22"/>
          <w:lang w:val="en-GB"/>
        </w:rPr>
        <w:t>To select a panel of candidate biomarkers, DEGs exceeding |logFC| ≥ 1.5 were filtered for the nominal gene expression value (minimum cpm ≥ 4 for all the donors, at least 100cpm)</w:t>
      </w:r>
      <w:r w:rsidR="007962F6" w:rsidRPr="005F3929">
        <w:rPr>
          <w:rFonts w:cs="Times New Roman"/>
          <w:sz w:val="22"/>
          <w:lang w:val="en-GB"/>
        </w:rPr>
        <w:t xml:space="preserve">. </w:t>
      </w:r>
      <w:r w:rsidRPr="005F3929">
        <w:rPr>
          <w:rFonts w:cs="Times New Roman"/>
          <w:sz w:val="22"/>
          <w:lang w:val="en-GB"/>
        </w:rPr>
        <w:t xml:space="preserve">The resulting 48 candidate biomarkers were evaluated for predictive value using a random forest algorithm in R (package Ranger, alpha=0.9, trees = 500). The top 10 genes with absolute FC ≥ |2| (up and down regulation) and RF importance ≥ 0.05 (Figure 3a, </w:t>
      </w:r>
      <w:r w:rsidRPr="005F3929">
        <w:rPr>
          <w:rFonts w:cs="Times New Roman"/>
          <w:sz w:val="22"/>
          <w:lang w:val="en-GB"/>
        </w:rPr>
        <w:lastRenderedPageBreak/>
        <w:t>b) and 12 additional immune-related genes were included in the final candidate biomarker panel (Figure 3a, full list of genes including 2 housekeeping genes in Supplementary Material Table S1). Unsupervised principal component clustering of the candidate biomarkers confirmed that they efficiently differentiated drug-exposed cells from their media control counterparts (Figure 3c). RNA-seq analysis was validated using RT-qPCR for the top 4 gene transcripts (Supplemental Figure 1) and a customised array card confirming the differential expression profile of all 22 transcripts ((r = 0.9542 p = &lt;0.0001) Figure 3d). The differential expression of the candidate biomarker panel (Figure 3e) highlights that although the</w:t>
      </w:r>
      <w:r w:rsidR="00AB2BC0">
        <w:rPr>
          <w:rFonts w:cs="Times New Roman"/>
          <w:sz w:val="22"/>
          <w:lang w:val="en-GB"/>
        </w:rPr>
        <w:t>se 22 genes</w:t>
      </w:r>
      <w:r w:rsidRPr="005F3929">
        <w:rPr>
          <w:rFonts w:cs="Times New Roman"/>
          <w:sz w:val="22"/>
          <w:lang w:val="en-GB"/>
        </w:rPr>
        <w:t xml:space="preserve"> differentiates drug-exposed cells from the control, a degree of heterogeneity existed in expression of specific genes between different subjects.</w:t>
      </w:r>
    </w:p>
    <w:p w14:paraId="254FD781" w14:textId="77777777" w:rsidR="00E956DA" w:rsidRPr="005F3929" w:rsidRDefault="00E956DA" w:rsidP="005F3929">
      <w:pPr>
        <w:spacing w:before="0" w:after="0" w:line="480" w:lineRule="auto"/>
        <w:rPr>
          <w:rFonts w:cs="Times New Roman"/>
          <w:sz w:val="22"/>
          <w:lang w:val="en-GB"/>
        </w:rPr>
      </w:pPr>
    </w:p>
    <w:p w14:paraId="10963DDA" w14:textId="77777777" w:rsidR="00E956DA" w:rsidRPr="005F3929" w:rsidRDefault="00E956DA" w:rsidP="005F3929">
      <w:pPr>
        <w:spacing w:before="0" w:after="0" w:line="480" w:lineRule="auto"/>
        <w:rPr>
          <w:rFonts w:cs="Times New Roman"/>
          <w:b/>
          <w:bCs/>
          <w:sz w:val="22"/>
          <w:lang w:val="en-GB"/>
        </w:rPr>
      </w:pPr>
      <w:r w:rsidRPr="005F3929">
        <w:rPr>
          <w:rFonts w:cs="Times New Roman"/>
          <w:b/>
          <w:bCs/>
          <w:sz w:val="22"/>
          <w:lang w:val="en-GB"/>
        </w:rPr>
        <w:t xml:space="preserve">DRESS biomarkers are specific to drug hypersensitivity </w:t>
      </w:r>
    </w:p>
    <w:p w14:paraId="6ECF7F5A" w14:textId="77777777" w:rsidR="00E956DA" w:rsidRPr="005F3929" w:rsidRDefault="00E956DA" w:rsidP="00BB135F">
      <w:pPr>
        <w:spacing w:before="0" w:after="0" w:line="480" w:lineRule="auto"/>
        <w:jc w:val="both"/>
        <w:rPr>
          <w:rFonts w:cs="Times New Roman"/>
          <w:sz w:val="22"/>
          <w:lang w:val="en-GB"/>
        </w:rPr>
      </w:pPr>
      <w:r w:rsidRPr="005F3929">
        <w:rPr>
          <w:rFonts w:cs="Times New Roman"/>
          <w:sz w:val="22"/>
          <w:lang w:val="en-GB"/>
        </w:rPr>
        <w:t>To determine if the identified biomarker panel was DRESS specific, we undertook a comparative analysis with influenza infection (GSE114588), sepsis (GSE60424), systemic lupus erythematosus (GSE112087) and dermatomyositis (GSE125977). Gene expression in these four conditions differed markedly from DRESS (Figure 4) and showed low correlations between DRESS and influenza (0.351), sepsis (-0.179), systemic lupus erythematosus (0.327), and dermatomyositis (0.321) (Pearson correlation coefficient).</w:t>
      </w:r>
    </w:p>
    <w:p w14:paraId="29559183" w14:textId="77777777" w:rsidR="00E956DA" w:rsidRPr="005F3929" w:rsidRDefault="00E956DA" w:rsidP="005F3929">
      <w:pPr>
        <w:spacing w:before="0" w:after="0" w:line="480" w:lineRule="auto"/>
        <w:rPr>
          <w:rFonts w:cs="Times New Roman"/>
          <w:sz w:val="22"/>
          <w:lang w:val="en-GB"/>
        </w:rPr>
      </w:pPr>
    </w:p>
    <w:p w14:paraId="16E95B53" w14:textId="4A2A5800" w:rsidR="00E956DA" w:rsidRPr="005F3929" w:rsidRDefault="00E956DA" w:rsidP="005F3929">
      <w:pPr>
        <w:spacing w:before="0" w:after="0" w:line="480" w:lineRule="auto"/>
        <w:rPr>
          <w:rFonts w:cs="Times New Roman"/>
          <w:b/>
          <w:bCs/>
          <w:sz w:val="22"/>
        </w:rPr>
      </w:pPr>
      <w:r w:rsidRPr="005F3929">
        <w:rPr>
          <w:rFonts w:cs="Times New Roman"/>
          <w:b/>
          <w:bCs/>
          <w:sz w:val="22"/>
          <w:lang w:val="en-GB"/>
        </w:rPr>
        <w:t>Validation of DRESS gene panel</w:t>
      </w:r>
    </w:p>
    <w:p w14:paraId="11614E0E" w14:textId="0832BDDE" w:rsidR="00E956DA" w:rsidRPr="005F3929" w:rsidRDefault="00E956DA" w:rsidP="000E4C2E">
      <w:pPr>
        <w:spacing w:before="0" w:after="0" w:line="480" w:lineRule="auto"/>
        <w:jc w:val="both"/>
        <w:rPr>
          <w:rFonts w:cs="Times New Roman"/>
          <w:sz w:val="22"/>
          <w:lang w:val="en-GB"/>
        </w:rPr>
      </w:pPr>
      <w:r w:rsidRPr="005F3929">
        <w:rPr>
          <w:rFonts w:cs="Times New Roman"/>
          <w:sz w:val="22"/>
          <w:lang w:val="en-GB"/>
        </w:rPr>
        <w:t xml:space="preserve">To confirm the candidate molecular biomarker panel, we prospectively identified a ‘validation cohort’ (6 cases of DRESS caused by antibiotics: cefoxitin, vancomycin and teicoplanin) as well as patients tolerant of the same antibiotics (n=7). This group was similar in terms of age, sex, and time to onset (Table 1). Similar to the discovery cohort, positive tests for drug hypersensitivity were demonstrated by T cell functional assays </w:t>
      </w:r>
      <w:r w:rsidRPr="005F3929">
        <w:rPr>
          <w:rFonts w:cs="Times New Roman"/>
          <w:iCs/>
          <w:sz w:val="22"/>
          <w:lang w:val="en-GB"/>
        </w:rPr>
        <w:t>in vitro</w:t>
      </w:r>
      <w:r w:rsidRPr="005F3929">
        <w:rPr>
          <w:rFonts w:cs="Times New Roman"/>
          <w:sz w:val="22"/>
          <w:lang w:val="en-GB"/>
        </w:rPr>
        <w:t xml:space="preserve"> (LPA p = 0.0082, IFN-γ p =0.0012, Mann-Whitney U test) in all DRESS subjects (Figure 5a, b). To validate the gene signature panel, PBMCs from allergics were challenged with culprit medications, and the 22-candidate biomarker panel analysed. Comparison of culprit drug against media control in DRESS patients (Figure 5c) and between DRESS cohort against tolerant individuals (Figure 5d) showed clearly identifiable differences. In tolerant subjects, the 22 candidate biomarkers tested were only minimally affected following exposure to antibiotics (median change in gene expression relative to </w:t>
      </w:r>
      <w:r w:rsidRPr="005F3929">
        <w:rPr>
          <w:rFonts w:cs="Times New Roman"/>
          <w:i/>
          <w:sz w:val="22"/>
          <w:lang w:val="en-GB"/>
        </w:rPr>
        <w:t xml:space="preserve">YWHAZ </w:t>
      </w:r>
      <w:r w:rsidRPr="005F3929">
        <w:rPr>
          <w:rFonts w:cs="Times New Roman"/>
          <w:sz w:val="22"/>
          <w:lang w:val="en-GB"/>
        </w:rPr>
        <w:t>for each gene 2</w:t>
      </w:r>
      <w:r w:rsidRPr="005F3929">
        <w:rPr>
          <w:rFonts w:cs="Times New Roman"/>
          <w:sz w:val="22"/>
          <w:vertAlign w:val="superscript"/>
          <w:lang w:val="en-GB"/>
        </w:rPr>
        <w:t>-ΔΔCT</w:t>
      </w:r>
      <w:r w:rsidRPr="005F3929">
        <w:rPr>
          <w:rFonts w:cs="Times New Roman"/>
          <w:sz w:val="22"/>
          <w:lang w:val="en-GB"/>
        </w:rPr>
        <w:t xml:space="preserve"> = 1.04, range: 0.68-1.81), </w:t>
      </w:r>
      <w:r w:rsidRPr="005F3929">
        <w:rPr>
          <w:rFonts w:cs="Times New Roman"/>
          <w:sz w:val="22"/>
          <w:lang w:val="en-GB"/>
        </w:rPr>
        <w:lastRenderedPageBreak/>
        <w:t>confirming the signature was specific for DRESS. As expected, some heterogeneity in the gene expression patterns between individuals was evident in both tolerant controls and allergic individuals</w:t>
      </w:r>
      <w:r w:rsidR="007962F6" w:rsidRPr="005F3929">
        <w:rPr>
          <w:rFonts w:cs="Times New Roman"/>
          <w:sz w:val="22"/>
          <w:lang w:val="en-GB"/>
        </w:rPr>
        <w:t xml:space="preserve">. </w:t>
      </w:r>
    </w:p>
    <w:p w14:paraId="5CFC2CD3" w14:textId="77777777" w:rsidR="00E956DA" w:rsidRPr="005F3929" w:rsidRDefault="00E956DA" w:rsidP="000E4C2E">
      <w:pPr>
        <w:spacing w:before="0" w:after="0" w:line="480" w:lineRule="auto"/>
        <w:jc w:val="both"/>
        <w:rPr>
          <w:rFonts w:cs="Times New Roman"/>
          <w:sz w:val="22"/>
          <w:lang w:val="en-GB"/>
        </w:rPr>
      </w:pPr>
    </w:p>
    <w:p w14:paraId="1A6EAAF6" w14:textId="77777777" w:rsidR="00E956DA" w:rsidRPr="005F3929" w:rsidRDefault="00E956DA" w:rsidP="000E4C2E">
      <w:pPr>
        <w:spacing w:before="0" w:after="0" w:line="480" w:lineRule="auto"/>
        <w:jc w:val="both"/>
        <w:rPr>
          <w:rFonts w:cs="Times New Roman"/>
          <w:b/>
          <w:bCs/>
          <w:sz w:val="22"/>
          <w:lang w:val="en-GB"/>
        </w:rPr>
      </w:pPr>
      <w:r w:rsidRPr="005F3929">
        <w:rPr>
          <w:rFonts w:cs="Times New Roman"/>
          <w:b/>
          <w:bCs/>
          <w:sz w:val="22"/>
          <w:lang w:val="en-GB"/>
        </w:rPr>
        <w:t xml:space="preserve">An algorithm for analysis of gene expression alterations as a diagnostic approach in antibiotic-DRESS </w:t>
      </w:r>
    </w:p>
    <w:p w14:paraId="22A15432" w14:textId="77777777" w:rsidR="00E956DA" w:rsidRPr="005F3929" w:rsidRDefault="00E956DA" w:rsidP="000E4C2E">
      <w:pPr>
        <w:spacing w:before="0" w:after="0" w:line="480" w:lineRule="auto"/>
        <w:jc w:val="both"/>
        <w:rPr>
          <w:rFonts w:cs="Times New Roman"/>
          <w:sz w:val="22"/>
          <w:lang w:val="en-GB"/>
        </w:rPr>
      </w:pPr>
      <w:r w:rsidRPr="005F3929">
        <w:rPr>
          <w:rFonts w:cs="Times New Roman"/>
          <w:sz w:val="22"/>
          <w:lang w:val="en-GB"/>
        </w:rPr>
        <w:t>A point attribution system based on observed changes in each of the transcripts from the 22-gene biomarker panel was developed. Scoring 6 DRESS subjects and 7 tolerant controls showed statistically significant difference (p = 0.0052, Mann-Whitney U test) when scored against all 22 genes (Figure 5e, full scores listed in Supplementary Material Table S2). By setting a threshold score of 6, this novel scoring system was able to correctly stratify almost all cases (5 DRESS, 6 controls) with high sensitivity and specificity (83.3% and 85.7% respectively, p=0.029, Fisher’s exact test).</w:t>
      </w:r>
    </w:p>
    <w:p w14:paraId="2227B7D1" w14:textId="77777777" w:rsidR="00E956DA" w:rsidRPr="005F3929" w:rsidRDefault="00E956DA" w:rsidP="005F3929">
      <w:pPr>
        <w:spacing w:before="0" w:after="0" w:line="480" w:lineRule="auto"/>
        <w:rPr>
          <w:rFonts w:cs="Times New Roman"/>
          <w:sz w:val="22"/>
          <w:lang w:val="en-GB"/>
        </w:rPr>
      </w:pPr>
    </w:p>
    <w:p w14:paraId="68C3827F" w14:textId="77777777" w:rsidR="00E956DA" w:rsidRPr="005F3929" w:rsidRDefault="00E956DA" w:rsidP="005F3929">
      <w:pPr>
        <w:spacing w:before="0" w:after="0" w:line="480" w:lineRule="auto"/>
        <w:rPr>
          <w:rFonts w:cs="Times New Roman"/>
          <w:b/>
          <w:bCs/>
          <w:sz w:val="22"/>
          <w:lang w:val="en-GB"/>
        </w:rPr>
      </w:pPr>
      <w:r w:rsidRPr="005F3929">
        <w:rPr>
          <w:rFonts w:cs="Times New Roman"/>
          <w:b/>
          <w:bCs/>
          <w:sz w:val="22"/>
          <w:lang w:val="en-GB"/>
        </w:rPr>
        <w:t>Machine learning identifies optimal panel of biomarkers differentiating antibiotic-DRESS patients from tolerant controls</w:t>
      </w:r>
    </w:p>
    <w:p w14:paraId="68DA6378" w14:textId="4D64EE9C" w:rsidR="00E956DA" w:rsidRPr="005F3929" w:rsidRDefault="00E956DA" w:rsidP="00D00D37">
      <w:pPr>
        <w:spacing w:before="0" w:after="0" w:line="480" w:lineRule="auto"/>
        <w:jc w:val="both"/>
        <w:rPr>
          <w:rFonts w:cs="Times New Roman"/>
          <w:noProof/>
          <w:sz w:val="22"/>
          <w:lang w:val="en-GB" w:eastAsia="en-GB"/>
        </w:rPr>
      </w:pPr>
      <w:r w:rsidRPr="005F3929">
        <w:rPr>
          <w:rFonts w:cs="Times New Roman"/>
          <w:sz w:val="22"/>
          <w:lang w:val="en-GB"/>
        </w:rPr>
        <w:t xml:space="preserve">However, because it was apparent that not all genes contributed equally to the 22-gene scoring matrix that had been developed, we set out to evaluate which gene marker or combination of biomarkers had the highest predictive value for a prospective diagnostic test. Firstly, we took a machine learning approach and trained a random forest algorithm using the validation cohort data (Ranger package, R, alpha = 0.9, trees=500, binary input). The analysis ranked the candidate biomarkers in order of importance for predictive classification (Figure 6a, Supplementary Material Table S3). For the 10 highest ranked markers, receiver operating characteristics (ROC) analysis showed 100% sensitivity and 100% specificity (AUC = 1).  Secondly, we tested a reduced panel of biomarkers identified by their individually significant differential expression between allergics and tolerants: </w:t>
      </w:r>
      <w:r w:rsidRPr="005F3929">
        <w:rPr>
          <w:rFonts w:cs="Times New Roman"/>
          <w:i/>
          <w:sz w:val="22"/>
          <w:lang w:val="en-GB"/>
        </w:rPr>
        <w:t>STAC</w:t>
      </w:r>
      <w:r w:rsidRPr="005F3929">
        <w:rPr>
          <w:rFonts w:cs="Times New Roman"/>
          <w:sz w:val="22"/>
          <w:lang w:val="en-GB"/>
        </w:rPr>
        <w:t xml:space="preserve">, </w:t>
      </w:r>
      <w:r w:rsidRPr="005F3929">
        <w:rPr>
          <w:rFonts w:cs="Times New Roman"/>
          <w:i/>
          <w:sz w:val="22"/>
          <w:lang w:val="en-GB"/>
        </w:rPr>
        <w:t xml:space="preserve">GPR183, CD40, CISH, CD4, </w:t>
      </w:r>
      <w:r w:rsidRPr="005F3929">
        <w:rPr>
          <w:rFonts w:cs="Times New Roman"/>
          <w:sz w:val="22"/>
          <w:lang w:val="en-GB"/>
        </w:rPr>
        <w:t xml:space="preserve">and </w:t>
      </w:r>
      <w:r w:rsidRPr="005F3929">
        <w:rPr>
          <w:rFonts w:cs="Times New Roman"/>
          <w:i/>
          <w:sz w:val="22"/>
          <w:lang w:val="en-GB"/>
        </w:rPr>
        <w:t xml:space="preserve">CCL8 </w:t>
      </w:r>
      <w:r w:rsidRPr="005F3929">
        <w:rPr>
          <w:rFonts w:cs="Times New Roman"/>
          <w:sz w:val="22"/>
          <w:lang w:val="en-GB"/>
        </w:rPr>
        <w:t>(Figure 6c) in contrast to the other genes in the 22-gene panel (Supplemental Figure 2). By applying our scoring algorithm manually to these 6 genes using a threshold score of 0, we enhanced the diagnostic accuracy as compared to the 22-panel (sensitivity 100%, specificity 85.7%; p = 0.0047, Fisher’s exact test; Figure 6d; Supplementary Material Table S4).</w:t>
      </w:r>
    </w:p>
    <w:p w14:paraId="1D26EC6E" w14:textId="77777777" w:rsidR="00E956DA" w:rsidRPr="005F3929" w:rsidRDefault="00E956DA" w:rsidP="004618D3">
      <w:pPr>
        <w:spacing w:before="0" w:after="200" w:line="480" w:lineRule="auto"/>
        <w:jc w:val="both"/>
        <w:rPr>
          <w:rFonts w:cs="Times New Roman"/>
          <w:sz w:val="22"/>
          <w:lang w:val="en-GB"/>
        </w:rPr>
      </w:pPr>
      <w:r w:rsidRPr="005F3929">
        <w:rPr>
          <w:rFonts w:cs="Times New Roman"/>
          <w:sz w:val="22"/>
          <w:lang w:val="en-GB"/>
        </w:rPr>
        <w:br w:type="page"/>
      </w:r>
    </w:p>
    <w:p w14:paraId="7948F8C5" w14:textId="77777777" w:rsidR="00E956DA" w:rsidRPr="005F3929" w:rsidRDefault="00E956DA" w:rsidP="004618D3">
      <w:pPr>
        <w:spacing w:before="0" w:after="200" w:line="480" w:lineRule="auto"/>
        <w:jc w:val="both"/>
        <w:rPr>
          <w:rFonts w:cs="Times New Roman"/>
          <w:b/>
          <w:bCs/>
          <w:sz w:val="22"/>
          <w:lang w:val="en-GB"/>
        </w:rPr>
      </w:pPr>
      <w:r w:rsidRPr="005F3929">
        <w:rPr>
          <w:rFonts w:cs="Times New Roman"/>
          <w:b/>
          <w:bCs/>
          <w:sz w:val="22"/>
          <w:lang w:val="en-GB"/>
        </w:rPr>
        <w:lastRenderedPageBreak/>
        <w:t xml:space="preserve">Discussion </w:t>
      </w:r>
    </w:p>
    <w:p w14:paraId="7F7CA256" w14:textId="72203488" w:rsidR="00E956DA" w:rsidRPr="005F3929" w:rsidRDefault="00E956DA" w:rsidP="004618D3">
      <w:pPr>
        <w:spacing w:line="480" w:lineRule="auto"/>
        <w:jc w:val="both"/>
        <w:rPr>
          <w:rFonts w:cs="Times New Roman"/>
          <w:sz w:val="22"/>
          <w:lang w:val="en-GB"/>
        </w:rPr>
      </w:pPr>
      <w:r w:rsidRPr="005F3929">
        <w:rPr>
          <w:rFonts w:cs="Times New Roman"/>
          <w:sz w:val="22"/>
          <w:lang w:val="en-GB"/>
        </w:rPr>
        <w:t>Criteria for diagnosis of DRESS are clear: cutaneous eruption with hematologic abnormalities and systemic involvement, with the addition of HHV-6 reactivation by Japanese criteria</w:t>
      </w:r>
      <w:r w:rsidRPr="005F3929">
        <w:rPr>
          <w:rFonts w:cs="Times New Roman"/>
          <w:sz w:val="22"/>
          <w:vertAlign w:val="superscript"/>
          <w:lang w:val="en-GB"/>
        </w:rPr>
        <w:t>3, 23</w:t>
      </w:r>
      <w:r w:rsidRPr="005F3929">
        <w:rPr>
          <w:rFonts w:cs="Times New Roman"/>
          <w:sz w:val="22"/>
          <w:lang w:val="en-GB"/>
        </w:rPr>
        <w:t>. However, the optimal diagnostic work-up to identify a causal drug has remained elusive. Key to the management of DRESS is prompt discontinuation of the culprit drug, as the process can be progressive and even result in catastrophic organ failure</w:t>
      </w:r>
      <w:r w:rsidRPr="005F3929">
        <w:rPr>
          <w:rFonts w:cs="Times New Roman"/>
          <w:sz w:val="22"/>
          <w:vertAlign w:val="superscript"/>
          <w:lang w:val="en-GB"/>
        </w:rPr>
        <w:t>4, 24</w:t>
      </w:r>
      <w:r w:rsidRPr="005F3929">
        <w:rPr>
          <w:rFonts w:cs="Times New Roman"/>
          <w:sz w:val="22"/>
          <w:lang w:val="en-GB"/>
        </w:rPr>
        <w:t xml:space="preserve"> and latterly autoimmune sequelae. The determination of drug culpability based only on chronological history of drug ingestion is often unreliable because of heterogeneous presentations and sometimes confusing long-latent periods following the introduction of drugs. In addition to this, definitive challenge testing is inadvisable in DRESS, leaving few alternative options for diagnostic assessment. Whilst some groups, including ourselves, have utilised </w:t>
      </w:r>
      <w:r w:rsidRPr="005F3929">
        <w:rPr>
          <w:rFonts w:cs="Times New Roman"/>
          <w:i/>
          <w:iCs/>
          <w:sz w:val="22"/>
          <w:lang w:val="en-GB"/>
        </w:rPr>
        <w:t>in vitro</w:t>
      </w:r>
      <w:r w:rsidRPr="005F3929">
        <w:rPr>
          <w:rFonts w:cs="Times New Roman"/>
          <w:sz w:val="22"/>
          <w:lang w:val="en-GB"/>
        </w:rPr>
        <w:t xml:space="preserve"> functional T cell assays in an attempt to elucidate the causal drugs</w:t>
      </w:r>
      <w:r w:rsidRPr="005F3929">
        <w:rPr>
          <w:rFonts w:cs="Times New Roman"/>
          <w:sz w:val="22"/>
          <w:vertAlign w:val="superscript"/>
          <w:lang w:val="en-GB"/>
        </w:rPr>
        <w:t>10, 11, 25</w:t>
      </w:r>
      <w:r w:rsidRPr="005F3929">
        <w:rPr>
          <w:rFonts w:cs="Times New Roman"/>
          <w:sz w:val="22"/>
          <w:lang w:val="en-GB"/>
        </w:rPr>
        <w:t>, multiple issues restrict the widespread availability of such assays. These include the need for specialist resources and expertise, as well as variation in reported sensitivity of tests suggesting a user-dependent variability</w:t>
      </w:r>
      <w:r w:rsidRPr="005F3929">
        <w:rPr>
          <w:rFonts w:cs="Times New Roman"/>
          <w:sz w:val="22"/>
          <w:vertAlign w:val="superscript"/>
          <w:lang w:val="en-GB"/>
        </w:rPr>
        <w:t>25, 26</w:t>
      </w:r>
      <w:r w:rsidRPr="005F3929">
        <w:rPr>
          <w:rFonts w:cs="Times New Roman"/>
          <w:sz w:val="22"/>
          <w:lang w:val="en-GB"/>
        </w:rPr>
        <w:t xml:space="preserve">. There is a clear need for new approaches to consideration of diagnostic testing modality for conditions such as DRESS. </w:t>
      </w:r>
    </w:p>
    <w:p w14:paraId="6B6CB859" w14:textId="2AD0DE2F" w:rsidR="00E956DA" w:rsidRPr="005F3929" w:rsidRDefault="00E956DA" w:rsidP="004618D3">
      <w:pPr>
        <w:spacing w:before="0" w:after="200" w:line="480" w:lineRule="auto"/>
        <w:jc w:val="both"/>
        <w:rPr>
          <w:rFonts w:cs="Times New Roman"/>
          <w:sz w:val="22"/>
          <w:lang w:val="en-GB"/>
        </w:rPr>
      </w:pPr>
      <w:r w:rsidRPr="005F3929">
        <w:rPr>
          <w:rFonts w:cs="Times New Roman"/>
          <w:sz w:val="22"/>
          <w:lang w:val="en-GB"/>
        </w:rPr>
        <w:t>By using a non-hypothesis driven approach to evaluate DRESS activated molecular pathways, we sought to maximise the possibility to detect a DRESS-specific signature. Furthermore, such an approach also contributes to better understanding of disease pathogenesis</w:t>
      </w:r>
      <w:r w:rsidRPr="005F3929">
        <w:rPr>
          <w:rFonts w:cs="Times New Roman"/>
          <w:sz w:val="22"/>
          <w:vertAlign w:val="superscript"/>
          <w:lang w:val="en-GB"/>
        </w:rPr>
        <w:t>27,28</w:t>
      </w:r>
      <w:r w:rsidRPr="005F3929">
        <w:rPr>
          <w:rFonts w:cs="Times New Roman"/>
          <w:sz w:val="22"/>
          <w:lang w:val="en-GB"/>
        </w:rPr>
        <w:t>. Transcriptomic profiling by RNA sequencing is advantageous as not only does it enable identification of key differentially expressed genes but also has high sensitivity for low abundance transcripts</w:t>
      </w:r>
      <w:r w:rsidRPr="005F3929">
        <w:rPr>
          <w:rFonts w:cs="Times New Roman"/>
          <w:sz w:val="22"/>
          <w:vertAlign w:val="superscript"/>
          <w:lang w:val="en-GB"/>
        </w:rPr>
        <w:t>29, 30</w:t>
      </w:r>
      <w:r w:rsidRPr="005F3929">
        <w:rPr>
          <w:rFonts w:cs="Times New Roman"/>
          <w:sz w:val="22"/>
          <w:lang w:val="en-GB"/>
        </w:rPr>
        <w:t>. Utilisation of RNAseq in melanoma</w:t>
      </w:r>
      <w:r w:rsidRPr="005F3929">
        <w:rPr>
          <w:rFonts w:cs="Times New Roman"/>
          <w:sz w:val="22"/>
          <w:vertAlign w:val="superscript"/>
          <w:lang w:val="en-GB"/>
        </w:rPr>
        <w:t>31,32</w:t>
      </w:r>
      <w:r w:rsidRPr="005F3929">
        <w:rPr>
          <w:rFonts w:cs="Times New Roman"/>
          <w:sz w:val="22"/>
          <w:lang w:val="en-GB"/>
        </w:rPr>
        <w:t>, psoriasis and atopic dermatitis</w:t>
      </w:r>
      <w:r w:rsidRPr="005F3929">
        <w:rPr>
          <w:rFonts w:cs="Times New Roman"/>
          <w:sz w:val="22"/>
          <w:vertAlign w:val="superscript"/>
          <w:lang w:val="en-GB"/>
        </w:rPr>
        <w:t>30</w:t>
      </w:r>
      <w:r w:rsidRPr="005F3929">
        <w:rPr>
          <w:rFonts w:cs="Times New Roman"/>
          <w:sz w:val="22"/>
          <w:lang w:val="en-GB"/>
        </w:rPr>
        <w:t xml:space="preserve"> has enabled classification based on phenotype, prognosis, and prediction of intervention outcome. The availability of such technology should therefore be harnessed to further our understanding of cutaneous drug reactions to enable emergent clinical applications. </w:t>
      </w:r>
    </w:p>
    <w:p w14:paraId="44E918F4" w14:textId="38153BF3" w:rsidR="00E956DA" w:rsidRPr="005F3929" w:rsidRDefault="00E956DA" w:rsidP="004618D3">
      <w:pPr>
        <w:spacing w:before="0" w:after="200" w:line="480" w:lineRule="auto"/>
        <w:jc w:val="both"/>
        <w:rPr>
          <w:rFonts w:cs="Times New Roman"/>
          <w:sz w:val="22"/>
          <w:lang w:val="en-GB"/>
        </w:rPr>
      </w:pPr>
      <w:r w:rsidRPr="005F3929">
        <w:rPr>
          <w:rFonts w:cs="Times New Roman"/>
          <w:sz w:val="22"/>
          <w:lang w:val="en-GB"/>
        </w:rPr>
        <w:t xml:space="preserve">Here, using a multi-method, unbiased analysis approach, we </w:t>
      </w:r>
      <w:r w:rsidR="008E12F7">
        <w:rPr>
          <w:rFonts w:cs="Times New Roman"/>
          <w:sz w:val="22"/>
          <w:lang w:val="en-GB"/>
        </w:rPr>
        <w:t>identified</w:t>
      </w:r>
      <w:r w:rsidRPr="005F3929">
        <w:rPr>
          <w:rFonts w:cs="Times New Roman"/>
          <w:sz w:val="22"/>
          <w:lang w:val="en-GB"/>
        </w:rPr>
        <w:t xml:space="preserve"> 22 genes which were differentially regulated in blood cells from allergic individuals after </w:t>
      </w:r>
      <w:r w:rsidRPr="005F3929">
        <w:rPr>
          <w:rFonts w:cs="Times New Roman"/>
          <w:i/>
          <w:sz w:val="22"/>
          <w:lang w:val="en-GB"/>
        </w:rPr>
        <w:t>in vitro</w:t>
      </w:r>
      <w:r w:rsidRPr="005F3929">
        <w:rPr>
          <w:rFonts w:cs="Times New Roman"/>
          <w:sz w:val="22"/>
          <w:lang w:val="en-GB"/>
        </w:rPr>
        <w:t xml:space="preserve"> exposure to the culprit drug. Of the 22 transcripts identified, we used a machine learning approach to select 10 and differential expression approach to select 6 with the strongest association with DRESS. </w:t>
      </w:r>
      <w:r w:rsidRPr="005F3929">
        <w:rPr>
          <w:rFonts w:cs="Times New Roman"/>
          <w:i/>
          <w:sz w:val="22"/>
          <w:lang w:val="en-GB"/>
        </w:rPr>
        <w:t>GPR183</w:t>
      </w:r>
      <w:r w:rsidRPr="005F3929">
        <w:rPr>
          <w:rFonts w:cs="Times New Roman"/>
          <w:sz w:val="22"/>
          <w:lang w:val="en-GB"/>
        </w:rPr>
        <w:t xml:space="preserve"> (G-protein coupled receptor 183; syn. Epstein-Barr virus </w:t>
      </w:r>
      <w:r w:rsidRPr="005F3929">
        <w:rPr>
          <w:rFonts w:cs="Times New Roman"/>
          <w:sz w:val="22"/>
          <w:lang w:val="en-GB"/>
        </w:rPr>
        <w:lastRenderedPageBreak/>
        <w:t xml:space="preserve">(EBV) -induced gene 2, </w:t>
      </w:r>
      <w:r w:rsidRPr="005F3929">
        <w:rPr>
          <w:rFonts w:cs="Times New Roman"/>
          <w:i/>
          <w:sz w:val="22"/>
          <w:lang w:val="en-GB"/>
        </w:rPr>
        <w:t>EBI2</w:t>
      </w:r>
      <w:r w:rsidRPr="005F3929">
        <w:rPr>
          <w:rFonts w:cs="Times New Roman"/>
          <w:sz w:val="22"/>
          <w:lang w:val="en-GB"/>
        </w:rPr>
        <w:t>) is expressed in lymphocytes where, by binding oxysterols, it creates a chemotactic gradient to direct movement of B-cells, T-cells, dendritic cells and monocytes/macrophages</w:t>
      </w:r>
      <w:r w:rsidRPr="005F3929">
        <w:rPr>
          <w:rFonts w:cs="Times New Roman"/>
          <w:sz w:val="22"/>
          <w:vertAlign w:val="superscript"/>
          <w:lang w:val="en-GB"/>
        </w:rPr>
        <w:t>33, 34</w:t>
      </w:r>
      <w:r w:rsidRPr="005F3929">
        <w:rPr>
          <w:rFonts w:cs="Times New Roman"/>
          <w:sz w:val="22"/>
          <w:lang w:val="en-GB"/>
        </w:rPr>
        <w:t>. Down-regulation of GPR183 as induced by exposure to the culprit drug in allergics in this study, has been shown to enhance production of type 1 IFNs and inflammatory cytokines by blood dendritic cells</w:t>
      </w:r>
      <w:r w:rsidRPr="005F3929">
        <w:rPr>
          <w:rFonts w:cs="Times New Roman"/>
          <w:sz w:val="22"/>
          <w:vertAlign w:val="superscript"/>
          <w:lang w:val="en-GB"/>
        </w:rPr>
        <w:t>35</w:t>
      </w:r>
      <w:r w:rsidRPr="005F3929">
        <w:rPr>
          <w:rFonts w:cs="Times New Roman"/>
          <w:sz w:val="22"/>
          <w:lang w:val="en-GB"/>
        </w:rPr>
        <w:t>.  Therefore, this may reflect an important pathway for enhanced drug-antigen presentation to CD8+ T cells in DRESS, which may contribute to the organ damage seen in this condition</w:t>
      </w:r>
      <w:r w:rsidRPr="005F3929">
        <w:rPr>
          <w:rFonts w:cs="Times New Roman"/>
          <w:sz w:val="22"/>
          <w:vertAlign w:val="superscript"/>
          <w:lang w:val="en-GB"/>
        </w:rPr>
        <w:t>36</w:t>
      </w:r>
      <w:r w:rsidRPr="005F3929">
        <w:rPr>
          <w:rFonts w:cs="Times New Roman"/>
          <w:sz w:val="22"/>
          <w:lang w:val="en-GB"/>
        </w:rPr>
        <w:t xml:space="preserve">. </w:t>
      </w:r>
      <w:r w:rsidR="00D12A30">
        <w:rPr>
          <w:rFonts w:cs="Times New Roman"/>
          <w:sz w:val="22"/>
          <w:lang w:val="en-GB"/>
        </w:rPr>
        <w:t>Vir</w:t>
      </w:r>
      <w:r w:rsidR="00B705E0">
        <w:rPr>
          <w:rFonts w:cs="Times New Roman"/>
          <w:sz w:val="22"/>
          <w:lang w:val="en-GB"/>
        </w:rPr>
        <w:t>al reactivation</w:t>
      </w:r>
      <w:r w:rsidR="00D12A30">
        <w:rPr>
          <w:rFonts w:cs="Times New Roman"/>
          <w:sz w:val="22"/>
          <w:lang w:val="en-GB"/>
        </w:rPr>
        <w:t xml:space="preserve">, including human herpes virus 6 (HHV6), HHV7, Epstein-Barr virus (EBV) and cytomegalovirus (CMV) have been </w:t>
      </w:r>
      <w:r w:rsidR="00B705E0">
        <w:rPr>
          <w:rFonts w:cs="Times New Roman"/>
          <w:sz w:val="22"/>
          <w:lang w:val="en-GB"/>
        </w:rPr>
        <w:t xml:space="preserve">detected </w:t>
      </w:r>
      <w:r w:rsidR="00D12A30">
        <w:rPr>
          <w:rFonts w:cs="Times New Roman"/>
          <w:sz w:val="22"/>
          <w:lang w:val="en-GB"/>
        </w:rPr>
        <w:t>in cases of DRESS</w:t>
      </w:r>
      <w:r w:rsidR="00B705E0">
        <w:rPr>
          <w:rFonts w:cs="Times New Roman"/>
          <w:sz w:val="22"/>
          <w:lang w:val="en-GB"/>
        </w:rPr>
        <w:t>, postulated to</w:t>
      </w:r>
      <w:r w:rsidR="00B10DB0">
        <w:rPr>
          <w:rFonts w:cs="Times New Roman"/>
          <w:sz w:val="22"/>
          <w:lang w:val="en-GB"/>
        </w:rPr>
        <w:t xml:space="preserve"> be due to</w:t>
      </w:r>
      <w:r w:rsidR="00B705E0">
        <w:rPr>
          <w:rFonts w:cs="Times New Roman"/>
          <w:sz w:val="22"/>
          <w:lang w:val="en-GB"/>
        </w:rPr>
        <w:t xml:space="preserve"> either direct drug or metabolite effect or alterations in immunity as result of anti-drug response</w:t>
      </w:r>
      <w:r w:rsidR="001E58CE" w:rsidRPr="001516AB">
        <w:rPr>
          <w:rFonts w:cs="Times New Roman"/>
          <w:sz w:val="22"/>
          <w:vertAlign w:val="superscript"/>
          <w:lang w:val="en-GB"/>
        </w:rPr>
        <w:t>37</w:t>
      </w:r>
      <w:r w:rsidR="00B705E0">
        <w:rPr>
          <w:rFonts w:cs="Times New Roman"/>
          <w:sz w:val="22"/>
          <w:lang w:val="en-GB"/>
        </w:rPr>
        <w:t xml:space="preserve"> . The exact role of viruses either as co-stimulating driver in disease onset or as a result of Treg dysregulation remains unclear but findings of alteration in type 1 IFN signalling would be in keeping with current understanding of viruses being interlinked with DRESS. </w:t>
      </w:r>
      <w:r w:rsidRPr="005F3929">
        <w:rPr>
          <w:rFonts w:cs="Times New Roman"/>
          <w:sz w:val="22"/>
          <w:lang w:val="en-GB"/>
        </w:rPr>
        <w:t>CD4 down-regulation is well established as a consequence of Th2 activation. The down-regulation of CD4 expression in allergics following drug exposure as seen here is interesting because evidence of drug-specific HLA-restriction in DRESS has so far only identified MHC Class I alleles</w:t>
      </w:r>
      <w:r w:rsidRPr="005F3929">
        <w:rPr>
          <w:rFonts w:cs="Times New Roman"/>
          <w:sz w:val="22"/>
          <w:vertAlign w:val="superscript"/>
          <w:lang w:val="en-GB"/>
        </w:rPr>
        <w:t>3</w:t>
      </w:r>
      <w:r w:rsidR="00D84B11">
        <w:rPr>
          <w:rFonts w:cs="Times New Roman"/>
          <w:sz w:val="22"/>
          <w:vertAlign w:val="superscript"/>
          <w:lang w:val="en-GB"/>
        </w:rPr>
        <w:t>8</w:t>
      </w:r>
      <w:r w:rsidRPr="005F3929">
        <w:rPr>
          <w:rFonts w:cs="Times New Roman"/>
          <w:sz w:val="22"/>
          <w:lang w:val="en-GB"/>
        </w:rPr>
        <w:t>. These results therefore support the possibility that drug-specific CD4+ T cells may play an important role in DRESS. Further evidence of the role of CD4 activation is suggested by the enhanced CCL8 expression in allergics. CCL8 has been shown to be central to recruiting IL-5 producing Th2 cells</w:t>
      </w:r>
      <w:r w:rsidRPr="005F3929">
        <w:rPr>
          <w:rFonts w:cs="Times New Roman"/>
          <w:sz w:val="22"/>
          <w:vertAlign w:val="superscript"/>
          <w:lang w:val="en-GB"/>
        </w:rPr>
        <w:t>3</w:t>
      </w:r>
      <w:r w:rsidR="00D84B11">
        <w:rPr>
          <w:rFonts w:cs="Times New Roman"/>
          <w:sz w:val="22"/>
          <w:vertAlign w:val="superscript"/>
          <w:lang w:val="en-GB"/>
        </w:rPr>
        <w:t>9</w:t>
      </w:r>
      <w:r w:rsidRPr="005F3929">
        <w:rPr>
          <w:rFonts w:cs="Times New Roman"/>
          <w:sz w:val="22"/>
          <w:lang w:val="en-GB"/>
        </w:rPr>
        <w:t xml:space="preserve">, which in turn regulate eosinophilia, thus linking these transcript changes to the hallmarks of DRESS. In addition, </w:t>
      </w:r>
      <w:r w:rsidRPr="005F3929">
        <w:rPr>
          <w:rFonts w:cs="Times New Roman"/>
          <w:i/>
          <w:sz w:val="22"/>
          <w:lang w:val="en-GB"/>
        </w:rPr>
        <w:t>CISH</w:t>
      </w:r>
      <w:r w:rsidRPr="005F3929">
        <w:rPr>
          <w:rFonts w:cs="Times New Roman"/>
          <w:sz w:val="22"/>
          <w:lang w:val="en-GB"/>
        </w:rPr>
        <w:t xml:space="preserve"> (cytokine inducible SH2 containing protein), was found to be upregulated by culprit drug exposure in allergics and has been shown to be a marker of allergen-specific Th2 cells</w:t>
      </w:r>
      <w:r w:rsidR="00D84B11">
        <w:rPr>
          <w:rFonts w:cs="Times New Roman"/>
          <w:sz w:val="22"/>
          <w:vertAlign w:val="superscript"/>
          <w:lang w:val="en-GB"/>
        </w:rPr>
        <w:t>40</w:t>
      </w:r>
      <w:r w:rsidR="001F3A79">
        <w:rPr>
          <w:rFonts w:cs="Times New Roman"/>
          <w:sz w:val="22"/>
          <w:lang w:val="en-GB"/>
        </w:rPr>
        <w:t>, with a role in negative regulation of cytokines in the JAK-STAT5 pathway</w:t>
      </w:r>
      <w:r w:rsidR="00D12A30">
        <w:rPr>
          <w:rFonts w:cs="Times New Roman"/>
          <w:sz w:val="22"/>
          <w:lang w:val="en-GB"/>
        </w:rPr>
        <w:t xml:space="preserve">. </w:t>
      </w:r>
      <w:r w:rsidRPr="005F3929">
        <w:rPr>
          <w:rFonts w:cs="Times New Roman"/>
          <w:sz w:val="22"/>
          <w:lang w:val="en-GB"/>
        </w:rPr>
        <w:t xml:space="preserve">Taken together, these data suggest an important role for drug-specific Th2 cells in DRESS and raise the possibility of therapeutic targeting of the Th2 pathway in acute disease. Recent drugs are already licensed for such purposes to treat other Th2 diseases including those targeting IL-4Ra, and anti-IL5. </w:t>
      </w:r>
      <w:r w:rsidRPr="005F3929">
        <w:rPr>
          <w:rFonts w:cs="Times New Roman"/>
          <w:i/>
          <w:sz w:val="22"/>
          <w:lang w:val="en-GB"/>
        </w:rPr>
        <w:t xml:space="preserve">STAC </w:t>
      </w:r>
      <w:r w:rsidRPr="005F3929">
        <w:rPr>
          <w:rFonts w:cs="Times New Roman"/>
          <w:sz w:val="22"/>
          <w:lang w:val="en-GB"/>
        </w:rPr>
        <w:t>(SH3 and cysteine-rich containing protein), a mediator of calcium-dependent inactivation, was also up-regulated in DRESS and whilst it is likely to be important in regulating inflammation</w:t>
      </w:r>
      <w:r w:rsidRPr="005F3929">
        <w:rPr>
          <w:rFonts w:cs="Times New Roman"/>
          <w:sz w:val="22"/>
          <w:vertAlign w:val="superscript"/>
          <w:lang w:val="en-GB"/>
        </w:rPr>
        <w:t>4</w:t>
      </w:r>
      <w:r w:rsidR="00D84B11">
        <w:rPr>
          <w:rFonts w:cs="Times New Roman"/>
          <w:sz w:val="22"/>
          <w:vertAlign w:val="superscript"/>
          <w:lang w:val="en-GB"/>
        </w:rPr>
        <w:t>1</w:t>
      </w:r>
      <w:r w:rsidRPr="005F3929">
        <w:rPr>
          <w:rFonts w:cs="Times New Roman"/>
          <w:sz w:val="22"/>
          <w:lang w:val="en-GB"/>
        </w:rPr>
        <w:t xml:space="preserve">, the precise role of </w:t>
      </w:r>
      <w:r w:rsidRPr="005F3929">
        <w:rPr>
          <w:rFonts w:cs="Times New Roman"/>
          <w:i/>
          <w:sz w:val="22"/>
          <w:lang w:val="en-GB"/>
        </w:rPr>
        <w:t>STAC1</w:t>
      </w:r>
      <w:r w:rsidRPr="005F3929">
        <w:rPr>
          <w:rFonts w:cs="Times New Roman"/>
          <w:sz w:val="22"/>
          <w:lang w:val="en-GB"/>
        </w:rPr>
        <w:t xml:space="preserve"> (as here), remains to be established. </w:t>
      </w:r>
    </w:p>
    <w:p w14:paraId="3D6F34C3" w14:textId="1577BAF9" w:rsidR="00E956DA" w:rsidRPr="005F3929" w:rsidRDefault="006D0A02" w:rsidP="004618D3">
      <w:pPr>
        <w:spacing w:before="0" w:after="200" w:line="480" w:lineRule="auto"/>
        <w:jc w:val="both"/>
        <w:rPr>
          <w:rFonts w:cs="Times New Roman"/>
          <w:sz w:val="22"/>
          <w:lang w:val="en-GB"/>
        </w:rPr>
      </w:pPr>
      <w:r>
        <w:rPr>
          <w:rFonts w:cs="Times New Roman"/>
          <w:sz w:val="22"/>
          <w:lang w:val="en-GB"/>
        </w:rPr>
        <w:lastRenderedPageBreak/>
        <w:t>F</w:t>
      </w:r>
      <w:r w:rsidR="00E956DA" w:rsidRPr="005F3929">
        <w:rPr>
          <w:rFonts w:cs="Times New Roman"/>
          <w:sz w:val="22"/>
          <w:lang w:val="en-GB"/>
        </w:rPr>
        <w:t>or diagnostic approaches, the sensitivity and specificity of the identified signature is key. Using a machine learning approach, we select</w:t>
      </w:r>
      <w:r w:rsidR="008E12F7">
        <w:rPr>
          <w:rFonts w:cs="Times New Roman"/>
          <w:sz w:val="22"/>
          <w:lang w:val="en-GB"/>
        </w:rPr>
        <w:t>ed</w:t>
      </w:r>
      <w:r w:rsidR="00E956DA" w:rsidRPr="005F3929">
        <w:rPr>
          <w:rFonts w:cs="Times New Roman"/>
          <w:sz w:val="22"/>
          <w:lang w:val="en-GB"/>
        </w:rPr>
        <w:t xml:space="preserve"> 10 genes which were demonstrated a sensitivity and specificity of 100%. However, to demonstrate conservative assessment of the utility of these biomarkers in DRESS, we showed that a combined panel of six genes, identified by differential gene expression statistics within the validation cohort allowed identification of the causative antibiotic in DRESS with greater accuracy than that of the initial 22 gene algorithm (sensitivity 100%, specificity 85.7%). </w:t>
      </w:r>
      <w:r w:rsidR="008E12F7">
        <w:rPr>
          <w:rFonts w:cs="Times New Roman"/>
          <w:sz w:val="22"/>
          <w:lang w:val="en-GB"/>
        </w:rPr>
        <w:t>T</w:t>
      </w:r>
      <w:r w:rsidR="00E956DA" w:rsidRPr="005F3929">
        <w:rPr>
          <w:rFonts w:cs="Times New Roman"/>
          <w:sz w:val="22"/>
          <w:lang w:val="en-GB"/>
        </w:rPr>
        <w:t xml:space="preserve">hese gene expression profiles were not evident in healthy volunteers who tolerated the drugs in question, and were not induced in other inflammatory conditions, which can mimic or precede onset of DRESS. This is an important consideration as multiple conditions can present similarly to DRESS. </w:t>
      </w:r>
    </w:p>
    <w:p w14:paraId="6E47FACC" w14:textId="05EA7BD8" w:rsidR="00E956DA" w:rsidRPr="005F3929" w:rsidRDefault="00E956DA" w:rsidP="004618D3">
      <w:pPr>
        <w:spacing w:before="0" w:after="200" w:line="480" w:lineRule="auto"/>
        <w:jc w:val="both"/>
        <w:rPr>
          <w:rFonts w:cs="Times New Roman"/>
          <w:sz w:val="22"/>
          <w:lang w:val="en-GB"/>
        </w:rPr>
      </w:pPr>
      <w:r w:rsidRPr="005F3929">
        <w:rPr>
          <w:rFonts w:cs="Times New Roman"/>
          <w:sz w:val="22"/>
          <w:lang w:val="en-GB"/>
        </w:rPr>
        <w:t>Kim et al. recently applied single-cell RNA sequencing (scRNA-seq)</w:t>
      </w:r>
      <w:r w:rsidRPr="005F3929" w:rsidDel="005D5EA9">
        <w:rPr>
          <w:rFonts w:cs="Times New Roman"/>
          <w:sz w:val="22"/>
          <w:lang w:val="en-GB"/>
        </w:rPr>
        <w:t xml:space="preserve"> </w:t>
      </w:r>
      <w:r w:rsidRPr="005F3929">
        <w:rPr>
          <w:rFonts w:cs="Times New Roman"/>
          <w:sz w:val="22"/>
          <w:lang w:val="en-GB"/>
        </w:rPr>
        <w:t>to a single case of</w:t>
      </w:r>
      <w:r w:rsidR="003F5691">
        <w:rPr>
          <w:rFonts w:cs="Times New Roman"/>
          <w:sz w:val="22"/>
          <w:lang w:val="en-GB"/>
        </w:rPr>
        <w:t xml:space="preserve"> sulfamethoxazole/trimethoprim</w:t>
      </w:r>
      <w:r w:rsidRPr="005F3929">
        <w:rPr>
          <w:rFonts w:cs="Times New Roman"/>
          <w:sz w:val="22"/>
          <w:lang w:val="en-GB"/>
        </w:rPr>
        <w:t xml:space="preserve"> DRESS, and identified transcriptomal alterations in associated with proliferation, migration, activation and signalling pathways, which then informed therapeutic options</w:t>
      </w:r>
      <w:r w:rsidRPr="005F3929">
        <w:rPr>
          <w:rFonts w:cs="Times New Roman"/>
          <w:sz w:val="22"/>
          <w:vertAlign w:val="superscript"/>
          <w:lang w:val="en-GB"/>
        </w:rPr>
        <w:t>4</w:t>
      </w:r>
      <w:r w:rsidR="00D84B11">
        <w:rPr>
          <w:rFonts w:cs="Times New Roman"/>
          <w:sz w:val="22"/>
          <w:vertAlign w:val="superscript"/>
          <w:lang w:val="en-GB"/>
        </w:rPr>
        <w:t>2</w:t>
      </w:r>
      <w:r w:rsidRPr="005F3929">
        <w:rPr>
          <w:rFonts w:cs="Times New Roman"/>
          <w:sz w:val="22"/>
          <w:lang w:val="en-GB"/>
        </w:rPr>
        <w:t xml:space="preserve">. Whilst such an approach may be ideal, scRNA-seq applicability to clinical practice is limited by high cost and need for expertise. A wholly </w:t>
      </w:r>
      <w:r w:rsidRPr="005F3929">
        <w:rPr>
          <w:rFonts w:cs="Times New Roman"/>
          <w:i/>
          <w:iCs/>
          <w:sz w:val="22"/>
          <w:lang w:val="en-GB"/>
        </w:rPr>
        <w:t>ex vivo</w:t>
      </w:r>
      <w:r w:rsidRPr="005F3929">
        <w:rPr>
          <w:rFonts w:cs="Times New Roman"/>
          <w:sz w:val="22"/>
          <w:lang w:val="en-GB"/>
        </w:rPr>
        <w:t xml:space="preserve"> diagnostic test is safe and requires only a minimal amount of blood sampling from patients. Optimisation of a test based on PBMCs mitigates the need for cell sorting which would limit feasibility for widespread use. Gene signatures derived would be inclusive of T cell activation amongst other components of PBMCs, an important consideration in DRESS. Moreover, as the incidence of DRESS is relatively low, between 1:1000 to 1:10,000 drug exposures</w:t>
      </w:r>
      <w:r w:rsidRPr="005F3929">
        <w:rPr>
          <w:rFonts w:cs="Times New Roman"/>
          <w:sz w:val="22"/>
          <w:vertAlign w:val="superscript"/>
          <w:lang w:val="en-GB"/>
        </w:rPr>
        <w:t>4</w:t>
      </w:r>
      <w:r w:rsidR="00D84B11">
        <w:rPr>
          <w:rFonts w:cs="Times New Roman"/>
          <w:sz w:val="22"/>
          <w:vertAlign w:val="superscript"/>
          <w:lang w:val="en-GB"/>
        </w:rPr>
        <w:t>3</w:t>
      </w:r>
      <w:r w:rsidRPr="005F3929">
        <w:rPr>
          <w:rFonts w:cs="Times New Roman"/>
          <w:sz w:val="22"/>
          <w:lang w:val="en-GB"/>
        </w:rPr>
        <w:t xml:space="preserve">, our preferred approach is to utilise a paired analysis (control vs drug) in diagnostic samples, which mitigates the need for validation of normal ranges for population-wide background correction. </w:t>
      </w:r>
      <w:r w:rsidR="003B022B">
        <w:rPr>
          <w:rFonts w:cs="Times New Roman"/>
          <w:sz w:val="22"/>
          <w:lang w:val="en-GB"/>
        </w:rPr>
        <w:t xml:space="preserve">Of note, the exact genes involved in the JAK-STAT pathways </w:t>
      </w:r>
      <w:r w:rsidR="003A7FDF">
        <w:rPr>
          <w:rFonts w:cs="Times New Roman"/>
          <w:sz w:val="22"/>
          <w:lang w:val="en-GB"/>
        </w:rPr>
        <w:t xml:space="preserve">in this publication </w:t>
      </w:r>
      <w:r w:rsidR="003B022B">
        <w:rPr>
          <w:rFonts w:cs="Times New Roman"/>
          <w:sz w:val="22"/>
          <w:lang w:val="en-GB"/>
        </w:rPr>
        <w:t>were not</w:t>
      </w:r>
      <w:r w:rsidR="003A7FDF">
        <w:rPr>
          <w:rFonts w:cs="Times New Roman"/>
          <w:sz w:val="22"/>
          <w:lang w:val="en-GB"/>
        </w:rPr>
        <w:t xml:space="preserve"> significantly</w:t>
      </w:r>
      <w:r w:rsidR="003B022B">
        <w:rPr>
          <w:rFonts w:cs="Times New Roman"/>
          <w:sz w:val="22"/>
          <w:lang w:val="en-GB"/>
        </w:rPr>
        <w:t xml:space="preserve"> differentially expressed in our cohorts, potentially reflecting differences </w:t>
      </w:r>
      <w:r w:rsidR="003A7FDF">
        <w:rPr>
          <w:rFonts w:cs="Times New Roman"/>
          <w:sz w:val="22"/>
          <w:lang w:val="en-GB"/>
        </w:rPr>
        <w:t>in active DRESS state as compared to following recovery</w:t>
      </w:r>
      <w:r w:rsidR="00A0763A">
        <w:rPr>
          <w:rFonts w:cs="Times New Roman"/>
          <w:sz w:val="22"/>
          <w:lang w:val="en-GB"/>
        </w:rPr>
        <w:t xml:space="preserve"> or differences in drug effects</w:t>
      </w:r>
      <w:r w:rsidR="003A7FDF">
        <w:rPr>
          <w:rFonts w:cs="Times New Roman"/>
          <w:sz w:val="22"/>
          <w:lang w:val="en-GB"/>
        </w:rPr>
        <w:t xml:space="preserve">. Further elucidation of the utility of the potential gene panel we have identified in other diseases states ie. acute or on-going DRESS </w:t>
      </w:r>
      <w:r w:rsidR="00A0763A">
        <w:rPr>
          <w:rFonts w:cs="Times New Roman"/>
          <w:sz w:val="22"/>
          <w:lang w:val="en-GB"/>
        </w:rPr>
        <w:t xml:space="preserve">and with other medications </w:t>
      </w:r>
      <w:r w:rsidR="003A7FDF">
        <w:rPr>
          <w:rFonts w:cs="Times New Roman"/>
          <w:sz w:val="22"/>
          <w:lang w:val="en-GB"/>
        </w:rPr>
        <w:t xml:space="preserve">will be necessary. </w:t>
      </w:r>
    </w:p>
    <w:p w14:paraId="5A6D5BC5" w14:textId="0F9DAF0A" w:rsidR="00E956DA" w:rsidRPr="005F3929" w:rsidRDefault="00E956DA" w:rsidP="004618D3">
      <w:pPr>
        <w:spacing w:before="0" w:after="200" w:line="480" w:lineRule="auto"/>
        <w:jc w:val="both"/>
        <w:rPr>
          <w:rFonts w:cs="Times New Roman"/>
          <w:sz w:val="22"/>
          <w:lang w:val="en-GB"/>
        </w:rPr>
      </w:pPr>
      <w:r w:rsidRPr="005F3929">
        <w:rPr>
          <w:rFonts w:cs="Times New Roman"/>
          <w:sz w:val="22"/>
          <w:lang w:val="en-GB"/>
        </w:rPr>
        <w:t>The limitations of this work include the sample size, and the restriction of the allergic cohorts tested to antibiotic induced DRESS.</w:t>
      </w:r>
      <w:r w:rsidR="00FB798B">
        <w:rPr>
          <w:rFonts w:cs="Times New Roman"/>
          <w:sz w:val="22"/>
          <w:lang w:val="en-GB"/>
        </w:rPr>
        <w:t xml:space="preserve"> Due to DRESS being a relatively uncommon condition</w:t>
      </w:r>
      <w:r w:rsidR="00FB798B" w:rsidRPr="001516AB">
        <w:rPr>
          <w:rFonts w:cs="Times New Roman"/>
          <w:sz w:val="22"/>
          <w:vertAlign w:val="superscript"/>
          <w:lang w:val="en-GB"/>
        </w:rPr>
        <w:t>4</w:t>
      </w:r>
      <w:r w:rsidR="00D84B11">
        <w:rPr>
          <w:rFonts w:cs="Times New Roman"/>
          <w:sz w:val="22"/>
          <w:vertAlign w:val="superscript"/>
          <w:lang w:val="en-GB"/>
        </w:rPr>
        <w:t>3</w:t>
      </w:r>
      <w:r w:rsidR="00333D3C" w:rsidRPr="00333D3C">
        <w:rPr>
          <w:rFonts w:cs="Times New Roman"/>
          <w:sz w:val="22"/>
          <w:lang w:val="en-GB"/>
        </w:rPr>
        <w:t>, subject</w:t>
      </w:r>
      <w:r w:rsidR="00FB798B">
        <w:rPr>
          <w:rFonts w:cs="Times New Roman"/>
          <w:sz w:val="22"/>
          <w:lang w:val="en-GB"/>
        </w:rPr>
        <w:t xml:space="preserve"> numbers with a single </w:t>
      </w:r>
      <w:r w:rsidR="00FB798B">
        <w:rPr>
          <w:rFonts w:cs="Times New Roman"/>
          <w:sz w:val="22"/>
          <w:lang w:val="en-GB"/>
        </w:rPr>
        <w:lastRenderedPageBreak/>
        <w:t xml:space="preserve">definite causative drug is limited. </w:t>
      </w:r>
      <w:r w:rsidR="00333D3C">
        <w:rPr>
          <w:rFonts w:cs="Times New Roman"/>
          <w:sz w:val="22"/>
          <w:lang w:val="en-GB"/>
        </w:rPr>
        <w:t xml:space="preserve">As significant heterogeneity exists amongst affected subjects and there are likely pathomechanistic variations of differing drugs, for this pilot study, we limited inclusion to a </w:t>
      </w:r>
      <w:r w:rsidR="00FB798B">
        <w:rPr>
          <w:rFonts w:cs="Times New Roman"/>
          <w:sz w:val="22"/>
          <w:lang w:val="en-GB"/>
        </w:rPr>
        <w:t xml:space="preserve">single </w:t>
      </w:r>
      <w:r w:rsidR="00333D3C">
        <w:rPr>
          <w:rFonts w:cs="Times New Roman"/>
          <w:sz w:val="22"/>
          <w:lang w:val="en-GB"/>
        </w:rPr>
        <w:t xml:space="preserve">class of medications ie. antibiotics as these were the subjects most frequently referred </w:t>
      </w:r>
      <w:r w:rsidR="00FB798B">
        <w:rPr>
          <w:rFonts w:cs="Times New Roman"/>
          <w:sz w:val="22"/>
          <w:lang w:val="en-GB"/>
        </w:rPr>
        <w:t xml:space="preserve">to our centre </w:t>
      </w:r>
      <w:r w:rsidR="00333D3C">
        <w:rPr>
          <w:rFonts w:cs="Times New Roman"/>
          <w:sz w:val="22"/>
          <w:lang w:val="en-GB"/>
        </w:rPr>
        <w:t xml:space="preserve">for diagnostic investigations. </w:t>
      </w:r>
      <w:r w:rsidRPr="005F3929">
        <w:rPr>
          <w:rFonts w:cs="Times New Roman"/>
          <w:sz w:val="22"/>
          <w:lang w:val="en-GB"/>
        </w:rPr>
        <w:t xml:space="preserve"> </w:t>
      </w:r>
      <w:r w:rsidR="00357CC5">
        <w:rPr>
          <w:rFonts w:cs="Times New Roman"/>
          <w:sz w:val="22"/>
          <w:lang w:val="en-GB"/>
        </w:rPr>
        <w:t>I</w:t>
      </w:r>
      <w:r w:rsidRPr="005F3929">
        <w:rPr>
          <w:rFonts w:cs="Times New Roman"/>
          <w:sz w:val="22"/>
          <w:lang w:val="en-GB"/>
        </w:rPr>
        <w:t xml:space="preserve">t remains uncertain whether this transcriptomic signature can be applied to other </w:t>
      </w:r>
      <w:r w:rsidR="00357CC5">
        <w:rPr>
          <w:rFonts w:cs="Times New Roman"/>
          <w:sz w:val="22"/>
          <w:lang w:val="en-GB"/>
        </w:rPr>
        <w:t xml:space="preserve">larger cohorts of DRESS subjects due to other medication and different </w:t>
      </w:r>
      <w:r w:rsidRPr="005F3929">
        <w:rPr>
          <w:rFonts w:cs="Times New Roman"/>
          <w:sz w:val="22"/>
          <w:lang w:val="en-GB"/>
        </w:rPr>
        <w:t>phenotypes e.g. Stevens-Johnson syndrome</w:t>
      </w:r>
      <w:r w:rsidR="00357CC5">
        <w:rPr>
          <w:rFonts w:cs="Times New Roman"/>
          <w:sz w:val="22"/>
          <w:lang w:val="en-GB"/>
        </w:rPr>
        <w:t xml:space="preserve">. </w:t>
      </w:r>
      <w:r w:rsidR="00A35D86" w:rsidRPr="00A35D86">
        <w:rPr>
          <w:rFonts w:cs="Times New Roman"/>
          <w:sz w:val="22"/>
          <w:lang w:val="en-GB"/>
        </w:rPr>
        <w:t xml:space="preserve">Future work involving comparison of current biomarker panel with DRESS induced by other classes of medications </w:t>
      </w:r>
      <w:r w:rsidR="00A35D86">
        <w:rPr>
          <w:rFonts w:cs="Times New Roman"/>
          <w:sz w:val="22"/>
          <w:lang w:val="en-GB"/>
        </w:rPr>
        <w:t xml:space="preserve">as well as in larger cohorts will </w:t>
      </w:r>
      <w:r w:rsidR="00A35D86" w:rsidRPr="00A35D86">
        <w:rPr>
          <w:rFonts w:cs="Times New Roman"/>
          <w:sz w:val="22"/>
          <w:lang w:val="en-GB"/>
        </w:rPr>
        <w:t>be crucial</w:t>
      </w:r>
      <w:r w:rsidR="00A35D86">
        <w:rPr>
          <w:rFonts w:cs="Times New Roman"/>
          <w:sz w:val="22"/>
          <w:lang w:val="en-GB"/>
        </w:rPr>
        <w:t xml:space="preserve">. </w:t>
      </w:r>
      <w:r w:rsidRPr="005F3929">
        <w:rPr>
          <w:rFonts w:cs="Times New Roman"/>
          <w:sz w:val="22"/>
          <w:lang w:val="en-GB"/>
        </w:rPr>
        <w:t xml:space="preserve">Additionally, our tested patients with DRESS were otherwise well at the time of sampling, and therefore, we have no data on the utility of this test in acutely ill patients. Whilst testing during the recovery phase enables baseline drug-induced activation to be established, it is likely there are multiple components to DRESS signature changes with differences between the acute and resolution phase or even variability dependent on the DRESS-phenotype. Gene expression profiles identified in this study are not specific to T cells due to usage of PBMCs and would have included other cellular components. Whilst comparison had been performed on whole blood transcriptome in three comparator datasets due to absence of RNAseq data from PBMCs only, pipeline processing would not have significantly differed and observed alterations would have been inclusive of those in PBMCs. </w:t>
      </w:r>
      <w:r w:rsidRPr="005F3929">
        <w:rPr>
          <w:rFonts w:cs="Times New Roman"/>
          <w:sz w:val="22"/>
        </w:rPr>
        <w:t xml:space="preserve">To compensate for the possible differences in sample composition, comparison was carried out for specific gene signatures, independent of other genes expressed in comparator samples. </w:t>
      </w:r>
    </w:p>
    <w:p w14:paraId="3066718E" w14:textId="224CCE1C" w:rsidR="00E956DA" w:rsidRPr="005F3929" w:rsidRDefault="00E956DA" w:rsidP="004618D3">
      <w:pPr>
        <w:spacing w:before="0" w:after="200" w:line="480" w:lineRule="auto"/>
        <w:jc w:val="both"/>
        <w:rPr>
          <w:rFonts w:cs="Times New Roman"/>
          <w:sz w:val="22"/>
          <w:lang w:val="en-GB"/>
        </w:rPr>
      </w:pPr>
      <w:r w:rsidRPr="005F3929">
        <w:rPr>
          <w:rFonts w:cs="Times New Roman"/>
          <w:sz w:val="22"/>
          <w:lang w:val="en-GB"/>
        </w:rPr>
        <w:t>In summary, we</w:t>
      </w:r>
      <w:r w:rsidR="00357CC5">
        <w:rPr>
          <w:rFonts w:cs="Times New Roman"/>
          <w:sz w:val="22"/>
          <w:lang w:val="en-GB"/>
        </w:rPr>
        <w:t xml:space="preserve"> have identified a potential </w:t>
      </w:r>
      <w:r w:rsidRPr="005F3929">
        <w:rPr>
          <w:rFonts w:cs="Times New Roman"/>
          <w:sz w:val="22"/>
          <w:lang w:val="en-GB"/>
        </w:rPr>
        <w:t xml:space="preserve">panel of gene transcripts, which can be measured on a pre-printed array card, </w:t>
      </w:r>
      <w:r w:rsidR="00357CC5">
        <w:rPr>
          <w:rFonts w:cs="Times New Roman"/>
          <w:sz w:val="22"/>
          <w:lang w:val="en-GB"/>
        </w:rPr>
        <w:t>which may offer a</w:t>
      </w:r>
      <w:r w:rsidRPr="005F3929">
        <w:rPr>
          <w:rFonts w:cs="Times New Roman"/>
          <w:sz w:val="22"/>
          <w:lang w:val="en-GB"/>
        </w:rPr>
        <w:t xml:space="preserve"> useful diagnostic test in antibiotic-associated DRESS with a conservative assessment of 85.7% prediction rate (0.48-0.99 95% CI), and sensitivity of 100% and specificity of 85.7%. The advantage of this approach is that such gene card testing is familiar to hospital laboratories and therefore this technology is scalable for routine use. Further work is required to determine whether the same panel can be used for</w:t>
      </w:r>
      <w:r w:rsidR="00357CC5">
        <w:rPr>
          <w:rFonts w:cs="Times New Roman"/>
          <w:sz w:val="22"/>
          <w:lang w:val="en-GB"/>
        </w:rPr>
        <w:t xml:space="preserve"> larger cohorts, different medications, and</w:t>
      </w:r>
      <w:r w:rsidRPr="005F3929">
        <w:rPr>
          <w:rFonts w:cs="Times New Roman"/>
          <w:sz w:val="22"/>
          <w:lang w:val="en-GB"/>
        </w:rPr>
        <w:t xml:space="preserve"> other </w:t>
      </w:r>
      <w:r w:rsidR="00357CC5">
        <w:rPr>
          <w:rFonts w:cs="Times New Roman"/>
          <w:sz w:val="22"/>
          <w:lang w:val="en-GB"/>
        </w:rPr>
        <w:t xml:space="preserve">T cell mediated </w:t>
      </w:r>
      <w:r w:rsidRPr="005F3929">
        <w:rPr>
          <w:rFonts w:cs="Times New Roman"/>
          <w:sz w:val="22"/>
          <w:lang w:val="en-GB"/>
        </w:rPr>
        <w:t xml:space="preserve">drug hypersensitivity reactions. </w:t>
      </w:r>
    </w:p>
    <w:p w14:paraId="651F1805" w14:textId="77777777" w:rsidR="00E956DA" w:rsidRPr="005F3929" w:rsidRDefault="00E956DA" w:rsidP="005F3929">
      <w:pPr>
        <w:spacing w:before="0" w:after="200" w:line="480" w:lineRule="auto"/>
        <w:rPr>
          <w:rFonts w:cs="Times New Roman"/>
          <w:b/>
          <w:bCs/>
          <w:sz w:val="22"/>
          <w:lang w:val="en-GB"/>
        </w:rPr>
      </w:pPr>
      <w:r w:rsidRPr="005F3929">
        <w:rPr>
          <w:rFonts w:cs="Times New Roman"/>
          <w:b/>
          <w:bCs/>
          <w:sz w:val="22"/>
          <w:lang w:val="en-GB"/>
        </w:rPr>
        <w:br w:type="page"/>
      </w:r>
      <w:r w:rsidRPr="005F3929">
        <w:rPr>
          <w:rFonts w:cs="Times New Roman"/>
          <w:b/>
          <w:bCs/>
          <w:sz w:val="22"/>
        </w:rPr>
        <w:lastRenderedPageBreak/>
        <w:t>Conflict of Interest</w:t>
      </w:r>
    </w:p>
    <w:p w14:paraId="74E963EF" w14:textId="77777777" w:rsidR="00E956DA" w:rsidRPr="005F3929" w:rsidRDefault="00E956DA" w:rsidP="005F3929">
      <w:pPr>
        <w:spacing w:line="480" w:lineRule="auto"/>
        <w:rPr>
          <w:rFonts w:eastAsia="Times New Roman" w:cs="Times New Roman"/>
          <w:iCs/>
          <w:sz w:val="22"/>
          <w:lang w:val="en-GB" w:eastAsia="en-GB"/>
        </w:rPr>
      </w:pPr>
      <w:r w:rsidRPr="005F3929">
        <w:rPr>
          <w:rFonts w:eastAsia="Times New Roman" w:cs="Times New Roman"/>
          <w:iCs/>
          <w:sz w:val="22"/>
          <w:lang w:val="en-GB" w:eastAsia="en-GB"/>
        </w:rPr>
        <w:t>The authors declare that the research was conducted in the absence of any commercial or financial relationships that could be construed as a potential conflict of interest.</w:t>
      </w:r>
    </w:p>
    <w:p w14:paraId="38ABCC26" w14:textId="77777777" w:rsidR="00E956DA" w:rsidRPr="005F3929" w:rsidRDefault="00E956DA" w:rsidP="005F3929">
      <w:pPr>
        <w:spacing w:line="480" w:lineRule="auto"/>
        <w:rPr>
          <w:rFonts w:cs="Times New Roman"/>
          <w:b/>
          <w:bCs/>
          <w:iCs/>
          <w:sz w:val="22"/>
        </w:rPr>
      </w:pPr>
      <w:r w:rsidRPr="005F3929">
        <w:rPr>
          <w:rFonts w:cs="Times New Roman"/>
          <w:b/>
          <w:bCs/>
          <w:sz w:val="22"/>
        </w:rPr>
        <w:t>Author Contributions</w:t>
      </w:r>
    </w:p>
    <w:p w14:paraId="31C39F41" w14:textId="77777777" w:rsidR="00E956DA" w:rsidRPr="005F3929" w:rsidRDefault="00E956DA" w:rsidP="005F3929">
      <w:pPr>
        <w:spacing w:line="480" w:lineRule="auto"/>
        <w:rPr>
          <w:rFonts w:cs="Times New Roman"/>
          <w:sz w:val="22"/>
          <w:lang w:val="en-GB"/>
        </w:rPr>
      </w:pPr>
      <w:r w:rsidRPr="005F3929">
        <w:rPr>
          <w:rFonts w:cs="Times New Roman"/>
          <w:sz w:val="22"/>
          <w:lang w:val="en-GB"/>
        </w:rPr>
        <w:t>YXT and WYH performed experiments, analysed data and drafted the manuscript. AFV analysed data and provided technical support. CG performed experiments. JW analysed data. PSF contributed to study design and oversaw writing of the manuscript. MEP and MAJ designed the research study, analysed data and oversaw writing of the manuscript.</w:t>
      </w:r>
    </w:p>
    <w:p w14:paraId="38C14519" w14:textId="77777777" w:rsidR="00E956DA" w:rsidRPr="005F3929" w:rsidRDefault="00E956DA" w:rsidP="005F3929">
      <w:pPr>
        <w:spacing w:line="480" w:lineRule="auto"/>
        <w:rPr>
          <w:rFonts w:cs="Times New Roman"/>
          <w:b/>
          <w:bCs/>
          <w:sz w:val="22"/>
          <w:lang w:val="en-GB"/>
        </w:rPr>
      </w:pPr>
      <w:r w:rsidRPr="005F3929">
        <w:rPr>
          <w:rFonts w:cs="Times New Roman"/>
          <w:b/>
          <w:bCs/>
          <w:sz w:val="22"/>
        </w:rPr>
        <w:t>Funding</w:t>
      </w:r>
    </w:p>
    <w:p w14:paraId="6984AAAB" w14:textId="77777777" w:rsidR="00E956DA" w:rsidRPr="005F3929" w:rsidRDefault="00E956DA" w:rsidP="005F3929">
      <w:pPr>
        <w:spacing w:line="480" w:lineRule="auto"/>
        <w:rPr>
          <w:rFonts w:cs="Times New Roman"/>
          <w:bCs/>
          <w:sz w:val="22"/>
          <w:lang w:val="en-GB"/>
        </w:rPr>
      </w:pPr>
      <w:r w:rsidRPr="005F3929">
        <w:rPr>
          <w:rFonts w:cs="Times New Roman"/>
          <w:bCs/>
          <w:sz w:val="22"/>
          <w:lang w:val="en-GB"/>
        </w:rPr>
        <w:t>This work was supported by the British Skin Foundation (BSF8021). MEP is funded by the Wellcome Trust (109377/Z/15/Z).</w:t>
      </w:r>
    </w:p>
    <w:p w14:paraId="2194531D" w14:textId="77777777" w:rsidR="00E956DA" w:rsidRPr="005F3929" w:rsidRDefault="00E956DA" w:rsidP="005F3929">
      <w:pPr>
        <w:spacing w:before="0" w:after="0" w:line="480" w:lineRule="auto"/>
        <w:rPr>
          <w:rFonts w:cs="Times New Roman"/>
          <w:bCs/>
          <w:sz w:val="22"/>
          <w:lang w:val="en-GB"/>
        </w:rPr>
      </w:pPr>
      <w:r w:rsidRPr="005F3929">
        <w:rPr>
          <w:rFonts w:cs="Times New Roman"/>
          <w:b/>
          <w:bCs/>
          <w:sz w:val="22"/>
          <w:lang w:val="en-GB"/>
        </w:rPr>
        <w:t>Abbreviations</w:t>
      </w:r>
      <w:r w:rsidRPr="005F3929">
        <w:rPr>
          <w:rFonts w:cs="Times New Roman"/>
          <w:bCs/>
          <w:sz w:val="22"/>
          <w:lang w:val="en-GB"/>
        </w:rPr>
        <w:t xml:space="preserve"> </w:t>
      </w:r>
    </w:p>
    <w:p w14:paraId="52455614" w14:textId="77777777" w:rsidR="00E956DA" w:rsidRPr="005F3929" w:rsidRDefault="00E956DA" w:rsidP="005F3929">
      <w:pPr>
        <w:spacing w:before="0" w:after="0" w:line="480" w:lineRule="auto"/>
        <w:rPr>
          <w:rFonts w:cs="Times New Roman"/>
          <w:bCs/>
          <w:sz w:val="22"/>
          <w:lang w:val="en-GB"/>
        </w:rPr>
      </w:pPr>
      <w:r w:rsidRPr="005F3929">
        <w:rPr>
          <w:rFonts w:cs="Times New Roman"/>
          <w:bCs/>
          <w:sz w:val="22"/>
          <w:lang w:val="en-GB"/>
        </w:rPr>
        <w:t>Counts per million (cpm)</w:t>
      </w:r>
    </w:p>
    <w:p w14:paraId="49040F3D" w14:textId="77777777" w:rsidR="00E956DA" w:rsidRPr="005F3929" w:rsidRDefault="00E956DA" w:rsidP="005F3929">
      <w:pPr>
        <w:spacing w:before="0" w:after="0" w:line="480" w:lineRule="auto"/>
        <w:rPr>
          <w:rFonts w:cs="Times New Roman"/>
          <w:bCs/>
          <w:sz w:val="22"/>
          <w:lang w:val="en-GB"/>
        </w:rPr>
      </w:pPr>
      <w:r w:rsidRPr="005F3929">
        <w:rPr>
          <w:rFonts w:cs="Times New Roman"/>
          <w:bCs/>
          <w:sz w:val="22"/>
          <w:lang w:val="en-GB"/>
        </w:rPr>
        <w:t>Differentially expressed genes (DEGs)</w:t>
      </w:r>
    </w:p>
    <w:p w14:paraId="3BC9660F" w14:textId="77777777" w:rsidR="00E956DA" w:rsidRPr="005F3929" w:rsidRDefault="00E956DA" w:rsidP="005F3929">
      <w:pPr>
        <w:spacing w:before="0" w:after="0" w:line="480" w:lineRule="auto"/>
        <w:rPr>
          <w:rFonts w:cs="Times New Roman"/>
          <w:bCs/>
          <w:sz w:val="22"/>
          <w:lang w:val="en-GB"/>
        </w:rPr>
      </w:pPr>
      <w:r w:rsidRPr="005F3929">
        <w:rPr>
          <w:rFonts w:cs="Times New Roman"/>
          <w:bCs/>
          <w:sz w:val="22"/>
          <w:lang w:val="en-GB"/>
        </w:rPr>
        <w:t>Drug hypersensitivity reaction (DHR)</w:t>
      </w:r>
    </w:p>
    <w:p w14:paraId="385D318E" w14:textId="77777777" w:rsidR="00E956DA" w:rsidRPr="005F3929" w:rsidRDefault="00E956DA" w:rsidP="005F3929">
      <w:pPr>
        <w:spacing w:before="0" w:after="0" w:line="480" w:lineRule="auto"/>
        <w:rPr>
          <w:rFonts w:cs="Times New Roman"/>
          <w:bCs/>
          <w:sz w:val="22"/>
          <w:lang w:val="en-GB"/>
        </w:rPr>
      </w:pPr>
      <w:r w:rsidRPr="005F3929">
        <w:rPr>
          <w:rFonts w:cs="Times New Roman"/>
          <w:bCs/>
          <w:sz w:val="22"/>
          <w:lang w:val="en-GB"/>
        </w:rPr>
        <w:t>Drug reaction with eosinophilia and systemic symptoms (DRESS)</w:t>
      </w:r>
    </w:p>
    <w:p w14:paraId="6A42E1D6" w14:textId="77777777" w:rsidR="00E956DA" w:rsidRPr="005F3929" w:rsidRDefault="00E956DA" w:rsidP="005F3929">
      <w:pPr>
        <w:spacing w:before="0" w:after="0" w:line="480" w:lineRule="auto"/>
        <w:rPr>
          <w:rFonts w:cs="Times New Roman"/>
          <w:bCs/>
          <w:sz w:val="22"/>
          <w:lang w:val="en-GB"/>
        </w:rPr>
      </w:pPr>
      <w:r w:rsidRPr="005F3929">
        <w:rPr>
          <w:rFonts w:cs="Times New Roman"/>
          <w:bCs/>
          <w:sz w:val="22"/>
          <w:lang w:val="en-GB"/>
        </w:rPr>
        <w:t>Enzyme-linked immunospot (ELISpot)</w:t>
      </w:r>
    </w:p>
    <w:p w14:paraId="22DEB300" w14:textId="77777777" w:rsidR="00E956DA" w:rsidRPr="005F3929" w:rsidRDefault="00E956DA" w:rsidP="005F3929">
      <w:pPr>
        <w:spacing w:before="0" w:after="0" w:line="480" w:lineRule="auto"/>
        <w:rPr>
          <w:rFonts w:cs="Times New Roman"/>
          <w:bCs/>
          <w:sz w:val="22"/>
          <w:lang w:val="en-GB"/>
        </w:rPr>
      </w:pPr>
      <w:r w:rsidRPr="005F3929">
        <w:rPr>
          <w:rFonts w:cs="Times New Roman"/>
          <w:bCs/>
          <w:sz w:val="22"/>
          <w:lang w:val="en-GB"/>
        </w:rPr>
        <w:t>Fold change (FC)</w:t>
      </w:r>
    </w:p>
    <w:p w14:paraId="5485BBD3" w14:textId="77777777" w:rsidR="00E956DA" w:rsidRPr="005F3929" w:rsidRDefault="00E956DA" w:rsidP="005F3929">
      <w:pPr>
        <w:spacing w:before="0" w:after="0" w:line="480" w:lineRule="auto"/>
        <w:rPr>
          <w:rFonts w:cs="Times New Roman"/>
          <w:bCs/>
          <w:sz w:val="22"/>
          <w:lang w:val="en-GB"/>
        </w:rPr>
      </w:pPr>
      <w:r w:rsidRPr="005F3929">
        <w:rPr>
          <w:rFonts w:cs="Times New Roman"/>
          <w:bCs/>
          <w:sz w:val="22"/>
          <w:lang w:val="en-GB"/>
        </w:rPr>
        <w:t>Gene set enrichment analysis (GSEA)</w:t>
      </w:r>
    </w:p>
    <w:p w14:paraId="298369AA" w14:textId="77777777" w:rsidR="00E956DA" w:rsidRPr="005F3929" w:rsidRDefault="00E956DA" w:rsidP="005F3929">
      <w:pPr>
        <w:spacing w:before="0" w:after="0" w:line="480" w:lineRule="auto"/>
        <w:rPr>
          <w:rFonts w:cs="Times New Roman"/>
          <w:bCs/>
          <w:sz w:val="22"/>
          <w:lang w:val="en-GB"/>
        </w:rPr>
      </w:pPr>
      <w:r w:rsidRPr="005F3929">
        <w:rPr>
          <w:rFonts w:cs="Times New Roman"/>
          <w:bCs/>
          <w:sz w:val="22"/>
          <w:lang w:val="en-GB"/>
        </w:rPr>
        <w:t>Interferon gamma (IFN-γ)</w:t>
      </w:r>
    </w:p>
    <w:p w14:paraId="31797AB2" w14:textId="77777777" w:rsidR="00E956DA" w:rsidRPr="005F3929" w:rsidRDefault="00E956DA" w:rsidP="005F3929">
      <w:pPr>
        <w:spacing w:before="0" w:after="0" w:line="480" w:lineRule="auto"/>
        <w:rPr>
          <w:rFonts w:cs="Times New Roman"/>
          <w:bCs/>
          <w:sz w:val="22"/>
          <w:lang w:val="en-GB"/>
        </w:rPr>
      </w:pPr>
      <w:r w:rsidRPr="005F3929">
        <w:rPr>
          <w:rFonts w:cs="Times New Roman"/>
          <w:bCs/>
          <w:sz w:val="22"/>
          <w:lang w:val="en-GB"/>
        </w:rPr>
        <w:t>Lymphocyte proliferation assay (LPA)</w:t>
      </w:r>
    </w:p>
    <w:p w14:paraId="1C64D3A3" w14:textId="77777777" w:rsidR="00E956DA" w:rsidRPr="005F3929" w:rsidRDefault="00E956DA" w:rsidP="005F3929">
      <w:pPr>
        <w:spacing w:before="0" w:after="0" w:line="480" w:lineRule="auto"/>
        <w:rPr>
          <w:rFonts w:cs="Times New Roman"/>
          <w:bCs/>
          <w:sz w:val="22"/>
          <w:lang w:val="en-GB"/>
        </w:rPr>
      </w:pPr>
      <w:r w:rsidRPr="005F3929">
        <w:rPr>
          <w:rFonts w:cs="Times New Roman"/>
          <w:bCs/>
          <w:sz w:val="22"/>
          <w:lang w:val="en-GB"/>
        </w:rPr>
        <w:t>Molecular assay test (MAT)</w:t>
      </w:r>
    </w:p>
    <w:p w14:paraId="6317C6F1" w14:textId="77777777" w:rsidR="00E956DA" w:rsidRPr="005F3929" w:rsidRDefault="00E956DA" w:rsidP="005F3929">
      <w:pPr>
        <w:spacing w:before="0" w:after="0" w:line="480" w:lineRule="auto"/>
        <w:rPr>
          <w:rFonts w:cs="Times New Roman"/>
          <w:bCs/>
          <w:sz w:val="22"/>
          <w:lang w:val="en-GB"/>
        </w:rPr>
      </w:pPr>
      <w:r w:rsidRPr="005F3929">
        <w:rPr>
          <w:rFonts w:cs="Times New Roman"/>
          <w:bCs/>
          <w:sz w:val="22"/>
          <w:lang w:val="en-GB"/>
        </w:rPr>
        <w:t>Peripheral blood mononuclear cells (PBMCs)</w:t>
      </w:r>
    </w:p>
    <w:p w14:paraId="2237E445" w14:textId="77777777" w:rsidR="00E956DA" w:rsidRPr="005F3929" w:rsidRDefault="00E956DA" w:rsidP="005F3929">
      <w:pPr>
        <w:spacing w:before="0" w:after="0" w:line="480" w:lineRule="auto"/>
        <w:rPr>
          <w:rFonts w:cs="Times New Roman"/>
          <w:bCs/>
          <w:sz w:val="22"/>
          <w:lang w:val="en-GB"/>
        </w:rPr>
      </w:pPr>
      <w:r w:rsidRPr="005F3929">
        <w:rPr>
          <w:rFonts w:cs="Times New Roman"/>
          <w:bCs/>
          <w:sz w:val="22"/>
          <w:lang w:val="en-GB"/>
        </w:rPr>
        <w:t>Quantitative polymerase chain reaction (qPCR)</w:t>
      </w:r>
    </w:p>
    <w:p w14:paraId="553CE0F0" w14:textId="77777777" w:rsidR="00E956DA" w:rsidRPr="005F3929" w:rsidRDefault="00E956DA" w:rsidP="005F3929">
      <w:pPr>
        <w:spacing w:before="0" w:after="0" w:line="480" w:lineRule="auto"/>
        <w:rPr>
          <w:rFonts w:cs="Times New Roman"/>
          <w:bCs/>
          <w:sz w:val="22"/>
          <w:lang w:val="en-GB"/>
        </w:rPr>
      </w:pPr>
      <w:r w:rsidRPr="005F3929">
        <w:rPr>
          <w:rFonts w:cs="Times New Roman"/>
          <w:bCs/>
          <w:sz w:val="22"/>
          <w:lang w:val="en-GB"/>
        </w:rPr>
        <w:lastRenderedPageBreak/>
        <w:t>Registry of Severe Cutaneous Adverse Reaction (RegiSCAR)</w:t>
      </w:r>
    </w:p>
    <w:p w14:paraId="1B8E4808" w14:textId="77777777" w:rsidR="00E956DA" w:rsidRPr="005F3929" w:rsidRDefault="00E956DA" w:rsidP="005F3929">
      <w:pPr>
        <w:spacing w:before="0" w:after="0" w:line="480" w:lineRule="auto"/>
        <w:rPr>
          <w:rFonts w:cs="Times New Roman"/>
          <w:bCs/>
          <w:sz w:val="22"/>
          <w:lang w:val="en-GB"/>
        </w:rPr>
      </w:pPr>
      <w:r w:rsidRPr="005F3929">
        <w:rPr>
          <w:rFonts w:cs="Times New Roman"/>
          <w:bCs/>
          <w:sz w:val="22"/>
          <w:lang w:val="en-GB"/>
        </w:rPr>
        <w:t>Ribonucleic acid-sequencing (RNA-seq)</w:t>
      </w:r>
    </w:p>
    <w:p w14:paraId="3C6E2383" w14:textId="77777777" w:rsidR="00E956DA" w:rsidRPr="005F3929" w:rsidRDefault="00E956DA" w:rsidP="005F3929">
      <w:pPr>
        <w:spacing w:before="0" w:after="0" w:line="480" w:lineRule="auto"/>
        <w:rPr>
          <w:rFonts w:cs="Times New Roman"/>
          <w:bCs/>
          <w:sz w:val="22"/>
          <w:lang w:val="en-GB"/>
        </w:rPr>
      </w:pPr>
      <w:r w:rsidRPr="005F3929">
        <w:rPr>
          <w:rFonts w:cs="Times New Roman"/>
          <w:bCs/>
          <w:sz w:val="22"/>
          <w:lang w:val="en-GB"/>
        </w:rPr>
        <w:t>Reverse transcriptase polymerase chain reaction (RT-PCR)</w:t>
      </w:r>
    </w:p>
    <w:p w14:paraId="685532CD" w14:textId="77777777" w:rsidR="00E956DA" w:rsidRPr="005F3929" w:rsidRDefault="00E956DA" w:rsidP="005F3929">
      <w:pPr>
        <w:spacing w:before="0" w:after="0" w:line="480" w:lineRule="auto"/>
        <w:rPr>
          <w:rFonts w:cs="Times New Roman"/>
          <w:bCs/>
          <w:sz w:val="22"/>
          <w:lang w:val="en-GB"/>
        </w:rPr>
      </w:pPr>
      <w:r w:rsidRPr="005F3929">
        <w:rPr>
          <w:rFonts w:cs="Times New Roman"/>
          <w:bCs/>
          <w:sz w:val="22"/>
          <w:lang w:val="en-GB"/>
        </w:rPr>
        <w:t>Trimmed mean of M values (TMM)</w:t>
      </w:r>
    </w:p>
    <w:p w14:paraId="3864B8C3" w14:textId="77777777" w:rsidR="00E956DA" w:rsidRPr="005F3929" w:rsidRDefault="00E956DA" w:rsidP="005F3929">
      <w:pPr>
        <w:spacing w:before="0" w:after="200" w:line="480" w:lineRule="auto"/>
        <w:rPr>
          <w:rFonts w:cs="Times New Roman"/>
          <w:b/>
          <w:bCs/>
          <w:sz w:val="22"/>
        </w:rPr>
      </w:pPr>
      <w:r w:rsidRPr="005F3929">
        <w:rPr>
          <w:rFonts w:cs="Times New Roman"/>
          <w:b/>
          <w:bCs/>
          <w:sz w:val="22"/>
        </w:rPr>
        <w:t>Data Availability Statement</w:t>
      </w:r>
    </w:p>
    <w:p w14:paraId="0B10F15A" w14:textId="77777777" w:rsidR="00E956DA" w:rsidRPr="005F3929" w:rsidRDefault="00E956DA" w:rsidP="005F3929">
      <w:pPr>
        <w:spacing w:before="0" w:after="200" w:line="480" w:lineRule="auto"/>
        <w:rPr>
          <w:rFonts w:cs="Times New Roman"/>
          <w:sz w:val="22"/>
          <w:lang w:val="en-GB"/>
        </w:rPr>
      </w:pPr>
      <w:r w:rsidRPr="005F3929">
        <w:rPr>
          <w:rFonts w:cs="Times New Roman"/>
          <w:sz w:val="22"/>
          <w:lang w:val="en-GB"/>
        </w:rPr>
        <w:t>The datasets generated for this study can be found in Gene Expression Omnibus (GEO) under accession number GSE160369 (https://www.ncbi.nlm.nih.gov/geo/query/acc.cgi?acc=GSE160369).</w:t>
      </w:r>
    </w:p>
    <w:p w14:paraId="2407BB60" w14:textId="77777777" w:rsidR="00E956DA" w:rsidRPr="005F3929" w:rsidRDefault="00E956DA" w:rsidP="005F3929">
      <w:pPr>
        <w:spacing w:before="0" w:after="200" w:line="480" w:lineRule="auto"/>
        <w:rPr>
          <w:rFonts w:cs="Times New Roman"/>
          <w:b/>
          <w:bCs/>
          <w:sz w:val="22"/>
        </w:rPr>
      </w:pPr>
      <w:r w:rsidRPr="005F3929">
        <w:rPr>
          <w:rFonts w:cs="Times New Roman"/>
          <w:b/>
          <w:bCs/>
          <w:sz w:val="22"/>
        </w:rPr>
        <w:br w:type="page"/>
      </w:r>
    </w:p>
    <w:p w14:paraId="57AC15C2" w14:textId="77777777" w:rsidR="00E956DA" w:rsidRPr="005F3929" w:rsidRDefault="00E956DA" w:rsidP="005F3929">
      <w:pPr>
        <w:spacing w:line="480" w:lineRule="auto"/>
        <w:rPr>
          <w:rFonts w:cs="Times New Roman"/>
          <w:b/>
          <w:bCs/>
          <w:sz w:val="22"/>
          <w:shd w:val="clear" w:color="auto" w:fill="FFFFFF"/>
        </w:rPr>
      </w:pPr>
      <w:r w:rsidRPr="005F3929">
        <w:rPr>
          <w:rFonts w:cs="Times New Roman"/>
          <w:b/>
          <w:bCs/>
          <w:sz w:val="22"/>
        </w:rPr>
        <w:lastRenderedPageBreak/>
        <w:t>References</w:t>
      </w:r>
    </w:p>
    <w:p w14:paraId="7FCBA30B"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1.</w:t>
      </w:r>
      <w:r w:rsidRPr="005F3929">
        <w:rPr>
          <w:rFonts w:eastAsia="Calibri" w:cs="Times New Roman"/>
          <w:noProof/>
          <w:sz w:val="22"/>
        </w:rPr>
        <w:tab/>
        <w:t>Brockow K, Ardern-Jones MR, Mockenhaupt M, Aberer W, Barbaud A, Caubet JC, et al. EAACI position paper on how to classify cutaneous manifestations of drug hypersensitivity. Allergy. 2019;74(1):14-27.</w:t>
      </w:r>
    </w:p>
    <w:p w14:paraId="423AC898"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2.</w:t>
      </w:r>
      <w:r w:rsidRPr="005F3929">
        <w:rPr>
          <w:rFonts w:eastAsia="Calibri" w:cs="Times New Roman"/>
          <w:noProof/>
          <w:sz w:val="22"/>
        </w:rPr>
        <w:tab/>
        <w:t>Ardern-Jones MR, Mockenhaupt M. Making a diagnosis in severe cutaneous drug hypersensitivity reactions. Curr Opin Allergy Clin Immunol. 2019;19(4):283-93.</w:t>
      </w:r>
    </w:p>
    <w:p w14:paraId="642E42C3"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3.</w:t>
      </w:r>
      <w:r w:rsidRPr="005F3929">
        <w:rPr>
          <w:rFonts w:eastAsia="Calibri" w:cs="Times New Roman"/>
          <w:noProof/>
          <w:sz w:val="22"/>
        </w:rPr>
        <w:tab/>
        <w:t>Shiohara T, Iijima M, Ikezawa Z, et al. The diagnosis of a DRESS syndrome has been sufficiently established on the basis of typical clinical features and viral reactivations. Br J Dermatol. 2007;156(5):1083-4.</w:t>
      </w:r>
    </w:p>
    <w:p w14:paraId="5DC420FC"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4.</w:t>
      </w:r>
      <w:r w:rsidRPr="005F3929">
        <w:rPr>
          <w:rFonts w:eastAsia="Calibri" w:cs="Times New Roman"/>
          <w:noProof/>
          <w:sz w:val="22"/>
        </w:rPr>
        <w:tab/>
        <w:t>Kardaun SH, Sekula P, Valeyrie-Allanore L, Liss Y, Chu CY, Creamer D, et al. Drug reaction with eosinophilia and systemic symptoms (DRESS): an original multisystem adverse drug reaction. Results from the prospective RegiSCAR study. Br J Dermatol. 2013;169(5):1071-80.</w:t>
      </w:r>
    </w:p>
    <w:p w14:paraId="48323DD6"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5.</w:t>
      </w:r>
      <w:r w:rsidRPr="005F3929">
        <w:rPr>
          <w:rFonts w:eastAsia="Calibri" w:cs="Times New Roman"/>
          <w:noProof/>
          <w:sz w:val="22"/>
        </w:rPr>
        <w:tab/>
        <w:t>Chen Y-C, Chiu H-C, Chu C-Y. Drug Reaction With Eosinophilia and Systemic Symptoms: A Retrospective Study of 60 Cases. Arch Dermatol. 2010;146(12):1373-9.</w:t>
      </w:r>
    </w:p>
    <w:p w14:paraId="4A7B0FDC"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6.</w:t>
      </w:r>
      <w:r w:rsidRPr="005F3929">
        <w:rPr>
          <w:rFonts w:eastAsia="Calibri" w:cs="Times New Roman"/>
          <w:noProof/>
          <w:sz w:val="22"/>
        </w:rPr>
        <w:tab/>
        <w:t>Hiransuthikul A, Rattananupong T, Klaewsongkram J, Rerknimitr P, Pongprutthipan M, Ruxrungtham K, et al. Drug-induced hypersensitivity syndrome/drug reaction with eosinophilia and systemic symptoms (DIHS/DRESS): 11 years retrospective study in Thailand. Allergology international : official journal of the Japanese Society of Allergology. 2016;65(4):432-8.</w:t>
      </w:r>
    </w:p>
    <w:p w14:paraId="6E1C51F2"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7.</w:t>
      </w:r>
      <w:r w:rsidRPr="005F3929">
        <w:rPr>
          <w:rFonts w:eastAsia="Calibri" w:cs="Times New Roman"/>
          <w:noProof/>
          <w:sz w:val="22"/>
        </w:rPr>
        <w:tab/>
        <w:t>Martínez-Cabriales SA, Rodríguez-Bolaños F, Shear NH. Drug Reaction with Eosinophilia and Systemic Symptoms (DReSS): How Far Have We Come? Am J Clin Dermatol. 2019;20(2):217-36.</w:t>
      </w:r>
    </w:p>
    <w:p w14:paraId="4F80A7C0"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8.</w:t>
      </w:r>
      <w:r w:rsidRPr="005F3929">
        <w:rPr>
          <w:rFonts w:eastAsia="Calibri" w:cs="Times New Roman"/>
          <w:noProof/>
          <w:sz w:val="22"/>
        </w:rPr>
        <w:tab/>
        <w:t>Wu X, Yang F, Chen S, Xiong H, Zhu Q, Gao X, et al. Clinical, Viral and Genetic Characteristics of Drug Reaction with Eosinophilia and Systemic Symptoms (DRESS) in Shanghai, China. Acta Derm Venereol. 2018;98(4):401-5.</w:t>
      </w:r>
    </w:p>
    <w:p w14:paraId="15B04DE4"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9.</w:t>
      </w:r>
      <w:r w:rsidRPr="005F3929">
        <w:rPr>
          <w:rFonts w:eastAsia="Calibri" w:cs="Times New Roman"/>
          <w:noProof/>
          <w:sz w:val="22"/>
        </w:rPr>
        <w:tab/>
        <w:t>Sassolas B, Haddad C, Mockenhaupt M, Dunant A, Liss Y, Bork K, et al. ALDEN, an algorithm for assessment of drug causality in Stevens-Johnson Syndrome and toxic epidermal necrolysis: comparison with case-control analysis. Clin Pharmacol Ther. 2010;88(1):60-8.</w:t>
      </w:r>
    </w:p>
    <w:p w14:paraId="27A8CED7"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lastRenderedPageBreak/>
        <w:t>10.</w:t>
      </w:r>
      <w:r w:rsidRPr="005F3929">
        <w:rPr>
          <w:rFonts w:eastAsia="Calibri" w:cs="Times New Roman"/>
          <w:noProof/>
          <w:sz w:val="22"/>
        </w:rPr>
        <w:tab/>
        <w:t>Haw WY, Polak ME, McGuire C, Erlewyn-Lajeunesse M, Ardern-Jones MR. In vitro rapid diagnostic tests for severe drug hypersensitivity reactions in children. Ann Allergy Asthma Immunol. 2016;117(1):61-6.</w:t>
      </w:r>
    </w:p>
    <w:p w14:paraId="1213CBA0"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11.</w:t>
      </w:r>
      <w:r w:rsidRPr="005F3929">
        <w:rPr>
          <w:rFonts w:eastAsia="Calibri" w:cs="Times New Roman"/>
          <w:noProof/>
          <w:sz w:val="22"/>
        </w:rPr>
        <w:tab/>
        <w:t>Polak ME, Belgi G, McGuire C, Pickard C, Healy E, Friedmannn PS, et al. In vitro diagnostic assays are effective during the acute phase of delayed-type drug hypersensitivity reactions. Br J Dermatol. 2013;168(3):539-49.</w:t>
      </w:r>
    </w:p>
    <w:p w14:paraId="1C777179"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12.</w:t>
      </w:r>
      <w:r w:rsidRPr="005F3929">
        <w:rPr>
          <w:rFonts w:eastAsia="Calibri" w:cs="Times New Roman"/>
          <w:noProof/>
          <w:sz w:val="22"/>
        </w:rPr>
        <w:tab/>
        <w:t>Liao Y, Smyth GK, Shi W. featureCounts: an efficient general purpose program for assigning sequence reads to genomic features. Bioinformatics. 2014;30(7):923-30.</w:t>
      </w:r>
    </w:p>
    <w:p w14:paraId="2D48F936"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13.</w:t>
      </w:r>
      <w:r w:rsidRPr="005F3929">
        <w:rPr>
          <w:rFonts w:eastAsia="Calibri" w:cs="Times New Roman"/>
          <w:noProof/>
          <w:sz w:val="22"/>
        </w:rPr>
        <w:tab/>
        <w:t>Robinson MD, McCarthy DJ, Smyth GK. edgeR: a Bioconductor package for differential expression analysis of digital gene expression data. Bioinformatics. 2010;26(1):139-40.</w:t>
      </w:r>
    </w:p>
    <w:p w14:paraId="638D66AE"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14.</w:t>
      </w:r>
      <w:r w:rsidRPr="005F3929">
        <w:rPr>
          <w:rFonts w:eastAsia="Calibri" w:cs="Times New Roman"/>
          <w:noProof/>
          <w:sz w:val="22"/>
        </w:rPr>
        <w:tab/>
        <w:t>Mazzara S, Rossi RL, Grifantini R, Donizetti S, Abrignani S, Bombaci M. CombiROC: an interactive web tool for selecting accurate marker combinations of omics data. Sci Rep. 2017;7:45477.</w:t>
      </w:r>
    </w:p>
    <w:p w14:paraId="42A907CA"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15.</w:t>
      </w:r>
      <w:r w:rsidRPr="005F3929">
        <w:rPr>
          <w:rFonts w:eastAsia="Calibri" w:cs="Times New Roman"/>
          <w:noProof/>
          <w:sz w:val="22"/>
        </w:rPr>
        <w:tab/>
        <w:t>Bray NL, Pimentel H, Melsted P, Pachter L. Near-optimal probabilistic RNA-seq quantification. Nature biotechnology. 2016;34(5):525-7.</w:t>
      </w:r>
    </w:p>
    <w:p w14:paraId="699C9D68"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16.</w:t>
      </w:r>
      <w:r w:rsidRPr="005F3929">
        <w:rPr>
          <w:rFonts w:eastAsia="Calibri" w:cs="Times New Roman"/>
          <w:noProof/>
          <w:sz w:val="22"/>
        </w:rPr>
        <w:tab/>
        <w:t>Pimentel H, Bray NL, Puente S, Melsted P, Pachter L. Differential analysis of RNA-seq incorporating quantification uncertainty. Nat Methods. 2017;14(7):687-90.</w:t>
      </w:r>
    </w:p>
    <w:p w14:paraId="384F947F"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17.</w:t>
      </w:r>
      <w:r w:rsidRPr="005F3929">
        <w:rPr>
          <w:rFonts w:eastAsia="Calibri" w:cs="Times New Roman"/>
          <w:noProof/>
          <w:sz w:val="22"/>
        </w:rPr>
        <w:tab/>
        <w:t>Lachmann A, Torre D, Keenan AB, Jagodnik KM, Lee HJ, Wang L, et al. Massive mining of publicly available RNA-seq data from human and mouse. Nature communications. 2018;9(1):1366.</w:t>
      </w:r>
    </w:p>
    <w:p w14:paraId="60008D53"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18.</w:t>
      </w:r>
      <w:r w:rsidRPr="005F3929">
        <w:rPr>
          <w:rFonts w:eastAsia="Calibri" w:cs="Times New Roman"/>
          <w:noProof/>
          <w:sz w:val="22"/>
        </w:rPr>
        <w:tab/>
        <w:t>Subramanian A, Tamayo P, Mootha VK, Mukherjee S, Ebert BL, Gillette MA, et al. Gene set enrichment analysis: a knowledge-based approach for interpreting genome-wide expression profiles. Proceedings of the National Academy of Sciences of the United States of America. 2005;102(43):15545-50.</w:t>
      </w:r>
    </w:p>
    <w:p w14:paraId="103A840B"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19.</w:t>
      </w:r>
      <w:r w:rsidRPr="005F3929">
        <w:rPr>
          <w:rFonts w:eastAsia="Calibri" w:cs="Times New Roman"/>
          <w:noProof/>
          <w:sz w:val="22"/>
        </w:rPr>
        <w:tab/>
        <w:t>Mootha VK, Lindgren CM, Eriksson KF, Subramanian A, Sihag S, Lehar J, et al. PGC-1alpha-responsive genes involved in oxidative phosphorylation are coordinately downregulated in human diabetes. Nature genetics. 2003;34(3):267-73.</w:t>
      </w:r>
    </w:p>
    <w:p w14:paraId="2FE85A23"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20.</w:t>
      </w:r>
      <w:r w:rsidRPr="005F3929">
        <w:rPr>
          <w:rFonts w:eastAsia="Calibri" w:cs="Times New Roman"/>
          <w:noProof/>
          <w:sz w:val="22"/>
        </w:rPr>
        <w:tab/>
        <w:t>Piñero J, Queralt-Rosinach N, Bravo À, Deu-Pons J, Bauer-Mehren A, Baron M, et al. DisGeNET: a discovery platform for the dynamical exploration of human diseases and their genes. Database : the journal of biological databases and curation. 2015;2015:bav028.</w:t>
      </w:r>
    </w:p>
    <w:p w14:paraId="7FD6B6C5"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lastRenderedPageBreak/>
        <w:t>21.</w:t>
      </w:r>
      <w:r w:rsidRPr="005F3929">
        <w:rPr>
          <w:rFonts w:eastAsia="Calibri" w:cs="Times New Roman"/>
          <w:noProof/>
          <w:sz w:val="22"/>
        </w:rPr>
        <w:tab/>
        <w:t>Piñero J, Ramírez-Anguita JM, Saüch-Pitarch J, Ronzano F, Centeno E, Sanz F, et al. The DisGeNET knowledge platform for disease genomics: 2019 update. Nucleic acids research. 2020;48(D1):D845-d55.</w:t>
      </w:r>
    </w:p>
    <w:p w14:paraId="6B2E9D66"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22.</w:t>
      </w:r>
      <w:r w:rsidRPr="005F3929">
        <w:rPr>
          <w:rFonts w:eastAsia="Calibri" w:cs="Times New Roman"/>
          <w:noProof/>
          <w:sz w:val="22"/>
        </w:rPr>
        <w:tab/>
        <w:t>Liberzon A, Birger C, Thorvaldsdóttir H, Ghandi M, Mesirov JP, Tamayo P. The Molecular Signatures Database (MSigDB) hallmark gene set collection. Cell systems. 2015;1(6):417-25.</w:t>
      </w:r>
    </w:p>
    <w:p w14:paraId="76593961"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23.</w:t>
      </w:r>
      <w:r w:rsidRPr="005F3929">
        <w:rPr>
          <w:rFonts w:eastAsia="Calibri" w:cs="Times New Roman"/>
          <w:noProof/>
          <w:sz w:val="22"/>
        </w:rPr>
        <w:tab/>
        <w:t>Shiohara T, Mizukawa Y. Drug-induced hypersensitivity syndrome (DiHS)/drug reaction with eosinophilia and systemic symptoms (DRESS): An update in 2019. Allergology international : official journal of the Japanese Society of Allergology. 2019;68(3):301-8.</w:t>
      </w:r>
    </w:p>
    <w:p w14:paraId="57FB2AA9"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24.</w:t>
      </w:r>
      <w:r w:rsidRPr="005F3929">
        <w:rPr>
          <w:rFonts w:eastAsia="Calibri" w:cs="Times New Roman"/>
          <w:noProof/>
          <w:sz w:val="22"/>
        </w:rPr>
        <w:tab/>
        <w:t>Bocquet H, Bagot M, Roujeau JC. Drug-induced pseudolymphoma and drug hypersensitivity syndrome (Drug Rash with Eosinophilia and Systemic Symptoms: DRESS). Semin Cutan Med Surg. 1996;15(4):250-7.</w:t>
      </w:r>
    </w:p>
    <w:p w14:paraId="59A068F0"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25.</w:t>
      </w:r>
      <w:r w:rsidRPr="005F3929">
        <w:rPr>
          <w:rFonts w:eastAsia="Calibri" w:cs="Times New Roman"/>
          <w:noProof/>
          <w:sz w:val="22"/>
        </w:rPr>
        <w:tab/>
        <w:t>Mayorga C, Celik G, Rouzaire P, Whitaker P, Bonadonna P, Rodrigues-Cernadas J, et al. In vitro tests for drug hypersensitivity reactions: an ENDA/EAACI Drug Allergy Interest Group position paper. Allergy. 2016;71(8):1103-34.</w:t>
      </w:r>
    </w:p>
    <w:p w14:paraId="79E6AD54"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26.</w:t>
      </w:r>
      <w:r w:rsidRPr="005F3929">
        <w:rPr>
          <w:rFonts w:eastAsia="Calibri" w:cs="Times New Roman"/>
          <w:noProof/>
          <w:sz w:val="22"/>
        </w:rPr>
        <w:tab/>
        <w:t>Mayorga C, Ebo DG, Lang DM, Pichler WJ, Sabato V, Park MA, et al. Controversies in drug allergy: In vitro testing. J Allergy Clin Immunol. 2019;143(1):56-65.</w:t>
      </w:r>
    </w:p>
    <w:p w14:paraId="2194702B"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27.</w:t>
      </w:r>
      <w:r w:rsidRPr="005F3929">
        <w:rPr>
          <w:rFonts w:eastAsia="Calibri" w:cs="Times New Roman"/>
          <w:noProof/>
          <w:sz w:val="22"/>
        </w:rPr>
        <w:tab/>
        <w:t>Reuter Jason A, Spacek DV, Snyder Michael P. High-Throughput Sequencing Technologies. Molecular Cell. 2015;58(4):586-97.</w:t>
      </w:r>
    </w:p>
    <w:p w14:paraId="569FF6D0"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28.</w:t>
      </w:r>
      <w:r w:rsidRPr="005F3929">
        <w:rPr>
          <w:rFonts w:eastAsia="Calibri" w:cs="Times New Roman"/>
          <w:noProof/>
          <w:sz w:val="22"/>
        </w:rPr>
        <w:tab/>
        <w:t>Finotello F, Rieder D, Hackl H, Trajanoski Z. Next-generation computational tools for interrogating cancer immunity. Nature reviews Genetics. 2019;20(12):724-46.</w:t>
      </w:r>
    </w:p>
    <w:p w14:paraId="51CC778E"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29.</w:t>
      </w:r>
      <w:r w:rsidRPr="005F3929">
        <w:rPr>
          <w:rFonts w:eastAsia="Calibri" w:cs="Times New Roman"/>
          <w:noProof/>
          <w:sz w:val="22"/>
        </w:rPr>
        <w:tab/>
        <w:t>Jabbari A, Suárez-Fariñas M, Dewell S, Krueger JG. Transcriptional profiling of psoriasis using RNA-seq reveals previously unidentified differentially expressed genes. J Invest Dermatol. 2012;132(1):246-9.</w:t>
      </w:r>
    </w:p>
    <w:p w14:paraId="2C13754D"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30.</w:t>
      </w:r>
      <w:r w:rsidRPr="005F3929">
        <w:rPr>
          <w:rFonts w:eastAsia="Calibri" w:cs="Times New Roman"/>
          <w:noProof/>
          <w:sz w:val="22"/>
        </w:rPr>
        <w:tab/>
        <w:t>Schwingen J, Kaplan M, Kurschus FC. Review-Current Concepts in Inflammatory Skin Diseases Evolved by Transcriptome Analysis: In-Depth Analysis of Atopic Dermatitis and Psoriasis. Int J Mol Sci. 2020;21(3).</w:t>
      </w:r>
    </w:p>
    <w:p w14:paraId="0187E856"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31.</w:t>
      </w:r>
      <w:r w:rsidRPr="005F3929">
        <w:rPr>
          <w:rFonts w:eastAsia="Calibri" w:cs="Times New Roman"/>
          <w:noProof/>
          <w:sz w:val="22"/>
        </w:rPr>
        <w:tab/>
        <w:t>Berger MF, Levin JZ, Vijayendran K, Sivachenko A, Adiconis X, Maguire J, et al. Integrative analysis of the melanoma transcriptome. Genome research. 2010;20(4):413-27.</w:t>
      </w:r>
    </w:p>
    <w:p w14:paraId="55E8EB28"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lastRenderedPageBreak/>
        <w:t>32.</w:t>
      </w:r>
      <w:r w:rsidRPr="005F3929">
        <w:rPr>
          <w:rFonts w:eastAsia="Calibri" w:cs="Times New Roman"/>
          <w:noProof/>
          <w:sz w:val="22"/>
        </w:rPr>
        <w:tab/>
        <w:t>Valsesia A, Rimoldi D, Martinet D, Ibberson M, Benaglio P, Quadroni M, et al. Network-guided analysis of genes with altered somatic copy number and gene expression reveals pathways commonly perturbed in metastatic melanoma. PLoS ONE. 2011;6(4):e18369.</w:t>
      </w:r>
    </w:p>
    <w:p w14:paraId="6392350C"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33.</w:t>
      </w:r>
      <w:r w:rsidRPr="005F3929">
        <w:rPr>
          <w:rFonts w:eastAsia="Calibri" w:cs="Times New Roman"/>
          <w:noProof/>
          <w:sz w:val="22"/>
        </w:rPr>
        <w:tab/>
        <w:t>Hannedouche S, Zhang J, Yi T, Shen W, Nguyen D, Pereira JP, et al. Oxysterols direct immune cell migration via EBI2. Nature. 2011;475(7357):524-7.</w:t>
      </w:r>
    </w:p>
    <w:p w14:paraId="7B09F8A7"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34.</w:t>
      </w:r>
      <w:r w:rsidRPr="005F3929">
        <w:rPr>
          <w:rFonts w:eastAsia="Calibri" w:cs="Times New Roman"/>
          <w:noProof/>
          <w:sz w:val="22"/>
        </w:rPr>
        <w:tab/>
        <w:t>Benned-Jensen T, Norn C, Laurent S, Madsen CM, Larsen HM, Arfelt KN, et al. Molecular characterization of oxysterol binding to the Epstein-Barr virus-induced gene 2 (GPR183). The Journal of biological chemistry. 2012;287(42):35470-83.</w:t>
      </w:r>
    </w:p>
    <w:p w14:paraId="48952311"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35.</w:t>
      </w:r>
      <w:r w:rsidRPr="005F3929">
        <w:rPr>
          <w:rFonts w:eastAsia="Calibri" w:cs="Times New Roman"/>
          <w:noProof/>
          <w:sz w:val="22"/>
        </w:rPr>
        <w:tab/>
        <w:t>Chiang EY, Johnston RJ, Grogan JL. EBI2 is a negative regulator of type I interferons in plasmacytoid and myeloid dendritic cells. PLoS ONE. 2013;8(12):e83457.</w:t>
      </w:r>
    </w:p>
    <w:p w14:paraId="1C6F1B85" w14:textId="77777777"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36.</w:t>
      </w:r>
      <w:r w:rsidRPr="005F3929">
        <w:rPr>
          <w:rFonts w:eastAsia="Calibri" w:cs="Times New Roman"/>
          <w:noProof/>
          <w:sz w:val="22"/>
        </w:rPr>
        <w:tab/>
        <w:t>Picard D, Janela B, Descamps V, D’Incan M, Courville P, Jacquot S, et al. Drug reaction with eosinophilia and systemic symptoms (DRESS): a multiorgan antiviral T cell response. Sci Transl Med. 2010;2(46):46ra62.</w:t>
      </w:r>
    </w:p>
    <w:p w14:paraId="4169C330" w14:textId="6FA4AE40" w:rsidR="001E58CE" w:rsidRDefault="00E956DA" w:rsidP="005F3929">
      <w:pPr>
        <w:spacing w:before="0" w:after="0" w:line="480" w:lineRule="auto"/>
        <w:rPr>
          <w:rFonts w:eastAsia="Calibri" w:cs="Times New Roman"/>
          <w:noProof/>
          <w:sz w:val="22"/>
        </w:rPr>
      </w:pPr>
      <w:r w:rsidRPr="005F3929">
        <w:rPr>
          <w:rFonts w:eastAsia="Calibri" w:cs="Times New Roman"/>
          <w:noProof/>
          <w:sz w:val="22"/>
        </w:rPr>
        <w:t>37.</w:t>
      </w:r>
      <w:r w:rsidRPr="005F3929">
        <w:rPr>
          <w:rFonts w:eastAsia="Calibri" w:cs="Times New Roman"/>
          <w:noProof/>
          <w:sz w:val="22"/>
        </w:rPr>
        <w:tab/>
      </w:r>
      <w:r w:rsidR="00D84B11">
        <w:rPr>
          <w:rFonts w:eastAsia="Calibri" w:cs="Times New Roman"/>
          <w:noProof/>
          <w:sz w:val="22"/>
        </w:rPr>
        <w:t>Cho YT, Yang CW, Chu CY. Drug Reaction with Eosinophilia and Systemic Symptoms (DRESS): an interplay among drugs, viruses and immune system. Int J Mol Sci. 2017;18(6):1243.</w:t>
      </w:r>
    </w:p>
    <w:p w14:paraId="6D7F76B6" w14:textId="3D4F1CBD" w:rsidR="00E956DA" w:rsidRPr="005F3929" w:rsidRDefault="001E58CE" w:rsidP="005F3929">
      <w:pPr>
        <w:spacing w:before="0" w:after="0" w:line="480" w:lineRule="auto"/>
        <w:rPr>
          <w:rFonts w:eastAsia="Calibri" w:cs="Times New Roman"/>
          <w:noProof/>
          <w:sz w:val="22"/>
        </w:rPr>
      </w:pPr>
      <w:r>
        <w:rPr>
          <w:rFonts w:eastAsia="Calibri" w:cs="Times New Roman"/>
          <w:noProof/>
          <w:sz w:val="22"/>
        </w:rPr>
        <w:t xml:space="preserve">38. </w:t>
      </w:r>
      <w:r w:rsidR="00D84B11">
        <w:rPr>
          <w:rFonts w:eastAsia="Calibri" w:cs="Times New Roman"/>
          <w:noProof/>
          <w:sz w:val="22"/>
        </w:rPr>
        <w:tab/>
      </w:r>
      <w:r w:rsidR="00E956DA" w:rsidRPr="005F3929">
        <w:rPr>
          <w:rFonts w:eastAsia="Calibri" w:cs="Times New Roman"/>
          <w:noProof/>
          <w:sz w:val="22"/>
        </w:rPr>
        <w:t>Mullan KA, Anderson A, Illing PT,  Kwan P, Purcell AW, Mifsud NA. HLA-associated antiepileptic drug-induced cutaneous adverse reactions. Hla. 2019;93(6):417-35.</w:t>
      </w:r>
    </w:p>
    <w:p w14:paraId="4DFA0333" w14:textId="2F50D47F"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3</w:t>
      </w:r>
      <w:r w:rsidR="001E58CE">
        <w:rPr>
          <w:rFonts w:eastAsia="Calibri" w:cs="Times New Roman"/>
          <w:noProof/>
          <w:sz w:val="22"/>
        </w:rPr>
        <w:t>9</w:t>
      </w:r>
      <w:r w:rsidRPr="005F3929">
        <w:rPr>
          <w:rFonts w:eastAsia="Calibri" w:cs="Times New Roman"/>
          <w:noProof/>
          <w:sz w:val="22"/>
        </w:rPr>
        <w:t>.</w:t>
      </w:r>
      <w:r w:rsidRPr="005F3929">
        <w:rPr>
          <w:rFonts w:eastAsia="Calibri" w:cs="Times New Roman"/>
          <w:noProof/>
          <w:sz w:val="22"/>
        </w:rPr>
        <w:tab/>
        <w:t>Islam SA, Chang DS, Colvin RA, Byrne MH, McCully ML, Moser B, et al. Mouse CCL8, a CCR8 agonist, promotes atopic dermatitis by recruiting IL-5+ T(H)2 cells. Nature immunology. 2011;12(2):167-77.</w:t>
      </w:r>
    </w:p>
    <w:p w14:paraId="0B59A8B4" w14:textId="4AF4D903" w:rsidR="00E956DA" w:rsidRPr="005F3929" w:rsidRDefault="001E58CE" w:rsidP="005F3929">
      <w:pPr>
        <w:spacing w:before="0" w:after="0" w:line="480" w:lineRule="auto"/>
        <w:rPr>
          <w:rFonts w:eastAsia="Calibri" w:cs="Times New Roman"/>
          <w:noProof/>
          <w:sz w:val="22"/>
        </w:rPr>
      </w:pPr>
      <w:r>
        <w:rPr>
          <w:rFonts w:eastAsia="Calibri" w:cs="Times New Roman"/>
          <w:noProof/>
          <w:sz w:val="22"/>
        </w:rPr>
        <w:t>40</w:t>
      </w:r>
      <w:r w:rsidR="00E956DA" w:rsidRPr="005F3929">
        <w:rPr>
          <w:rFonts w:eastAsia="Calibri" w:cs="Times New Roman"/>
          <w:noProof/>
          <w:sz w:val="22"/>
        </w:rPr>
        <w:t>.</w:t>
      </w:r>
      <w:r w:rsidR="00E956DA" w:rsidRPr="005F3929">
        <w:rPr>
          <w:rFonts w:eastAsia="Calibri" w:cs="Times New Roman"/>
          <w:noProof/>
          <w:sz w:val="22"/>
        </w:rPr>
        <w:tab/>
        <w:t>Nakajima Y, Tsuge I, Kondo Y, Komatsubara R, Hirata N, Kakami M, et al. Up-regulated cytokine-inducible SH2-containing protein expression in allergen-stimulated T cells from hen's egg-allergic patients. Clin Exp Allergy. 2008;38(9):1499-506.</w:t>
      </w:r>
    </w:p>
    <w:p w14:paraId="09A9A775" w14:textId="2E362FDE"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t>4</w:t>
      </w:r>
      <w:r w:rsidR="001E58CE">
        <w:rPr>
          <w:rFonts w:eastAsia="Calibri" w:cs="Times New Roman"/>
          <w:noProof/>
          <w:sz w:val="22"/>
        </w:rPr>
        <w:t>1</w:t>
      </w:r>
      <w:r w:rsidRPr="005F3929">
        <w:rPr>
          <w:rFonts w:eastAsia="Calibri" w:cs="Times New Roman"/>
          <w:noProof/>
          <w:sz w:val="22"/>
        </w:rPr>
        <w:t>.</w:t>
      </w:r>
      <w:r w:rsidRPr="005F3929">
        <w:rPr>
          <w:rFonts w:eastAsia="Calibri" w:cs="Times New Roman"/>
          <w:noProof/>
          <w:sz w:val="22"/>
        </w:rPr>
        <w:tab/>
        <w:t>Flucher BE, Campiglio M. STAC proteins: The missing link in skeletal muscle EC coupling and new regulators of calcium channel function. Biochimica et biophysica acta Molecular cell research. 2019;1866(7):1101-10.</w:t>
      </w:r>
    </w:p>
    <w:p w14:paraId="4C89F178" w14:textId="6FD72113" w:rsidR="00E956DA" w:rsidRPr="005F3929" w:rsidRDefault="00E956DA" w:rsidP="005F3929">
      <w:pPr>
        <w:spacing w:before="0" w:after="0" w:line="480" w:lineRule="auto"/>
        <w:rPr>
          <w:rFonts w:eastAsia="Calibri" w:cs="Times New Roman"/>
          <w:noProof/>
          <w:sz w:val="22"/>
        </w:rPr>
      </w:pPr>
      <w:r w:rsidRPr="005F3929">
        <w:rPr>
          <w:rFonts w:eastAsia="Calibri" w:cs="Times New Roman"/>
          <w:noProof/>
          <w:sz w:val="22"/>
        </w:rPr>
        <w:lastRenderedPageBreak/>
        <w:t>4</w:t>
      </w:r>
      <w:r w:rsidR="001E58CE">
        <w:rPr>
          <w:rFonts w:eastAsia="Calibri" w:cs="Times New Roman"/>
          <w:noProof/>
          <w:sz w:val="22"/>
        </w:rPr>
        <w:t>2</w:t>
      </w:r>
      <w:r w:rsidRPr="005F3929">
        <w:rPr>
          <w:rFonts w:eastAsia="Calibri" w:cs="Times New Roman"/>
          <w:noProof/>
          <w:sz w:val="22"/>
        </w:rPr>
        <w:t>.</w:t>
      </w:r>
      <w:r w:rsidRPr="005F3929">
        <w:rPr>
          <w:rFonts w:eastAsia="Calibri" w:cs="Times New Roman"/>
          <w:noProof/>
          <w:sz w:val="22"/>
        </w:rPr>
        <w:tab/>
        <w:t>Kim D, Kobayashi T, Voisin B, Jo JH, Sakamoto K, Jin SP, et al. Targeted therapy guided by single-cell transcriptomic analysis in drug-induced hypersensitivity syndrome: a case report. Nature medicine. 2020;26(2):236-43.</w:t>
      </w:r>
    </w:p>
    <w:p w14:paraId="502DB647" w14:textId="2B1CD668" w:rsidR="00E956DA" w:rsidRPr="005F3929" w:rsidRDefault="00E956DA" w:rsidP="005F3929">
      <w:pPr>
        <w:spacing w:before="0" w:after="0" w:line="480" w:lineRule="auto"/>
        <w:rPr>
          <w:rFonts w:eastAsia="Calibri" w:cs="Times New Roman"/>
          <w:sz w:val="22"/>
          <w:lang w:val="en-GB"/>
        </w:rPr>
      </w:pPr>
      <w:r w:rsidRPr="005F3929">
        <w:rPr>
          <w:rFonts w:eastAsia="Calibri" w:cs="Times New Roman"/>
          <w:noProof/>
          <w:sz w:val="22"/>
        </w:rPr>
        <w:t>4</w:t>
      </w:r>
      <w:r w:rsidR="001E58CE">
        <w:rPr>
          <w:rFonts w:eastAsia="Calibri" w:cs="Times New Roman"/>
          <w:noProof/>
          <w:sz w:val="22"/>
        </w:rPr>
        <w:t>3</w:t>
      </w:r>
      <w:r w:rsidRPr="005F3929">
        <w:rPr>
          <w:rFonts w:eastAsia="Calibri" w:cs="Times New Roman"/>
          <w:noProof/>
          <w:sz w:val="22"/>
        </w:rPr>
        <w:t>.</w:t>
      </w:r>
      <w:r w:rsidR="00EE6468">
        <w:rPr>
          <w:rFonts w:eastAsia="Calibri" w:cs="Times New Roman"/>
          <w:noProof/>
          <w:sz w:val="22"/>
        </w:rPr>
        <w:t xml:space="preserve"> </w:t>
      </w:r>
      <w:r w:rsidRPr="005F3929">
        <w:rPr>
          <w:rFonts w:eastAsia="Calibri" w:cs="Times New Roman"/>
          <w:sz w:val="22"/>
          <w:lang w:val="en-GB"/>
        </w:rPr>
        <w:tab/>
        <w:t>Fiszenson-Albala F, Auzerie V, Mahe E, Farinotti R, Durangd-Stocco C, Crickx B, et al. A 6-month prospective survey of cutaneous drug reactions in a hospital setting. Br J Dermatol. 2003;149(5):1018-22.</w:t>
      </w:r>
      <w:r w:rsidRPr="005F3929">
        <w:rPr>
          <w:rFonts w:eastAsia="Calibri" w:cs="Times New Roman"/>
          <w:sz w:val="22"/>
          <w:lang w:val="en-GB"/>
        </w:rPr>
        <w:br w:type="page"/>
      </w:r>
    </w:p>
    <w:p w14:paraId="527BD880" w14:textId="77777777" w:rsidR="00E956DA" w:rsidRPr="005F3929" w:rsidRDefault="00E956DA" w:rsidP="005F3929">
      <w:pPr>
        <w:spacing w:line="480" w:lineRule="auto"/>
        <w:rPr>
          <w:rFonts w:eastAsia="Calibri" w:cs="Times New Roman"/>
          <w:b/>
          <w:sz w:val="22"/>
          <w:lang w:val="en-GB"/>
        </w:rPr>
      </w:pPr>
      <w:r w:rsidRPr="005F3929">
        <w:rPr>
          <w:rFonts w:eastAsia="Calibri" w:cs="Times New Roman"/>
          <w:b/>
          <w:sz w:val="22"/>
          <w:lang w:val="en-GB"/>
        </w:rPr>
        <w:lastRenderedPageBreak/>
        <w:t>Tables</w:t>
      </w:r>
    </w:p>
    <w:p w14:paraId="742D750F" w14:textId="77777777" w:rsidR="00E956DA" w:rsidRPr="005F3929" w:rsidRDefault="00E956DA" w:rsidP="005F3929">
      <w:pPr>
        <w:spacing w:line="480" w:lineRule="auto"/>
        <w:rPr>
          <w:rFonts w:eastAsia="Calibri" w:cs="Times New Roman"/>
          <w:sz w:val="22"/>
          <w:lang w:val="en-GB"/>
        </w:rPr>
      </w:pPr>
      <w:r w:rsidRPr="005F3929">
        <w:rPr>
          <w:rFonts w:eastAsia="Calibri" w:cs="Times New Roman"/>
          <w:b/>
          <w:bCs/>
          <w:sz w:val="22"/>
          <w:lang w:val="en-GB"/>
        </w:rPr>
        <w:t>Table 1:</w:t>
      </w:r>
      <w:r w:rsidRPr="005F3929">
        <w:rPr>
          <w:rFonts w:eastAsia="Calibri" w:cs="Times New Roman"/>
          <w:sz w:val="22"/>
          <w:lang w:val="en-GB"/>
        </w:rPr>
        <w:t xml:space="preserve"> Demographics of tested subjects and comparative T-cell assay results</w:t>
      </w:r>
    </w:p>
    <w:tbl>
      <w:tblPr>
        <w:tblStyle w:val="TableGrid"/>
        <w:tblW w:w="9381" w:type="dxa"/>
        <w:tblInd w:w="-147" w:type="dxa"/>
        <w:tblLook w:val="04A0" w:firstRow="1" w:lastRow="0" w:firstColumn="1" w:lastColumn="0" w:noHBand="0" w:noVBand="1"/>
      </w:tblPr>
      <w:tblGrid>
        <w:gridCol w:w="1331"/>
        <w:gridCol w:w="607"/>
        <w:gridCol w:w="937"/>
        <w:gridCol w:w="1340"/>
        <w:gridCol w:w="1414"/>
        <w:gridCol w:w="1316"/>
        <w:gridCol w:w="888"/>
        <w:gridCol w:w="1548"/>
      </w:tblGrid>
      <w:tr w:rsidR="00E956DA" w:rsidRPr="005F3929" w14:paraId="2A632606" w14:textId="77777777" w:rsidTr="00782F1B">
        <w:trPr>
          <w:trHeight w:val="412"/>
        </w:trPr>
        <w:tc>
          <w:tcPr>
            <w:tcW w:w="1331" w:type="dxa"/>
          </w:tcPr>
          <w:p w14:paraId="0EF0BEC8" w14:textId="77777777" w:rsidR="00E956DA" w:rsidRPr="00BA17EF" w:rsidRDefault="00E956DA" w:rsidP="005F3929">
            <w:pPr>
              <w:spacing w:line="480" w:lineRule="auto"/>
              <w:rPr>
                <w:rFonts w:eastAsia="Calibri" w:cs="Times New Roman"/>
                <w:sz w:val="22"/>
                <w:lang w:val="en-GB"/>
              </w:rPr>
            </w:pPr>
            <w:r w:rsidRPr="00BA17EF">
              <w:rPr>
                <w:rFonts w:eastAsia="Calibri" w:cs="Times New Roman"/>
                <w:b/>
                <w:bCs/>
                <w:sz w:val="22"/>
                <w:lang w:val="en-GB"/>
              </w:rPr>
              <w:t>Cohort</w:t>
            </w:r>
          </w:p>
        </w:tc>
        <w:tc>
          <w:tcPr>
            <w:tcW w:w="607" w:type="dxa"/>
          </w:tcPr>
          <w:p w14:paraId="44D3BBB9" w14:textId="77777777" w:rsidR="00E956DA" w:rsidRPr="00BA17EF" w:rsidRDefault="00E956DA" w:rsidP="005F3929">
            <w:pPr>
              <w:spacing w:line="480" w:lineRule="auto"/>
              <w:rPr>
                <w:rFonts w:eastAsia="Calibri" w:cs="Times New Roman"/>
                <w:sz w:val="22"/>
                <w:lang w:val="en-GB"/>
              </w:rPr>
            </w:pPr>
            <w:r w:rsidRPr="00BA17EF">
              <w:rPr>
                <w:rFonts w:eastAsia="Calibri" w:cs="Times New Roman"/>
                <w:b/>
                <w:bCs/>
                <w:sz w:val="22"/>
                <w:lang w:val="en-GB"/>
              </w:rPr>
              <w:t>Sex</w:t>
            </w:r>
          </w:p>
        </w:tc>
        <w:tc>
          <w:tcPr>
            <w:tcW w:w="937" w:type="dxa"/>
          </w:tcPr>
          <w:p w14:paraId="09D58379" w14:textId="77777777" w:rsidR="00E956DA" w:rsidRPr="00BA17EF" w:rsidRDefault="00E956DA" w:rsidP="005F3929">
            <w:pPr>
              <w:spacing w:line="480" w:lineRule="auto"/>
              <w:rPr>
                <w:rFonts w:eastAsia="Calibri" w:cs="Times New Roman"/>
                <w:sz w:val="22"/>
                <w:lang w:val="en-GB"/>
              </w:rPr>
            </w:pPr>
            <w:r w:rsidRPr="00BA17EF">
              <w:rPr>
                <w:rFonts w:eastAsia="Calibri" w:cs="Times New Roman"/>
                <w:b/>
                <w:bCs/>
                <w:sz w:val="22"/>
                <w:lang w:val="en-GB"/>
              </w:rPr>
              <w:t>Age range (years)</w:t>
            </w:r>
          </w:p>
        </w:tc>
        <w:tc>
          <w:tcPr>
            <w:tcW w:w="1340" w:type="dxa"/>
          </w:tcPr>
          <w:p w14:paraId="5F217593" w14:textId="77777777" w:rsidR="00E956DA" w:rsidRPr="00BA17EF" w:rsidRDefault="00E956DA" w:rsidP="005F3929">
            <w:pPr>
              <w:spacing w:line="480" w:lineRule="auto"/>
              <w:rPr>
                <w:rFonts w:eastAsia="Calibri" w:cs="Times New Roman"/>
                <w:sz w:val="22"/>
                <w:lang w:val="en-GB"/>
              </w:rPr>
            </w:pPr>
            <w:r w:rsidRPr="00BA17EF">
              <w:rPr>
                <w:rFonts w:eastAsia="Calibri" w:cs="Times New Roman"/>
                <w:b/>
                <w:bCs/>
                <w:sz w:val="22"/>
                <w:lang w:val="en-GB"/>
              </w:rPr>
              <w:t>Phenotype</w:t>
            </w:r>
          </w:p>
        </w:tc>
        <w:tc>
          <w:tcPr>
            <w:tcW w:w="1414" w:type="dxa"/>
          </w:tcPr>
          <w:p w14:paraId="21A86038" w14:textId="77777777" w:rsidR="00E956DA" w:rsidRPr="00BA17EF" w:rsidRDefault="00E956DA" w:rsidP="005F3929">
            <w:pPr>
              <w:spacing w:line="480" w:lineRule="auto"/>
              <w:rPr>
                <w:rFonts w:eastAsia="Calibri" w:cs="Times New Roman"/>
                <w:sz w:val="22"/>
                <w:lang w:val="en-GB"/>
              </w:rPr>
            </w:pPr>
            <w:r w:rsidRPr="00BA17EF">
              <w:rPr>
                <w:rFonts w:eastAsia="Calibri" w:cs="Times New Roman"/>
                <w:b/>
                <w:bCs/>
                <w:sz w:val="22"/>
                <w:lang w:val="en-GB"/>
              </w:rPr>
              <w:t>Drug</w:t>
            </w:r>
          </w:p>
        </w:tc>
        <w:tc>
          <w:tcPr>
            <w:tcW w:w="1316" w:type="dxa"/>
          </w:tcPr>
          <w:p w14:paraId="538019B0" w14:textId="77777777" w:rsidR="00E956DA" w:rsidRPr="00BA17EF" w:rsidRDefault="00E956DA" w:rsidP="005F3929">
            <w:pPr>
              <w:spacing w:line="480" w:lineRule="auto"/>
              <w:rPr>
                <w:rFonts w:eastAsia="Calibri" w:cs="Times New Roman"/>
                <w:sz w:val="22"/>
                <w:lang w:val="en-GB"/>
              </w:rPr>
            </w:pPr>
            <w:r w:rsidRPr="00BA17EF">
              <w:rPr>
                <w:rFonts w:eastAsia="Calibri" w:cs="Times New Roman"/>
                <w:b/>
                <w:bCs/>
                <w:sz w:val="22"/>
                <w:lang w:val="en-GB"/>
              </w:rPr>
              <w:t>RegiSCAR score</w:t>
            </w:r>
          </w:p>
        </w:tc>
        <w:tc>
          <w:tcPr>
            <w:tcW w:w="888" w:type="dxa"/>
          </w:tcPr>
          <w:p w14:paraId="74664A81" w14:textId="77777777" w:rsidR="00E956DA" w:rsidRPr="00BA17EF" w:rsidRDefault="00E956DA" w:rsidP="005F3929">
            <w:pPr>
              <w:spacing w:line="480" w:lineRule="auto"/>
              <w:rPr>
                <w:rFonts w:eastAsia="Calibri" w:cs="Times New Roman"/>
                <w:sz w:val="22"/>
                <w:lang w:val="en-GB"/>
              </w:rPr>
            </w:pPr>
            <w:r w:rsidRPr="00BA17EF">
              <w:rPr>
                <w:rFonts w:eastAsia="Calibri" w:cs="Times New Roman"/>
                <w:b/>
                <w:bCs/>
                <w:sz w:val="22"/>
                <w:lang w:val="en-GB"/>
              </w:rPr>
              <w:t>LPA</w:t>
            </w:r>
          </w:p>
          <w:p w14:paraId="13452157" w14:textId="77777777" w:rsidR="00E956DA" w:rsidRPr="00BA17EF" w:rsidRDefault="00E956DA" w:rsidP="005F3929">
            <w:pPr>
              <w:spacing w:line="480" w:lineRule="auto"/>
              <w:rPr>
                <w:rFonts w:eastAsia="Calibri" w:cs="Times New Roman"/>
                <w:sz w:val="22"/>
                <w:lang w:val="en-GB"/>
              </w:rPr>
            </w:pPr>
            <w:r w:rsidRPr="00BA17EF">
              <w:rPr>
                <w:rFonts w:eastAsia="Calibri" w:cs="Times New Roman"/>
                <w:b/>
                <w:bCs/>
                <w:sz w:val="22"/>
                <w:lang w:val="en-GB"/>
              </w:rPr>
              <w:t>(Cmax SI)</w:t>
            </w:r>
          </w:p>
        </w:tc>
        <w:tc>
          <w:tcPr>
            <w:tcW w:w="1548" w:type="dxa"/>
          </w:tcPr>
          <w:p w14:paraId="5E1CBE6D" w14:textId="77777777" w:rsidR="00E956DA" w:rsidRPr="00BA17EF" w:rsidRDefault="00E956DA" w:rsidP="005F3929">
            <w:pPr>
              <w:spacing w:line="480" w:lineRule="auto"/>
              <w:rPr>
                <w:rFonts w:eastAsia="Calibri" w:cs="Times New Roman"/>
                <w:sz w:val="22"/>
                <w:lang w:val="en-GB"/>
              </w:rPr>
            </w:pPr>
            <w:r w:rsidRPr="00BA17EF">
              <w:rPr>
                <w:rFonts w:eastAsia="Calibri" w:cs="Times New Roman"/>
                <w:b/>
                <w:bCs/>
                <w:sz w:val="22"/>
                <w:lang w:val="en-GB"/>
              </w:rPr>
              <w:t>IFN-</w:t>
            </w:r>
            <w:r w:rsidRPr="00BA17EF">
              <w:rPr>
                <w:rFonts w:eastAsia="Calibri" w:cs="Times New Roman"/>
                <w:b/>
                <w:bCs/>
                <w:sz w:val="22"/>
                <w:lang w:val="el-GR"/>
              </w:rPr>
              <w:t>γ</w:t>
            </w:r>
          </w:p>
          <w:p w14:paraId="0FC241CE" w14:textId="77777777" w:rsidR="00E956DA" w:rsidRPr="00BA17EF" w:rsidRDefault="00E956DA" w:rsidP="005F3929">
            <w:pPr>
              <w:spacing w:line="480" w:lineRule="auto"/>
              <w:rPr>
                <w:rFonts w:eastAsia="Calibri" w:cs="Times New Roman"/>
                <w:sz w:val="22"/>
                <w:lang w:val="en-GB"/>
              </w:rPr>
            </w:pPr>
            <w:r w:rsidRPr="00BA17EF">
              <w:rPr>
                <w:rFonts w:eastAsia="Calibri" w:cs="Times New Roman"/>
                <w:b/>
                <w:bCs/>
                <w:sz w:val="22"/>
                <w:lang w:val="en-GB"/>
              </w:rPr>
              <w:t>[Cmax –(background + 2x SD)]</w:t>
            </w:r>
          </w:p>
        </w:tc>
      </w:tr>
      <w:tr w:rsidR="00E956DA" w:rsidRPr="005F3929" w14:paraId="25D9EDCF" w14:textId="77777777" w:rsidTr="00782F1B">
        <w:trPr>
          <w:trHeight w:val="560"/>
        </w:trPr>
        <w:tc>
          <w:tcPr>
            <w:tcW w:w="1331" w:type="dxa"/>
            <w:hideMark/>
          </w:tcPr>
          <w:p w14:paraId="38B671C6"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Discovery</w:t>
            </w:r>
          </w:p>
          <w:p w14:paraId="4A37783E"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n=5</w:t>
            </w:r>
          </w:p>
        </w:tc>
        <w:tc>
          <w:tcPr>
            <w:tcW w:w="607" w:type="dxa"/>
            <w:hideMark/>
          </w:tcPr>
          <w:p w14:paraId="4D0CCF05"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M</w:t>
            </w:r>
          </w:p>
          <w:p w14:paraId="7F6ECD40"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M</w:t>
            </w:r>
          </w:p>
          <w:p w14:paraId="58C519AB"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F</w:t>
            </w:r>
          </w:p>
          <w:p w14:paraId="1C76940F"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M</w:t>
            </w:r>
          </w:p>
          <w:p w14:paraId="0C1ABC40"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F</w:t>
            </w:r>
          </w:p>
        </w:tc>
        <w:tc>
          <w:tcPr>
            <w:tcW w:w="937" w:type="dxa"/>
            <w:hideMark/>
          </w:tcPr>
          <w:p w14:paraId="78B48A96"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35-40</w:t>
            </w:r>
          </w:p>
          <w:p w14:paraId="41358431"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25-30</w:t>
            </w:r>
          </w:p>
          <w:p w14:paraId="3D1D34A0"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75-80</w:t>
            </w:r>
          </w:p>
          <w:p w14:paraId="2478BC63"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45-50</w:t>
            </w:r>
          </w:p>
          <w:p w14:paraId="46DFE8C6"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70-75</w:t>
            </w:r>
          </w:p>
        </w:tc>
        <w:tc>
          <w:tcPr>
            <w:tcW w:w="1340" w:type="dxa"/>
            <w:hideMark/>
          </w:tcPr>
          <w:p w14:paraId="16F1C05C"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DRESS</w:t>
            </w:r>
          </w:p>
          <w:p w14:paraId="536D4763"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DRESS</w:t>
            </w:r>
          </w:p>
          <w:p w14:paraId="2258831F"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DRESS</w:t>
            </w:r>
          </w:p>
          <w:p w14:paraId="38AB1427"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DRESS</w:t>
            </w:r>
          </w:p>
          <w:p w14:paraId="1630F87C"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DRESS</w:t>
            </w:r>
          </w:p>
        </w:tc>
        <w:tc>
          <w:tcPr>
            <w:tcW w:w="1414" w:type="dxa"/>
            <w:hideMark/>
          </w:tcPr>
          <w:p w14:paraId="6FB95821"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Cefoxitin</w:t>
            </w:r>
          </w:p>
          <w:p w14:paraId="3476D4D6"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Cefoxitin</w:t>
            </w:r>
          </w:p>
          <w:p w14:paraId="4DCFF07B"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Vancomycin</w:t>
            </w:r>
          </w:p>
          <w:p w14:paraId="3D497740"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Teicoplanin</w:t>
            </w:r>
          </w:p>
          <w:p w14:paraId="4670A08D"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Dapsone</w:t>
            </w:r>
          </w:p>
        </w:tc>
        <w:tc>
          <w:tcPr>
            <w:tcW w:w="1316" w:type="dxa"/>
            <w:hideMark/>
          </w:tcPr>
          <w:p w14:paraId="69CC13F1"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3</w:t>
            </w:r>
          </w:p>
          <w:p w14:paraId="5525F2C5"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5</w:t>
            </w:r>
          </w:p>
          <w:p w14:paraId="2BDF50D3"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3</w:t>
            </w:r>
          </w:p>
          <w:p w14:paraId="312C7FA7"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6</w:t>
            </w:r>
          </w:p>
          <w:p w14:paraId="1329EAB5"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5</w:t>
            </w:r>
          </w:p>
        </w:tc>
        <w:tc>
          <w:tcPr>
            <w:tcW w:w="888" w:type="dxa"/>
            <w:hideMark/>
          </w:tcPr>
          <w:p w14:paraId="4A1DEEB4"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69.9</w:t>
            </w:r>
            <w:r w:rsidRPr="00BA17EF">
              <w:rPr>
                <w:rFonts w:eastAsia="Calibri" w:cs="Times New Roman"/>
                <w:sz w:val="22"/>
                <w:vertAlign w:val="superscript"/>
                <w:lang w:val="en-GB"/>
              </w:rPr>
              <w:t>*</w:t>
            </w:r>
          </w:p>
          <w:p w14:paraId="795B5E22"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63.4</w:t>
            </w:r>
            <w:r w:rsidRPr="00BA17EF">
              <w:rPr>
                <w:rFonts w:eastAsia="Calibri" w:cs="Times New Roman"/>
                <w:sz w:val="22"/>
                <w:vertAlign w:val="superscript"/>
                <w:lang w:val="en-GB"/>
              </w:rPr>
              <w:t>*</w:t>
            </w:r>
          </w:p>
          <w:p w14:paraId="41372A06" w14:textId="77777777" w:rsidR="00E956DA" w:rsidRPr="00BA17EF" w:rsidRDefault="00E956DA" w:rsidP="005F3929">
            <w:pPr>
              <w:spacing w:before="0" w:after="0" w:line="480" w:lineRule="auto"/>
              <w:rPr>
                <w:rFonts w:eastAsia="Calibri" w:cs="Times New Roman"/>
                <w:sz w:val="22"/>
                <w:vertAlign w:val="superscript"/>
                <w:lang w:val="en-GB"/>
              </w:rPr>
            </w:pPr>
            <w:r w:rsidRPr="00BA17EF">
              <w:rPr>
                <w:rFonts w:eastAsia="Calibri" w:cs="Times New Roman"/>
                <w:sz w:val="22"/>
                <w:lang w:val="en-GB"/>
              </w:rPr>
              <w:t>7.67</w:t>
            </w:r>
            <w:r w:rsidRPr="00BA17EF">
              <w:rPr>
                <w:rFonts w:eastAsia="Calibri" w:cs="Times New Roman"/>
                <w:sz w:val="22"/>
                <w:vertAlign w:val="superscript"/>
                <w:lang w:val="en-GB"/>
              </w:rPr>
              <w:t>*</w:t>
            </w:r>
          </w:p>
          <w:p w14:paraId="7C5402C4"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50.4</w:t>
            </w:r>
            <w:r w:rsidRPr="00BA17EF">
              <w:rPr>
                <w:rFonts w:eastAsia="Calibri" w:cs="Times New Roman"/>
                <w:sz w:val="22"/>
                <w:vertAlign w:val="superscript"/>
                <w:lang w:val="en-GB"/>
              </w:rPr>
              <w:t>*</w:t>
            </w:r>
          </w:p>
          <w:p w14:paraId="3DFB0A32"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18.5</w:t>
            </w:r>
            <w:r w:rsidRPr="00BA17EF">
              <w:rPr>
                <w:rFonts w:eastAsia="Calibri" w:cs="Times New Roman"/>
                <w:sz w:val="22"/>
                <w:vertAlign w:val="superscript"/>
                <w:lang w:val="en-GB"/>
              </w:rPr>
              <w:t>*</w:t>
            </w:r>
          </w:p>
        </w:tc>
        <w:tc>
          <w:tcPr>
            <w:tcW w:w="1548" w:type="dxa"/>
            <w:hideMark/>
          </w:tcPr>
          <w:p w14:paraId="62C2F6B4"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254</w:t>
            </w:r>
          </w:p>
          <w:p w14:paraId="6C7F4FB9"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74</w:t>
            </w:r>
          </w:p>
          <w:p w14:paraId="6B226178"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10</w:t>
            </w:r>
          </w:p>
          <w:p w14:paraId="21021CC6"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175</w:t>
            </w:r>
          </w:p>
          <w:p w14:paraId="6916AC39"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111</w:t>
            </w:r>
          </w:p>
        </w:tc>
      </w:tr>
      <w:tr w:rsidR="00E956DA" w:rsidRPr="005F3929" w14:paraId="6BC1B3A4" w14:textId="77777777" w:rsidTr="00782F1B">
        <w:trPr>
          <w:trHeight w:val="828"/>
        </w:trPr>
        <w:tc>
          <w:tcPr>
            <w:tcW w:w="1331" w:type="dxa"/>
          </w:tcPr>
          <w:p w14:paraId="3484F5A4"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 xml:space="preserve">Validation </w:t>
            </w:r>
          </w:p>
          <w:p w14:paraId="6BD06D71"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n=6</w:t>
            </w:r>
          </w:p>
        </w:tc>
        <w:tc>
          <w:tcPr>
            <w:tcW w:w="607" w:type="dxa"/>
          </w:tcPr>
          <w:p w14:paraId="3603723A"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M</w:t>
            </w:r>
          </w:p>
          <w:p w14:paraId="3D41DD62"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F</w:t>
            </w:r>
          </w:p>
          <w:p w14:paraId="22D6C8ED"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M</w:t>
            </w:r>
          </w:p>
          <w:p w14:paraId="24E6FB26"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M</w:t>
            </w:r>
          </w:p>
          <w:p w14:paraId="4C3DAC7B"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F</w:t>
            </w:r>
          </w:p>
          <w:p w14:paraId="750ED60E"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F</w:t>
            </w:r>
          </w:p>
        </w:tc>
        <w:tc>
          <w:tcPr>
            <w:tcW w:w="937" w:type="dxa"/>
          </w:tcPr>
          <w:p w14:paraId="5536BC17"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20-25</w:t>
            </w:r>
          </w:p>
          <w:p w14:paraId="2FDA9280"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15-20</w:t>
            </w:r>
          </w:p>
          <w:p w14:paraId="6F3311AA"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35-40</w:t>
            </w:r>
          </w:p>
          <w:p w14:paraId="15398672"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70-75</w:t>
            </w:r>
          </w:p>
          <w:p w14:paraId="5AE7753D"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40-45</w:t>
            </w:r>
          </w:p>
          <w:p w14:paraId="7C899D57"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80-85</w:t>
            </w:r>
          </w:p>
        </w:tc>
        <w:tc>
          <w:tcPr>
            <w:tcW w:w="1340" w:type="dxa"/>
          </w:tcPr>
          <w:p w14:paraId="4666204B"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DRESS</w:t>
            </w:r>
          </w:p>
          <w:p w14:paraId="56F1C9AB"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DRESS</w:t>
            </w:r>
          </w:p>
          <w:p w14:paraId="14D27898"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DRESS</w:t>
            </w:r>
          </w:p>
          <w:p w14:paraId="69692008"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DRESS</w:t>
            </w:r>
          </w:p>
          <w:p w14:paraId="00FEB152"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DRESS</w:t>
            </w:r>
          </w:p>
          <w:p w14:paraId="45E5452B"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DRESS</w:t>
            </w:r>
          </w:p>
        </w:tc>
        <w:tc>
          <w:tcPr>
            <w:tcW w:w="1414" w:type="dxa"/>
          </w:tcPr>
          <w:p w14:paraId="079B6D2D"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Cefoxitin</w:t>
            </w:r>
          </w:p>
          <w:p w14:paraId="70B7FB29"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Cefoxitin</w:t>
            </w:r>
          </w:p>
          <w:p w14:paraId="5D2B4D5A"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Cefoxitin</w:t>
            </w:r>
          </w:p>
          <w:p w14:paraId="61436077"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Vancomycin</w:t>
            </w:r>
          </w:p>
          <w:p w14:paraId="70D8AF36"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Vancomycin</w:t>
            </w:r>
          </w:p>
          <w:p w14:paraId="43C69FBB"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Teicoplanin</w:t>
            </w:r>
          </w:p>
        </w:tc>
        <w:tc>
          <w:tcPr>
            <w:tcW w:w="1316" w:type="dxa"/>
          </w:tcPr>
          <w:p w14:paraId="35EA9F2D"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3</w:t>
            </w:r>
          </w:p>
          <w:p w14:paraId="04E95DD0"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3</w:t>
            </w:r>
          </w:p>
          <w:p w14:paraId="07C0AD96"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3</w:t>
            </w:r>
          </w:p>
          <w:p w14:paraId="05D00FBD"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5</w:t>
            </w:r>
          </w:p>
          <w:p w14:paraId="19F87AA3"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4</w:t>
            </w:r>
          </w:p>
          <w:p w14:paraId="6C8582CC"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3</w:t>
            </w:r>
          </w:p>
        </w:tc>
        <w:tc>
          <w:tcPr>
            <w:tcW w:w="888" w:type="dxa"/>
          </w:tcPr>
          <w:p w14:paraId="58F7C62B"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13.7</w:t>
            </w:r>
            <w:r w:rsidRPr="00BA17EF">
              <w:rPr>
                <w:rFonts w:eastAsia="Calibri" w:cs="Times New Roman"/>
                <w:sz w:val="22"/>
                <w:vertAlign w:val="superscript"/>
                <w:lang w:val="en-GB"/>
              </w:rPr>
              <w:t>*</w:t>
            </w:r>
          </w:p>
          <w:p w14:paraId="347A356A"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3.6</w:t>
            </w:r>
            <w:r w:rsidRPr="00BA17EF">
              <w:rPr>
                <w:rFonts w:eastAsia="Calibri" w:cs="Times New Roman"/>
                <w:sz w:val="22"/>
                <w:vertAlign w:val="superscript"/>
                <w:lang w:val="en-GB"/>
              </w:rPr>
              <w:t>*</w:t>
            </w:r>
          </w:p>
          <w:p w14:paraId="4F5FFC86"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2.3</w:t>
            </w:r>
            <w:r w:rsidRPr="00BA17EF">
              <w:rPr>
                <w:rFonts w:eastAsia="Calibri" w:cs="Times New Roman"/>
                <w:sz w:val="22"/>
                <w:vertAlign w:val="superscript"/>
                <w:lang w:val="en-GB"/>
              </w:rPr>
              <w:t>*</w:t>
            </w:r>
          </w:p>
          <w:p w14:paraId="3067726D"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2.5</w:t>
            </w:r>
            <w:r w:rsidRPr="00BA17EF">
              <w:rPr>
                <w:rFonts w:eastAsia="Calibri" w:cs="Times New Roman"/>
                <w:sz w:val="22"/>
                <w:vertAlign w:val="superscript"/>
                <w:lang w:val="en-GB"/>
              </w:rPr>
              <w:t>*</w:t>
            </w:r>
          </w:p>
          <w:p w14:paraId="0B9D9FF5"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18.4</w:t>
            </w:r>
            <w:r w:rsidRPr="00BA17EF">
              <w:rPr>
                <w:rFonts w:eastAsia="Calibri" w:cs="Times New Roman"/>
                <w:sz w:val="22"/>
                <w:vertAlign w:val="superscript"/>
                <w:lang w:val="en-GB"/>
              </w:rPr>
              <w:t>*</w:t>
            </w:r>
          </w:p>
          <w:p w14:paraId="390E441C"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1.3</w:t>
            </w:r>
          </w:p>
        </w:tc>
        <w:tc>
          <w:tcPr>
            <w:tcW w:w="1548" w:type="dxa"/>
          </w:tcPr>
          <w:p w14:paraId="7357B24C"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20</w:t>
            </w:r>
          </w:p>
          <w:p w14:paraId="065FFC6F"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21</w:t>
            </w:r>
          </w:p>
          <w:p w14:paraId="2B63D450"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39</w:t>
            </w:r>
          </w:p>
          <w:p w14:paraId="2FD4DE6D"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554</w:t>
            </w:r>
          </w:p>
          <w:p w14:paraId="1465BB84"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113</w:t>
            </w:r>
          </w:p>
          <w:p w14:paraId="1DD7681C"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605</w:t>
            </w:r>
          </w:p>
        </w:tc>
      </w:tr>
      <w:tr w:rsidR="00E956DA" w:rsidRPr="005F3929" w14:paraId="390B0694" w14:textId="77777777" w:rsidTr="00BA17EF">
        <w:trPr>
          <w:trHeight w:val="2901"/>
        </w:trPr>
        <w:tc>
          <w:tcPr>
            <w:tcW w:w="1331" w:type="dxa"/>
            <w:hideMark/>
          </w:tcPr>
          <w:p w14:paraId="011580A2"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Tolerant controls</w:t>
            </w:r>
          </w:p>
          <w:p w14:paraId="30F4899D"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n=7</w:t>
            </w:r>
          </w:p>
        </w:tc>
        <w:tc>
          <w:tcPr>
            <w:tcW w:w="607" w:type="dxa"/>
            <w:hideMark/>
          </w:tcPr>
          <w:p w14:paraId="30501FCF"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F</w:t>
            </w:r>
          </w:p>
          <w:p w14:paraId="0CE10A07"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M</w:t>
            </w:r>
          </w:p>
          <w:p w14:paraId="304A64C1"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F</w:t>
            </w:r>
          </w:p>
          <w:p w14:paraId="310816C5"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F</w:t>
            </w:r>
          </w:p>
          <w:p w14:paraId="1E5E4CD0"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M</w:t>
            </w:r>
          </w:p>
          <w:p w14:paraId="22B57D1A"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F</w:t>
            </w:r>
          </w:p>
          <w:p w14:paraId="278D0CC0"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M</w:t>
            </w:r>
          </w:p>
        </w:tc>
        <w:tc>
          <w:tcPr>
            <w:tcW w:w="937" w:type="dxa"/>
            <w:hideMark/>
          </w:tcPr>
          <w:p w14:paraId="692EE9B7"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25-30</w:t>
            </w:r>
          </w:p>
          <w:p w14:paraId="47C9105F"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20-25</w:t>
            </w:r>
          </w:p>
          <w:p w14:paraId="0785EA7A"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80-85</w:t>
            </w:r>
          </w:p>
          <w:p w14:paraId="3780F541"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80-85</w:t>
            </w:r>
          </w:p>
          <w:p w14:paraId="694D9B86"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55-60</w:t>
            </w:r>
          </w:p>
          <w:p w14:paraId="61544682"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65-70</w:t>
            </w:r>
          </w:p>
          <w:p w14:paraId="7921D977"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60-65</w:t>
            </w:r>
          </w:p>
        </w:tc>
        <w:tc>
          <w:tcPr>
            <w:tcW w:w="1340" w:type="dxa"/>
            <w:hideMark/>
          </w:tcPr>
          <w:p w14:paraId="22A0AE2E"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Tolerant</w:t>
            </w:r>
          </w:p>
          <w:p w14:paraId="0946EF9C"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Tolerant</w:t>
            </w:r>
          </w:p>
          <w:p w14:paraId="0162DF6F"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Tolerant</w:t>
            </w:r>
          </w:p>
          <w:p w14:paraId="49225BCC"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Tolerant</w:t>
            </w:r>
          </w:p>
          <w:p w14:paraId="46287CF9"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Tolerant</w:t>
            </w:r>
          </w:p>
          <w:p w14:paraId="1A4F35ED"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Tolerant</w:t>
            </w:r>
          </w:p>
          <w:p w14:paraId="6BD473ED"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Tolerant</w:t>
            </w:r>
          </w:p>
        </w:tc>
        <w:tc>
          <w:tcPr>
            <w:tcW w:w="1414" w:type="dxa"/>
            <w:hideMark/>
          </w:tcPr>
          <w:p w14:paraId="50703917"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Cefoxitin</w:t>
            </w:r>
          </w:p>
          <w:p w14:paraId="7C4B1A11"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Cefoxitin</w:t>
            </w:r>
          </w:p>
          <w:p w14:paraId="683401E6"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Vancomycin</w:t>
            </w:r>
          </w:p>
          <w:p w14:paraId="2E39BAFC"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Vancomycin</w:t>
            </w:r>
          </w:p>
          <w:p w14:paraId="77C714A2"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Vancomycin</w:t>
            </w:r>
          </w:p>
          <w:p w14:paraId="2B6F88CF"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Vancomycin</w:t>
            </w:r>
          </w:p>
          <w:p w14:paraId="70E02DB6"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Teicoplanin</w:t>
            </w:r>
          </w:p>
        </w:tc>
        <w:tc>
          <w:tcPr>
            <w:tcW w:w="1316" w:type="dxa"/>
            <w:hideMark/>
          </w:tcPr>
          <w:p w14:paraId="63468804" w14:textId="77777777" w:rsidR="00E956DA" w:rsidRPr="00BA17EF" w:rsidRDefault="00E956DA" w:rsidP="005F3929">
            <w:pPr>
              <w:spacing w:before="0" w:after="0" w:line="480" w:lineRule="auto"/>
              <w:rPr>
                <w:rFonts w:eastAsia="Calibri" w:cs="Times New Roman"/>
                <w:sz w:val="22"/>
                <w:lang w:val="pl-PL"/>
              </w:rPr>
            </w:pPr>
            <w:r w:rsidRPr="00BA17EF">
              <w:rPr>
                <w:rFonts w:eastAsia="Calibri" w:cs="Times New Roman"/>
                <w:sz w:val="22"/>
                <w:lang w:val="pl-PL"/>
              </w:rPr>
              <w:t>NA</w:t>
            </w:r>
          </w:p>
          <w:p w14:paraId="23DCE6AF" w14:textId="77777777" w:rsidR="00E956DA" w:rsidRPr="00BA17EF" w:rsidRDefault="00E956DA" w:rsidP="005F3929">
            <w:pPr>
              <w:spacing w:before="0" w:after="0" w:line="480" w:lineRule="auto"/>
              <w:rPr>
                <w:rFonts w:eastAsia="Calibri" w:cs="Times New Roman"/>
                <w:sz w:val="22"/>
                <w:lang w:val="pl-PL"/>
              </w:rPr>
            </w:pPr>
            <w:r w:rsidRPr="00BA17EF">
              <w:rPr>
                <w:rFonts w:eastAsia="Calibri" w:cs="Times New Roman"/>
                <w:sz w:val="22"/>
                <w:lang w:val="pl-PL"/>
              </w:rPr>
              <w:t>NA</w:t>
            </w:r>
          </w:p>
          <w:p w14:paraId="6C8A8A42" w14:textId="77777777" w:rsidR="00E956DA" w:rsidRPr="00BA17EF" w:rsidRDefault="00E956DA" w:rsidP="005F3929">
            <w:pPr>
              <w:spacing w:before="0" w:after="0" w:line="480" w:lineRule="auto"/>
              <w:rPr>
                <w:rFonts w:eastAsia="Calibri" w:cs="Times New Roman"/>
                <w:sz w:val="22"/>
                <w:lang w:val="pl-PL"/>
              </w:rPr>
            </w:pPr>
            <w:r w:rsidRPr="00BA17EF">
              <w:rPr>
                <w:rFonts w:eastAsia="Calibri" w:cs="Times New Roman"/>
                <w:sz w:val="22"/>
                <w:lang w:val="pl-PL"/>
              </w:rPr>
              <w:t>NA</w:t>
            </w:r>
          </w:p>
          <w:p w14:paraId="19E6F925" w14:textId="77777777" w:rsidR="00E956DA" w:rsidRPr="00BA17EF" w:rsidRDefault="00E956DA" w:rsidP="005F3929">
            <w:pPr>
              <w:spacing w:before="0" w:after="0" w:line="480" w:lineRule="auto"/>
              <w:rPr>
                <w:rFonts w:eastAsia="Calibri" w:cs="Times New Roman"/>
                <w:sz w:val="22"/>
                <w:lang w:val="pl-PL"/>
              </w:rPr>
            </w:pPr>
            <w:r w:rsidRPr="00BA17EF">
              <w:rPr>
                <w:rFonts w:eastAsia="Calibri" w:cs="Times New Roman"/>
                <w:sz w:val="22"/>
                <w:lang w:val="pl-PL"/>
              </w:rPr>
              <w:t>NA</w:t>
            </w:r>
          </w:p>
          <w:p w14:paraId="4CF0BAF6" w14:textId="77777777" w:rsidR="00E956DA" w:rsidRPr="00BA17EF" w:rsidRDefault="00E956DA" w:rsidP="005F3929">
            <w:pPr>
              <w:spacing w:before="0" w:after="0" w:line="480" w:lineRule="auto"/>
              <w:rPr>
                <w:rFonts w:eastAsia="Calibri" w:cs="Times New Roman"/>
                <w:sz w:val="22"/>
                <w:lang w:val="pl-PL"/>
              </w:rPr>
            </w:pPr>
            <w:r w:rsidRPr="00BA17EF">
              <w:rPr>
                <w:rFonts w:eastAsia="Calibri" w:cs="Times New Roman"/>
                <w:sz w:val="22"/>
                <w:lang w:val="pl-PL"/>
              </w:rPr>
              <w:t>NA</w:t>
            </w:r>
          </w:p>
          <w:p w14:paraId="4A4143E3" w14:textId="77777777" w:rsidR="00E956DA" w:rsidRPr="00BA17EF" w:rsidRDefault="00E956DA" w:rsidP="005F3929">
            <w:pPr>
              <w:spacing w:before="0" w:after="0" w:line="480" w:lineRule="auto"/>
              <w:rPr>
                <w:rFonts w:eastAsia="Calibri" w:cs="Times New Roman"/>
                <w:sz w:val="22"/>
                <w:lang w:val="pl-PL"/>
              </w:rPr>
            </w:pPr>
            <w:r w:rsidRPr="00BA17EF">
              <w:rPr>
                <w:rFonts w:eastAsia="Calibri" w:cs="Times New Roman"/>
                <w:sz w:val="22"/>
                <w:lang w:val="pl-PL"/>
              </w:rPr>
              <w:t>NA</w:t>
            </w:r>
          </w:p>
          <w:p w14:paraId="44D6311C"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NA</w:t>
            </w:r>
          </w:p>
        </w:tc>
        <w:tc>
          <w:tcPr>
            <w:tcW w:w="888" w:type="dxa"/>
            <w:hideMark/>
          </w:tcPr>
          <w:p w14:paraId="6826CA3F"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1.7</w:t>
            </w:r>
          </w:p>
          <w:p w14:paraId="3329D33D"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0.7</w:t>
            </w:r>
          </w:p>
          <w:p w14:paraId="6699AAC4"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2.1</w:t>
            </w:r>
          </w:p>
          <w:p w14:paraId="303918B7"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0.6</w:t>
            </w:r>
          </w:p>
          <w:p w14:paraId="1975F375"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1.4</w:t>
            </w:r>
          </w:p>
          <w:p w14:paraId="5D099436"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1.2</w:t>
            </w:r>
          </w:p>
          <w:p w14:paraId="5387CB1C"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0.8</w:t>
            </w:r>
          </w:p>
        </w:tc>
        <w:tc>
          <w:tcPr>
            <w:tcW w:w="1548" w:type="dxa"/>
            <w:hideMark/>
          </w:tcPr>
          <w:p w14:paraId="1B87D5CE"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Neg</w:t>
            </w:r>
          </w:p>
          <w:p w14:paraId="4521F124"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Neg</w:t>
            </w:r>
          </w:p>
          <w:p w14:paraId="422CB97C"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Neg</w:t>
            </w:r>
          </w:p>
          <w:p w14:paraId="48D4A7DB"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Neg</w:t>
            </w:r>
          </w:p>
          <w:p w14:paraId="21386649"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Neg</w:t>
            </w:r>
          </w:p>
          <w:p w14:paraId="0BB8BD50"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Neg</w:t>
            </w:r>
          </w:p>
          <w:p w14:paraId="494361C8" w14:textId="77777777" w:rsidR="00E956DA" w:rsidRPr="00BA17EF" w:rsidRDefault="00E956DA" w:rsidP="005F3929">
            <w:pPr>
              <w:spacing w:before="0" w:after="0" w:line="480" w:lineRule="auto"/>
              <w:rPr>
                <w:rFonts w:eastAsia="Calibri" w:cs="Times New Roman"/>
                <w:sz w:val="22"/>
                <w:lang w:val="en-GB"/>
              </w:rPr>
            </w:pPr>
            <w:r w:rsidRPr="00BA17EF">
              <w:rPr>
                <w:rFonts w:eastAsia="Calibri" w:cs="Times New Roman"/>
                <w:sz w:val="22"/>
                <w:lang w:val="en-GB"/>
              </w:rPr>
              <w:t>Neg</w:t>
            </w:r>
          </w:p>
        </w:tc>
      </w:tr>
    </w:tbl>
    <w:p w14:paraId="6275FF06" w14:textId="2C390B11" w:rsidR="005F3929" w:rsidRPr="005F3929" w:rsidRDefault="00E956DA" w:rsidP="00DD2BB2">
      <w:pPr>
        <w:spacing w:line="480" w:lineRule="auto"/>
        <w:rPr>
          <w:rFonts w:cs="Times New Roman"/>
          <w:sz w:val="22"/>
        </w:rPr>
      </w:pPr>
      <w:r w:rsidRPr="005F3929">
        <w:rPr>
          <w:rFonts w:eastAsia="Calibri" w:cs="Times New Roman"/>
          <w:sz w:val="22"/>
        </w:rPr>
        <w:lastRenderedPageBreak/>
        <w:t>Cmax  = maximal concentration, IFN = interferon, LPA = lymphocyte proliferation assay, NA = not applicable; Neg = negative, RegiSCAR = registry of Severe Cutaneous Adverse Reaction (RegiSCAR score: 2-3 possible case, 4-5 probable case, &gt;5 definite case),  SD = standard deviation, * = positive result (SI &gt;2)</w:t>
      </w:r>
      <w:r w:rsidR="001E58CE">
        <w:rPr>
          <w:sz w:val="22"/>
        </w:rPr>
        <w:fldChar w:fldCharType="begin"/>
      </w:r>
      <w:r w:rsidR="001E58CE">
        <w:rPr>
          <w:sz w:val="22"/>
        </w:rPr>
        <w:instrText xml:space="preserve"> ADDIN EN.REFLIST </w:instrText>
      </w:r>
      <w:r w:rsidR="00616C24">
        <w:rPr>
          <w:sz w:val="22"/>
        </w:rPr>
        <w:fldChar w:fldCharType="separate"/>
      </w:r>
      <w:r w:rsidR="001E58CE">
        <w:rPr>
          <w:rFonts w:cs="Times New Roman"/>
          <w:sz w:val="22"/>
        </w:rPr>
        <w:fldChar w:fldCharType="end"/>
      </w:r>
    </w:p>
    <w:sectPr w:rsidR="005F3929" w:rsidRPr="005F3929" w:rsidSect="00D537FA">
      <w:headerReference w:type="even" r:id="rId10"/>
      <w:footerReference w:type="even" r:id="rId11"/>
      <w:footerReference w:type="default" r:id="rId12"/>
      <w:headerReference w:type="first" r:id="rId13"/>
      <w:pgSz w:w="12240" w:h="15840"/>
      <w:pgMar w:top="1138" w:right="1181" w:bottom="1138" w:left="1282"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56618" w14:textId="77777777" w:rsidR="00616C24" w:rsidRDefault="00616C24">
      <w:pPr>
        <w:spacing w:before="0" w:after="0"/>
      </w:pPr>
      <w:r>
        <w:separator/>
      </w:r>
    </w:p>
  </w:endnote>
  <w:endnote w:type="continuationSeparator" w:id="0">
    <w:p w14:paraId="4D25C099" w14:textId="77777777" w:rsidR="00616C24" w:rsidRDefault="00616C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A971" w14:textId="77777777" w:rsidR="00A42780" w:rsidRPr="00577C4C" w:rsidRDefault="00E956DA">
    <w:pPr>
      <w:pStyle w:val="Footer"/>
      <w:rPr>
        <w:color w:val="C00000"/>
        <w:szCs w:val="24"/>
      </w:rPr>
    </w:pPr>
    <w:r>
      <w:rPr>
        <w:noProof/>
        <w:lang w:val="en-GB" w:eastAsia="en-GB"/>
      </w:rPr>
      <mc:AlternateContent>
        <mc:Choice Requires="wps">
          <w:drawing>
            <wp:anchor distT="0" distB="0" distL="114300" distR="114300" simplePos="0" relativeHeight="251660288" behindDoc="0" locked="0" layoutInCell="1" allowOverlap="1" wp14:anchorId="4FE6B902" wp14:editId="61545E56">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C95B590" w14:textId="77777777" w:rsidR="00A42780" w:rsidRPr="00577C4C" w:rsidRDefault="00E956DA">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477913">
                            <w:rPr>
                              <w:noProof/>
                              <w:color w:val="000000" w:themeColor="text1"/>
                              <w:sz w:val="22"/>
                              <w:szCs w:val="40"/>
                            </w:rPr>
                            <w:t>24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FE6B902" id="_x0000_t202" coordsize="21600,21600" o:spt="202" path="m,l,21600r21600,l21600,xe">
              <v:stroke joinstyle="miter"/>
              <v:path gradientshapeok="t" o:connecttype="rect"/>
            </v:shapetype>
            <v:shape id="Text Box 1" o:spid="_x0000_s1026" type="#_x0000_t202" style="position:absolute;margin-left:67.6pt;margin-top:0;width:118.8pt;height:31.1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C95B590" w14:textId="77777777" w:rsidR="00A42780" w:rsidRPr="00577C4C" w:rsidRDefault="00E956DA">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477913">
                      <w:rPr>
                        <w:noProof/>
                        <w:color w:val="000000" w:themeColor="text1"/>
                        <w:sz w:val="22"/>
                        <w:szCs w:val="40"/>
                      </w:rPr>
                      <w:t>24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DE4C" w14:textId="77777777" w:rsidR="00A42780" w:rsidRPr="00577C4C" w:rsidRDefault="00E956DA">
    <w:pPr>
      <w:pStyle w:val="Footer"/>
      <w:rPr>
        <w:b/>
        <w:sz w:val="20"/>
        <w:szCs w:val="24"/>
      </w:rPr>
    </w:pPr>
    <w:r>
      <w:rPr>
        <w:noProof/>
        <w:lang w:val="en-GB" w:eastAsia="en-GB"/>
      </w:rPr>
      <mc:AlternateContent>
        <mc:Choice Requires="wps">
          <w:drawing>
            <wp:anchor distT="0" distB="0" distL="114300" distR="114300" simplePos="0" relativeHeight="251659264" behindDoc="0" locked="0" layoutInCell="1" allowOverlap="1" wp14:anchorId="7CB3F68F" wp14:editId="1F06CCAE">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6231C31" w14:textId="77777777" w:rsidR="00A42780" w:rsidRPr="00577C4C" w:rsidRDefault="00E956DA">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E956DA">
                            <w:rPr>
                              <w:noProof/>
                              <w:color w:val="000000" w:themeColor="text1"/>
                              <w:sz w:val="22"/>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CB3F68F"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46231C31" w14:textId="77777777" w:rsidR="00A42780" w:rsidRPr="00577C4C" w:rsidRDefault="00E956DA">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E956DA">
                      <w:rPr>
                        <w:noProof/>
                        <w:color w:val="000000" w:themeColor="text1"/>
                        <w:sz w:val="22"/>
                        <w:szCs w:val="40"/>
                      </w:rPr>
                      <w:t>2</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E0A4B" w14:textId="77777777" w:rsidR="00616C24" w:rsidRDefault="00616C24">
      <w:pPr>
        <w:spacing w:before="0" w:after="0"/>
      </w:pPr>
      <w:r>
        <w:separator/>
      </w:r>
    </w:p>
  </w:footnote>
  <w:footnote w:type="continuationSeparator" w:id="0">
    <w:p w14:paraId="23930949" w14:textId="77777777" w:rsidR="00616C24" w:rsidRDefault="00616C2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Bidi"/>
        <w:szCs w:val="22"/>
      </w:rPr>
      <w:id w:val="1696191362"/>
      <w:docPartObj>
        <w:docPartGallery w:val="Page Numbers (Top of Page)"/>
        <w:docPartUnique/>
      </w:docPartObj>
    </w:sdtPr>
    <w:sdtEndPr>
      <w:rPr>
        <w:noProof/>
      </w:rPr>
    </w:sdtEndPr>
    <w:sdtContent>
      <w:p w14:paraId="500224E7" w14:textId="77777777" w:rsidR="001A4445" w:rsidRPr="001A4445" w:rsidRDefault="00E956DA" w:rsidP="001A4445">
        <w:pPr>
          <w:pStyle w:val="AuthorList"/>
          <w:jc w:val="right"/>
          <w:rPr>
            <w:b w:val="0"/>
            <w:sz w:val="22"/>
            <w:szCs w:val="22"/>
            <w:lang w:val="en-GB"/>
          </w:rPr>
        </w:pPr>
        <w:r w:rsidRPr="001A4445">
          <w:rPr>
            <w:b w:val="0"/>
            <w:bCs/>
            <w:sz w:val="22"/>
            <w:szCs w:val="22"/>
            <w:lang w:val="en-GB"/>
          </w:rPr>
          <w:t>RNA-seq analysis of Drug Reaction with Eosinophilia and Systemic Symptoms (DRESS)</w:t>
        </w:r>
      </w:p>
      <w:p w14:paraId="7D4EA109" w14:textId="77777777" w:rsidR="00A42780" w:rsidRDefault="00616C24">
        <w:pPr>
          <w:pStyle w:val="Header"/>
          <w:jc w:val="right"/>
        </w:pPr>
      </w:p>
    </w:sdtContent>
  </w:sdt>
  <w:p w14:paraId="4C84BE6B" w14:textId="77777777" w:rsidR="00A42780" w:rsidRPr="007E3148" w:rsidRDefault="00616C24" w:rsidP="00A53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F343" w14:textId="323B34E6" w:rsidR="00A42780" w:rsidRDefault="00E956DA" w:rsidP="00A5300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 w15:restartNumberingAfterBreak="0">
    <w:nsid w:val="7C470763"/>
    <w:multiLevelType w:val="hybridMultilevel"/>
    <w:tmpl w:val="48FA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5209efoxs2x1e0apgp0sztee5rt02s5e9s&quot;&gt;My EndNote Library&lt;record-ids&gt;&lt;item&gt;28&lt;/item&gt;&lt;/record-ids&gt;&lt;/item&gt;&lt;/Libraries&gt;"/>
  </w:docVars>
  <w:rsids>
    <w:rsidRoot w:val="00E956DA"/>
    <w:rsid w:val="000800C4"/>
    <w:rsid w:val="000E4C2E"/>
    <w:rsid w:val="00144E0C"/>
    <w:rsid w:val="001516AB"/>
    <w:rsid w:val="00154C87"/>
    <w:rsid w:val="001766D6"/>
    <w:rsid w:val="001A4A38"/>
    <w:rsid w:val="001C13B0"/>
    <w:rsid w:val="001E58CE"/>
    <w:rsid w:val="001F3A79"/>
    <w:rsid w:val="00216968"/>
    <w:rsid w:val="00280AAC"/>
    <w:rsid w:val="002C5985"/>
    <w:rsid w:val="003011BB"/>
    <w:rsid w:val="00333D3C"/>
    <w:rsid w:val="00337FCD"/>
    <w:rsid w:val="00357CC5"/>
    <w:rsid w:val="003A77EE"/>
    <w:rsid w:val="003A7FDF"/>
    <w:rsid w:val="003B022B"/>
    <w:rsid w:val="003C2D4C"/>
    <w:rsid w:val="003D1A70"/>
    <w:rsid w:val="003E4232"/>
    <w:rsid w:val="003F5691"/>
    <w:rsid w:val="004201BA"/>
    <w:rsid w:val="004618D3"/>
    <w:rsid w:val="00482D9E"/>
    <w:rsid w:val="0048671E"/>
    <w:rsid w:val="00523133"/>
    <w:rsid w:val="00530B1D"/>
    <w:rsid w:val="005406B9"/>
    <w:rsid w:val="00540E68"/>
    <w:rsid w:val="00575B3F"/>
    <w:rsid w:val="0058780A"/>
    <w:rsid w:val="005A6218"/>
    <w:rsid w:val="005F3929"/>
    <w:rsid w:val="005F7B39"/>
    <w:rsid w:val="006073EA"/>
    <w:rsid w:val="00616088"/>
    <w:rsid w:val="00616C24"/>
    <w:rsid w:val="006935D2"/>
    <w:rsid w:val="006D0A02"/>
    <w:rsid w:val="006F20DB"/>
    <w:rsid w:val="00731676"/>
    <w:rsid w:val="00755755"/>
    <w:rsid w:val="007962F6"/>
    <w:rsid w:val="007D4535"/>
    <w:rsid w:val="008533BD"/>
    <w:rsid w:val="0085614A"/>
    <w:rsid w:val="008973B1"/>
    <w:rsid w:val="008A276A"/>
    <w:rsid w:val="008E12F7"/>
    <w:rsid w:val="008E1855"/>
    <w:rsid w:val="00902FFA"/>
    <w:rsid w:val="0090425B"/>
    <w:rsid w:val="00935D7C"/>
    <w:rsid w:val="00955328"/>
    <w:rsid w:val="009856E7"/>
    <w:rsid w:val="009B63C7"/>
    <w:rsid w:val="009F445E"/>
    <w:rsid w:val="00A03424"/>
    <w:rsid w:val="00A0763A"/>
    <w:rsid w:val="00A35D86"/>
    <w:rsid w:val="00A76D06"/>
    <w:rsid w:val="00AB2BC0"/>
    <w:rsid w:val="00AB6D40"/>
    <w:rsid w:val="00AF0836"/>
    <w:rsid w:val="00B10DB0"/>
    <w:rsid w:val="00B155F9"/>
    <w:rsid w:val="00B15BB5"/>
    <w:rsid w:val="00B51596"/>
    <w:rsid w:val="00B562BD"/>
    <w:rsid w:val="00B62A58"/>
    <w:rsid w:val="00B705E0"/>
    <w:rsid w:val="00BA17EF"/>
    <w:rsid w:val="00BB135F"/>
    <w:rsid w:val="00BD46CF"/>
    <w:rsid w:val="00BE5979"/>
    <w:rsid w:val="00BF0BEF"/>
    <w:rsid w:val="00C1365F"/>
    <w:rsid w:val="00C3278E"/>
    <w:rsid w:val="00C500D1"/>
    <w:rsid w:val="00C6235C"/>
    <w:rsid w:val="00C6667B"/>
    <w:rsid w:val="00CA58B1"/>
    <w:rsid w:val="00CB2F2A"/>
    <w:rsid w:val="00CB6146"/>
    <w:rsid w:val="00CD5D25"/>
    <w:rsid w:val="00CE3AF4"/>
    <w:rsid w:val="00D00D37"/>
    <w:rsid w:val="00D12A30"/>
    <w:rsid w:val="00D17754"/>
    <w:rsid w:val="00D33EDA"/>
    <w:rsid w:val="00D62B33"/>
    <w:rsid w:val="00D633C4"/>
    <w:rsid w:val="00D84B11"/>
    <w:rsid w:val="00DD0386"/>
    <w:rsid w:val="00DD2BB2"/>
    <w:rsid w:val="00DF3609"/>
    <w:rsid w:val="00E012BF"/>
    <w:rsid w:val="00E243C5"/>
    <w:rsid w:val="00E60AC4"/>
    <w:rsid w:val="00E66AE9"/>
    <w:rsid w:val="00E76559"/>
    <w:rsid w:val="00E946C4"/>
    <w:rsid w:val="00E956DA"/>
    <w:rsid w:val="00E9700D"/>
    <w:rsid w:val="00EB5EED"/>
    <w:rsid w:val="00EC09B2"/>
    <w:rsid w:val="00EE35F1"/>
    <w:rsid w:val="00EE6468"/>
    <w:rsid w:val="00F52D99"/>
    <w:rsid w:val="00F666C9"/>
    <w:rsid w:val="00FB2F11"/>
    <w:rsid w:val="00FB798B"/>
    <w:rsid w:val="00FD09C5"/>
    <w:rsid w:val="00FD5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08EA5"/>
  <w15:chartTrackingRefBased/>
  <w15:docId w15:val="{85C0E634-F74F-4660-85A8-CF33D53E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6DA"/>
    <w:pPr>
      <w:spacing w:before="120" w:after="240" w:line="240" w:lineRule="auto"/>
    </w:pPr>
    <w:rPr>
      <w:rFonts w:ascii="Times New Roman" w:hAnsi="Times New Roman"/>
      <w:sz w:val="24"/>
      <w:lang w:val="en-US"/>
    </w:rPr>
  </w:style>
  <w:style w:type="paragraph" w:styleId="Heading1">
    <w:name w:val="heading 1"/>
    <w:basedOn w:val="ListParagraph"/>
    <w:next w:val="Normal"/>
    <w:link w:val="Heading1Char"/>
    <w:uiPriority w:val="2"/>
    <w:qFormat/>
    <w:rsid w:val="00E956DA"/>
    <w:pPr>
      <w:numPr>
        <w:numId w:val="1"/>
      </w:numPr>
      <w:spacing w:before="240"/>
      <w:contextualSpacing w:val="0"/>
      <w:outlineLvl w:val="0"/>
    </w:pPr>
    <w:rPr>
      <w:rFonts w:eastAsia="Cambria" w:cs="Times New Roman"/>
      <w:b/>
      <w:szCs w:val="24"/>
    </w:rPr>
  </w:style>
  <w:style w:type="paragraph" w:styleId="Heading2">
    <w:name w:val="heading 2"/>
    <w:basedOn w:val="Heading1"/>
    <w:next w:val="Normal"/>
    <w:link w:val="Heading2Char"/>
    <w:uiPriority w:val="2"/>
    <w:qFormat/>
    <w:rsid w:val="00E956DA"/>
    <w:pPr>
      <w:numPr>
        <w:ilvl w:val="1"/>
      </w:numPr>
      <w:spacing w:after="200"/>
      <w:outlineLvl w:val="1"/>
    </w:pPr>
  </w:style>
  <w:style w:type="paragraph" w:styleId="Heading3">
    <w:name w:val="heading 3"/>
    <w:basedOn w:val="Normal"/>
    <w:next w:val="Normal"/>
    <w:link w:val="Heading3Char"/>
    <w:uiPriority w:val="2"/>
    <w:qFormat/>
    <w:rsid w:val="00E956DA"/>
    <w:pPr>
      <w:keepNext/>
      <w:keepLines/>
      <w:numPr>
        <w:ilvl w:val="2"/>
        <w:numId w:val="1"/>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E956DA"/>
    <w:pPr>
      <w:numPr>
        <w:ilvl w:val="3"/>
      </w:numPr>
      <w:outlineLvl w:val="3"/>
    </w:pPr>
    <w:rPr>
      <w:iCs/>
    </w:rPr>
  </w:style>
  <w:style w:type="paragraph" w:styleId="Heading5">
    <w:name w:val="heading 5"/>
    <w:basedOn w:val="Heading4"/>
    <w:next w:val="Normal"/>
    <w:link w:val="Heading5Char"/>
    <w:uiPriority w:val="2"/>
    <w:qFormat/>
    <w:rsid w:val="00E956DA"/>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E956DA"/>
    <w:rPr>
      <w:rFonts w:ascii="Times New Roman" w:eastAsia="Cambria" w:hAnsi="Times New Roman" w:cs="Times New Roman"/>
      <w:b/>
      <w:sz w:val="24"/>
      <w:szCs w:val="24"/>
      <w:lang w:val="en-US"/>
    </w:rPr>
  </w:style>
  <w:style w:type="character" w:customStyle="1" w:styleId="Heading2Char">
    <w:name w:val="Heading 2 Char"/>
    <w:basedOn w:val="DefaultParagraphFont"/>
    <w:link w:val="Heading2"/>
    <w:uiPriority w:val="2"/>
    <w:rsid w:val="00E956DA"/>
    <w:rPr>
      <w:rFonts w:ascii="Times New Roman" w:eastAsia="Cambria" w:hAnsi="Times New Roman" w:cs="Times New Roman"/>
      <w:b/>
      <w:sz w:val="24"/>
      <w:szCs w:val="24"/>
      <w:lang w:val="en-US"/>
    </w:rPr>
  </w:style>
  <w:style w:type="character" w:customStyle="1" w:styleId="Heading3Char">
    <w:name w:val="Heading 3 Char"/>
    <w:basedOn w:val="DefaultParagraphFont"/>
    <w:link w:val="Heading3"/>
    <w:uiPriority w:val="2"/>
    <w:rsid w:val="00E956DA"/>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uiPriority w:val="2"/>
    <w:rsid w:val="00E956DA"/>
    <w:rPr>
      <w:rFonts w:ascii="Times New Roman" w:eastAsiaTheme="majorEastAsia" w:hAnsi="Times New Roman" w:cstheme="majorBidi"/>
      <w:b/>
      <w:iCs/>
      <w:sz w:val="24"/>
      <w:szCs w:val="24"/>
      <w:lang w:val="en-US"/>
    </w:rPr>
  </w:style>
  <w:style w:type="character" w:customStyle="1" w:styleId="Heading5Char">
    <w:name w:val="Heading 5 Char"/>
    <w:basedOn w:val="DefaultParagraphFont"/>
    <w:link w:val="Heading5"/>
    <w:uiPriority w:val="2"/>
    <w:rsid w:val="00E956DA"/>
    <w:rPr>
      <w:rFonts w:ascii="Times New Roman" w:eastAsiaTheme="majorEastAsia" w:hAnsi="Times New Roman" w:cstheme="majorBidi"/>
      <w:b/>
      <w:iCs/>
      <w:sz w:val="24"/>
      <w:szCs w:val="24"/>
      <w:lang w:val="en-US"/>
    </w:rPr>
  </w:style>
  <w:style w:type="paragraph" w:styleId="Header">
    <w:name w:val="header"/>
    <w:basedOn w:val="Normal"/>
    <w:link w:val="HeaderChar"/>
    <w:uiPriority w:val="99"/>
    <w:unhideWhenUsed/>
    <w:rsid w:val="00E956DA"/>
    <w:pPr>
      <w:tabs>
        <w:tab w:val="center" w:pos="4844"/>
        <w:tab w:val="right" w:pos="9689"/>
      </w:tabs>
    </w:pPr>
    <w:rPr>
      <w:b/>
    </w:rPr>
  </w:style>
  <w:style w:type="character" w:customStyle="1" w:styleId="HeaderChar">
    <w:name w:val="Header Char"/>
    <w:basedOn w:val="DefaultParagraphFont"/>
    <w:link w:val="Header"/>
    <w:uiPriority w:val="99"/>
    <w:rsid w:val="00E956DA"/>
    <w:rPr>
      <w:rFonts w:ascii="Times New Roman" w:hAnsi="Times New Roman"/>
      <w:b/>
      <w:sz w:val="24"/>
      <w:lang w:val="en-US"/>
    </w:rPr>
  </w:style>
  <w:style w:type="paragraph" w:styleId="Footer">
    <w:name w:val="footer"/>
    <w:basedOn w:val="Normal"/>
    <w:link w:val="FooterChar"/>
    <w:uiPriority w:val="99"/>
    <w:unhideWhenUsed/>
    <w:rsid w:val="00E956DA"/>
    <w:pPr>
      <w:tabs>
        <w:tab w:val="center" w:pos="4844"/>
        <w:tab w:val="right" w:pos="9689"/>
      </w:tabs>
      <w:spacing w:after="0"/>
    </w:pPr>
  </w:style>
  <w:style w:type="character" w:customStyle="1" w:styleId="FooterChar">
    <w:name w:val="Footer Char"/>
    <w:basedOn w:val="DefaultParagraphFont"/>
    <w:link w:val="Footer"/>
    <w:uiPriority w:val="99"/>
    <w:rsid w:val="00E956DA"/>
    <w:rPr>
      <w:rFonts w:ascii="Times New Roman" w:hAnsi="Times New Roman"/>
      <w:sz w:val="24"/>
      <w:lang w:val="en-US"/>
    </w:rPr>
  </w:style>
  <w:style w:type="table" w:styleId="TableGrid">
    <w:name w:val="Table Grid"/>
    <w:basedOn w:val="TableNormal"/>
    <w:uiPriority w:val="59"/>
    <w:rsid w:val="00E956DA"/>
    <w:pPr>
      <w:spacing w:after="0" w:line="240" w:lineRule="auto"/>
    </w:pPr>
    <w:rPr>
      <w:rFonts w:asciiTheme="majorHAnsi" w:hAnsiTheme="maj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56DA"/>
    <w:rPr>
      <w:color w:val="0000FF"/>
      <w:u w:val="single"/>
    </w:rPr>
  </w:style>
  <w:style w:type="paragraph" w:customStyle="1" w:styleId="AuthorList">
    <w:name w:val="Author List"/>
    <w:aliases w:val="Keywords,Abstract"/>
    <w:basedOn w:val="Subtitle"/>
    <w:next w:val="Normal"/>
    <w:uiPriority w:val="1"/>
    <w:qFormat/>
    <w:rsid w:val="00E956DA"/>
    <w:pPr>
      <w:numPr>
        <w:ilvl w:val="0"/>
      </w:numPr>
      <w:spacing w:before="240" w:after="240"/>
    </w:pPr>
    <w:rPr>
      <w:rFonts w:ascii="Times New Roman" w:eastAsiaTheme="minorHAnsi" w:hAnsi="Times New Roman" w:cs="Times New Roman"/>
      <w:b/>
      <w:color w:val="auto"/>
      <w:spacing w:val="0"/>
      <w:sz w:val="24"/>
      <w:szCs w:val="24"/>
    </w:rPr>
  </w:style>
  <w:style w:type="numbering" w:customStyle="1" w:styleId="Headings">
    <w:name w:val="Headings"/>
    <w:uiPriority w:val="99"/>
    <w:rsid w:val="00E956DA"/>
    <w:pPr>
      <w:numPr>
        <w:numId w:val="2"/>
      </w:numPr>
    </w:pPr>
  </w:style>
  <w:style w:type="paragraph" w:styleId="ListParagraph">
    <w:name w:val="List Paragraph"/>
    <w:basedOn w:val="Normal"/>
    <w:uiPriority w:val="34"/>
    <w:qFormat/>
    <w:rsid w:val="00E956DA"/>
    <w:pPr>
      <w:ind w:left="720"/>
      <w:contextualSpacing/>
    </w:pPr>
  </w:style>
  <w:style w:type="paragraph" w:styleId="Subtitle">
    <w:name w:val="Subtitle"/>
    <w:basedOn w:val="Normal"/>
    <w:next w:val="Normal"/>
    <w:link w:val="SubtitleChar"/>
    <w:uiPriority w:val="11"/>
    <w:qFormat/>
    <w:rsid w:val="00E956DA"/>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E956DA"/>
    <w:rPr>
      <w:rFonts w:eastAsiaTheme="minorEastAsia"/>
      <w:color w:val="5A5A5A" w:themeColor="text1" w:themeTint="A5"/>
      <w:spacing w:val="15"/>
      <w:lang w:val="en-US"/>
    </w:rPr>
  </w:style>
  <w:style w:type="character" w:styleId="LineNumber">
    <w:name w:val="line number"/>
    <w:basedOn w:val="DefaultParagraphFont"/>
    <w:uiPriority w:val="99"/>
    <w:semiHidden/>
    <w:unhideWhenUsed/>
    <w:rsid w:val="00E956DA"/>
  </w:style>
  <w:style w:type="paragraph" w:styleId="Revision">
    <w:name w:val="Revision"/>
    <w:hidden/>
    <w:uiPriority w:val="99"/>
    <w:semiHidden/>
    <w:rsid w:val="00FD5C48"/>
    <w:pPr>
      <w:spacing w:after="0" w:line="240" w:lineRule="auto"/>
    </w:pPr>
    <w:rPr>
      <w:rFonts w:ascii="Times New Roman" w:hAnsi="Times New Roman"/>
      <w:sz w:val="24"/>
      <w:lang w:val="en-US"/>
    </w:rPr>
  </w:style>
  <w:style w:type="paragraph" w:customStyle="1" w:styleId="EndNoteBibliographyTitle">
    <w:name w:val="EndNote Bibliography Title"/>
    <w:basedOn w:val="Normal"/>
    <w:link w:val="EndNoteBibliographyTitleChar"/>
    <w:rsid w:val="001E58CE"/>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1E58CE"/>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1E58CE"/>
    <w:rPr>
      <w:rFonts w:cs="Times New Roman"/>
      <w:noProof/>
    </w:rPr>
  </w:style>
  <w:style w:type="character" w:customStyle="1" w:styleId="EndNoteBibliographyChar">
    <w:name w:val="EndNote Bibliography Char"/>
    <w:basedOn w:val="DefaultParagraphFont"/>
    <w:link w:val="EndNoteBibliography"/>
    <w:rsid w:val="001E58CE"/>
    <w:rPr>
      <w:rFonts w:ascii="Times New Roman" w:hAnsi="Times New Roman" w:cs="Times New Roma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polak@soton.ac.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j@soton.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DC6AD-B320-49A5-9F2A-D793193B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6629</Words>
  <Characters>37789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Ying</dc:creator>
  <cp:keywords/>
  <dc:description/>
  <cp:lastModifiedBy>Teo, Ying</cp:lastModifiedBy>
  <cp:revision>4</cp:revision>
  <dcterms:created xsi:type="dcterms:W3CDTF">2022-04-27T10:59:00Z</dcterms:created>
  <dcterms:modified xsi:type="dcterms:W3CDTF">2022-04-27T11:01:00Z</dcterms:modified>
</cp:coreProperties>
</file>