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99C" w14:textId="3AC821B1" w:rsidR="008B5D08" w:rsidRPr="003D4F11" w:rsidRDefault="003D0823" w:rsidP="008B5D08">
      <w:pPr>
        <w:pStyle w:val="xmsonormal"/>
        <w:shd w:val="clear" w:color="auto" w:fill="FFFFFF"/>
        <w:spacing w:before="0" w:beforeAutospacing="0" w:after="0" w:afterAutospacing="0"/>
        <w:rPr>
          <w:rFonts w:ascii="Calibri" w:hAnsi="Calibri" w:cs="Calibri"/>
          <w:b/>
          <w:bCs/>
          <w:color w:val="201F1E"/>
          <w:sz w:val="22"/>
          <w:szCs w:val="22"/>
          <w:bdr w:val="none" w:sz="0" w:space="0" w:color="auto" w:frame="1"/>
        </w:rPr>
      </w:pPr>
      <w:r w:rsidRPr="003D4F11">
        <w:rPr>
          <w:rFonts w:ascii="Calibri" w:hAnsi="Calibri" w:cs="Calibri"/>
          <w:b/>
          <w:bCs/>
          <w:color w:val="201F1E"/>
          <w:sz w:val="22"/>
          <w:szCs w:val="22"/>
          <w:bdr w:val="none" w:sz="0" w:space="0" w:color="auto" w:frame="1"/>
        </w:rPr>
        <w:t xml:space="preserve">CPS: </w:t>
      </w:r>
      <w:r w:rsidR="00D74365" w:rsidRPr="003D4F11">
        <w:rPr>
          <w:rFonts w:ascii="Calibri" w:hAnsi="Calibri" w:cs="Calibri"/>
          <w:b/>
          <w:bCs/>
          <w:color w:val="201F1E"/>
          <w:sz w:val="22"/>
          <w:szCs w:val="22"/>
          <w:bdr w:val="none" w:sz="0" w:space="0" w:color="auto" w:frame="1"/>
        </w:rPr>
        <w:t xml:space="preserve">Reply to Commentators </w:t>
      </w:r>
    </w:p>
    <w:p w14:paraId="1776A5D0" w14:textId="3DC3E59E" w:rsidR="00410E99" w:rsidRDefault="00410E99" w:rsidP="008B5D08">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p>
    <w:p w14:paraId="469E014A" w14:textId="7B4BB120" w:rsidR="00BF53D2" w:rsidRDefault="00BF53D2" w:rsidP="00C67827">
      <w:r>
        <w:t xml:space="preserve">Our book </w:t>
      </w:r>
      <w:r w:rsidR="000A7094" w:rsidRPr="003D0823">
        <w:rPr>
          <w:i/>
          <w:iCs/>
        </w:rPr>
        <w:t>Mending Democracy</w:t>
      </w:r>
      <w:r w:rsidR="000A7094">
        <w:t xml:space="preserve"> </w:t>
      </w:r>
      <w:r>
        <w:t xml:space="preserve">makes a hopeful case for </w:t>
      </w:r>
      <w:r w:rsidR="001420BB">
        <w:t xml:space="preserve">a mode of </w:t>
      </w:r>
      <w:r>
        <w:t xml:space="preserve">democratic repair </w:t>
      </w:r>
      <w:r w:rsidR="00C67827">
        <w:t xml:space="preserve">that has been largely </w:t>
      </w:r>
      <w:r w:rsidR="001420BB">
        <w:t>overlooked by</w:t>
      </w:r>
      <w:r>
        <w:t xml:space="preserve"> normative theorists and </w:t>
      </w:r>
      <w:proofErr w:type="gramStart"/>
      <w:r>
        <w:t>practically</w:t>
      </w:r>
      <w:r w:rsidR="001420BB">
        <w:t>-</w:t>
      </w:r>
      <w:r>
        <w:t>oriented</w:t>
      </w:r>
      <w:proofErr w:type="gramEnd"/>
      <w:r>
        <w:t xml:space="preserve"> reformers</w:t>
      </w:r>
      <w:r w:rsidR="001420BB">
        <w:t>.</w:t>
      </w:r>
      <w:r>
        <w:t xml:space="preserve"> </w:t>
      </w:r>
      <w:r w:rsidR="001420BB">
        <w:t>Whereas most contemporary approaches to democratic reform rely on</w:t>
      </w:r>
      <w:r>
        <w:t xml:space="preserve"> ‘off to shelf’ </w:t>
      </w:r>
      <w:r w:rsidR="001420BB">
        <w:t>institutional or forum-based solutions</w:t>
      </w:r>
      <w:r>
        <w:t xml:space="preserve">, </w:t>
      </w:r>
      <w:r w:rsidR="001420BB">
        <w:t xml:space="preserve">our book draws attention to the important yet largely hidden democratic repair work undertaken by everyday citizens, politicians, and public managers. </w:t>
      </w:r>
      <w:r w:rsidR="00C67827">
        <w:t>In rich detail</w:t>
      </w:r>
      <w:r w:rsidR="003D4F11">
        <w:t>,</w:t>
      </w:r>
      <w:r w:rsidR="00C67827">
        <w:t xml:space="preserve"> we </w:t>
      </w:r>
      <w:r w:rsidR="001420BB">
        <w:t xml:space="preserve">show how </w:t>
      </w:r>
      <w:r w:rsidR="00C67827">
        <w:t xml:space="preserve">these </w:t>
      </w:r>
      <w:r w:rsidR="001420BB">
        <w:t>diverse</w:t>
      </w:r>
      <w:r w:rsidR="001420BB" w:rsidRPr="001420BB">
        <w:t xml:space="preserve"> </w:t>
      </w:r>
      <w:r w:rsidR="001420BB">
        <w:t xml:space="preserve">actors are using resources at their disposal to mend dysfunctional </w:t>
      </w:r>
      <w:r w:rsidR="00C67827">
        <w:t xml:space="preserve">democratic </w:t>
      </w:r>
      <w:r w:rsidR="001420BB">
        <w:t xml:space="preserve">disconnects </w:t>
      </w:r>
      <w:r w:rsidR="00C67827">
        <w:t xml:space="preserve">that </w:t>
      </w:r>
      <w:r w:rsidR="001420BB">
        <w:t>they experience</w:t>
      </w:r>
      <w:r w:rsidR="00C67827">
        <w:t>, for example,</w:t>
      </w:r>
      <w:r w:rsidR="001420BB">
        <w:t xml:space="preserve"> in </w:t>
      </w:r>
      <w:r w:rsidR="00C67827">
        <w:t>constituent-representative relationship</w:t>
      </w:r>
      <w:r w:rsidR="003D4F11">
        <w:t>s</w:t>
      </w:r>
      <w:r w:rsidR="001420BB">
        <w:t>, in fractured public spheres, and in tangled policy processes.</w:t>
      </w:r>
      <w:r>
        <w:t xml:space="preserve"> We point to examples of this work – what we call democratic mending – in unlikely places </w:t>
      </w:r>
      <w:r w:rsidR="00F777D4">
        <w:t xml:space="preserve">such as </w:t>
      </w:r>
      <w:r>
        <w:t xml:space="preserve">town libraries, </w:t>
      </w:r>
      <w:r w:rsidR="00F777D4">
        <w:t>local cafes</w:t>
      </w:r>
      <w:r>
        <w:t xml:space="preserve">, and administrative committee rooms, based on our case study research in Australia and Britain. </w:t>
      </w:r>
    </w:p>
    <w:p w14:paraId="73DF69D2" w14:textId="68A8B962" w:rsidR="006D6723" w:rsidRDefault="00BF53D2">
      <w:r>
        <w:t xml:space="preserve">In </w:t>
      </w:r>
      <w:r w:rsidR="00434D65">
        <w:t>developing the key</w:t>
      </w:r>
      <w:r>
        <w:t xml:space="preserve"> argument</w:t>
      </w:r>
      <w:r w:rsidR="00434D65">
        <w:t>s of the book</w:t>
      </w:r>
      <w:r>
        <w:t xml:space="preserve">, we are indebted to a long line of scholars who have forged a space for critical policy analysis in the study of politics and policy – and as such we are delighted that our work should be the subject of such lively, reflective discussion in the leading journal in this field. We thank the generous and thought-provoking responses from </w:t>
      </w:r>
      <w:r w:rsidR="00C67827">
        <w:t>three commentators in this issue</w:t>
      </w:r>
      <w:r>
        <w:t>. We do not have space here for a point-by-point exchange, but instead take the opportunity to drive the conversation our book has started forward in productive ways.</w:t>
      </w:r>
    </w:p>
    <w:p w14:paraId="714F32DC" w14:textId="5AE8EEAF" w:rsidR="00637ABD" w:rsidRDefault="00E10E45">
      <w:proofErr w:type="spellStart"/>
      <w:r>
        <w:t>Joscha</w:t>
      </w:r>
      <w:proofErr w:type="spellEnd"/>
      <w:r>
        <w:t xml:space="preserve"> </w:t>
      </w:r>
      <w:proofErr w:type="spellStart"/>
      <w:r w:rsidR="004C09BB">
        <w:t>Wullweber</w:t>
      </w:r>
      <w:proofErr w:type="spellEnd"/>
      <w:r w:rsidR="004C09BB">
        <w:t xml:space="preserve"> focus</w:t>
      </w:r>
      <w:r w:rsidR="00100B5C">
        <w:t>es his comments</w:t>
      </w:r>
      <w:r w:rsidR="004C09BB">
        <w:t xml:space="preserve"> on </w:t>
      </w:r>
      <w:r w:rsidR="004C09BB" w:rsidRPr="00D74BAD">
        <w:rPr>
          <w:i/>
          <w:iCs/>
        </w:rPr>
        <w:t>Mending Democracy’</w:t>
      </w:r>
      <w:r w:rsidR="00D74BAD">
        <w:t>s</w:t>
      </w:r>
      <w:r w:rsidR="00297048">
        <w:t xml:space="preserve"> apparent</w:t>
      </w:r>
      <w:r w:rsidR="00D74BAD">
        <w:t xml:space="preserve"> </w:t>
      </w:r>
      <w:r w:rsidR="004C09BB">
        <w:t>‘</w:t>
      </w:r>
      <w:proofErr w:type="spellStart"/>
      <w:r w:rsidR="004C09BB">
        <w:t>blindspot</w:t>
      </w:r>
      <w:proofErr w:type="spellEnd"/>
      <w:r w:rsidR="004C09BB">
        <w:t xml:space="preserve">’ of economic inequality. </w:t>
      </w:r>
      <w:r w:rsidR="004416C9">
        <w:t xml:space="preserve">Although </w:t>
      </w:r>
      <w:r w:rsidR="00824F09">
        <w:t xml:space="preserve">we could argue that </w:t>
      </w:r>
      <w:r w:rsidR="00BE1CF2">
        <w:t xml:space="preserve">the committed actors in our stories </w:t>
      </w:r>
      <w:r w:rsidR="00AC2F4D">
        <w:t>are</w:t>
      </w:r>
      <w:r w:rsidR="00BE1CF2">
        <w:t xml:space="preserve"> stoically working, one way or another, for the cause of greater equality and justice</w:t>
      </w:r>
      <w:r w:rsidR="00230EF6">
        <w:t xml:space="preserve">, </w:t>
      </w:r>
      <w:r w:rsidR="00824F09">
        <w:t xml:space="preserve">we agree that </w:t>
      </w:r>
      <w:r w:rsidR="00BE1CF2">
        <w:t xml:space="preserve">a </w:t>
      </w:r>
      <w:r w:rsidR="00AC2F4D">
        <w:t xml:space="preserve">more </w:t>
      </w:r>
      <w:r w:rsidR="00BE1CF2">
        <w:t xml:space="preserve">forensic </w:t>
      </w:r>
      <w:r w:rsidR="00AC2F4D">
        <w:t>analysis</w:t>
      </w:r>
      <w:r w:rsidR="00BE1CF2">
        <w:t xml:space="preserve"> </w:t>
      </w:r>
      <w:r w:rsidR="00AC2F4D">
        <w:t xml:space="preserve">based </w:t>
      </w:r>
      <w:r w:rsidR="00BE1CF2">
        <w:t xml:space="preserve">on what </w:t>
      </w:r>
      <w:proofErr w:type="spellStart"/>
      <w:r w:rsidR="00824F09">
        <w:t>Wullweber</w:t>
      </w:r>
      <w:proofErr w:type="spellEnd"/>
      <w:r w:rsidR="00824F09">
        <w:t xml:space="preserve"> </w:t>
      </w:r>
      <w:r w:rsidR="00BE1CF2">
        <w:t>calls ‘political economy ontologies’ would</w:t>
      </w:r>
      <w:r w:rsidR="004416C9">
        <w:t xml:space="preserve"> </w:t>
      </w:r>
      <w:r w:rsidR="00BE1CF2">
        <w:t xml:space="preserve">be fruitful. As such, </w:t>
      </w:r>
      <w:r w:rsidR="004C09BB">
        <w:t>t</w:t>
      </w:r>
      <w:r w:rsidR="00637ABD">
        <w:t xml:space="preserve">his critique </w:t>
      </w:r>
      <w:r w:rsidR="00C87E6A">
        <w:t>points</w:t>
      </w:r>
      <w:r w:rsidR="00637ABD">
        <w:t xml:space="preserve"> to something </w:t>
      </w:r>
      <w:r w:rsidR="00BE1CF2">
        <w:t xml:space="preserve">very </w:t>
      </w:r>
      <w:r w:rsidR="00637ABD">
        <w:t>important</w:t>
      </w:r>
      <w:r w:rsidR="00BE1CF2">
        <w:t>. But</w:t>
      </w:r>
      <w:r w:rsidR="00637ABD">
        <w:t xml:space="preserve"> </w:t>
      </w:r>
      <w:r w:rsidR="004C09BB">
        <w:t xml:space="preserve">we </w:t>
      </w:r>
      <w:r w:rsidR="00AC2F4D">
        <w:t>are less convinced in his alternative approach</w:t>
      </w:r>
      <w:r w:rsidR="00637ABD">
        <w:t xml:space="preserve">. </w:t>
      </w:r>
      <w:r w:rsidR="00824F09">
        <w:t>His conclusion</w:t>
      </w:r>
      <w:r w:rsidR="00B80DD0">
        <w:t xml:space="preserve"> -- </w:t>
      </w:r>
      <w:r w:rsidR="00BE1CF2">
        <w:t>that ‘t</w:t>
      </w:r>
      <w:r w:rsidR="00BE1CF2" w:rsidRPr="00BE1CF2">
        <w:t>here can be no democratic equality and no just democracy as long as living conditions in society and among societies remain highly unequal</w:t>
      </w:r>
      <w:r w:rsidR="00BE1CF2">
        <w:t xml:space="preserve">’ </w:t>
      </w:r>
      <w:r w:rsidR="00B80DD0">
        <w:t xml:space="preserve">-- </w:t>
      </w:r>
      <w:r w:rsidR="00C87E6A">
        <w:t xml:space="preserve">has its limits and </w:t>
      </w:r>
      <w:proofErr w:type="spellStart"/>
      <w:r w:rsidR="00C87E6A">
        <w:t>blindspots</w:t>
      </w:r>
      <w:proofErr w:type="spellEnd"/>
      <w:r w:rsidR="00AC2F4D">
        <w:t>,</w:t>
      </w:r>
      <w:r w:rsidR="00C87E6A">
        <w:t xml:space="preserve"> too</w:t>
      </w:r>
      <w:r w:rsidR="00BE1CF2">
        <w:t xml:space="preserve">. </w:t>
      </w:r>
      <w:r w:rsidR="00B80DD0">
        <w:t>This approach</w:t>
      </w:r>
      <w:r w:rsidR="00CF248A">
        <w:t xml:space="preserve"> views deeper, structural transformation a prerequisite of any meaningful reform. While addressing economic inequalities is and should remain an important goal for democracies, it should not take the attention away from </w:t>
      </w:r>
      <w:r w:rsidR="0050403C">
        <w:t xml:space="preserve">recognising how </w:t>
      </w:r>
      <w:r w:rsidR="00CF248A">
        <w:t xml:space="preserve">smaller, incremental, and creative practices </w:t>
      </w:r>
      <w:r w:rsidR="0050403C">
        <w:t xml:space="preserve">can </w:t>
      </w:r>
      <w:r w:rsidR="00CF248A">
        <w:t xml:space="preserve">shape and transform modern democratic governance. </w:t>
      </w:r>
      <w:r w:rsidR="0050403C">
        <w:t xml:space="preserve">Our book shines a light on the hidden mending work of </w:t>
      </w:r>
      <w:r w:rsidR="00297048">
        <w:t xml:space="preserve">everyday actors </w:t>
      </w:r>
      <w:r w:rsidR="00CF248A">
        <w:t xml:space="preserve">and the agency they </w:t>
      </w:r>
      <w:r w:rsidR="0050403C">
        <w:t>can</w:t>
      </w:r>
      <w:r w:rsidR="00CF248A">
        <w:t xml:space="preserve"> exercise</w:t>
      </w:r>
      <w:r w:rsidR="00297048">
        <w:t xml:space="preserve"> </w:t>
      </w:r>
      <w:r w:rsidR="00E96A58">
        <w:t>with</w:t>
      </w:r>
      <w:r w:rsidR="00297048">
        <w:t xml:space="preserve">in the </w:t>
      </w:r>
      <w:r w:rsidR="00CF248A">
        <w:t xml:space="preserve">(unfair) </w:t>
      </w:r>
      <w:r w:rsidR="00297048">
        <w:t>political system</w:t>
      </w:r>
      <w:r w:rsidR="00BE1CF2">
        <w:t xml:space="preserve"> </w:t>
      </w:r>
      <w:r w:rsidR="00CF248A">
        <w:t>as it is -</w:t>
      </w:r>
      <w:r w:rsidR="00100B5C">
        <w:t>-</w:t>
      </w:r>
      <w:r w:rsidR="00CF248A">
        <w:t xml:space="preserve"> those</w:t>
      </w:r>
      <w:r w:rsidR="00BE1CF2">
        <w:t xml:space="preserve"> willing to get their hands dirty, to do the best they can with what they’ve got, to commit to the hard</w:t>
      </w:r>
      <w:r w:rsidR="004416C9">
        <w:t xml:space="preserve"> </w:t>
      </w:r>
      <w:r w:rsidR="00BE1CF2">
        <w:t xml:space="preserve">graft </w:t>
      </w:r>
      <w:r w:rsidR="00AC2F4D">
        <w:t xml:space="preserve">of realising </w:t>
      </w:r>
      <w:r w:rsidR="004416C9">
        <w:t xml:space="preserve">only </w:t>
      </w:r>
      <w:r w:rsidR="00AC2F4D">
        <w:t>piecemeal and partial change</w:t>
      </w:r>
      <w:r w:rsidR="00BE1CF2">
        <w:t xml:space="preserve">. </w:t>
      </w:r>
      <w:r w:rsidR="00824F09">
        <w:t>T</w:t>
      </w:r>
      <w:r w:rsidR="00495254">
        <w:t xml:space="preserve">he more important re-imagining of </w:t>
      </w:r>
      <w:proofErr w:type="spellStart"/>
      <w:r w:rsidR="00C87E6A">
        <w:t>Wullweber’s</w:t>
      </w:r>
      <w:proofErr w:type="spellEnd"/>
      <w:r w:rsidR="00495254">
        <w:t xml:space="preserve"> challenge</w:t>
      </w:r>
      <w:r w:rsidR="00824F09">
        <w:t>, then,</w:t>
      </w:r>
      <w:r w:rsidR="00495254">
        <w:t xml:space="preserve"> is</w:t>
      </w:r>
      <w:r w:rsidR="00C87E6A">
        <w:t xml:space="preserve"> this</w:t>
      </w:r>
      <w:r w:rsidR="00495254">
        <w:t xml:space="preserve">: how do we </w:t>
      </w:r>
      <w:proofErr w:type="gramStart"/>
      <w:r w:rsidR="00297048">
        <w:t>actually work</w:t>
      </w:r>
      <w:proofErr w:type="gramEnd"/>
      <w:r w:rsidR="00297048">
        <w:t xml:space="preserve"> towards</w:t>
      </w:r>
      <w:r w:rsidR="00495254">
        <w:t xml:space="preserve"> fairer democratic societies from a starting point of radical inequality</w:t>
      </w:r>
      <w:r w:rsidR="00BE1CF2">
        <w:t>?</w:t>
      </w:r>
      <w:r w:rsidR="00EB31EC">
        <w:t xml:space="preserve"> </w:t>
      </w:r>
      <w:r w:rsidR="00824F09">
        <w:t>T</w:t>
      </w:r>
      <w:r w:rsidR="00EB31EC">
        <w:t xml:space="preserve">hat </w:t>
      </w:r>
      <w:r w:rsidR="00BE1CF2">
        <w:t xml:space="preserve">question </w:t>
      </w:r>
      <w:r w:rsidR="00C87E6A">
        <w:t xml:space="preserve">certainly needs attention </w:t>
      </w:r>
      <w:r w:rsidR="00230EF6">
        <w:t>in</w:t>
      </w:r>
      <w:r w:rsidR="00637ABD">
        <w:t xml:space="preserve"> </w:t>
      </w:r>
      <w:r w:rsidR="00C87E6A">
        <w:t>a</w:t>
      </w:r>
      <w:r w:rsidR="00230EF6">
        <w:t>ny</w:t>
      </w:r>
      <w:r w:rsidR="00C87E6A">
        <w:t xml:space="preserve"> </w:t>
      </w:r>
      <w:r w:rsidR="00230EF6">
        <w:t xml:space="preserve">properly </w:t>
      </w:r>
      <w:r w:rsidR="00C87E6A">
        <w:t xml:space="preserve">comprehensive agenda </w:t>
      </w:r>
      <w:r w:rsidR="004416C9">
        <w:t>for democratic mending</w:t>
      </w:r>
      <w:r w:rsidR="00EB31EC">
        <w:t>.</w:t>
      </w:r>
      <w:r w:rsidR="0050403C">
        <w:t xml:space="preserve"> </w:t>
      </w:r>
      <w:r w:rsidR="00B86B0F">
        <w:t>P</w:t>
      </w:r>
      <w:r w:rsidR="00495254">
        <w:t xml:space="preserve">romising </w:t>
      </w:r>
      <w:r w:rsidR="00824F09">
        <w:t xml:space="preserve">explorations elsewhere that </w:t>
      </w:r>
      <w:r w:rsidR="00F25A6F">
        <w:t xml:space="preserve">speak to this question </w:t>
      </w:r>
      <w:r w:rsidR="00824F09">
        <w:t>shed light on</w:t>
      </w:r>
      <w:r w:rsidR="00F25A6F">
        <w:t xml:space="preserve"> how</w:t>
      </w:r>
      <w:r w:rsidR="00824F09">
        <w:t xml:space="preserve"> </w:t>
      </w:r>
      <w:r w:rsidR="00F25A6F">
        <w:t>communities are</w:t>
      </w:r>
      <w:r w:rsidR="00B86B0F">
        <w:t xml:space="preserve"> </w:t>
      </w:r>
      <w:r w:rsidR="00F25A6F">
        <w:t>establishing self-governance arrangements to address</w:t>
      </w:r>
      <w:r w:rsidR="00B86B0F">
        <w:t xml:space="preserve"> </w:t>
      </w:r>
      <w:r w:rsidR="00F25A6F">
        <w:t xml:space="preserve">inequalities generated by the </w:t>
      </w:r>
      <w:r w:rsidR="00B86B0F">
        <w:t xml:space="preserve">market </w:t>
      </w:r>
      <w:r w:rsidR="00F25A6F">
        <w:t>or</w:t>
      </w:r>
      <w:r w:rsidR="00B86B0F">
        <w:t xml:space="preserve"> state</w:t>
      </w:r>
      <w:r w:rsidR="00F25A6F">
        <w:t xml:space="preserve"> </w:t>
      </w:r>
      <w:r w:rsidR="004416C9">
        <w:t xml:space="preserve">– </w:t>
      </w:r>
      <w:r w:rsidR="00824F09">
        <w:t xml:space="preserve">recent research into </w:t>
      </w:r>
      <w:r w:rsidR="004416C9">
        <w:t xml:space="preserve">the work of housing associations and energy co-operatives being prime examples (see </w:t>
      </w:r>
      <w:proofErr w:type="spellStart"/>
      <w:r w:rsidR="003D0823">
        <w:t>Hoicka</w:t>
      </w:r>
      <w:proofErr w:type="spellEnd"/>
      <w:r w:rsidR="003D0823">
        <w:t xml:space="preserve"> and </w:t>
      </w:r>
      <w:r w:rsidR="004416C9">
        <w:t>MacArthur 20</w:t>
      </w:r>
      <w:r w:rsidR="003D0823">
        <w:t>1</w:t>
      </w:r>
      <w:r w:rsidR="00A033CA">
        <w:t>8</w:t>
      </w:r>
      <w:r w:rsidR="004416C9">
        <w:t>; Durose et al. 2021).</w:t>
      </w:r>
    </w:p>
    <w:p w14:paraId="7DFBE9B4" w14:textId="7D5A87A5" w:rsidR="00255521" w:rsidRDefault="00E10E45" w:rsidP="00CF248A">
      <w:r>
        <w:t xml:space="preserve">Tamara </w:t>
      </w:r>
      <w:proofErr w:type="spellStart"/>
      <w:r w:rsidR="00CF248A">
        <w:t>Metze’s</w:t>
      </w:r>
      <w:proofErr w:type="spellEnd"/>
      <w:r w:rsidR="00CF248A">
        <w:t xml:space="preserve"> </w:t>
      </w:r>
      <w:r w:rsidR="00D3459C">
        <w:t>response</w:t>
      </w:r>
      <w:r w:rsidR="000A7094">
        <w:t xml:space="preserve"> </w:t>
      </w:r>
      <w:r w:rsidR="00CF248A">
        <w:t>engages</w:t>
      </w:r>
      <w:r w:rsidR="000A7094">
        <w:t xml:space="preserve"> wholeheartedly</w:t>
      </w:r>
      <w:r w:rsidR="00CF248A">
        <w:t xml:space="preserve"> </w:t>
      </w:r>
      <w:r w:rsidR="00D3459C">
        <w:t>with</w:t>
      </w:r>
      <w:r w:rsidR="00CF248A">
        <w:t xml:space="preserve"> the book’s spirit, pointing to ways in which </w:t>
      </w:r>
      <w:r w:rsidR="000A7094">
        <w:t>our arguments</w:t>
      </w:r>
      <w:r w:rsidR="00CF248A">
        <w:t xml:space="preserve"> connect to</w:t>
      </w:r>
      <w:r w:rsidR="00F25A6F">
        <w:t>,</w:t>
      </w:r>
      <w:r w:rsidR="00CF248A">
        <w:t xml:space="preserve"> and extend</w:t>
      </w:r>
      <w:r w:rsidR="00F25A6F">
        <w:t>,</w:t>
      </w:r>
      <w:r w:rsidR="00CF248A">
        <w:t xml:space="preserve"> key threads in critical policy analysis. </w:t>
      </w:r>
      <w:r w:rsidR="002D2692">
        <w:t>She</w:t>
      </w:r>
      <w:r w:rsidR="000A7094">
        <w:t xml:space="preserve"> sets </w:t>
      </w:r>
      <w:r w:rsidR="000A7094" w:rsidRPr="00F34DB1">
        <w:rPr>
          <w:i/>
          <w:iCs/>
        </w:rPr>
        <w:t>Mending Democracy</w:t>
      </w:r>
      <w:r w:rsidR="000A7094">
        <w:t xml:space="preserve"> against a rich, colourful patchwork of theoretical inspirations in the field, and begins to think through how ideas and associated practices might be further interwoven. </w:t>
      </w:r>
      <w:r w:rsidR="00CF248A">
        <w:t>She is of course right to point out that our book might be alienating for those working in certain streams of the critical theory tradition. Nevertheless, we hope that our work</w:t>
      </w:r>
      <w:r w:rsidR="000A7094">
        <w:t>,</w:t>
      </w:r>
      <w:r w:rsidR="00CF248A">
        <w:t xml:space="preserve"> rooted </w:t>
      </w:r>
      <w:r w:rsidR="000A7094">
        <w:t xml:space="preserve">as it is </w:t>
      </w:r>
      <w:r w:rsidR="00CF248A">
        <w:t>in</w:t>
      </w:r>
      <w:r w:rsidR="000A7094">
        <w:t xml:space="preserve"> the</w:t>
      </w:r>
      <w:r w:rsidR="00CF248A">
        <w:t xml:space="preserve"> normative theory of deliberative democracy</w:t>
      </w:r>
      <w:r w:rsidR="000A7094">
        <w:t>,</w:t>
      </w:r>
      <w:r w:rsidR="00CF248A">
        <w:t xml:space="preserve"> contributes to critical theory by celebrating the agency and creativity of </w:t>
      </w:r>
      <w:r w:rsidR="00CF248A">
        <w:lastRenderedPageBreak/>
        <w:t xml:space="preserve">ordinary </w:t>
      </w:r>
      <w:r w:rsidR="000A7094">
        <w:t>people</w:t>
      </w:r>
      <w:r w:rsidR="00CF248A">
        <w:t xml:space="preserve">. Our aim </w:t>
      </w:r>
      <w:r w:rsidR="000A7094">
        <w:t>has been</w:t>
      </w:r>
      <w:r w:rsidR="00CF248A">
        <w:t xml:space="preserve"> to </w:t>
      </w:r>
      <w:proofErr w:type="gramStart"/>
      <w:r w:rsidR="00CF248A">
        <w:t>open up</w:t>
      </w:r>
      <w:proofErr w:type="gramEnd"/>
      <w:r w:rsidR="00CF248A">
        <w:t xml:space="preserve"> alternative pathways for citizens and democratic reformers to address the democratic disconnects they experience. Problematising power structures is key to the extent that it also means </w:t>
      </w:r>
      <w:proofErr w:type="gramStart"/>
      <w:r w:rsidR="00CF248A">
        <w:t>opening up</w:t>
      </w:r>
      <w:proofErr w:type="gramEnd"/>
      <w:r w:rsidR="00CF248A">
        <w:t xml:space="preserve"> alternative and pragmatic ways of addressing the problems at hand.  </w:t>
      </w:r>
    </w:p>
    <w:p w14:paraId="1BE82EDF" w14:textId="73C7AD0E" w:rsidR="005B0831" w:rsidRDefault="00E10E45" w:rsidP="00CF248A">
      <w:r w:rsidRPr="00E10E45">
        <w:t xml:space="preserve">Mireille Manga </w:t>
      </w:r>
      <w:proofErr w:type="spellStart"/>
      <w:r w:rsidRPr="00E10E45">
        <w:t>Edimo</w:t>
      </w:r>
      <w:proofErr w:type="spellEnd"/>
      <w:r>
        <w:t xml:space="preserve"> </w:t>
      </w:r>
      <w:r w:rsidR="00255521">
        <w:t xml:space="preserve">provides a valuable challenge to the applicability of our claims, </w:t>
      </w:r>
      <w:r w:rsidR="00B80DD0">
        <w:t xml:space="preserve">translating and at times </w:t>
      </w:r>
      <w:r w:rsidR="00255521">
        <w:t>reimagining our insights about everyday mending to probe how well they fit</w:t>
      </w:r>
      <w:r w:rsidR="0042417F">
        <w:t xml:space="preserve"> countries with less established institutions of liberal democracy </w:t>
      </w:r>
      <w:r w:rsidR="00255521">
        <w:t>(with a particular focus on Cameroon). Th</w:t>
      </w:r>
      <w:r w:rsidR="00F25A6F">
        <w:t>is commentary</w:t>
      </w:r>
      <w:r w:rsidR="00255521">
        <w:t xml:space="preserve"> highlights how well some insights travel – f</w:t>
      </w:r>
      <w:r w:rsidR="00E96A58">
        <w:t>inding, f</w:t>
      </w:r>
      <w:r w:rsidR="00255521">
        <w:t xml:space="preserve">or example, affinities in the work of Knitting Nannas Against Gas with the connective practices of the Cameroonian diaspora – as well as pointing to potential limits or challenges to our claims, notably in the very different ‘governance disconnect’ faced on the ground in contexts of state dependency on INGOs and foreign aid donors. Of course, as interpretive researchers we are bound to an extent by what we are familiar with and have </w:t>
      </w:r>
      <w:proofErr w:type="gramStart"/>
      <w:r w:rsidR="00255521">
        <w:t>studied in depth</w:t>
      </w:r>
      <w:proofErr w:type="gramEnd"/>
      <w:r w:rsidR="00255521">
        <w:t xml:space="preserve"> – while we hope our ‘small facts’ speak to ‘large issues’ in democratic governance, we are not so bold as to assume our </w:t>
      </w:r>
      <w:r w:rsidR="00B80DD0">
        <w:t xml:space="preserve">findings grounded in Australian and British contexts apply universally. </w:t>
      </w:r>
      <w:r w:rsidR="0042417F">
        <w:t xml:space="preserve">Making universal claims about what we found would contradict the interpretive, contextual approach we take in the book. We can however </w:t>
      </w:r>
      <w:r w:rsidR="00B80DD0">
        <w:t>find patterns of similarity and difference in and across very different contexts</w:t>
      </w:r>
      <w:r w:rsidR="003C550E">
        <w:t xml:space="preserve"> (Boswell et al 2019)</w:t>
      </w:r>
      <w:r w:rsidR="00731FB9">
        <w:t xml:space="preserve">, </w:t>
      </w:r>
      <w:proofErr w:type="gramStart"/>
      <w:r w:rsidR="00731FB9">
        <w:t>and also</w:t>
      </w:r>
      <w:proofErr w:type="gramEnd"/>
      <w:r w:rsidR="00731FB9">
        <w:t xml:space="preserve"> learn from the African cases</w:t>
      </w:r>
      <w:r w:rsidR="003C550E">
        <w:t xml:space="preserve"> (</w:t>
      </w:r>
      <w:proofErr w:type="spellStart"/>
      <w:r w:rsidR="003C550E">
        <w:t>Tavernaro-Haidarian</w:t>
      </w:r>
      <w:proofErr w:type="spellEnd"/>
      <w:r w:rsidR="003C550E">
        <w:t xml:space="preserve"> 2020)</w:t>
      </w:r>
      <w:r w:rsidR="00731FB9">
        <w:t xml:space="preserve"> as we </w:t>
      </w:r>
      <w:r w:rsidR="00B80DD0">
        <w:t>explor</w:t>
      </w:r>
      <w:r w:rsidR="00731FB9">
        <w:t>e</w:t>
      </w:r>
      <w:r w:rsidR="00B80DD0">
        <w:t xml:space="preserve"> the possibilities and limits of democratic mending.</w:t>
      </w:r>
      <w:r w:rsidR="00255521">
        <w:t xml:space="preserve">  </w:t>
      </w:r>
      <w:r w:rsidR="002039A3">
        <w:t>We do not believe that a stable</w:t>
      </w:r>
      <w:r w:rsidR="00731FB9">
        <w:t xml:space="preserve"> liberal democra</w:t>
      </w:r>
      <w:r w:rsidR="002039A3">
        <w:t>cy</w:t>
      </w:r>
      <w:r w:rsidR="00731FB9">
        <w:t xml:space="preserve"> </w:t>
      </w:r>
      <w:r w:rsidR="002039A3">
        <w:t xml:space="preserve">is </w:t>
      </w:r>
      <w:proofErr w:type="gramStart"/>
      <w:r w:rsidR="002039A3">
        <w:t>a necessary</w:t>
      </w:r>
      <w:r w:rsidR="00731FB9">
        <w:t xml:space="preserve"> prerequisite</w:t>
      </w:r>
      <w:proofErr w:type="gramEnd"/>
      <w:r w:rsidR="002039A3">
        <w:t xml:space="preserve"> for</w:t>
      </w:r>
      <w:r w:rsidR="00731FB9">
        <w:t xml:space="preserve"> democratic mending</w:t>
      </w:r>
      <w:r w:rsidR="002039A3">
        <w:t xml:space="preserve">. </w:t>
      </w:r>
      <w:proofErr w:type="gramStart"/>
      <w:r w:rsidR="002039A3">
        <w:t>Indeed</w:t>
      </w:r>
      <w:proofErr w:type="gramEnd"/>
      <w:r w:rsidR="002039A3">
        <w:t xml:space="preserve"> t</w:t>
      </w:r>
      <w:r w:rsidR="00731FB9">
        <w:t>h</w:t>
      </w:r>
      <w:r w:rsidR="002039A3">
        <w:t>e transformative power of</w:t>
      </w:r>
      <w:r w:rsidR="005B0831">
        <w:t xml:space="preserve"> the seemingly mundane work of</w:t>
      </w:r>
      <w:r w:rsidR="002039A3">
        <w:t xml:space="preserve"> ordinary citizens </w:t>
      </w:r>
      <w:r w:rsidR="005B0831">
        <w:t xml:space="preserve">is </w:t>
      </w:r>
      <w:r w:rsidR="002039A3">
        <w:t xml:space="preserve">well </w:t>
      </w:r>
      <w:r w:rsidR="00731FB9">
        <w:t xml:space="preserve">recognised and celebrated in </w:t>
      </w:r>
      <w:r w:rsidR="003C550E">
        <w:t xml:space="preserve">fields such as </w:t>
      </w:r>
      <w:r w:rsidR="002039A3">
        <w:t>s</w:t>
      </w:r>
      <w:r w:rsidR="00731FB9">
        <w:t>ociology</w:t>
      </w:r>
      <w:r w:rsidR="005B0831">
        <w:t>, disaster recovery</w:t>
      </w:r>
      <w:r w:rsidR="002039A3">
        <w:t xml:space="preserve"> and</w:t>
      </w:r>
      <w:r w:rsidR="003C550E">
        <w:t xml:space="preserve"> </w:t>
      </w:r>
      <w:r w:rsidR="002039A3">
        <w:t xml:space="preserve">development, </w:t>
      </w:r>
      <w:r w:rsidR="003C550E">
        <w:t>and even in countries with less established insti</w:t>
      </w:r>
      <w:r w:rsidR="00F25A6F">
        <w:t>tu</w:t>
      </w:r>
      <w:r w:rsidR="003C550E">
        <w:t xml:space="preserve">tions and traditions of liberal democracy </w:t>
      </w:r>
      <w:r w:rsidR="00731FB9">
        <w:t>(</w:t>
      </w:r>
      <w:proofErr w:type="spellStart"/>
      <w:r w:rsidR="00731FB9">
        <w:t>Bayat</w:t>
      </w:r>
      <w:proofErr w:type="spellEnd"/>
      <w:r w:rsidR="00731FB9">
        <w:t xml:space="preserve"> 2013</w:t>
      </w:r>
      <w:r w:rsidR="002039A3">
        <w:t xml:space="preserve">; </w:t>
      </w:r>
      <w:proofErr w:type="spellStart"/>
      <w:r w:rsidR="002039A3">
        <w:t>Mitlin</w:t>
      </w:r>
      <w:proofErr w:type="spellEnd"/>
      <w:r w:rsidR="002039A3">
        <w:t xml:space="preserve"> 2008</w:t>
      </w:r>
      <w:r w:rsidR="00731FB9">
        <w:t>)</w:t>
      </w:r>
      <w:r w:rsidR="005B0831">
        <w:t xml:space="preserve">. Our book </w:t>
      </w:r>
      <w:r w:rsidR="002B35D7">
        <w:t xml:space="preserve">is engaging </w:t>
      </w:r>
      <w:r w:rsidR="005B0831">
        <w:t xml:space="preserve">political scientists and policy scholars in these broader ideas </w:t>
      </w:r>
      <w:r w:rsidR="002B35D7">
        <w:t xml:space="preserve">on </w:t>
      </w:r>
      <w:r w:rsidR="005B0831">
        <w:t xml:space="preserve">community-led </w:t>
      </w:r>
      <w:r w:rsidR="002B35D7">
        <w:t>reform by demonstrating</w:t>
      </w:r>
      <w:r w:rsidR="005B0831">
        <w:t xml:space="preserve"> </w:t>
      </w:r>
      <w:r w:rsidR="002B35D7">
        <w:t xml:space="preserve">pathways to </w:t>
      </w:r>
      <w:r w:rsidR="005B0831">
        <w:t>democratic repair</w:t>
      </w:r>
      <w:r w:rsidR="002B35D7">
        <w:t xml:space="preserve"> beyond </w:t>
      </w:r>
      <w:r w:rsidR="005B0831">
        <w:t xml:space="preserve">institutional </w:t>
      </w:r>
      <w:r w:rsidR="002B35D7">
        <w:t xml:space="preserve">and </w:t>
      </w:r>
      <w:r w:rsidR="005B0831">
        <w:t xml:space="preserve">procedural design.     </w:t>
      </w:r>
    </w:p>
    <w:p w14:paraId="45A5C4FA" w14:textId="5ED73F3B" w:rsidR="00255521" w:rsidRDefault="002B35D7" w:rsidP="00CF248A">
      <w:r>
        <w:t>W</w:t>
      </w:r>
      <w:r w:rsidR="00B80DD0">
        <w:t xml:space="preserve">e </w:t>
      </w:r>
      <w:r>
        <w:t>have found</w:t>
      </w:r>
      <w:r w:rsidR="00B80DD0">
        <w:t xml:space="preserve"> all </w:t>
      </w:r>
      <w:r>
        <w:t>three</w:t>
      </w:r>
      <w:r w:rsidR="00B80DD0">
        <w:t xml:space="preserve"> </w:t>
      </w:r>
      <w:r>
        <w:t>commentaries</w:t>
      </w:r>
      <w:r w:rsidR="00B80DD0">
        <w:t xml:space="preserve"> </w:t>
      </w:r>
      <w:r>
        <w:t xml:space="preserve">extremely thought provoking </w:t>
      </w:r>
      <w:proofErr w:type="gramStart"/>
      <w:r>
        <w:t>and</w:t>
      </w:r>
      <w:r w:rsidR="003D0823">
        <w:t>,</w:t>
      </w:r>
      <w:proofErr w:type="gramEnd"/>
      <w:r>
        <w:t xml:space="preserve"> overall</w:t>
      </w:r>
      <w:r w:rsidR="003D0823">
        <w:t>,</w:t>
      </w:r>
      <w:r>
        <w:t xml:space="preserve"> </w:t>
      </w:r>
      <w:r w:rsidR="00B80DD0">
        <w:t xml:space="preserve">hugely encouraging. </w:t>
      </w:r>
      <w:r>
        <w:t xml:space="preserve">Considerable </w:t>
      </w:r>
      <w:r w:rsidR="00B80DD0">
        <w:t xml:space="preserve">academic attention elsewhere remains focused on the rise of </w:t>
      </w:r>
      <w:r w:rsidR="00E96A58">
        <w:t>innovative</w:t>
      </w:r>
      <w:r w:rsidR="00B80DD0">
        <w:t xml:space="preserve"> design – encapsulated in the celebrated ‘deliberative wave</w:t>
      </w:r>
      <w:proofErr w:type="gramStart"/>
      <w:r w:rsidR="00B80DD0">
        <w:t xml:space="preserve">’ </w:t>
      </w:r>
      <w:r w:rsidR="003C550E">
        <w:t xml:space="preserve"> (</w:t>
      </w:r>
      <w:proofErr w:type="gramEnd"/>
      <w:r w:rsidR="003C550E">
        <w:t xml:space="preserve">OECD 2020) </w:t>
      </w:r>
      <w:r w:rsidR="00B80DD0">
        <w:t>especially of citizens’ assemblies in Europe</w:t>
      </w:r>
      <w:r w:rsidR="00E96A58">
        <w:t xml:space="preserve"> – and certain audiences continue to respond to and interpret our contribution in </w:t>
      </w:r>
      <w:r w:rsidR="00E96A58" w:rsidRPr="003D0823">
        <w:rPr>
          <w:i/>
          <w:iCs/>
        </w:rPr>
        <w:t>Mending Democracy</w:t>
      </w:r>
      <w:r w:rsidR="00E96A58">
        <w:t xml:space="preserve"> in these terms</w:t>
      </w:r>
      <w:r w:rsidR="00B80DD0">
        <w:t xml:space="preserve">. </w:t>
      </w:r>
      <w:r w:rsidR="00E96A58">
        <w:t>However, the</w:t>
      </w:r>
      <w:r w:rsidR="00B80DD0">
        <w:t xml:space="preserve"> commentaries </w:t>
      </w:r>
      <w:r w:rsidR="00E96A58">
        <w:t xml:space="preserve">in this CPS forum </w:t>
      </w:r>
      <w:r w:rsidR="00B80DD0">
        <w:t>push the focus</w:t>
      </w:r>
      <w:r w:rsidR="00E96A58">
        <w:t xml:space="preserve"> in different direction that we think has a great deal of untapped potential. Namely, they push </w:t>
      </w:r>
      <w:r w:rsidR="00B80DD0">
        <w:t xml:space="preserve">further towards uncovering, </w:t>
      </w:r>
      <w:proofErr w:type="gramStart"/>
      <w:r w:rsidR="00B80DD0">
        <w:t>seeding</w:t>
      </w:r>
      <w:proofErr w:type="gramEnd"/>
      <w:r w:rsidR="00B80DD0">
        <w:t xml:space="preserve"> and supporting everyday mending practices on the ground, </w:t>
      </w:r>
      <w:r w:rsidR="00E96A58">
        <w:t xml:space="preserve">including </w:t>
      </w:r>
      <w:r w:rsidR="00B80DD0">
        <w:t>in relation to different ‘disconnects’ than we initially imagined and applied to contexts very different from where these ideas first eme</w:t>
      </w:r>
      <w:r w:rsidR="00E96A58">
        <w:t>rged</w:t>
      </w:r>
      <w:r w:rsidR="00B80DD0">
        <w:t>.</w:t>
      </w:r>
      <w:r w:rsidR="00E96A58">
        <w:t xml:space="preserve"> Taken together, these provocations provide the basis for an exciting agenda in research and </w:t>
      </w:r>
      <w:proofErr w:type="gramStart"/>
      <w:r w:rsidR="004855C8">
        <w:t>practice, and</w:t>
      </w:r>
      <w:proofErr w:type="gramEnd"/>
      <w:r w:rsidR="004855C8">
        <w:t xml:space="preserve"> invite us to further reflect the structural requirements for lasting and effective practices of democratic mending in societies characterised by dysfunctional disconnections.</w:t>
      </w:r>
    </w:p>
    <w:p w14:paraId="54BD5CFC" w14:textId="4DE49BB6" w:rsidR="004855C8" w:rsidRDefault="004855C8" w:rsidP="00CF248A"/>
    <w:p w14:paraId="31654B67" w14:textId="740B8280" w:rsidR="008B5D08" w:rsidRPr="003D0823" w:rsidRDefault="003D0823">
      <w:pPr>
        <w:rPr>
          <w:b/>
          <w:bCs/>
        </w:rPr>
      </w:pPr>
      <w:r w:rsidRPr="003D0823">
        <w:rPr>
          <w:b/>
          <w:bCs/>
        </w:rPr>
        <w:t>References</w:t>
      </w:r>
    </w:p>
    <w:p w14:paraId="3EE181C0" w14:textId="413AEE6E" w:rsidR="003D0823" w:rsidRPr="003D0823" w:rsidRDefault="003D0823" w:rsidP="003D0823">
      <w:pPr>
        <w:rPr>
          <w:rFonts w:cstheme="minorHAnsi"/>
          <w:color w:val="201F1E"/>
          <w:shd w:val="clear" w:color="auto" w:fill="FFFFFF"/>
        </w:rPr>
      </w:pPr>
      <w:proofErr w:type="spellStart"/>
      <w:r w:rsidRPr="003D0823">
        <w:rPr>
          <w:rFonts w:cstheme="minorHAnsi"/>
          <w:color w:val="201F1E"/>
          <w:shd w:val="clear" w:color="auto" w:fill="FFFFFF"/>
        </w:rPr>
        <w:t>Bayat</w:t>
      </w:r>
      <w:proofErr w:type="spellEnd"/>
      <w:r w:rsidRPr="003D0823">
        <w:rPr>
          <w:rFonts w:cstheme="minorHAnsi"/>
          <w:color w:val="201F1E"/>
          <w:shd w:val="clear" w:color="auto" w:fill="FFFFFF"/>
        </w:rPr>
        <w:t>, Asaf (2013) </w:t>
      </w:r>
      <w:r w:rsidRPr="003D0823">
        <w:rPr>
          <w:rFonts w:cstheme="minorHAnsi"/>
          <w:i/>
          <w:iCs/>
          <w:color w:val="201F1E"/>
          <w:shd w:val="clear" w:color="auto" w:fill="FFFFFF"/>
        </w:rPr>
        <w:t>Life as Politics. How Ordinary People Change the Middle East</w:t>
      </w:r>
      <w:r w:rsidRPr="003D0823">
        <w:rPr>
          <w:rFonts w:cstheme="minorHAnsi"/>
          <w:color w:val="201F1E"/>
          <w:shd w:val="clear" w:color="auto" w:fill="FFFFFF"/>
        </w:rPr>
        <w:t> (2</w:t>
      </w:r>
      <w:r w:rsidRPr="003D0823">
        <w:rPr>
          <w:rFonts w:cstheme="minorHAnsi"/>
          <w:color w:val="201F1E"/>
          <w:shd w:val="clear" w:color="auto" w:fill="FFFFFF"/>
          <w:vertAlign w:val="superscript"/>
        </w:rPr>
        <w:t>nd</w:t>
      </w:r>
      <w:r w:rsidRPr="003D0823">
        <w:rPr>
          <w:rFonts w:cstheme="minorHAnsi"/>
          <w:color w:val="201F1E"/>
          <w:shd w:val="clear" w:color="auto" w:fill="FFFFFF"/>
        </w:rPr>
        <w:t> edition) Stanford: Stanford University Press.</w:t>
      </w:r>
    </w:p>
    <w:p w14:paraId="0CD9DB04" w14:textId="5E177CCD" w:rsidR="003D0823" w:rsidRPr="003D0823" w:rsidRDefault="003D0823" w:rsidP="003D0823">
      <w:pPr>
        <w:rPr>
          <w:rFonts w:cstheme="minorHAnsi"/>
          <w:color w:val="222222"/>
          <w:shd w:val="clear" w:color="auto" w:fill="FFFFFF"/>
        </w:rPr>
      </w:pPr>
      <w:r w:rsidRPr="003D0823">
        <w:rPr>
          <w:rFonts w:cstheme="minorHAnsi"/>
          <w:color w:val="222222"/>
          <w:shd w:val="clear" w:color="auto" w:fill="FFFFFF"/>
        </w:rPr>
        <w:t>Boswell, J., Corbett, J., &amp; Rhodes, R. A. (2019). </w:t>
      </w:r>
      <w:r w:rsidRPr="003D0823">
        <w:rPr>
          <w:rFonts w:cstheme="minorHAnsi"/>
          <w:i/>
          <w:iCs/>
          <w:color w:val="222222"/>
          <w:shd w:val="clear" w:color="auto" w:fill="FFFFFF"/>
        </w:rPr>
        <w:t>The art and craft of comparison</w:t>
      </w:r>
      <w:r w:rsidRPr="003D0823">
        <w:rPr>
          <w:rFonts w:cstheme="minorHAnsi"/>
          <w:color w:val="222222"/>
          <w:shd w:val="clear" w:color="auto" w:fill="FFFFFF"/>
        </w:rPr>
        <w:t>. Cambridge University Press.</w:t>
      </w:r>
    </w:p>
    <w:p w14:paraId="461BAE7F" w14:textId="6D48D85C" w:rsidR="003D0823" w:rsidRPr="003D0823" w:rsidRDefault="003D0823" w:rsidP="003D0823">
      <w:pPr>
        <w:rPr>
          <w:rFonts w:cstheme="minorHAnsi"/>
          <w:color w:val="222222"/>
          <w:shd w:val="clear" w:color="auto" w:fill="FFFFFF"/>
        </w:rPr>
      </w:pPr>
      <w:r w:rsidRPr="003D0823">
        <w:rPr>
          <w:rFonts w:cstheme="minorHAnsi"/>
          <w:color w:val="222222"/>
          <w:shd w:val="clear" w:color="auto" w:fill="FFFFFF"/>
        </w:rPr>
        <w:lastRenderedPageBreak/>
        <w:t xml:space="preserve">Durose, C., Richardson, L., </w:t>
      </w:r>
      <w:proofErr w:type="spellStart"/>
      <w:r w:rsidRPr="003D0823">
        <w:rPr>
          <w:rFonts w:cstheme="minorHAnsi"/>
          <w:color w:val="222222"/>
          <w:shd w:val="clear" w:color="auto" w:fill="FFFFFF"/>
        </w:rPr>
        <w:t>Rozenburg</w:t>
      </w:r>
      <w:proofErr w:type="spellEnd"/>
      <w:r w:rsidRPr="003D0823">
        <w:rPr>
          <w:rFonts w:cstheme="minorHAnsi"/>
          <w:color w:val="222222"/>
          <w:shd w:val="clear" w:color="auto" w:fill="FFFFFF"/>
        </w:rPr>
        <w:t>, M., Ryan, M., &amp; Escobar, O. (2021). Community control in the housing commons: a conceptual typology. </w:t>
      </w:r>
      <w:r w:rsidRPr="003D0823">
        <w:rPr>
          <w:rFonts w:cstheme="minorHAnsi"/>
          <w:i/>
          <w:iCs/>
          <w:color w:val="222222"/>
          <w:shd w:val="clear" w:color="auto" w:fill="FFFFFF"/>
        </w:rPr>
        <w:t>International Journal of the Commons</w:t>
      </w:r>
      <w:r w:rsidRPr="003D0823">
        <w:rPr>
          <w:rFonts w:cstheme="minorHAnsi"/>
          <w:color w:val="222222"/>
          <w:shd w:val="clear" w:color="auto" w:fill="FFFFFF"/>
        </w:rPr>
        <w:t>, </w:t>
      </w:r>
      <w:r w:rsidRPr="003D0823">
        <w:rPr>
          <w:rFonts w:cstheme="minorHAnsi"/>
          <w:i/>
          <w:iCs/>
          <w:color w:val="222222"/>
          <w:shd w:val="clear" w:color="auto" w:fill="FFFFFF"/>
        </w:rPr>
        <w:t>15</w:t>
      </w:r>
      <w:r w:rsidRPr="003D0823">
        <w:rPr>
          <w:rFonts w:cstheme="minorHAnsi"/>
          <w:color w:val="222222"/>
          <w:shd w:val="clear" w:color="auto" w:fill="FFFFFF"/>
        </w:rPr>
        <w:t>(1).</w:t>
      </w:r>
    </w:p>
    <w:p w14:paraId="02946306" w14:textId="48F30781" w:rsidR="003D0823" w:rsidRPr="003D0823" w:rsidRDefault="003D0823" w:rsidP="003D0823">
      <w:pPr>
        <w:rPr>
          <w:rFonts w:cstheme="minorHAnsi"/>
        </w:rPr>
      </w:pPr>
      <w:proofErr w:type="spellStart"/>
      <w:r w:rsidRPr="003D0823">
        <w:rPr>
          <w:rFonts w:cstheme="minorHAnsi"/>
          <w:color w:val="222222"/>
          <w:shd w:val="clear" w:color="auto" w:fill="FFFFFF"/>
        </w:rPr>
        <w:t>Hoicka</w:t>
      </w:r>
      <w:proofErr w:type="spellEnd"/>
      <w:r w:rsidRPr="003D0823">
        <w:rPr>
          <w:rFonts w:cstheme="minorHAnsi"/>
          <w:color w:val="222222"/>
          <w:shd w:val="clear" w:color="auto" w:fill="FFFFFF"/>
        </w:rPr>
        <w:t>, C. E., &amp; MacArthur, J. L. (2018). From tip to toes: Mapping community energy models in Canada and New Zealand. </w:t>
      </w:r>
      <w:r w:rsidRPr="003D0823">
        <w:rPr>
          <w:rFonts w:cstheme="minorHAnsi"/>
          <w:i/>
          <w:iCs/>
          <w:color w:val="222222"/>
          <w:shd w:val="clear" w:color="auto" w:fill="FFFFFF"/>
        </w:rPr>
        <w:t>Energy Policy</w:t>
      </w:r>
      <w:r w:rsidRPr="003D0823">
        <w:rPr>
          <w:rFonts w:cstheme="minorHAnsi"/>
          <w:color w:val="222222"/>
          <w:shd w:val="clear" w:color="auto" w:fill="FFFFFF"/>
        </w:rPr>
        <w:t>, </w:t>
      </w:r>
      <w:r w:rsidRPr="003D0823">
        <w:rPr>
          <w:rFonts w:cstheme="minorHAnsi"/>
          <w:i/>
          <w:iCs/>
          <w:color w:val="222222"/>
          <w:shd w:val="clear" w:color="auto" w:fill="FFFFFF"/>
        </w:rPr>
        <w:t>121</w:t>
      </w:r>
      <w:r w:rsidRPr="003D0823">
        <w:rPr>
          <w:rFonts w:cstheme="minorHAnsi"/>
          <w:color w:val="222222"/>
          <w:shd w:val="clear" w:color="auto" w:fill="FFFFFF"/>
        </w:rPr>
        <w:t>, 162-174.</w:t>
      </w:r>
    </w:p>
    <w:p w14:paraId="70A578F6" w14:textId="0566413D" w:rsidR="003D0823" w:rsidRPr="003D0823" w:rsidRDefault="003D0823" w:rsidP="003D0823">
      <w:pPr>
        <w:rPr>
          <w:rFonts w:eastAsia="Times New Roman" w:cstheme="minorHAnsi"/>
          <w:shd w:val="clear" w:color="auto" w:fill="FFFFFF"/>
          <w:lang w:val="en-AU" w:eastAsia="en-GB"/>
        </w:rPr>
      </w:pPr>
      <w:proofErr w:type="spellStart"/>
      <w:r w:rsidRPr="003D0823">
        <w:rPr>
          <w:rFonts w:cstheme="minorHAnsi"/>
        </w:rPr>
        <w:t>Mitlin</w:t>
      </w:r>
      <w:proofErr w:type="spellEnd"/>
      <w:r w:rsidRPr="003D0823">
        <w:rPr>
          <w:rFonts w:cstheme="minorHAnsi"/>
        </w:rPr>
        <w:t xml:space="preserve">, Diana. 2008. “With and beyond the State – Co-Production as a Route to Political Influence, Power and Transformation for Grassroots Organizations.” </w:t>
      </w:r>
      <w:r w:rsidRPr="003D0823">
        <w:rPr>
          <w:rFonts w:cstheme="minorHAnsi"/>
          <w:i/>
          <w:iCs/>
        </w:rPr>
        <w:t>Environment and Urbanization</w:t>
      </w:r>
      <w:r w:rsidRPr="003D0823">
        <w:rPr>
          <w:rFonts w:cstheme="minorHAnsi"/>
        </w:rPr>
        <w:t xml:space="preserve"> 20 (2): 339–60.</w:t>
      </w:r>
    </w:p>
    <w:p w14:paraId="63D26E97" w14:textId="2725B26E" w:rsidR="003D0823" w:rsidRPr="003D0823" w:rsidRDefault="003D0823">
      <w:pPr>
        <w:rPr>
          <w:rFonts w:cstheme="minorHAnsi"/>
          <w:color w:val="000000" w:themeColor="text1"/>
        </w:rPr>
      </w:pPr>
      <w:r w:rsidRPr="003D0823">
        <w:rPr>
          <w:rFonts w:cstheme="minorHAnsi"/>
          <w:color w:val="000000" w:themeColor="text1"/>
        </w:rPr>
        <w:t>OECD (2020</w:t>
      </w:r>
      <w:proofErr w:type="gramStart"/>
      <w:r w:rsidRPr="003D0823">
        <w:rPr>
          <w:rFonts w:cstheme="minorHAnsi"/>
          <w:color w:val="000000" w:themeColor="text1"/>
        </w:rPr>
        <w:t xml:space="preserve">) </w:t>
      </w:r>
      <w:r w:rsidRPr="003D0823">
        <w:rPr>
          <w:rStyle w:val="apple-converted-space"/>
          <w:rFonts w:cstheme="minorHAnsi"/>
          <w:color w:val="000000" w:themeColor="text1"/>
        </w:rPr>
        <w:t> </w:t>
      </w:r>
      <w:r w:rsidRPr="003D0823">
        <w:rPr>
          <w:rFonts w:cstheme="minorHAnsi"/>
          <w:i/>
          <w:iCs/>
          <w:color w:val="000000" w:themeColor="text1"/>
        </w:rPr>
        <w:t>Innovative</w:t>
      </w:r>
      <w:proofErr w:type="gramEnd"/>
      <w:r w:rsidRPr="003D0823">
        <w:rPr>
          <w:rFonts w:cstheme="minorHAnsi"/>
          <w:i/>
          <w:iCs/>
          <w:color w:val="000000" w:themeColor="text1"/>
        </w:rPr>
        <w:t xml:space="preserve"> Citizen Participation and New Democratic Institutions: Catching the Deliberative Wave</w:t>
      </w:r>
      <w:r w:rsidRPr="003D0823">
        <w:rPr>
          <w:rFonts w:cstheme="minorHAnsi"/>
          <w:color w:val="000000" w:themeColor="text1"/>
        </w:rPr>
        <w:t>. Paris: OECD Publishing.</w:t>
      </w:r>
    </w:p>
    <w:p w14:paraId="789A6780" w14:textId="4DD447C7" w:rsidR="003D0823" w:rsidRPr="003D0823" w:rsidRDefault="003D0823">
      <w:pPr>
        <w:rPr>
          <w:rFonts w:cstheme="minorHAnsi"/>
        </w:rPr>
      </w:pPr>
      <w:proofErr w:type="spellStart"/>
      <w:r w:rsidRPr="003D0823">
        <w:rPr>
          <w:rFonts w:eastAsia="Times New Roman" w:cstheme="minorHAnsi"/>
          <w:shd w:val="clear" w:color="auto" w:fill="FFFFFF"/>
          <w:lang w:val="en-AU" w:eastAsia="en-GB"/>
        </w:rPr>
        <w:t>Tavernaro-Haidarian</w:t>
      </w:r>
      <w:proofErr w:type="spellEnd"/>
      <w:r w:rsidRPr="003D0823">
        <w:rPr>
          <w:rFonts w:eastAsia="Times New Roman" w:cstheme="minorHAnsi"/>
          <w:shd w:val="clear" w:color="auto" w:fill="FFFFFF"/>
          <w:lang w:val="en-AU" w:eastAsia="en-GB"/>
        </w:rPr>
        <w:t>, L., (2020) “Deliberative Theory and African Philosophy: The Future of Deliberation in Transitional Societies”, </w:t>
      </w:r>
      <w:r w:rsidRPr="003D0823">
        <w:rPr>
          <w:rFonts w:eastAsia="Times New Roman" w:cstheme="minorHAnsi"/>
          <w:i/>
          <w:iCs/>
          <w:lang w:val="en-AU" w:eastAsia="en-GB"/>
        </w:rPr>
        <w:t>Journal of Deliberative Democracy</w:t>
      </w:r>
      <w:r w:rsidRPr="003D0823">
        <w:rPr>
          <w:rFonts w:eastAsia="Times New Roman" w:cstheme="minorHAnsi"/>
          <w:shd w:val="clear" w:color="auto" w:fill="FFFFFF"/>
          <w:lang w:val="en-AU" w:eastAsia="en-GB"/>
        </w:rPr>
        <w:t xml:space="preserve"> 16(1), p.20–26. </w:t>
      </w:r>
      <w:proofErr w:type="spellStart"/>
      <w:r w:rsidRPr="003D0823">
        <w:rPr>
          <w:rFonts w:eastAsia="Times New Roman" w:cstheme="minorHAnsi"/>
          <w:shd w:val="clear" w:color="auto" w:fill="FFFFFF"/>
          <w:lang w:val="en-AU" w:eastAsia="en-GB"/>
        </w:rPr>
        <w:t>doi</w:t>
      </w:r>
      <w:proofErr w:type="spellEnd"/>
      <w:r w:rsidRPr="003D0823">
        <w:rPr>
          <w:rFonts w:eastAsia="Times New Roman" w:cstheme="minorHAnsi"/>
          <w:shd w:val="clear" w:color="auto" w:fill="FFFFFF"/>
          <w:lang w:val="en-AU" w:eastAsia="en-GB"/>
        </w:rPr>
        <w:t>: </w:t>
      </w:r>
      <w:hyperlink r:id="rId4" w:history="1">
        <w:r w:rsidRPr="003D0823">
          <w:rPr>
            <w:rFonts w:eastAsia="Times New Roman" w:cstheme="minorHAnsi"/>
            <w:color w:val="215A85"/>
            <w:u w:val="single"/>
            <w:lang w:val="en-AU" w:eastAsia="en-GB"/>
          </w:rPr>
          <w:t>https://doi.org/10.16997/jdd.389</w:t>
        </w:r>
      </w:hyperlink>
    </w:p>
    <w:sectPr w:rsidR="003D0823" w:rsidRPr="003D0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08"/>
    <w:rsid w:val="000A7094"/>
    <w:rsid w:val="00100B5C"/>
    <w:rsid w:val="001420BB"/>
    <w:rsid w:val="0018250A"/>
    <w:rsid w:val="001C1601"/>
    <w:rsid w:val="002039A3"/>
    <w:rsid w:val="00217AB9"/>
    <w:rsid w:val="00230EF6"/>
    <w:rsid w:val="00255521"/>
    <w:rsid w:val="00297048"/>
    <w:rsid w:val="002B35D7"/>
    <w:rsid w:val="002B405F"/>
    <w:rsid w:val="002D2692"/>
    <w:rsid w:val="00371C47"/>
    <w:rsid w:val="003C550E"/>
    <w:rsid w:val="003D0823"/>
    <w:rsid w:val="003D4F11"/>
    <w:rsid w:val="00410E99"/>
    <w:rsid w:val="0042417F"/>
    <w:rsid w:val="00434D65"/>
    <w:rsid w:val="004416C9"/>
    <w:rsid w:val="004855C8"/>
    <w:rsid w:val="00495254"/>
    <w:rsid w:val="004C09BB"/>
    <w:rsid w:val="004C163F"/>
    <w:rsid w:val="00502C6E"/>
    <w:rsid w:val="0050403C"/>
    <w:rsid w:val="005A6F22"/>
    <w:rsid w:val="005B0831"/>
    <w:rsid w:val="005B2709"/>
    <w:rsid w:val="00621850"/>
    <w:rsid w:val="00637ABD"/>
    <w:rsid w:val="006C1079"/>
    <w:rsid w:val="006D6723"/>
    <w:rsid w:val="00731FB9"/>
    <w:rsid w:val="00824F09"/>
    <w:rsid w:val="00835F56"/>
    <w:rsid w:val="008B46E7"/>
    <w:rsid w:val="008B5D08"/>
    <w:rsid w:val="008D5AE7"/>
    <w:rsid w:val="008E70EF"/>
    <w:rsid w:val="009067F8"/>
    <w:rsid w:val="00946AEF"/>
    <w:rsid w:val="00A033CA"/>
    <w:rsid w:val="00A108CD"/>
    <w:rsid w:val="00A146A9"/>
    <w:rsid w:val="00A27FBE"/>
    <w:rsid w:val="00A75A90"/>
    <w:rsid w:val="00AC2F4D"/>
    <w:rsid w:val="00B80DD0"/>
    <w:rsid w:val="00B86B0F"/>
    <w:rsid w:val="00BE1CF2"/>
    <w:rsid w:val="00BF53D2"/>
    <w:rsid w:val="00C000D5"/>
    <w:rsid w:val="00C67827"/>
    <w:rsid w:val="00C87E6A"/>
    <w:rsid w:val="00CF248A"/>
    <w:rsid w:val="00D3459C"/>
    <w:rsid w:val="00D74365"/>
    <w:rsid w:val="00D74BAD"/>
    <w:rsid w:val="00E10E45"/>
    <w:rsid w:val="00E96A58"/>
    <w:rsid w:val="00EB31EC"/>
    <w:rsid w:val="00F25A6F"/>
    <w:rsid w:val="00F777D4"/>
    <w:rsid w:val="00FF26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D2C4"/>
  <w15:chartTrackingRefBased/>
  <w15:docId w15:val="{5AF1B6E7-F52B-4AA3-A66B-9BAA7E93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B5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24F09"/>
    <w:rPr>
      <w:sz w:val="16"/>
      <w:szCs w:val="16"/>
    </w:rPr>
  </w:style>
  <w:style w:type="paragraph" w:styleId="CommentText">
    <w:name w:val="annotation text"/>
    <w:basedOn w:val="Normal"/>
    <w:link w:val="CommentTextChar"/>
    <w:uiPriority w:val="99"/>
    <w:unhideWhenUsed/>
    <w:rsid w:val="00824F09"/>
    <w:pPr>
      <w:spacing w:line="240" w:lineRule="auto"/>
    </w:pPr>
    <w:rPr>
      <w:sz w:val="20"/>
      <w:szCs w:val="20"/>
    </w:rPr>
  </w:style>
  <w:style w:type="character" w:customStyle="1" w:styleId="CommentTextChar">
    <w:name w:val="Comment Text Char"/>
    <w:basedOn w:val="DefaultParagraphFont"/>
    <w:link w:val="CommentText"/>
    <w:uiPriority w:val="99"/>
    <w:rsid w:val="00824F09"/>
    <w:rPr>
      <w:sz w:val="20"/>
      <w:szCs w:val="20"/>
    </w:rPr>
  </w:style>
  <w:style w:type="paragraph" w:styleId="CommentSubject">
    <w:name w:val="annotation subject"/>
    <w:basedOn w:val="CommentText"/>
    <w:next w:val="CommentText"/>
    <w:link w:val="CommentSubjectChar"/>
    <w:uiPriority w:val="99"/>
    <w:semiHidden/>
    <w:unhideWhenUsed/>
    <w:rsid w:val="00824F09"/>
    <w:rPr>
      <w:b/>
      <w:bCs/>
    </w:rPr>
  </w:style>
  <w:style w:type="character" w:customStyle="1" w:styleId="CommentSubjectChar">
    <w:name w:val="Comment Subject Char"/>
    <w:basedOn w:val="CommentTextChar"/>
    <w:link w:val="CommentSubject"/>
    <w:uiPriority w:val="99"/>
    <w:semiHidden/>
    <w:rsid w:val="00824F09"/>
    <w:rPr>
      <w:b/>
      <w:bCs/>
      <w:sz w:val="20"/>
      <w:szCs w:val="20"/>
    </w:rPr>
  </w:style>
  <w:style w:type="paragraph" w:styleId="Revision">
    <w:name w:val="Revision"/>
    <w:hidden/>
    <w:uiPriority w:val="99"/>
    <w:semiHidden/>
    <w:rsid w:val="0042417F"/>
    <w:pPr>
      <w:spacing w:after="0" w:line="240" w:lineRule="auto"/>
    </w:pPr>
  </w:style>
  <w:style w:type="character" w:customStyle="1" w:styleId="apple-converted-space">
    <w:name w:val="apple-converted-space"/>
    <w:basedOn w:val="DefaultParagraphFont"/>
    <w:rsid w:val="003C550E"/>
  </w:style>
  <w:style w:type="character" w:styleId="Hyperlink">
    <w:name w:val="Hyperlink"/>
    <w:basedOn w:val="DefaultParagraphFont"/>
    <w:uiPriority w:val="99"/>
    <w:semiHidden/>
    <w:unhideWhenUsed/>
    <w:rsid w:val="003C550E"/>
    <w:rPr>
      <w:color w:val="0000FF"/>
      <w:u w:val="single"/>
    </w:rPr>
  </w:style>
  <w:style w:type="paragraph" w:styleId="NormalWeb">
    <w:name w:val="Normal (Web)"/>
    <w:basedOn w:val="Normal"/>
    <w:uiPriority w:val="99"/>
    <w:unhideWhenUsed/>
    <w:rsid w:val="003C55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C107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07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7086">
      <w:bodyDiv w:val="1"/>
      <w:marLeft w:val="0"/>
      <w:marRight w:val="0"/>
      <w:marTop w:val="0"/>
      <w:marBottom w:val="0"/>
      <w:divBdr>
        <w:top w:val="none" w:sz="0" w:space="0" w:color="auto"/>
        <w:left w:val="none" w:sz="0" w:space="0" w:color="auto"/>
        <w:bottom w:val="none" w:sz="0" w:space="0" w:color="auto"/>
        <w:right w:val="none" w:sz="0" w:space="0" w:color="auto"/>
      </w:divBdr>
    </w:div>
    <w:div w:id="12746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6997/jdd.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Boswell</dc:creator>
  <cp:keywords/>
  <dc:description/>
  <cp:lastModifiedBy>Linda Edwards</cp:lastModifiedBy>
  <cp:revision>2</cp:revision>
  <dcterms:created xsi:type="dcterms:W3CDTF">2022-06-13T11:57:00Z</dcterms:created>
  <dcterms:modified xsi:type="dcterms:W3CDTF">2022-06-13T11:57:00Z</dcterms:modified>
</cp:coreProperties>
</file>