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3BBFA" w14:textId="074BF776" w:rsidR="003D449E" w:rsidRPr="0001438A" w:rsidRDefault="006D4721" w:rsidP="00A2197D">
      <w:pPr>
        <w:pStyle w:val="Heading1"/>
      </w:pPr>
      <w:r>
        <w:t xml:space="preserve">Quantitating </w:t>
      </w:r>
      <w:r w:rsidR="00B22717">
        <w:t>Age-Related</w:t>
      </w:r>
      <w:r w:rsidR="00E14826">
        <w:t xml:space="preserve"> BMD</w:t>
      </w:r>
      <w:r w:rsidR="00777E81" w:rsidRPr="0001438A">
        <w:t xml:space="preserve"> </w:t>
      </w:r>
      <w:r w:rsidR="00E76972">
        <w:t>Textural</w:t>
      </w:r>
      <w:r w:rsidR="00680519" w:rsidRPr="0001438A">
        <w:t xml:space="preserve"> </w:t>
      </w:r>
      <w:r w:rsidR="00B84EF6">
        <w:t xml:space="preserve">Variation from DXA </w:t>
      </w:r>
      <w:r w:rsidR="00E77D9B">
        <w:t>R</w:t>
      </w:r>
      <w:r w:rsidR="00B84EF6">
        <w:t>egion-</w:t>
      </w:r>
      <w:r w:rsidR="00E77D9B">
        <w:t>F</w:t>
      </w:r>
      <w:r w:rsidR="00B84EF6">
        <w:t>ree-</w:t>
      </w:r>
      <w:r w:rsidR="00E77D9B">
        <w:t>A</w:t>
      </w:r>
      <w:r w:rsidR="00B84EF6">
        <w:t xml:space="preserve">nalysis: </w:t>
      </w:r>
      <w:r w:rsidR="000B551D">
        <w:t>A Study of Hip Fracture Prediction in Three Cohorts</w:t>
      </w:r>
    </w:p>
    <w:p w14:paraId="0C6D1458" w14:textId="270B686A" w:rsidR="00A34AA4" w:rsidRPr="004B5C5A" w:rsidRDefault="00A34AA4" w:rsidP="009D13F5">
      <w:pPr>
        <w:suppressAutoHyphens/>
        <w:ind w:firstLine="0"/>
        <w:rPr>
          <w:rFonts w:eastAsiaTheme="minorEastAsia"/>
          <w:shd w:val="clear" w:color="auto" w:fill="FFFFFF"/>
          <w:lang w:val="en-US" w:eastAsia="zh-CN"/>
        </w:rPr>
      </w:pPr>
      <w:r w:rsidRPr="004B5C5A">
        <w:rPr>
          <w:rFonts w:eastAsiaTheme="minorEastAsia"/>
          <w:lang w:val="en-US" w:eastAsia="zh-CN"/>
        </w:rPr>
        <w:t>M</w:t>
      </w:r>
      <w:r w:rsidR="00BF18F5">
        <w:rPr>
          <w:rFonts w:eastAsiaTheme="minorEastAsia"/>
          <w:lang w:val="en-US" w:eastAsia="zh-CN"/>
        </w:rPr>
        <w:t>ohsen</w:t>
      </w:r>
      <w:r w:rsidRPr="004B5C5A">
        <w:rPr>
          <w:rFonts w:eastAsiaTheme="minorEastAsia"/>
          <w:lang w:val="en-US" w:eastAsia="zh-CN"/>
        </w:rPr>
        <w:t xml:space="preserve"> Farzi, </w:t>
      </w:r>
      <w:r w:rsidR="00BF18F5">
        <w:rPr>
          <w:rFonts w:eastAsiaTheme="minorEastAsia"/>
          <w:lang w:val="en-US" w:eastAsia="zh-CN"/>
        </w:rPr>
        <w:t>PhD</w:t>
      </w:r>
      <w:r w:rsidRPr="004B5C5A">
        <w:rPr>
          <w:rFonts w:eastAsiaTheme="minorEastAsia"/>
          <w:lang w:val="en-US" w:eastAsia="zh-CN"/>
        </w:rPr>
        <w:t xml:space="preserve"> [</w:t>
      </w:r>
      <w:r w:rsidR="00E16416">
        <w:rPr>
          <w:rFonts w:eastAsiaTheme="minorEastAsia"/>
          <w:lang w:val="en-US" w:eastAsia="zh-CN"/>
        </w:rPr>
        <w:t>1,2,3</w:t>
      </w:r>
      <w:r w:rsidRPr="004B5C5A">
        <w:rPr>
          <w:rFonts w:eastAsiaTheme="minorEastAsia"/>
          <w:lang w:val="en-US" w:eastAsia="zh-CN"/>
        </w:rPr>
        <w:t xml:space="preserve">]; </w:t>
      </w:r>
      <w:r w:rsidRPr="004B5C5A">
        <w:rPr>
          <w:rFonts w:eastAsia="Calibri"/>
          <w:shd w:val="clear" w:color="auto" w:fill="FFFFFF"/>
          <w:lang w:val="en-US" w:eastAsia="zh-CN"/>
        </w:rPr>
        <w:t>J</w:t>
      </w:r>
      <w:r w:rsidR="0098622F">
        <w:rPr>
          <w:rFonts w:eastAsia="Calibri"/>
          <w:shd w:val="clear" w:color="auto" w:fill="FFFFFF"/>
          <w:lang w:val="en-US" w:eastAsia="zh-CN"/>
        </w:rPr>
        <w:t xml:space="preserve">ose </w:t>
      </w:r>
      <w:r w:rsidRPr="004B5C5A">
        <w:rPr>
          <w:rFonts w:eastAsia="Calibri"/>
          <w:shd w:val="clear" w:color="auto" w:fill="FFFFFF"/>
          <w:lang w:val="en-US" w:eastAsia="zh-CN"/>
        </w:rPr>
        <w:t>M</w:t>
      </w:r>
      <w:r w:rsidR="0098622F">
        <w:rPr>
          <w:rFonts w:eastAsia="Calibri"/>
          <w:shd w:val="clear" w:color="auto" w:fill="FFFFFF"/>
          <w:lang w:val="en-US" w:eastAsia="zh-CN"/>
        </w:rPr>
        <w:t>.</w:t>
      </w:r>
      <w:r w:rsidRPr="004B5C5A">
        <w:rPr>
          <w:rFonts w:eastAsia="Calibri"/>
          <w:shd w:val="clear" w:color="auto" w:fill="FFFFFF"/>
          <w:lang w:val="en-US" w:eastAsia="zh-CN"/>
        </w:rPr>
        <w:t xml:space="preserve"> </w:t>
      </w:r>
      <w:proofErr w:type="spellStart"/>
      <w:r w:rsidRPr="004B5C5A">
        <w:rPr>
          <w:rFonts w:eastAsia="Calibri"/>
          <w:shd w:val="clear" w:color="auto" w:fill="FFFFFF"/>
          <w:lang w:val="en-US" w:eastAsia="zh-CN"/>
        </w:rPr>
        <w:t>Pozo</w:t>
      </w:r>
      <w:proofErr w:type="spellEnd"/>
      <w:r w:rsidRPr="004B5C5A">
        <w:rPr>
          <w:rFonts w:eastAsia="Calibri"/>
          <w:shd w:val="clear" w:color="auto" w:fill="FFFFFF"/>
          <w:lang w:val="en-US" w:eastAsia="zh-CN"/>
        </w:rPr>
        <w:t>, PhD [3];</w:t>
      </w:r>
      <w:r w:rsidRPr="004B5C5A">
        <w:rPr>
          <w:rFonts w:eastAsiaTheme="minorEastAsia"/>
          <w:shd w:val="clear" w:color="auto" w:fill="FFFFFF"/>
          <w:lang w:val="en-US" w:eastAsia="zh-CN"/>
        </w:rPr>
        <w:t xml:space="preserve"> </w:t>
      </w:r>
      <w:r w:rsidR="00AC3D80" w:rsidRPr="00AC3D80">
        <w:rPr>
          <w:rFonts w:eastAsiaTheme="minorEastAsia"/>
          <w:shd w:val="clear" w:color="auto" w:fill="FFFFFF"/>
          <w:lang w:val="en-US" w:eastAsia="zh-CN"/>
        </w:rPr>
        <w:t>Eugene McCloskey</w:t>
      </w:r>
      <w:r w:rsidR="00FC1EE3">
        <w:rPr>
          <w:rFonts w:eastAsiaTheme="minorEastAsia"/>
          <w:shd w:val="clear" w:color="auto" w:fill="FFFFFF"/>
          <w:lang w:val="en-US" w:eastAsia="zh-CN"/>
        </w:rPr>
        <w:t>, PhD</w:t>
      </w:r>
      <w:r w:rsidR="009D13F5">
        <w:rPr>
          <w:rFonts w:eastAsiaTheme="minorEastAsia"/>
          <w:shd w:val="clear" w:color="auto" w:fill="FFFFFF"/>
          <w:lang w:val="en-US" w:eastAsia="zh-CN"/>
        </w:rPr>
        <w:t xml:space="preserve"> </w:t>
      </w:r>
      <w:r w:rsidR="00FC1EE3">
        <w:rPr>
          <w:rFonts w:eastAsiaTheme="minorEastAsia"/>
          <w:shd w:val="clear" w:color="auto" w:fill="FFFFFF"/>
          <w:lang w:val="en-US" w:eastAsia="zh-CN"/>
        </w:rPr>
        <w:t>[1</w:t>
      </w:r>
      <w:r w:rsidR="00E16416">
        <w:rPr>
          <w:rFonts w:eastAsiaTheme="minorEastAsia"/>
          <w:shd w:val="clear" w:color="auto" w:fill="FFFFFF"/>
          <w:lang w:val="en-US" w:eastAsia="zh-CN"/>
        </w:rPr>
        <w:t>,2</w:t>
      </w:r>
      <w:r w:rsidR="00FC1EE3">
        <w:rPr>
          <w:rFonts w:eastAsiaTheme="minorEastAsia"/>
          <w:shd w:val="clear" w:color="auto" w:fill="FFFFFF"/>
          <w:lang w:val="en-US" w:eastAsia="zh-CN"/>
        </w:rPr>
        <w:t>]; Richard Eastell,</w:t>
      </w:r>
      <w:r w:rsidRPr="004B5C5A">
        <w:rPr>
          <w:rFonts w:eastAsiaTheme="minorEastAsia"/>
          <w:shd w:val="clear" w:color="auto" w:fill="FFFFFF"/>
          <w:lang w:val="en-US" w:eastAsia="zh-CN"/>
        </w:rPr>
        <w:t xml:space="preserve"> PhD [</w:t>
      </w:r>
      <w:r w:rsidR="00FC1EE3">
        <w:rPr>
          <w:rFonts w:eastAsiaTheme="minorEastAsia"/>
          <w:shd w:val="clear" w:color="auto" w:fill="FFFFFF"/>
          <w:lang w:val="en-US" w:eastAsia="zh-CN"/>
        </w:rPr>
        <w:t>1</w:t>
      </w:r>
      <w:r w:rsidR="00E16416">
        <w:rPr>
          <w:rFonts w:eastAsiaTheme="minorEastAsia"/>
          <w:shd w:val="clear" w:color="auto" w:fill="FFFFFF"/>
          <w:lang w:val="en-US" w:eastAsia="zh-CN"/>
        </w:rPr>
        <w:t>,2</w:t>
      </w:r>
      <w:r w:rsidRPr="004B5C5A">
        <w:rPr>
          <w:rFonts w:eastAsiaTheme="minorEastAsia"/>
          <w:shd w:val="clear" w:color="auto" w:fill="FFFFFF"/>
          <w:lang w:val="en-US" w:eastAsia="zh-CN"/>
        </w:rPr>
        <w:t xml:space="preserve">]; </w:t>
      </w:r>
      <w:r w:rsidR="00133452">
        <w:rPr>
          <w:rFonts w:eastAsiaTheme="minorEastAsia"/>
          <w:shd w:val="clear" w:color="auto" w:fill="FFFFFF"/>
          <w:lang w:val="en-US" w:eastAsia="zh-CN"/>
        </w:rPr>
        <w:t xml:space="preserve">Nicholas C. </w:t>
      </w:r>
      <w:r w:rsidR="006757EF">
        <w:rPr>
          <w:rFonts w:eastAsiaTheme="minorEastAsia"/>
          <w:shd w:val="clear" w:color="auto" w:fill="FFFFFF"/>
          <w:lang w:val="en-US" w:eastAsia="zh-CN"/>
        </w:rPr>
        <w:t>Harvey, PhD [</w:t>
      </w:r>
      <w:r w:rsidR="00E16416">
        <w:rPr>
          <w:rFonts w:eastAsiaTheme="minorEastAsia"/>
          <w:shd w:val="clear" w:color="auto" w:fill="FFFFFF"/>
          <w:lang w:val="en-US" w:eastAsia="zh-CN"/>
        </w:rPr>
        <w:t>4</w:t>
      </w:r>
      <w:r w:rsidR="009839F0">
        <w:rPr>
          <w:rFonts w:eastAsiaTheme="minorEastAsia"/>
          <w:shd w:val="clear" w:color="auto" w:fill="FFFFFF"/>
          <w:lang w:val="en-US" w:eastAsia="zh-CN"/>
        </w:rPr>
        <w:t>,5</w:t>
      </w:r>
      <w:r w:rsidR="006757EF">
        <w:rPr>
          <w:rFonts w:eastAsiaTheme="minorEastAsia"/>
          <w:shd w:val="clear" w:color="auto" w:fill="FFFFFF"/>
          <w:lang w:val="en-US" w:eastAsia="zh-CN"/>
        </w:rPr>
        <w:t xml:space="preserve">]; </w:t>
      </w:r>
      <w:r w:rsidRPr="004B5C5A">
        <w:rPr>
          <w:rFonts w:eastAsiaTheme="minorEastAsia"/>
          <w:shd w:val="clear" w:color="auto" w:fill="FFFFFF"/>
          <w:lang w:val="en-US" w:eastAsia="zh-CN"/>
        </w:rPr>
        <w:t>A</w:t>
      </w:r>
      <w:r w:rsidR="006757EF">
        <w:rPr>
          <w:rFonts w:eastAsiaTheme="minorEastAsia"/>
          <w:shd w:val="clear" w:color="auto" w:fill="FFFFFF"/>
          <w:lang w:val="en-US" w:eastAsia="zh-CN"/>
        </w:rPr>
        <w:t xml:space="preserve">lejandro </w:t>
      </w:r>
      <w:r w:rsidRPr="004B5C5A">
        <w:rPr>
          <w:rFonts w:eastAsiaTheme="minorEastAsia"/>
          <w:shd w:val="clear" w:color="auto" w:fill="FFFFFF"/>
          <w:lang w:val="en-US" w:eastAsia="zh-CN"/>
        </w:rPr>
        <w:t>F</w:t>
      </w:r>
      <w:r w:rsidR="006757EF">
        <w:rPr>
          <w:rFonts w:eastAsiaTheme="minorEastAsia"/>
          <w:shd w:val="clear" w:color="auto" w:fill="FFFFFF"/>
          <w:lang w:val="en-US" w:eastAsia="zh-CN"/>
        </w:rPr>
        <w:t>.</w:t>
      </w:r>
      <w:r w:rsidRPr="004B5C5A">
        <w:rPr>
          <w:rFonts w:eastAsiaTheme="minorEastAsia"/>
          <w:shd w:val="clear" w:color="auto" w:fill="FFFFFF"/>
          <w:lang w:val="en-US" w:eastAsia="zh-CN"/>
        </w:rPr>
        <w:t xml:space="preserve"> </w:t>
      </w:r>
      <w:proofErr w:type="spellStart"/>
      <w:r w:rsidRPr="004B5C5A">
        <w:rPr>
          <w:rFonts w:eastAsiaTheme="minorEastAsia"/>
          <w:shd w:val="clear" w:color="auto" w:fill="FFFFFF"/>
          <w:lang w:val="en-US" w:eastAsia="zh-CN"/>
        </w:rPr>
        <w:t>Frangi</w:t>
      </w:r>
      <w:proofErr w:type="spellEnd"/>
      <w:r w:rsidRPr="004B5C5A">
        <w:rPr>
          <w:rFonts w:eastAsiaTheme="minorEastAsia"/>
          <w:shd w:val="clear" w:color="auto" w:fill="FFFFFF"/>
          <w:lang w:val="en-US" w:eastAsia="zh-CN"/>
        </w:rPr>
        <w:t>, PhD [</w:t>
      </w:r>
      <w:r w:rsidR="00E16416">
        <w:rPr>
          <w:rFonts w:eastAsiaTheme="minorEastAsia"/>
          <w:shd w:val="clear" w:color="auto" w:fill="FFFFFF"/>
          <w:lang w:val="en-US" w:eastAsia="zh-CN"/>
        </w:rPr>
        <w:t>3</w:t>
      </w:r>
      <w:r w:rsidRPr="004B5C5A">
        <w:rPr>
          <w:rFonts w:eastAsiaTheme="minorEastAsia"/>
          <w:shd w:val="clear" w:color="auto" w:fill="FFFFFF"/>
          <w:lang w:val="en-US" w:eastAsia="zh-CN"/>
        </w:rPr>
        <w:t>]; J</w:t>
      </w:r>
      <w:r w:rsidR="00303901">
        <w:rPr>
          <w:rFonts w:eastAsiaTheme="minorEastAsia"/>
          <w:shd w:val="clear" w:color="auto" w:fill="FFFFFF"/>
          <w:lang w:val="en-US" w:eastAsia="zh-CN"/>
        </w:rPr>
        <w:t>eremy</w:t>
      </w:r>
      <w:r w:rsidR="00544900">
        <w:rPr>
          <w:rFonts w:eastAsiaTheme="minorEastAsia"/>
          <w:shd w:val="clear" w:color="auto" w:fill="FFFFFF"/>
          <w:lang w:val="en-US" w:eastAsia="zh-CN"/>
        </w:rPr>
        <w:t xml:space="preserve"> </w:t>
      </w:r>
      <w:r w:rsidRPr="004B5C5A">
        <w:rPr>
          <w:rFonts w:eastAsiaTheme="minorEastAsia"/>
          <w:shd w:val="clear" w:color="auto" w:fill="FFFFFF"/>
          <w:lang w:val="en-US" w:eastAsia="zh-CN"/>
        </w:rPr>
        <w:t>M</w:t>
      </w:r>
      <w:r w:rsidR="00544900">
        <w:rPr>
          <w:rFonts w:eastAsiaTheme="minorEastAsia"/>
          <w:shd w:val="clear" w:color="auto" w:fill="FFFFFF"/>
          <w:lang w:val="en-US" w:eastAsia="zh-CN"/>
        </w:rPr>
        <w:t>ark</w:t>
      </w:r>
      <w:r w:rsidRPr="004B5C5A">
        <w:rPr>
          <w:rFonts w:eastAsiaTheme="minorEastAsia"/>
          <w:shd w:val="clear" w:color="auto" w:fill="FFFFFF"/>
          <w:lang w:val="en-US" w:eastAsia="zh-CN"/>
        </w:rPr>
        <w:t xml:space="preserve"> Wilkinson, PhD [1</w:t>
      </w:r>
      <w:r w:rsidR="00B664CB">
        <w:rPr>
          <w:rFonts w:eastAsiaTheme="minorEastAsia"/>
          <w:shd w:val="clear" w:color="auto" w:fill="FFFFFF"/>
          <w:lang w:val="en-US" w:eastAsia="zh-CN"/>
        </w:rPr>
        <w:t>,2</w:t>
      </w:r>
      <w:r w:rsidRPr="004B5C5A">
        <w:rPr>
          <w:rFonts w:eastAsiaTheme="minorEastAsia"/>
          <w:shd w:val="clear" w:color="auto" w:fill="FFFFFF"/>
          <w:lang w:val="en-US" w:eastAsia="zh-CN"/>
        </w:rPr>
        <w:t>]</w:t>
      </w:r>
    </w:p>
    <w:p w14:paraId="4FB21F5A" w14:textId="77777777" w:rsidR="00A34AA4" w:rsidRPr="004B5C5A" w:rsidRDefault="00A34AA4" w:rsidP="00A34AA4">
      <w:pPr>
        <w:suppressAutoHyphens/>
        <w:spacing w:line="360" w:lineRule="auto"/>
        <w:rPr>
          <w:rFonts w:eastAsiaTheme="minorEastAsia"/>
          <w:shd w:val="clear" w:color="auto" w:fill="FFFFFF"/>
          <w:lang w:val="en-US" w:eastAsia="zh-CN"/>
        </w:rPr>
      </w:pPr>
    </w:p>
    <w:p w14:paraId="5692E50F" w14:textId="77777777" w:rsidR="002D4F07" w:rsidRDefault="00A34AA4" w:rsidP="009D13F5">
      <w:pPr>
        <w:suppressAutoHyphens/>
        <w:spacing w:line="360" w:lineRule="auto"/>
        <w:ind w:firstLine="0"/>
        <w:rPr>
          <w:rFonts w:eastAsiaTheme="minorEastAsia"/>
          <w:shd w:val="clear" w:color="auto" w:fill="FFFFFF"/>
          <w:lang w:val="en-US" w:eastAsia="zh-CN"/>
        </w:rPr>
      </w:pPr>
      <w:r w:rsidRPr="004B5C5A">
        <w:rPr>
          <w:rFonts w:eastAsiaTheme="minorEastAsia"/>
          <w:shd w:val="clear" w:color="auto" w:fill="FFFFFF"/>
          <w:lang w:val="en-US" w:eastAsia="zh-CN"/>
        </w:rPr>
        <w:t xml:space="preserve">[1] </w:t>
      </w:r>
      <w:r w:rsidR="002D4F07" w:rsidRPr="002D4F07">
        <w:rPr>
          <w:rFonts w:eastAsiaTheme="minorEastAsia"/>
          <w:shd w:val="clear" w:color="auto" w:fill="FFFFFF"/>
          <w:lang w:val="en-US" w:eastAsia="zh-CN"/>
        </w:rPr>
        <w:t>Department of Oncology and Metabolism, The University of Sheffield, Sheffield S10 2RX, U.K.</w:t>
      </w:r>
    </w:p>
    <w:p w14:paraId="442949A6" w14:textId="77777777" w:rsidR="00AF603D" w:rsidRDefault="00944692" w:rsidP="009D13F5">
      <w:pPr>
        <w:suppressAutoHyphens/>
        <w:spacing w:line="360" w:lineRule="auto"/>
        <w:ind w:firstLine="0"/>
        <w:rPr>
          <w:rFonts w:eastAsiaTheme="minorEastAsia"/>
          <w:shd w:val="clear" w:color="auto" w:fill="FFFFFF"/>
          <w:lang w:val="en-US" w:eastAsia="zh-CN"/>
        </w:rPr>
      </w:pPr>
      <w:r>
        <w:rPr>
          <w:rFonts w:eastAsiaTheme="minorEastAsia"/>
          <w:shd w:val="clear" w:color="auto" w:fill="FFFFFF"/>
          <w:lang w:val="en-US" w:eastAsia="zh-CN"/>
        </w:rPr>
        <w:t>[2] T</w:t>
      </w:r>
      <w:r w:rsidRPr="00944692">
        <w:rPr>
          <w:rFonts w:eastAsiaTheme="minorEastAsia"/>
          <w:shd w:val="clear" w:color="auto" w:fill="FFFFFF"/>
          <w:lang w:val="en-US" w:eastAsia="zh-CN"/>
        </w:rPr>
        <w:t>he MRC-Arthritis Research UK Centre for Integrated research into Musculoskeletal Ageing (CIMA), The University of Sheffield, Sheffield S10 2RX, U.K.</w:t>
      </w:r>
    </w:p>
    <w:p w14:paraId="19881DE0" w14:textId="768B2866" w:rsidR="00D630E0" w:rsidRDefault="00A34AA4" w:rsidP="009D13F5">
      <w:pPr>
        <w:suppressAutoHyphens/>
        <w:spacing w:line="360" w:lineRule="auto"/>
        <w:ind w:firstLine="0"/>
        <w:rPr>
          <w:rFonts w:eastAsiaTheme="minorEastAsia"/>
          <w:shd w:val="clear" w:color="auto" w:fill="FFFFFF"/>
          <w:lang w:val="en-US" w:eastAsia="zh-CN"/>
        </w:rPr>
      </w:pPr>
      <w:r w:rsidRPr="004B5C5A">
        <w:rPr>
          <w:rFonts w:eastAsiaTheme="minorEastAsia"/>
          <w:shd w:val="clear" w:color="auto" w:fill="FFFFFF"/>
          <w:lang w:val="en-US" w:eastAsia="zh-CN"/>
        </w:rPr>
        <w:t>[</w:t>
      </w:r>
      <w:r w:rsidR="00AF603D">
        <w:rPr>
          <w:rFonts w:eastAsiaTheme="minorEastAsia"/>
          <w:shd w:val="clear" w:color="auto" w:fill="FFFFFF"/>
          <w:lang w:val="en-US" w:eastAsia="zh-CN"/>
        </w:rPr>
        <w:t>3</w:t>
      </w:r>
      <w:r w:rsidRPr="004B5C5A">
        <w:rPr>
          <w:rFonts w:eastAsiaTheme="minorEastAsia"/>
          <w:shd w:val="clear" w:color="auto" w:fill="FFFFFF"/>
          <w:lang w:val="en-US" w:eastAsia="zh-CN"/>
        </w:rPr>
        <w:t xml:space="preserve">] </w:t>
      </w:r>
      <w:r w:rsidR="00D630E0" w:rsidRPr="00D630E0">
        <w:rPr>
          <w:rFonts w:eastAsiaTheme="minorEastAsia"/>
          <w:shd w:val="clear" w:color="auto" w:fill="FFFFFF"/>
          <w:lang w:val="en-US" w:eastAsia="zh-CN"/>
        </w:rPr>
        <w:t>Centre for Computational Imaging and Simulation Technologies in Biomedicine (CISTIB), The University of Leeds, Leeds LS2 9JT, U.K.</w:t>
      </w:r>
    </w:p>
    <w:p w14:paraId="0A3D3B02" w14:textId="4844EBBB" w:rsidR="00A34AA4" w:rsidRPr="004B5C5A" w:rsidRDefault="00A34AA4" w:rsidP="009D13F5">
      <w:pPr>
        <w:suppressAutoHyphens/>
        <w:spacing w:line="360" w:lineRule="auto"/>
        <w:ind w:firstLine="0"/>
        <w:rPr>
          <w:rFonts w:eastAsiaTheme="minorEastAsia"/>
          <w:lang w:val="en-US" w:eastAsia="zh-CN"/>
        </w:rPr>
      </w:pPr>
      <w:r w:rsidRPr="004B5C5A">
        <w:rPr>
          <w:rFonts w:eastAsia="Times New Roman"/>
          <w:lang w:val="en-US" w:eastAsia="en-GB"/>
        </w:rPr>
        <w:t>[</w:t>
      </w:r>
      <w:r w:rsidR="00503722">
        <w:rPr>
          <w:rFonts w:eastAsia="Times New Roman"/>
          <w:lang w:val="en-US" w:eastAsia="en-GB"/>
        </w:rPr>
        <w:t>4</w:t>
      </w:r>
      <w:r w:rsidRPr="004B5C5A">
        <w:rPr>
          <w:rFonts w:eastAsia="Times New Roman"/>
          <w:lang w:val="en-US" w:eastAsia="en-GB"/>
        </w:rPr>
        <w:t xml:space="preserve">] </w:t>
      </w:r>
      <w:r w:rsidR="009D13F5">
        <w:rPr>
          <w:rFonts w:eastAsia="Times New Roman"/>
          <w:lang w:val="en-US" w:eastAsia="en-GB"/>
        </w:rPr>
        <w:t>T</w:t>
      </w:r>
      <w:r w:rsidR="00503722" w:rsidRPr="00503722">
        <w:rPr>
          <w:rFonts w:eastAsia="Times New Roman"/>
          <w:lang w:val="en-US" w:eastAsia="en-GB"/>
        </w:rPr>
        <w:t>he MRC Lifecourse Epidemiology</w:t>
      </w:r>
      <w:r w:rsidR="00133452">
        <w:rPr>
          <w:rFonts w:eastAsia="Times New Roman"/>
          <w:lang w:val="en-US" w:eastAsia="en-GB"/>
        </w:rPr>
        <w:t xml:space="preserve"> Centre</w:t>
      </w:r>
      <w:r w:rsidR="00503722" w:rsidRPr="00503722">
        <w:rPr>
          <w:rFonts w:eastAsia="Times New Roman"/>
          <w:lang w:val="en-US" w:eastAsia="en-GB"/>
        </w:rPr>
        <w:t>, University of Southampton, Southampton SO16 6YD, U.K.</w:t>
      </w:r>
    </w:p>
    <w:p w14:paraId="6A0D64C9" w14:textId="77C71D9F" w:rsidR="00A34AA4" w:rsidRPr="004B5C5A" w:rsidRDefault="009839F0" w:rsidP="00466772">
      <w:pPr>
        <w:suppressAutoHyphens/>
        <w:spacing w:line="360" w:lineRule="auto"/>
        <w:ind w:firstLine="0"/>
        <w:rPr>
          <w:rFonts w:eastAsiaTheme="minorEastAsia"/>
          <w:lang w:val="en-US" w:eastAsia="zh-CN"/>
        </w:rPr>
      </w:pPr>
      <w:r>
        <w:rPr>
          <w:rFonts w:eastAsiaTheme="minorEastAsia"/>
          <w:lang w:val="en-US" w:eastAsia="zh-CN"/>
        </w:rPr>
        <w:t xml:space="preserve">[5] </w:t>
      </w:r>
      <w:r w:rsidRPr="009839F0">
        <w:rPr>
          <w:rFonts w:eastAsiaTheme="minorEastAsia"/>
          <w:lang w:val="en-US" w:eastAsia="zh-CN"/>
        </w:rPr>
        <w:t>NIHR Southampton Biomedical Research Centre, University of Southampton and University Hospital, Southampton, UK</w:t>
      </w:r>
    </w:p>
    <w:p w14:paraId="1EE0618B" w14:textId="77777777" w:rsidR="00A34AA4" w:rsidRPr="004B5C5A" w:rsidRDefault="00A34AA4" w:rsidP="00A34AA4">
      <w:pPr>
        <w:suppressAutoHyphens/>
        <w:spacing w:line="360" w:lineRule="auto"/>
        <w:rPr>
          <w:rFonts w:eastAsiaTheme="minorEastAsia"/>
          <w:lang w:val="en-US" w:eastAsia="zh-CN"/>
        </w:rPr>
      </w:pPr>
    </w:p>
    <w:p w14:paraId="210AC1E7" w14:textId="43F8C980" w:rsidR="00A34AA4" w:rsidRPr="004B5C5A" w:rsidRDefault="00A030C4" w:rsidP="00B664CB">
      <w:pPr>
        <w:suppressAutoHyphens/>
        <w:ind w:firstLine="0"/>
        <w:rPr>
          <w:lang w:val="en-US"/>
        </w:rPr>
      </w:pPr>
      <w:r w:rsidRPr="00A030C4">
        <w:rPr>
          <w:lang w:val="en-US"/>
        </w:rPr>
        <w:t>J. Mark Wilkinson and Alejandro F. Frangi contributed equally to this work.</w:t>
      </w:r>
      <w:r>
        <w:rPr>
          <w:lang w:val="en-US"/>
        </w:rPr>
        <w:t xml:space="preserve"> </w:t>
      </w:r>
      <w:r w:rsidR="00180C47" w:rsidRPr="004B5C5A">
        <w:rPr>
          <w:lang w:val="en-US"/>
        </w:rPr>
        <w:t xml:space="preserve">Corresponding author: </w:t>
      </w:r>
      <w:r w:rsidR="00A34AA4" w:rsidRPr="004B5C5A">
        <w:rPr>
          <w:lang w:val="en-US"/>
        </w:rPr>
        <w:t xml:space="preserve">Prof J Mark Wilkinson, </w:t>
      </w:r>
      <w:r w:rsidR="00A34AA4" w:rsidRPr="004B5C5A">
        <w:rPr>
          <w:rFonts w:eastAsiaTheme="minorEastAsia"/>
          <w:shd w:val="clear" w:color="auto" w:fill="FFFFFF"/>
          <w:lang w:val="en-US" w:eastAsia="zh-CN"/>
        </w:rPr>
        <w:t xml:space="preserve">Department of </w:t>
      </w:r>
      <w:r w:rsidR="00A46AEB" w:rsidRPr="002D4F07">
        <w:rPr>
          <w:rFonts w:eastAsiaTheme="minorEastAsia"/>
          <w:shd w:val="clear" w:color="auto" w:fill="FFFFFF"/>
          <w:lang w:val="en-US" w:eastAsia="zh-CN"/>
        </w:rPr>
        <w:t>Oncology and Metabolism</w:t>
      </w:r>
      <w:r w:rsidR="00A34AA4" w:rsidRPr="004B5C5A">
        <w:rPr>
          <w:rFonts w:eastAsiaTheme="minorEastAsia"/>
          <w:shd w:val="clear" w:color="auto" w:fill="FFFFFF"/>
          <w:lang w:val="en-US" w:eastAsia="zh-CN"/>
        </w:rPr>
        <w:t>, University of Sheffield, The Medical School, Beech Hill Road, Sheffield, S10 2RX, United Kingdom</w:t>
      </w:r>
    </w:p>
    <w:p w14:paraId="34BD7B6F" w14:textId="77777777" w:rsidR="00A34AA4" w:rsidRPr="004B5C5A" w:rsidRDefault="00A34AA4" w:rsidP="00B664CB">
      <w:pPr>
        <w:suppressAutoHyphens/>
        <w:ind w:firstLine="0"/>
        <w:rPr>
          <w:i/>
          <w:iCs/>
          <w:lang w:val="en-US"/>
        </w:rPr>
      </w:pPr>
      <w:r w:rsidRPr="004B5C5A">
        <w:rPr>
          <w:lang w:val="en-US"/>
        </w:rPr>
        <w:t xml:space="preserve">Email: </w:t>
      </w:r>
      <w:hyperlink r:id="rId8" w:history="1">
        <w:r w:rsidRPr="004B5C5A">
          <w:rPr>
            <w:rStyle w:val="Hyperlink"/>
            <w:i/>
            <w:iCs/>
            <w:lang w:val="en-US"/>
          </w:rPr>
          <w:t>j.m.wilkinson@sheffield.ac.uk</w:t>
        </w:r>
      </w:hyperlink>
    </w:p>
    <w:p w14:paraId="643513DC" w14:textId="77777777" w:rsidR="00A34AA4" w:rsidRPr="004B5C5A" w:rsidRDefault="00A34AA4" w:rsidP="00B664CB">
      <w:pPr>
        <w:suppressAutoHyphens/>
        <w:ind w:firstLine="0"/>
        <w:rPr>
          <w:iCs/>
          <w:lang w:val="en-US"/>
        </w:rPr>
      </w:pPr>
      <w:r w:rsidRPr="004B5C5A">
        <w:rPr>
          <w:iCs/>
          <w:lang w:val="en-US"/>
        </w:rPr>
        <w:t>Telephone +44 114 271 4705</w:t>
      </w:r>
    </w:p>
    <w:p w14:paraId="6347C426" w14:textId="77777777" w:rsidR="00A34AA4" w:rsidRPr="004B5C5A" w:rsidRDefault="00A34AA4" w:rsidP="00B664CB">
      <w:pPr>
        <w:suppressAutoHyphens/>
        <w:ind w:firstLine="0"/>
        <w:rPr>
          <w:iCs/>
          <w:lang w:val="en-US"/>
        </w:rPr>
      </w:pPr>
      <w:r w:rsidRPr="004B5C5A">
        <w:rPr>
          <w:iCs/>
          <w:lang w:val="en-US"/>
        </w:rPr>
        <w:t>Fax +44 114 2618775</w:t>
      </w:r>
    </w:p>
    <w:p w14:paraId="7E187C7F" w14:textId="533CCEDA" w:rsidR="00A34AA4" w:rsidRDefault="00A34AA4">
      <w:pPr>
        <w:spacing w:line="240" w:lineRule="auto"/>
        <w:ind w:firstLine="0"/>
        <w:jc w:val="left"/>
      </w:pPr>
      <w:r>
        <w:br w:type="page"/>
      </w:r>
    </w:p>
    <w:p w14:paraId="4ADF67AC" w14:textId="5A4E1B23" w:rsidR="003F572D" w:rsidRPr="0001438A" w:rsidRDefault="003F572D" w:rsidP="003F572D">
      <w:pPr>
        <w:pStyle w:val="Heading1"/>
      </w:pPr>
      <w:r w:rsidRPr="0001438A">
        <w:lastRenderedPageBreak/>
        <w:t>Abstract</w:t>
      </w:r>
    </w:p>
    <w:p w14:paraId="44722978" w14:textId="3B7887D3" w:rsidR="002D789A" w:rsidRPr="0001438A" w:rsidRDefault="000E1BDC" w:rsidP="00A30348">
      <w:pPr>
        <w:ind w:firstLine="0"/>
      </w:pPr>
      <w:r w:rsidRPr="0001438A">
        <w:t>The risk of osteoporotic fracture is inversely related to bone mineral density (</w:t>
      </w:r>
      <w:r w:rsidR="002D789A" w:rsidRPr="0001438A">
        <w:t>BMD</w:t>
      </w:r>
      <w:r w:rsidRPr="0001438A">
        <w:t>),</w:t>
      </w:r>
      <w:r w:rsidR="002D789A" w:rsidRPr="0001438A">
        <w:t xml:space="preserve"> but how spatial BMD pattern</w:t>
      </w:r>
      <w:r w:rsidR="00DE31CA" w:rsidRPr="0001438A">
        <w:t xml:space="preserve"> </w:t>
      </w:r>
      <w:r w:rsidRPr="0001438A">
        <w:t>influences</w:t>
      </w:r>
      <w:r w:rsidR="00DE31CA" w:rsidRPr="0001438A">
        <w:t xml:space="preserve"> </w:t>
      </w:r>
      <w:r w:rsidR="002D789A" w:rsidRPr="0001438A">
        <w:t xml:space="preserve">fracture risk </w:t>
      </w:r>
      <w:r w:rsidR="00DE31CA" w:rsidRPr="0001438A">
        <w:t>remains incompletely understood</w:t>
      </w:r>
      <w:r w:rsidR="002D789A" w:rsidRPr="0001438A">
        <w:t xml:space="preserve">. </w:t>
      </w:r>
      <w:r w:rsidR="00CA1BE8">
        <w:t>This study</w:t>
      </w:r>
      <w:r w:rsidR="00AD7CDF" w:rsidRPr="0001438A">
        <w:t xml:space="preserve"> used a pixel-level spatio</w:t>
      </w:r>
      <w:r w:rsidR="00964C0E">
        <w:t>-temporal</w:t>
      </w:r>
      <w:r w:rsidR="00AD7CDF" w:rsidRPr="0001438A">
        <w:t xml:space="preserve"> atlas of proximal femoral BMD in </w:t>
      </w:r>
      <w:r w:rsidR="00205E2C" w:rsidRPr="0001438A">
        <w:t>13,338</w:t>
      </w:r>
      <w:r w:rsidR="00AD7CDF" w:rsidRPr="0001438A">
        <w:t xml:space="preserve"> </w:t>
      </w:r>
      <w:r w:rsidR="00B65FBC" w:rsidRPr="0001438A">
        <w:t>white European women</w:t>
      </w:r>
      <w:r w:rsidR="00AD7CDF" w:rsidRPr="0001438A">
        <w:t xml:space="preserve"> </w:t>
      </w:r>
      <w:r w:rsidR="00205E2C" w:rsidRPr="0001438A">
        <w:t xml:space="preserve">(age </w:t>
      </w:r>
      <w:r w:rsidR="00AA3F0C" w:rsidRPr="0001438A">
        <w:t>20</w:t>
      </w:r>
      <w:r w:rsidR="00205E2C" w:rsidRPr="0001438A">
        <w:t xml:space="preserve"> to </w:t>
      </w:r>
      <w:r w:rsidR="00AA3F0C" w:rsidRPr="0001438A">
        <w:t>97</w:t>
      </w:r>
      <w:r w:rsidR="00205E2C" w:rsidRPr="0001438A">
        <w:t xml:space="preserve"> years) </w:t>
      </w:r>
      <w:r w:rsidR="00AD7CDF" w:rsidRPr="0001438A">
        <w:t xml:space="preserve">to </w:t>
      </w:r>
      <w:r w:rsidR="008C0359">
        <w:t xml:space="preserve">quantitate </w:t>
      </w:r>
      <w:r w:rsidR="008C0359" w:rsidRPr="007066F4">
        <w:t>age-related</w:t>
      </w:r>
      <w:r w:rsidR="0047622E">
        <w:t xml:space="preserve"> </w:t>
      </w:r>
      <w:r w:rsidR="008C0359">
        <w:t>texture</w:t>
      </w:r>
      <w:r w:rsidR="008C0359" w:rsidRPr="007066F4">
        <w:t xml:space="preserve"> variation </w:t>
      </w:r>
      <w:r w:rsidR="0003644F">
        <w:t xml:space="preserve">in BMD maps </w:t>
      </w:r>
      <w:r w:rsidR="001944F1">
        <w:t xml:space="preserve">and generate a ‘reference’ map of </w:t>
      </w:r>
      <w:r w:rsidR="00AD7CDF" w:rsidRPr="0001438A">
        <w:t>bone age</w:t>
      </w:r>
      <w:r w:rsidR="001944F1">
        <w:t>ing</w:t>
      </w:r>
      <w:r w:rsidR="00B65FBC" w:rsidRPr="0001438A">
        <w:t>.</w:t>
      </w:r>
      <w:r w:rsidR="00CA1BE8">
        <w:t xml:space="preserve"> </w:t>
      </w:r>
      <w:r w:rsidR="00597402">
        <w:t xml:space="preserve">We introduce a </w:t>
      </w:r>
      <w:r w:rsidR="0073298F">
        <w:t>new index</w:t>
      </w:r>
      <w:r w:rsidR="00597402">
        <w:t>,</w:t>
      </w:r>
      <w:r w:rsidR="0073298F">
        <w:t xml:space="preserve"> </w:t>
      </w:r>
      <w:r w:rsidR="0073298F" w:rsidRPr="003F572D">
        <w:t xml:space="preserve">called </w:t>
      </w:r>
      <w:r w:rsidR="00C017E7" w:rsidRPr="00C017E7">
        <w:rPr>
          <w:i/>
          <w:iCs/>
        </w:rPr>
        <w:t>Densitometric B</w:t>
      </w:r>
      <w:r w:rsidR="0073298F" w:rsidRPr="00C017E7">
        <w:rPr>
          <w:i/>
          <w:iCs/>
        </w:rPr>
        <w:t xml:space="preserve">one </w:t>
      </w:r>
      <w:r w:rsidR="00C017E7" w:rsidRPr="00C017E7">
        <w:rPr>
          <w:i/>
          <w:iCs/>
        </w:rPr>
        <w:t>A</w:t>
      </w:r>
      <w:r w:rsidR="0073298F" w:rsidRPr="00C017E7">
        <w:rPr>
          <w:i/>
          <w:iCs/>
        </w:rPr>
        <w:t>ge</w:t>
      </w:r>
      <w:r w:rsidR="0073298F">
        <w:t xml:space="preserve"> </w:t>
      </w:r>
      <w:r w:rsidR="00C017E7">
        <w:t>(</w:t>
      </w:r>
      <w:r w:rsidR="008B7D4C">
        <w:t>DBA</w:t>
      </w:r>
      <w:r w:rsidR="00C017E7">
        <w:t>)</w:t>
      </w:r>
      <w:r w:rsidR="00F000C6">
        <w:t>,</w:t>
      </w:r>
      <w:r w:rsidR="00C017E7">
        <w:t xml:space="preserve"> </w:t>
      </w:r>
      <w:r w:rsidR="003247A5">
        <w:t xml:space="preserve">as the </w:t>
      </w:r>
      <w:r w:rsidR="003247A5" w:rsidRPr="0001438A">
        <w:t xml:space="preserve">age at which </w:t>
      </w:r>
      <w:r w:rsidR="00682CFD">
        <w:t>an individual</w:t>
      </w:r>
      <w:r w:rsidR="00F000C6">
        <w:t xml:space="preserve"> site-specific</w:t>
      </w:r>
      <w:r w:rsidR="003247A5" w:rsidRPr="0001438A">
        <w:t xml:space="preserve"> BMD map</w:t>
      </w:r>
      <w:r w:rsidR="00F000C6">
        <w:t xml:space="preserve"> (the proximal femur is studied here)</w:t>
      </w:r>
      <w:r w:rsidR="003247A5" w:rsidRPr="0001438A">
        <w:t xml:space="preserve"> best matches the </w:t>
      </w:r>
      <w:r w:rsidR="000D7B41">
        <w:t>median</w:t>
      </w:r>
      <w:r w:rsidR="000359B8">
        <w:t xml:space="preserve"> ageing </w:t>
      </w:r>
      <w:r w:rsidR="003247A5" w:rsidRPr="0001438A">
        <w:t>trajectory</w:t>
      </w:r>
      <w:r w:rsidR="000C310A">
        <w:t xml:space="preserve"> at that site</w:t>
      </w:r>
      <w:r w:rsidR="003247A5">
        <w:t xml:space="preserve"> in terms of the</w:t>
      </w:r>
      <w:r w:rsidR="000D7B41">
        <w:t xml:space="preserve"> root mean squared error (</w:t>
      </w:r>
      <w:r w:rsidR="003247A5">
        <w:t>RMSE</w:t>
      </w:r>
      <w:r w:rsidR="000D7B41">
        <w:t>).</w:t>
      </w:r>
      <w:r w:rsidR="0073298F">
        <w:t xml:space="preserve"> </w:t>
      </w:r>
      <w:r w:rsidR="00CA1BE8">
        <w:t xml:space="preserve">The ability of </w:t>
      </w:r>
      <w:r w:rsidR="008B7D4C">
        <w:t>DBA</w:t>
      </w:r>
      <w:r w:rsidR="00CA1BE8">
        <w:t xml:space="preserve"> to predict </w:t>
      </w:r>
      <w:r w:rsidR="001944F1">
        <w:t>incident</w:t>
      </w:r>
      <w:r w:rsidR="00CA1BE8">
        <w:t xml:space="preserve"> hip fracture and hip fracture pattern over five years following baseline BMD was compared against conventional region-based BMD analysis in a subset of 11,899 women</w:t>
      </w:r>
      <w:r w:rsidR="00007A26">
        <w:t xml:space="preserve"> (age 45 to 97 years)</w:t>
      </w:r>
      <w:r w:rsidR="00F90AB5">
        <w:t>,</w:t>
      </w:r>
      <w:r w:rsidR="00AB68CE">
        <w:t xml:space="preserve"> for which follow-up fracture records exist</w:t>
      </w:r>
      <w:r w:rsidR="000F72AB">
        <w:t>.</w:t>
      </w:r>
      <w:r w:rsidR="00051797">
        <w:t xml:space="preserve"> There were</w:t>
      </w:r>
      <w:r w:rsidR="00133452">
        <w:t xml:space="preserve"> 208 subsequent incident </w:t>
      </w:r>
      <w:r w:rsidR="006754D7">
        <w:t xml:space="preserve">hip </w:t>
      </w:r>
      <w:r w:rsidR="00133452">
        <w:t>fractures in the study populations (138 femoral necks, 52 trochanteric, 18 site</w:t>
      </w:r>
      <w:r w:rsidR="00AA788C">
        <w:t>s</w:t>
      </w:r>
      <w:r w:rsidR="00133452">
        <w:t xml:space="preserve"> unspecified)</w:t>
      </w:r>
      <w:r w:rsidR="00EC09A2">
        <w:t>.</w:t>
      </w:r>
      <w:r w:rsidR="00A30348">
        <w:t xml:space="preserve"> </w:t>
      </w:r>
      <w:r w:rsidR="006C1BBB">
        <w:t>DBA</w:t>
      </w:r>
      <w:r w:rsidR="002D789A" w:rsidRPr="0001438A">
        <w:t xml:space="preserve"> </w:t>
      </w:r>
      <w:r w:rsidR="00A701DF">
        <w:t xml:space="preserve">had </w:t>
      </w:r>
      <w:r w:rsidR="00044BEF">
        <w:t>modestly</w:t>
      </w:r>
      <w:r w:rsidR="005A43F2">
        <w:t xml:space="preserve"> </w:t>
      </w:r>
      <w:r w:rsidR="008F4FA1">
        <w:t>better</w:t>
      </w:r>
      <w:r w:rsidR="002D789A" w:rsidRPr="0001438A">
        <w:t xml:space="preserve"> p</w:t>
      </w:r>
      <w:r w:rsidR="0007747F">
        <w:t>erformance</w:t>
      </w:r>
      <w:r w:rsidR="002D789A" w:rsidRPr="0001438A">
        <w:t xml:space="preserve"> </w:t>
      </w:r>
      <w:r w:rsidR="001E49A4">
        <w:t xml:space="preserve">compared </w:t>
      </w:r>
      <w:r w:rsidR="002D789A" w:rsidRPr="0001438A">
        <w:t xml:space="preserve">to </w:t>
      </w:r>
      <w:r w:rsidR="0084659E">
        <w:t xml:space="preserve">the </w:t>
      </w:r>
      <w:r w:rsidR="00394F45">
        <w:t xml:space="preserve">conventional </w:t>
      </w:r>
      <w:r w:rsidR="008F4FA1">
        <w:t xml:space="preserve">femoral </w:t>
      </w:r>
      <w:r w:rsidR="00394F45">
        <w:t>neck</w:t>
      </w:r>
      <w:r w:rsidR="008F4FA1">
        <w:t xml:space="preserve"> (FN),</w:t>
      </w:r>
      <w:r w:rsidR="00394F45">
        <w:t xml:space="preserve"> </w:t>
      </w:r>
      <w:r w:rsidR="00E66BDA">
        <w:t>trochanteric</w:t>
      </w:r>
      <w:r w:rsidR="008F4FA1">
        <w:t xml:space="preserve"> (TR)</w:t>
      </w:r>
      <w:r w:rsidR="00E66BDA">
        <w:t>, and total hip</w:t>
      </w:r>
      <w:r w:rsidR="008F4FA1">
        <w:t xml:space="preserve"> (TOT)</w:t>
      </w:r>
      <w:r w:rsidR="00E66BDA">
        <w:t xml:space="preserve"> BMD in </w:t>
      </w:r>
      <w:r w:rsidR="002D789A" w:rsidRPr="0001438A">
        <w:t>identif</w:t>
      </w:r>
      <w:r w:rsidR="0084659E">
        <w:t>y</w:t>
      </w:r>
      <w:r w:rsidR="00E66BDA">
        <w:t>ing</w:t>
      </w:r>
      <w:r w:rsidR="002D789A" w:rsidRPr="0001438A">
        <w:t xml:space="preserve"> </w:t>
      </w:r>
      <w:r w:rsidR="00A2197D">
        <w:t>hip</w:t>
      </w:r>
      <w:r w:rsidR="002D789A" w:rsidRPr="0001438A">
        <w:t xml:space="preserve"> fractures measured as the </w:t>
      </w:r>
      <w:r w:rsidR="009C6A39" w:rsidRPr="0001438A">
        <w:t>A</w:t>
      </w:r>
      <w:r w:rsidR="002D789A" w:rsidRPr="0001438A">
        <w:t xml:space="preserve">rea </w:t>
      </w:r>
      <w:r w:rsidR="009C6A39" w:rsidRPr="0001438A">
        <w:t>U</w:t>
      </w:r>
      <w:r w:rsidR="002D789A" w:rsidRPr="0001438A">
        <w:t xml:space="preserve">nder the </w:t>
      </w:r>
      <w:r w:rsidR="009C6A39" w:rsidRPr="0001438A">
        <w:t>C</w:t>
      </w:r>
      <w:r w:rsidR="002D789A" w:rsidRPr="0001438A">
        <w:t>urve (AUC) using</w:t>
      </w:r>
      <w:r w:rsidR="00B422E8" w:rsidRPr="0001438A">
        <w:t xml:space="preserve"> </w:t>
      </w:r>
      <w:r w:rsidR="004A5F16" w:rsidRPr="0001438A">
        <w:t>Receiver Operating Characteristics (</w:t>
      </w:r>
      <w:r w:rsidR="004A5F16" w:rsidRPr="0001438A">
        <w:rPr>
          <w:lang w:val="en-US" w:bidi="fa-IR"/>
        </w:rPr>
        <w:t>ROC)</w:t>
      </w:r>
      <w:r w:rsidR="002D789A" w:rsidRPr="0001438A">
        <w:t xml:space="preserve"> analysis</w:t>
      </w:r>
      <w:r w:rsidR="00EE606F">
        <w:t xml:space="preserve"> by 2% (95%CI -0.5% to 3.5%), 3% (95%CI 1.0% to 4.0%)</w:t>
      </w:r>
      <w:r w:rsidR="00B16122">
        <w:t>, and 1% (95%CI 0.4% to 1.6%)</w:t>
      </w:r>
      <w:r w:rsidR="00AD73DD">
        <w:t>, respectively</w:t>
      </w:r>
      <w:r w:rsidR="007B37EC">
        <w:t xml:space="preserve">. </w:t>
      </w:r>
      <w:r w:rsidR="008F4FA1">
        <w:t>C</w:t>
      </w:r>
      <w:r w:rsidR="0042050D">
        <w:t>ompar</w:t>
      </w:r>
      <w:r w:rsidR="00CA1BE8">
        <w:t xml:space="preserve">ed to FN-BMD T-score, </w:t>
      </w:r>
      <w:r w:rsidR="006C1BBB">
        <w:t>DBA</w:t>
      </w:r>
      <w:r w:rsidR="00CA1BE8">
        <w:t xml:space="preserve"> improved the ROC-AUC for predicting</w:t>
      </w:r>
      <w:r w:rsidR="00080AA8">
        <w:t xml:space="preserve"> trochanteric</w:t>
      </w:r>
      <w:r w:rsidR="00DE4A75">
        <w:t xml:space="preserve"> </w:t>
      </w:r>
      <w:r w:rsidR="00080AA8">
        <w:t xml:space="preserve">fractures by </w:t>
      </w:r>
      <w:r w:rsidR="00D30688">
        <w:t>~5</w:t>
      </w:r>
      <w:r w:rsidR="00080AA8">
        <w:t xml:space="preserve">% </w:t>
      </w:r>
      <w:r w:rsidR="007B37EC">
        <w:t>(95%CI 1.1% to 9.8%)</w:t>
      </w:r>
      <w:r w:rsidR="008F4FA1">
        <w:t xml:space="preserve"> with similar performance in identifying neck fractures</w:t>
      </w:r>
      <w:r w:rsidR="0042050D">
        <w:t>. Compar</w:t>
      </w:r>
      <w:r w:rsidR="00E1475D">
        <w:t>ed</w:t>
      </w:r>
      <w:r w:rsidR="0042050D">
        <w:t xml:space="preserve"> to </w:t>
      </w:r>
      <w:r w:rsidR="008F4FA1">
        <w:t>TR-</w:t>
      </w:r>
      <w:r w:rsidR="0042050D">
        <w:t>BMD</w:t>
      </w:r>
      <w:r w:rsidR="000556D0">
        <w:t xml:space="preserve"> T-score</w:t>
      </w:r>
      <w:r w:rsidR="0042050D">
        <w:t xml:space="preserve">, </w:t>
      </w:r>
      <w:r w:rsidR="006C1BBB">
        <w:t>DBA</w:t>
      </w:r>
      <w:r w:rsidR="0042050D">
        <w:t xml:space="preserve"> improved the ROC-AUC for the prediction of neck fractures</w:t>
      </w:r>
      <w:r w:rsidR="008F4FA1">
        <w:t xml:space="preserve"> </w:t>
      </w:r>
      <w:r w:rsidR="0042050D">
        <w:t>by ~</w:t>
      </w:r>
      <w:r w:rsidR="002C4738">
        <w:t>3</w:t>
      </w:r>
      <w:r w:rsidR="00DC082F">
        <w:t>%</w:t>
      </w:r>
      <w:r w:rsidR="002C4738">
        <w:t xml:space="preserve"> </w:t>
      </w:r>
      <w:r w:rsidR="00E93DD6">
        <w:t xml:space="preserve">(95%CI 1.1% to 4.9%) </w:t>
      </w:r>
      <w:r w:rsidR="00FC0564">
        <w:t>with similar performance in identifying trochanteric fractures.</w:t>
      </w:r>
      <w:r w:rsidR="002D789A" w:rsidRPr="0001438A">
        <w:t xml:space="preserve"> Our findings suggest that </w:t>
      </w:r>
      <w:r w:rsidR="005D08B7">
        <w:t>DBA</w:t>
      </w:r>
      <w:r w:rsidR="00AD7CDF" w:rsidRPr="0001438A">
        <w:t xml:space="preserve"> may provide a </w:t>
      </w:r>
      <w:r w:rsidR="00CE1252">
        <w:t>spatially sensitive</w:t>
      </w:r>
      <w:r w:rsidR="00AD7CDF" w:rsidRPr="0001438A">
        <w:t xml:space="preserve"> measure of proximal femoral </w:t>
      </w:r>
      <w:r w:rsidR="00636EC5">
        <w:t>fragility</w:t>
      </w:r>
      <w:r w:rsidR="00AD7CDF" w:rsidRPr="0001438A">
        <w:t xml:space="preserve"> that is not captured by</w:t>
      </w:r>
      <w:r w:rsidR="00080AA8">
        <w:t xml:space="preserve"> neck</w:t>
      </w:r>
      <w:r w:rsidR="00AD7CDF" w:rsidRPr="0001438A">
        <w:t xml:space="preserve"> BMD</w:t>
      </w:r>
      <w:r w:rsidR="00F13310">
        <w:t xml:space="preserve"> or trochanteric BMD alone</w:t>
      </w:r>
      <w:r w:rsidR="00AD7CDF" w:rsidRPr="0001438A">
        <w:t>.</w:t>
      </w:r>
    </w:p>
    <w:p w14:paraId="1E3EBB2E" w14:textId="54446171" w:rsidR="00851BBF" w:rsidRPr="0001438A" w:rsidRDefault="003F572D" w:rsidP="002649B3">
      <w:pPr>
        <w:ind w:firstLine="0"/>
      </w:pPr>
      <w:r w:rsidRPr="0001438A">
        <w:rPr>
          <w:b/>
          <w:bCs/>
        </w:rPr>
        <w:t>Key Words:</w:t>
      </w:r>
      <w:r w:rsidR="00695845" w:rsidRPr="0001438A">
        <w:rPr>
          <w:b/>
          <w:bCs/>
        </w:rPr>
        <w:t xml:space="preserve"> </w:t>
      </w:r>
      <w:r w:rsidR="00695845" w:rsidRPr="0001438A">
        <w:t xml:space="preserve">Ageing, DXA, </w:t>
      </w:r>
      <w:r w:rsidR="009516CE" w:rsidRPr="0001438A">
        <w:t>BMD,</w:t>
      </w:r>
      <w:r w:rsidR="008F3524">
        <w:t xml:space="preserve"> Hip</w:t>
      </w:r>
      <w:r w:rsidR="00FE3568" w:rsidRPr="0001438A">
        <w:t xml:space="preserve"> Fractures</w:t>
      </w:r>
      <w:r w:rsidR="008F3524">
        <w:t xml:space="preserve">, </w:t>
      </w:r>
      <w:r w:rsidR="008F3524" w:rsidRPr="0001438A">
        <w:t>Osteoporosis</w:t>
      </w:r>
      <w:r w:rsidR="00851BBF" w:rsidRPr="0001438A">
        <w:br w:type="page"/>
      </w:r>
    </w:p>
    <w:p w14:paraId="0BA1D5EC" w14:textId="12C7F9B1" w:rsidR="00695845" w:rsidRPr="0001438A" w:rsidRDefault="00695845" w:rsidP="00695845">
      <w:pPr>
        <w:pStyle w:val="Heading1"/>
      </w:pPr>
      <w:r w:rsidRPr="0001438A">
        <w:lastRenderedPageBreak/>
        <w:t>Introduction</w:t>
      </w:r>
    </w:p>
    <w:p w14:paraId="4A5E86C2" w14:textId="05D6C51F" w:rsidR="00D4551B" w:rsidRPr="0001438A" w:rsidRDefault="00AF0A70" w:rsidP="001944F1">
      <w:pPr>
        <w:ind w:firstLine="0"/>
      </w:pPr>
      <w:r w:rsidRPr="0001438A">
        <w:t>The assessment of bone quality by measur</w:t>
      </w:r>
      <w:r w:rsidR="00CA0DF1">
        <w:t>ing</w:t>
      </w:r>
      <w:r w:rsidRPr="0001438A">
        <w:t xml:space="preserve"> bone mineral density (BMD) </w:t>
      </w:r>
      <w:r w:rsidR="00A123F8" w:rsidRPr="0001438A">
        <w:t>using</w:t>
      </w:r>
      <w:r w:rsidRPr="0001438A">
        <w:t xml:space="preserve"> </w:t>
      </w:r>
      <w:r w:rsidR="00CE1252">
        <w:t>dual-energy</w:t>
      </w:r>
      <w:r w:rsidRPr="0001438A">
        <w:t xml:space="preserve"> x-ray absorptiometry</w:t>
      </w:r>
      <w:r w:rsidR="004036A6">
        <w:t xml:space="preserve"> </w:t>
      </w:r>
      <w:r w:rsidR="00F855C0" w:rsidRPr="0001438A">
        <w:t>(DXA)</w:t>
      </w:r>
      <w:r w:rsidRPr="0001438A">
        <w:t xml:space="preserve"> is a cornerstone of osteoporosis management.</w:t>
      </w:r>
      <w:r w:rsidR="00001405" w:rsidRPr="0001438A">
        <w:fldChar w:fldCharType="begin" w:fldLock="1"/>
      </w:r>
      <w:r w:rsidR="00E33E12" w:rsidRPr="0001438A">
        <w:instrText>ADDIN CSL_CITATION {"citationItems":[{"id":"ITEM-1","itemData":{"DOI":"https://doi.org/10.1002/jbmr.5650090802","author":[{"dropping-particle":"","family":"Kanis","given":"John A","non-dropping-particle":"","parse-names":false,"suffix":""},{"dropping-particle":"","family":"Melton III","given":"L Joseph","non-dropping-particle":"","parse-names":false,"suffix":""},{"dropping-particle":"","family":"Christiansen","given":"Claus","non-dropping-particle":"","parse-names":false,"suffix":""},{"dropping-particle":"","family":"Johnston","given":"Conrad C","non-dropping-particle":"","parse-names":false,"suffix":""},{"dropping-particle":"","family":"Khaltaev","given":"Nikolai","non-dropping-particle":"","parse-names":false,"suffix":""}],"container-title":"Journal of Bone and Mineral Research","id":"ITEM-1","issue":"8","issued":{"date-parts":[["1994"]]},"page":"1137-1141","title":"The diagnosis of osteoporosis","type":"article-journal","volume":"9"},"uris":["http://www.mendeley.com/documents/?uuid=e84acdfd-e295-4ef9-a1ea-13943d92a54f"]},{"id":"ITEM-2","itemData":{"DOI":"10.1016/j.bone.2007.11.001","ISBN":"8756-3282 (Print)\\r1873-2763 (Linking)","ISSN":"87563282","PMID":"18180210","abstract":"In 1994, the World Health Organization published diagnostic criteria for osteoporosis. Since then, many new technologies have been developed for the measurement of bone mineral at multiple skeletal sites. The information provided by each assessment will describe the clinical characteristics, fracture risk and epidemiology of osteoporosis differently. Against this background, there is a need for a reference standard for describing osteoporosis. In the absence of a true gold standard, this paper proposes that the reference standard should be based on bone mineral density (BMD) measurement made at the femoral neck with dual-energy X-ray absorptiometry (DXA). This site has been the most extensively validated, and provides a gradient of fracture risk as high as or higher than that of many other techniques. The recommended reference range is the NHANES III reference database for femoral neck measurements in women aged 20-29 years. A similar cut-off value for femoral neck BMD that is used to define osteoporosis in women can be used for the diagnosis of osteoporosis in men - namely, a value for BMD 2.5 SD or more below the average for young adult women. The adoption of DXA as a reference standard provides a platform on which the performance characteristics of less well established and new methodologies can be compared. © 2007 Elsevier Inc. All rights reserved.","author":[{"dropping-particle":"","family":"Kanis","given":"John a.","non-dropping-particle":"","parse-names":false,"suffix":""},{"dropping-particle":"V.","family":"McCloskey","given":"Eugene","non-dropping-particle":"","parse-names":false,"suffix":""},{"dropping-particle":"","family":"Johansson","given":"Helena","non-dropping-particle":"","parse-names":false,"suffix":""},{"dropping-particle":"","family":"Oden","given":"Anders","non-dropping-particle":"","parse-names":false,"suffix":""},{"dropping-particle":"","family":"Melton","given":"L. Joseph","non-dropping-particle":"","parse-names":false,"suffix":""},{"dropping-particle":"","family":"Khaltaev","given":"Nikolai","non-dropping-particle":"","parse-names":false,"suffix":""}],"container-title":"Bone","id":"ITEM-2","issue":"3","issued":{"date-parts":[["2008"]]},"page":"467-475","title":"A reference standard for the description of osteoporosis","type":"article-journal","volume":"42"},"uris":["http://www.mendeley.com/documents/?uuid=52f9af2f-831a-4622-82a2-f597f8a6cc9c"]}],"mendeley":{"formattedCitation":"&lt;sup&gt;(1,2)&lt;/sup&gt;","plainTextFormattedCitation":"(1,2)","previouslyFormattedCitation":"&lt;sup&gt;(1,2)&lt;/sup&gt;"},"properties":{"noteIndex":0},"schema":"https://github.com/citation-style-language/schema/raw/master/csl-citation.json"}</w:instrText>
      </w:r>
      <w:r w:rsidR="00001405" w:rsidRPr="0001438A">
        <w:fldChar w:fldCharType="separate"/>
      </w:r>
      <w:r w:rsidR="00001405" w:rsidRPr="0001438A">
        <w:rPr>
          <w:noProof/>
          <w:vertAlign w:val="superscript"/>
        </w:rPr>
        <w:t>(1,2)</w:t>
      </w:r>
      <w:r w:rsidR="00001405" w:rsidRPr="0001438A">
        <w:fldChar w:fldCharType="end"/>
      </w:r>
      <w:r w:rsidRPr="0001438A">
        <w:t xml:space="preserve"> The inverse relationship between areal BMD </w:t>
      </w:r>
      <w:r w:rsidR="00AE50B6" w:rsidRPr="0001438A">
        <w:t>(</w:t>
      </w:r>
      <w:proofErr w:type="spellStart"/>
      <w:r w:rsidR="00AE50B6" w:rsidRPr="0001438A">
        <w:t>aBMD</w:t>
      </w:r>
      <w:proofErr w:type="spellEnd"/>
      <w:r w:rsidR="00AE50B6" w:rsidRPr="0001438A">
        <w:t xml:space="preserve">) </w:t>
      </w:r>
      <w:r w:rsidRPr="0001438A">
        <w:t>and incident fracture</w:t>
      </w:r>
      <w:r w:rsidR="00A123F8" w:rsidRPr="0001438A">
        <w:t>,</w:t>
      </w:r>
      <w:r w:rsidR="0007165C" w:rsidRPr="0001438A">
        <w:fldChar w:fldCharType="begin" w:fldLock="1"/>
      </w:r>
      <w:r w:rsidR="0007165C" w:rsidRPr="0001438A">
        <w:instrText>ADDIN CSL_CITATION {"citationItems":[{"id":"ITEM-1","itemData":{"DOI":"10.1136/bmj.312.7041.1254","ISBN":"0959-8138 (Print)\\r0959-535X (Linking)","ISSN":"0959-8138","PMID":"8634613","abstract":"OBJECTIVE: To determine the ability of measurements of bone density in women to predict later fractures. DESIGN:  Meta-analysis of prospective cohort studies published between 1985 and end of 1994 with a baseline measurement of bone density in women and subsequent follow up for fractures. For comparative purposes, we also reviewed case control studies of hip fractures published between 1990 and 1994. SUBJECTS: Eleven separate study populations with about 90,000 person years of observation time and over 2000 fractures. MAIN OUTCOME MEASURES: Relative risk of fracture for a decrease in bone mineral density of one standard deviation below age adjusted mean. RESULTS: All measuring sites had similar predictive abilities (relative risk 1.5 (95% confidence interval 1.4 to 1.6)) for decrease in bone mineral density except for measurement at spine for predicting vertebral fractures (relative risk 2.3 (1.9 to 2.8)) and measurement at hip for hip fractures (2.6 (2.0 to 3.5)). These results are in accordance with results of case-control studies. Predictive ability of decrease in bone mass was roughly similar to (or, for hip or spine measurements, better than) that of a 1 SD increase in blood pressure for stroke and better than a 1 SD increase in serum cholesterol concentration for cardiovascular disease. CONCLUSIONS: Measurements of bone mineral density can predict fracture risk but cannot identify individuals who will have a fracture. We do not recommend a programme of screening menopausal women for osteoporosis by measuring bone density.","author":[{"dropping-particle":"","family":"Marshall","given":"D","non-dropping-particle":"","parse-names":false,"suffix":""},{"dropping-particle":"","family":"Johnell","given":"O","non-dropping-particle":"","parse-names":false,"suffix":""},{"dropping-particle":"","family":"Wedel","given":"H","non-dropping-particle":"","parse-names":false,"suffix":""}],"container-title":"BMJ (Clinical research ed.)","id":"ITEM-1","issue":"7041","issued":{"date-parts":[["1996"]]},"page":"1254-1259","title":"Meta-analysis of how well measures of bone mineral density predict occurrence of osteoporotic fractures.","type":"article-journal","volume":"312"},"uris":["http://www.mendeley.com/documents/?uuid=5fc74615-df5d-4ccb-babb-e9b9bbd34024"]}],"mendeley":{"formattedCitation":"&lt;sup&gt;(3)&lt;/sup&gt;","plainTextFormattedCitation":"(3)","previouslyFormattedCitation":"&lt;sup&gt;(3)&lt;/sup&gt;"},"properties":{"noteIndex":0},"schema":"https://github.com/citation-style-language/schema/raw/master/csl-citation.json"}</w:instrText>
      </w:r>
      <w:r w:rsidR="0007165C" w:rsidRPr="0001438A">
        <w:fldChar w:fldCharType="separate"/>
      </w:r>
      <w:r w:rsidR="0007165C" w:rsidRPr="0001438A">
        <w:rPr>
          <w:noProof/>
          <w:vertAlign w:val="superscript"/>
        </w:rPr>
        <w:t>(3)</w:t>
      </w:r>
      <w:r w:rsidR="0007165C" w:rsidRPr="0001438A">
        <w:fldChar w:fldCharType="end"/>
      </w:r>
      <w:r w:rsidR="00A123F8" w:rsidRPr="0001438A">
        <w:t xml:space="preserve"> </w:t>
      </w:r>
      <w:r w:rsidR="004A2056">
        <w:t xml:space="preserve">combined with </w:t>
      </w:r>
      <w:r w:rsidR="00F60F53" w:rsidRPr="0001438A">
        <w:t>clinical risk factors,</w:t>
      </w:r>
      <w:r w:rsidR="0007165C" w:rsidRPr="0001438A">
        <w:fldChar w:fldCharType="begin" w:fldLock="1"/>
      </w:r>
      <w:r w:rsidR="00CB5B72" w:rsidRPr="0001438A">
        <w:instrText>ADDIN CSL_CITATION {"citationItems":[{"id":"ITEM-1","itemData":{"DOI":"https://doi.org/10.1016/S0140-6736(02)08761-5","ISSN":"0140-6736","abstract":"Summary The diagnosis of osteoporosis centres on the assessment of bone mineral density (BMD). Osteoporosis is defined as a BMD 2·5 SD or more below the average value for premenopausal women (T score &lt;−2·5 SD). Severe osteoporosis denotes osteoporosis in the presence of one or more fragility fractures. The same absolute value for BMD used in women can be used in men. The recommended site for diagnosis is the proximal femur with dual energy X-ray absorptiometry (DXA). Other sites and validated techniques, however, can be used for fracture prediction. Although hip fracture prediction with BMD alone is at least as good as blood pressure readings to predict stroke, the predictive value of BMD can be enhanced by use of other factors, such as biochemical indices of bone resorption and clinical risk factors. Clinical risk factors that contribute to fracture risk independently of BMD include age, previous fragility fracture, premature menopause, a family history of hip fracture, and the use of oral corticosteroids. In the absence of validated population screening strategies, a case finding strategy is recommended based on the finding of risk factors. Treatment should be considered in individuals subsequently shown to have a high fracture risk. Because of the many techniques available for fracture risk assessment, the 10-year probability of fracture is the desirable measurement to determine intervention thresholds. Many treatments can be provided cost-effectively to men and women if hip fracture probability over 10 years ranges from 2% to 10% dependent on age.","author":[{"dropping-particle":"","family":"Kanis","given":"John A","non-dropping-particle":"","parse-names":false,"suffix":""}],"container-title":"The Lancet","id":"ITEM-1","issue":"9321","issued":{"date-parts":[["2002"]]},"page":"1929-1936","title":"Diagnosis of osteoporosis and assessment of fracture risk","type":"article-journal","volume":"359"},"uris":["http://www.mendeley.com/documents/?uuid=d594a7ed-49a4-4ddc-ac2a-fa0033c0ea66"]}],"mendeley":{"formattedCitation":"&lt;sup&gt;(4)&lt;/sup&gt;","plainTextFormattedCitation":"(4)","previouslyFormattedCitation":"&lt;sup&gt;(4)&lt;/sup&gt;"},"properties":{"noteIndex":0},"schema":"https://github.com/citation-style-language/schema/raw/master/csl-citation.json"}</w:instrText>
      </w:r>
      <w:r w:rsidR="0007165C" w:rsidRPr="0001438A">
        <w:fldChar w:fldCharType="separate"/>
      </w:r>
      <w:r w:rsidR="0007165C" w:rsidRPr="0001438A">
        <w:rPr>
          <w:noProof/>
          <w:vertAlign w:val="superscript"/>
        </w:rPr>
        <w:t>(4)</w:t>
      </w:r>
      <w:r w:rsidR="0007165C" w:rsidRPr="0001438A">
        <w:fldChar w:fldCharType="end"/>
      </w:r>
      <w:r w:rsidRPr="0001438A">
        <w:t xml:space="preserve"> </w:t>
      </w:r>
      <w:r w:rsidR="00F60F53" w:rsidRPr="0001438A">
        <w:t xml:space="preserve">is used </w:t>
      </w:r>
      <w:r w:rsidR="00C32818" w:rsidRPr="0001438A">
        <w:t>to guide</w:t>
      </w:r>
      <w:r w:rsidRPr="0001438A">
        <w:t xml:space="preserve"> </w:t>
      </w:r>
      <w:r w:rsidR="00C32818" w:rsidRPr="0001438A">
        <w:t>clinical management</w:t>
      </w:r>
      <w:r w:rsidRPr="0001438A">
        <w:t>.</w:t>
      </w:r>
      <w:r w:rsidR="0007165C" w:rsidRPr="0001438A">
        <w:fldChar w:fldCharType="begin" w:fldLock="1"/>
      </w:r>
      <w:r w:rsidR="004F4D13" w:rsidRPr="0001438A">
        <w:instrText>ADDIN CSL_CITATION {"citationItems":[{"id":"ITEM-1","itemData":{"DOI":"10.1007/s00198-014-2794-2","ISSN":"1433-2965","abstract":"The Clinician’s Guide to Prevention and Treatment of Osteoporosis was developed by an expert committee of the National Osteoporosis Foundation (NOF) in collaboration with a multispecialty council of medical experts in the field of bone health convened by NOF. Readers are urged to consult current prescribing information on any drug, device, or procedure discussed in this publication.","author":[{"dropping-particle":"","family":"Cosman","given":"F","non-dropping-particle":"","parse-names":false,"suffix":""},{"dropping-particle":"","family":"Beur","given":"S J","non-dropping-particle":"de","parse-names":false,"suffix":""},{"dropping-particle":"","family":"LeBoff","given":"M S","non-dropping-particle":"","parse-names":false,"suffix":""},{"dropping-particle":"","family":"Lewiecki","given":"E M","non-dropping-particle":"","parse-names":false,"suffix":""},{"dropping-particle":"","family":"Tanner","given":"B","non-dropping-particle":"","parse-names":false,"suffix":""},{"dropping-particle":"","family":"Randall","given":"S","non-dropping-particle":"","parse-names":false,"suffix":""},{"dropping-particle":"","family":"Lindsay","given":"R","non-dropping-particle":"","parse-names":false,"suffix":""}],"container-title":"Osteoporosis International","id":"ITEM-1","issue":"10","issued":{"date-parts":[["2014"]]},"page":"2359-2381","title":"Clinician’s Guide to Prevention and Treatment of Osteoporosis","type":"article-journal","volume":"25"},"uris":["http://www.mendeley.com/documents/?uuid=3ba4d77d-49e6-4bcd-9e05-5889e32735f6"]},{"id":"ITEM-2","itemData":{"DOI":"10.1097/oi9.0000000000000069","id":"ITEM-2","issued":{"date-parts":[["2017"]]},"publisher":"National Institute for Health and Care Excellence (UK)","publisher-place":"London","title":"Hip fracture: management (NICE Guideline CG124)","type":"book"},"uris":["http://www.mendeley.com/documents/?uuid=b5aa53fe-b80a-4dda-a9c2-30be45cae144"]},{"id":"ITEM-3","itemData":{"author":[{"dropping-particle":"","family":"Compston","given":"J.","non-dropping-particle":"","parse-names":false,"suffix":""},{"dropping-particle":"","family":"Cooper","given":"A.","non-dropping-particle":"","parse-names":false,"suffix":""},{"dropping-particle":"","family":"Cooper","given":"C.","non-dropping-particle":"","parse-names":false,"suffix":""},{"dropping-particle":"","family":"Gittoes","given":"N.","non-dropping-particle":"","parse-names":false,"suffix":""},{"dropping-particle":"","family":"Gregson","given":"C.","non-dropping-particle":"","parse-names":false,"suffix":""},{"dropping-particle":"","family":"Harvey","given":"N.","non-dropping-particle":"","parse-names":false,"suffix":""},{"dropping-particle":"","family":"Hope","given":"S.","non-dropping-particle":"","parse-names":false,"suffix":""},{"dropping-particle":"","family":"Kanis","given":"J. A.","non-dropping-particle":"","parse-names":false,"suffix":""},{"dropping-particle":"V.","family":"McCloskey","given":"E.","non-dropping-particle":"","parse-names":false,"suffix":""},{"dropping-particle":"","family":"Poole","given":"K.E. S.","non-dropping-particle":"","parse-names":false,"suffix":""},{"dropping-particle":"","family":"Reid","given":"D. M.","non-dropping-particle":"","parse-names":false,"suffix":""},{"dropping-particle":"","family":"Selby","given":"P.","non-dropping-particle":"","parse-names":false,"suffix":""},{"dropping-particle":"","family":"Thompson","given":"F.","non-dropping-particle":"","parse-names":false,"suffix":""},{"dropping-particle":"","family":"Thurston","given":"A.","non-dropping-particle":"","parse-names":false,"suffix":""},{"dropping-particle":"","family":"Vine","given":"N.","non-dropping-particle":"","parse-names":false,"suffix":""},{"dropping-particle":"","family":"The National Osteoporosis Guidline Group","given":"(NOGG)","non-dropping-particle":"","parse-names":false,"suffix":""}],"container-title":"Archives of osteoporosis","id":"ITEM-3","issue":"1","issued":{"date-parts":[["2017"]]},"page":"43","publisher":"Springer","title":"UK clinical guideline for the prevention and treatment of osteoporosis","type":"article-journal","volume":"12"},"uris":["http://www.mendeley.com/documents/?uuid=630b2818-a382-4a37-af15-83ebd0f92272"]},{"id":"ITEM-4","itemData":{"PMID":"31869026","id":"ITEM-4","issue":"August","issued":{"date-parts":[["2019"]]},"number-of-pages":"1-9","publisher":"National Institute for Health and Care Excellence (UK)","publisher-place":"London","title":"2019 surveillance of osteoporosis: assessing the risk of fragility fracture (NICE guideline CG146)","type":"book"},"uris":["http://www.mendeley.com/documents/?uuid=c1e1e660-fa26-4f35-919c-c1aab5e14d32"]}],"mendeley":{"formattedCitation":"&lt;sup&gt;(5–8)&lt;/sup&gt;","plainTextFormattedCitation":"(5–8)","previouslyFormattedCitation":"&lt;sup&gt;(5–8)&lt;/sup&gt;"},"properties":{"noteIndex":0},"schema":"https://github.com/citation-style-language/schema/raw/master/csl-citation.json"}</w:instrText>
      </w:r>
      <w:r w:rsidR="0007165C" w:rsidRPr="0001438A">
        <w:fldChar w:fldCharType="separate"/>
      </w:r>
      <w:r w:rsidR="00FC372B" w:rsidRPr="0001438A">
        <w:rPr>
          <w:noProof/>
          <w:vertAlign w:val="superscript"/>
        </w:rPr>
        <w:t>(5–8)</w:t>
      </w:r>
      <w:r w:rsidR="0007165C" w:rsidRPr="0001438A">
        <w:fldChar w:fldCharType="end"/>
      </w:r>
      <w:r w:rsidR="00F60F53" w:rsidRPr="0001438A">
        <w:t xml:space="preserve"> </w:t>
      </w:r>
      <w:r w:rsidR="00D4551B" w:rsidRPr="0001438A">
        <w:t>Data from several studies have shown that site-specific measurement of BMD provides the best prediction of fracture risk</w:t>
      </w:r>
      <w:r w:rsidR="004F0EF2">
        <w:t xml:space="preserve"> </w:t>
      </w:r>
      <w:r w:rsidR="00EF53E0">
        <w:t>at that site</w:t>
      </w:r>
      <w:r w:rsidR="00D4551B" w:rsidRPr="0001438A">
        <w:t>.</w:t>
      </w:r>
      <w:r w:rsidR="00F10B6F" w:rsidRPr="0001438A">
        <w:fldChar w:fldCharType="begin" w:fldLock="1"/>
      </w:r>
      <w:r w:rsidR="00F10B6F" w:rsidRPr="0001438A">
        <w:instrText>ADDIN CSL_CITATION {"citationItems":[{"id":"ITEM-1","itemData":{"DOI":"https://doi.org/10.1002/jbmr.5650081010","abstract":"Abstract Bone mineral density (BMD) was measured at the lumbar spine and cervical and intertrochanteric regions of the proximal femur by dual-photon absorptiometry and bone mineral content was assessed at the distal and midradius by single-photon absorptiometry in an age-stratified random sample of 304 Rochester, Minnesota women aged 30–94 years. Over follow-up extending to 10 years (median 8.3 years), 93 women experienced 163 new fractures. After adjusting for age, these bone mineral measurements predicted the likelihood of any incident fracture due to moderate trauma, with relative hazards varying from 1.4 to 1.6 per SD decrease in baseline bone mineral. A 1 SD decrease in lumbar spine BMD increased the risk of a new vertebral fracture comparably to a 17 year increase in age; a 1 SD decrease in femoral BMD was comparable to a 13–14 year increase in age on the risk of a hip fracture. We conclude that bone mineral measurements made at a variety of skeletal sites can predict the occurrence for at least 8–10 years of moderate trauma fractures of the sort that might be related to osteoporosis.","author":[{"dropping-particle":"","family":"Melton III","given":"L Joseph","non-dropping-particle":"","parse-names":false,"suffix":""},{"dropping-particle":"","family":"Atkinson","given":"Elizabeth J","non-dropping-particle":"","parse-names":false,"suffix":""},{"dropping-particle":"","family":"O'Fallon","given":"W Michael","non-dropping-particle":"","parse-names":false,"suffix":""},{"dropping-particle":"","family":"Wahner","given":"Heinz W","non-dropping-particle":"","parse-names":false,"suffix":""},{"dropping-particle":"","family":"Riggs","given":"B Lawrence","non-dropping-particle":"","parse-names":false,"suffix":""}],"container-title":"Journal of Bone and Mineral Research","id":"ITEM-1","issue":"10","issued":{"date-parts":[["1993"]]},"page":"1227-1233","title":"Long-term fracture prediction by bone mineral assessed at different skeletal sites","type":"article-journal","volume":"8"},"uris":["http://www.mendeley.com/documents/?uuid=37321f7d-4f7a-4c5c-a0df-0087e52d469b"]},{"id":"ITEM-2","itemData":{"DOI":"10.1359/jbmr.2003.18.11.1947","ISBN":"1523-4681","ISSN":"0884-0431","PMID":"14606506","abstract":"In a large cohort of U.S. women aged 65 and older, we report the relationships of BMD measured at several sites, and subsequent fracture risk at multiple sites over &gt;8 years of follow-up. Although we found almost all fracture types to be related to low BMD, the overall proportion of fractures attributable to low BMD is modest. Introduction: Although several studies have reported the relationship between bone mineral density (BMD) and subsequent fracture risk, most have been limited by short follow-up time, BMD measures at only one or two sites, or availability of data for only select fracture types. Materials and Methods: In the multicenter Study of Osteoporotic Fractures (SOF), we studied the relationship of several different BMD measures to fracture risk of multiple types in 9704 non-black women aged 65 and older. We previously reported on the relationship of peripheral BMD measures to risk of several types of fracture during an average 2.2-year follow-up period. In this expanded analysis, we present results of the relationship of both peripheral and central BMD measures and fractures of multiple types during 10.4 and 8.5 years of follow-up, respectively. We also report population attributable risk (PAR) estimates for osteoporosis and risk of several types of fracture. Results: Our results show that almost all types of fractures have an increased incidence in women with low BMD. However, hip BMD is somewhat more strongly related to most of the fracture types studied than spine or peripheral BMD measures. Nonetheless, the proportion of fractures attributable to osteoporosis (based on a standard definition of osteoporosis) is modest, ranging from Ͻ10% to 44% based on the most commonly used definition of osteoporosis (BMD T-score Ͻ Ϫ2.5). Conclusion: Finding effective prevention strategies for fractures in older women will require additional interventions beside preventions for bone loss, such as prevention of falls and other fracture risk factors.","author":[{"dropping-particle":"","family":"Stone","given":"Katie L","non-dropping-particle":"","parse-names":false,"suffix":""},{"dropping-particle":"","family":"Seeley","given":"Dana G","non-dropping-particle":"","parse-names":false,"suffix":""},{"dropping-particle":"","family":"Lui","given":"Li-Yung","non-dropping-particle":"","parse-names":false,"suffix":""},{"dropping-particle":"","family":"Cauley","given":"Jane A","non-dropping-particle":"","parse-names":false,"suffix":""},{"dropping-particle":"","family":"Ensrud","given":"Kristine","non-dropping-particle":"","parse-names":false,"suffix":""},{"dropping-particle":"","family":"Browner","given":"Warren S","non-dropping-particle":"","parse-names":false,"suffix":""},{"dropping-particle":"","family":"Nevitt","given":"Michael C","non-dropping-particle":"","parse-names":false,"suffix":""},{"dropping-particle":"","family":"Cummings","given":"Steven R","non-dropping-particle":"","parse-names":false,"suffix":""}],"container-title":"J Bone Miner Res","id":"ITEM-2","issue":"11","issued":{"date-parts":[["2003"]]},"page":"1947-1954","title":"BMD at Multiple Sites and Risk of Fracture of Multiple Types: Long-Term Results From the Study of Osteoporotic Fractures","type":"article-journal","volume":"18"},"uris":["http://www.mendeley.com/documents/?uuid=75fe71bf-dcee-44e7-8832-f947faf92d56"]}],"mendeley":{"formattedCitation":"&lt;sup&gt;(9,10)&lt;/sup&gt;","plainTextFormattedCitation":"(9,10)","previouslyFormattedCitation":"&lt;sup&gt;(9,10)&lt;/sup&gt;"},"properties":{"noteIndex":0},"schema":"https://github.com/citation-style-language/schema/raw/master/csl-citation.json"}</w:instrText>
      </w:r>
      <w:r w:rsidR="00F10B6F" w:rsidRPr="0001438A">
        <w:fldChar w:fldCharType="separate"/>
      </w:r>
      <w:r w:rsidR="00F10B6F" w:rsidRPr="0001438A">
        <w:rPr>
          <w:noProof/>
          <w:vertAlign w:val="superscript"/>
        </w:rPr>
        <w:t>(9,10)</w:t>
      </w:r>
      <w:r w:rsidR="00F10B6F" w:rsidRPr="0001438A">
        <w:fldChar w:fldCharType="end"/>
      </w:r>
      <w:r w:rsidR="00D4551B" w:rsidRPr="0001438A">
        <w:t xml:space="preserve"> </w:t>
      </w:r>
      <w:r w:rsidR="00F60F53" w:rsidRPr="0001438A">
        <w:t xml:space="preserve">At the </w:t>
      </w:r>
      <w:r w:rsidR="00D4551B" w:rsidRPr="0001438A">
        <w:t>hip</w:t>
      </w:r>
      <w:r w:rsidR="00F60F53" w:rsidRPr="0001438A">
        <w:t>,</w:t>
      </w:r>
      <w:r w:rsidR="00D4551B" w:rsidRPr="0001438A">
        <w:t xml:space="preserve"> a large meta-analysis of several prospective studies showed a relative risk for hip fracture of 2.6 (95%CI 2.0 to 3.5) per standard deviation of decrease in </w:t>
      </w:r>
      <w:r w:rsidR="006D124F" w:rsidRPr="0001438A">
        <w:t>femoral neck</w:t>
      </w:r>
      <w:r w:rsidR="00685AD1">
        <w:t xml:space="preserve"> (FN)</w:t>
      </w:r>
      <w:r w:rsidR="006D124F" w:rsidRPr="0001438A">
        <w:t xml:space="preserve"> </w:t>
      </w:r>
      <w:r w:rsidR="00D4551B" w:rsidRPr="0001438A">
        <w:t>BMD.</w:t>
      </w:r>
      <w:r w:rsidR="00F10B6F" w:rsidRPr="0001438A">
        <w:fldChar w:fldCharType="begin" w:fldLock="1"/>
      </w:r>
      <w:r w:rsidR="00F10B6F" w:rsidRPr="0001438A">
        <w:instrText>ADDIN CSL_CITATION {"citationItems":[{"id":"ITEM-1","itemData":{"DOI":"10.1136/bmj.312.7041.1254","ISBN":"0959-8138 (Print)\\r0959-535X (Linking)","ISSN":"0959-8138","PMID":"8634613","abstract":"OBJECTIVE: To determine the ability of measurements of bone density in women to predict later fractures. DESIGN:  Meta-analysis of prospective cohort studies published between 1985 and end of 1994 with a baseline measurement of bone density in women and subsequent follow up for fractures. For comparative purposes, we also reviewed case control studies of hip fractures published between 1990 and 1994. SUBJECTS: Eleven separate study populations with about 90,000 person years of observation time and over 2000 fractures. MAIN OUTCOME MEASURES: Relative risk of fracture for a decrease in bone mineral density of one standard deviation below age adjusted mean. RESULTS: All measuring sites had similar predictive abilities (relative risk 1.5 (95% confidence interval 1.4 to 1.6)) for decrease in bone mineral density except for measurement at spine for predicting vertebral fractures (relative risk 2.3 (1.9 to 2.8)) and measurement at hip for hip fractures (2.6 (2.0 to 3.5)). These results are in accordance with results of case-control studies. Predictive ability of decrease in bone mass was roughly similar to (or, for hip or spine measurements, better than) that of a 1 SD increase in blood pressure for stroke and better than a 1 SD increase in serum cholesterol concentration for cardiovascular disease. CONCLUSIONS: Measurements of bone mineral density can predict fracture risk but cannot identify individuals who will have a fracture. We do not recommend a programme of screening menopausal women for osteoporosis by measuring bone density.","author":[{"dropping-particle":"","family":"Marshall","given":"D","non-dropping-particle":"","parse-names":false,"suffix":""},{"dropping-particle":"","family":"Johnell","given":"O","non-dropping-particle":"","parse-names":false,"suffix":""},{"dropping-particle":"","family":"Wedel","given":"H","non-dropping-particle":"","parse-names":false,"suffix":""}],"container-title":"BMJ (Clinical research ed.)","id":"ITEM-1","issue":"7041","issued":{"date-parts":[["1996"]]},"page":"1254-1259","title":"Meta-analysis of how well measures of bone mineral density predict occurrence of osteoporotic fractures.","type":"article-journal","volume":"312"},"uris":["http://www.mendeley.com/documents/?uuid=5fc74615-df5d-4ccb-babb-e9b9bbd34024"]}],"mendeley":{"formattedCitation":"&lt;sup&gt;(3)&lt;/sup&gt;","plainTextFormattedCitation":"(3)","previouslyFormattedCitation":"&lt;sup&gt;(3)&lt;/sup&gt;"},"properties":{"noteIndex":0},"schema":"https://github.com/citation-style-language/schema/raw/master/csl-citation.json"}</w:instrText>
      </w:r>
      <w:r w:rsidR="00F10B6F" w:rsidRPr="0001438A">
        <w:fldChar w:fldCharType="separate"/>
      </w:r>
      <w:r w:rsidR="00F10B6F" w:rsidRPr="0001438A">
        <w:rPr>
          <w:noProof/>
          <w:vertAlign w:val="superscript"/>
        </w:rPr>
        <w:t>(3)</w:t>
      </w:r>
      <w:r w:rsidR="00F10B6F" w:rsidRPr="0001438A">
        <w:fldChar w:fldCharType="end"/>
      </w:r>
      <w:r w:rsidR="00D4551B" w:rsidRPr="0001438A">
        <w:t xml:space="preserve"> However, data from the Study of Osteoporotic Fractures (SOF) also shows that almost half of all fragility</w:t>
      </w:r>
      <w:r w:rsidR="00044B9B">
        <w:t xml:space="preserve"> hip</w:t>
      </w:r>
      <w:r w:rsidR="00D4551B" w:rsidRPr="0001438A">
        <w:t xml:space="preserve"> fractures occur in individuals with a femoral neck </w:t>
      </w:r>
      <w:r w:rsidR="00E21070">
        <w:t>T-score</w:t>
      </w:r>
      <w:r w:rsidR="00D4551B" w:rsidRPr="0001438A">
        <w:t xml:space="preserve"> of &gt;-</w:t>
      </w:r>
      <w:r w:rsidR="00190111">
        <w:t>1</w:t>
      </w:r>
      <w:r w:rsidR="00D4551B" w:rsidRPr="0001438A">
        <w:t>.5.</w:t>
      </w:r>
      <w:r w:rsidR="00F10B6F" w:rsidRPr="0001438A">
        <w:fldChar w:fldCharType="begin" w:fldLock="1"/>
      </w:r>
      <w:r w:rsidR="001067AC">
        <w:instrText xml:space="preserve">ADDIN CSL_CITATION {"citationItems":[{"id":"ITEM-1","itemData":{"DOI":"10.1359/jbmr.2003.18.11.1947","ISBN":"1523-4681","ISSN":"0884-0431","PMID":"14606506","abstract":"In a large cohort of U.S. women aged 65 and older, we report the relationships of BMD measured at several sites, and subsequent fracture risk at multiple sites over &gt;8 years of follow-up. Although we found almost all fracture types to be related to low BMD, the overall proportion of fractures attributable to low BMD is modest. Introduction: Although several studies have reported the relationship between bone mineral density (BMD) and subsequent fracture risk, most have been limited by short follow-up time, BMD measures at only one or two sites, or availability of data for only select fracture types. Materials and Methods: In the multicenter Study of Osteoporotic Fractures (SOF), we studied the relationship of several different BMD measures to fracture risk of multiple types in 9704 non-black women aged 65 and older. We previously reported on the relationship of peripheral BMD measures to risk of several types of fracture during an average 2.2-year follow-up period. In this expanded analysis, we present results of the relationship of both peripheral and central BMD measures and fractures of multiple types during 10.4 and 8.5 years of follow-up, respectively. We also report population attributable risk (PAR) estimates for osteoporosis and risk of several types of fracture. Results: Our results show that almost all types of fractures have an increased incidence in women with low BMD. However, hip BMD is somewhat more strongly related to most of the fracture types studied than spine or peripheral BMD measures. Nonetheless, the proportion of fractures attributable to osteoporosis (based on a standard definition of osteoporosis) is modest, ranging from Ͻ10% to 44% based on the most commonly used definition of osteoporosis (BMD T-score Ͻ Ϫ2.5). Conclusion: Finding effective prevention strategies for fractures in older women will require additional interventions beside preventions for bone loss, such as prevention of falls and other fracture risk factors.","author":[{"dropping-particle":"","family":"Stone","given":"Katie L","non-dropping-particle":"","parse-names":false,"suffix":""},{"dropping-particle":"","family":"Seeley","given":"Dana G","non-dropping-particle":"","parse-names":false,"suffix":""},{"dropping-particle":"","family":"Lui","given":"Li-Yung","non-dropping-particle":"","parse-names":false,"suffix":""},{"dropping-particle":"","family":"Cauley","given":"Jane A","non-dropping-particle":"","parse-names":false,"suffix":""},{"dropping-particle":"","family":"Ensrud","given":"Kristine","non-dropping-particle":"","parse-names":false,"suffix":""},{"dropping-particle":"","family":"Browner","given":"Warren S","non-dropping-particle":"","parse-names":false,"suffix":""},{"dropping-particle":"","family":"Nevitt","given":"Michael C","non-dropping-particle":"","parse-names":false,"suffix":""},{"dropping-particle":"","family":"Cummings","given":"Steven R","non-dropping-particle":"","parse-names":false,"suffix":""}],"container-title":"J Bone Miner Res","id":"ITEM-1","issue":"11","issued":{"date-parts":[["2003"]]},"page":"1947-1954","title":"BMD at Multiple Sites and Risk of Fracture of Multiple Types: Long-Term Results From the Study of Osteoporotic Fractures","type":"article-journal","volume":"18"},"uris":["http://www.mendeley.com/documents/?uuid=75fe71bf-dcee-44e7-8832-f947faf92d56"]},{"id":"ITEM-2","itemData":{"DOI":"10.1210/jc.2018-02614","ISSN":"0021-972X","abstract":"Although bone mineral density (BMD) is strongly associated with fracture and postfracture mortality, the burden of fractures attributable to low BMD has not been investigated.We sought to estimate the population attributable fraction of fractures and fracture-related mortality that can be attributed to low BMD.This study is a part of an ongoing population-based prospective cohort study, the Dubbo Osteoporosis Epidemiology study. In total, 3700 participants aged ≥50 years participated in the study. Low-trauma fracture was ascertained by X-ray reports, and mortality was ascertained from the Birth, Death and Marriage Registry.Overall, 21\\\\% of women and 11\\\\% of men had osteoporotic BMD. In univariable analysis, 21\\\\% and 16\\\\% of total fractures in women and men, respectively, were attributable to osteoporosis. Osteoporosis combined with advancing age (\\\\&gt;70 years) accounted for 34\\\\% and 35\\\\% of fractures in women and men, respectively. However, these two factors accounted for </w:instrText>
      </w:r>
      <w:r w:rsidR="001067AC">
        <w:rPr>
          <w:rFonts w:ascii="Cambria Math" w:hAnsi="Cambria Math" w:cs="Cambria Math"/>
        </w:rPr>
        <w:instrText>∼</w:instrText>
      </w:r>
      <w:r w:rsidR="001067AC">
        <w:instrText>60\\\\% of hip fractures. About 99\\\\% and 66\\\\% of postfracture mortality in women and men, respectively, were attributable to advancing age, osteoporosis, and fracture; however, most of the attributable proportion was accounted for by advancing age.A substantial health care burden of fracture is on people aged \\\\&lt;70 years or nonosteoporosis, suggesting that treatment of people with osteoporosis is unlikely to reduce a large number of fractures in the general population.","author":[{"dropping-particle":"","family":"Mai","given":"Ha T","non-dropping-particle":"","parse-names":false,"suffix":""},{"dropping-particle":"","family":"Tran","given":"Thach S","non-dropping-particle":"","parse-names":false,"suffix":""},{"dropping-particle":"","family":"Ho-Le","given":"Thao P","non-dropping-particle":"","parse-names":false,"suffix":""},{"dropping-particle":"","family":"Center","given":"Jacqueline R","non-dropping-particle":"","parse-names":false,"suffix":""},{"dropping-particle":"","family":"Eisman","given":"John A","non-dropping-particle":"","parse-names":false,"suffix":""},{"dropping-particle":"V","family":"Nguyen","given":"Tuan","non-dropping-particle":"","parse-names":false,"suffix":""}],"container-title":"The Journal of Clinical Endocrinology &amp; Metabolism","id":"ITEM-2","issue":"8","issued":{"date-parts":[["2019"]]},"page":"3514-3520","title":"Two-Thirds of All Fractures Are Not Attributable to Osteoporosis and Advancing Age: Implications for Fracture Prevention","type":"article-journal","volume":"104"},"uris":["http://www.mendeley.com/documents/?uuid=c0592474-af3a-4d96-bdbf-87a465d299e9"]}],"mendeley":{"formattedCitation":"&lt;sup&gt;(10,11)&lt;/sup&gt;","plainTextFormattedCitation":"(10,11)","previouslyFormattedCitation":"&lt;sup&gt;(10,11)&lt;/sup&gt;"},"properties":{"noteIndex":0},"schema":"https://github.com/citation-style-language/schema/raw/master/csl-citation.json"}</w:instrText>
      </w:r>
      <w:r w:rsidR="00F10B6F" w:rsidRPr="0001438A">
        <w:fldChar w:fldCharType="separate"/>
      </w:r>
      <w:r w:rsidR="00C25880" w:rsidRPr="00C25880">
        <w:rPr>
          <w:noProof/>
          <w:vertAlign w:val="superscript"/>
        </w:rPr>
        <w:t>(10,11)</w:t>
      </w:r>
      <w:r w:rsidR="00F10B6F" w:rsidRPr="0001438A">
        <w:fldChar w:fldCharType="end"/>
      </w:r>
      <w:r w:rsidR="00D4551B" w:rsidRPr="0001438A">
        <w:t xml:space="preserve"> </w:t>
      </w:r>
      <w:r w:rsidR="007B2BE6" w:rsidRPr="0001438A">
        <w:t xml:space="preserve">Further, </w:t>
      </w:r>
      <w:r w:rsidR="00685AD1">
        <w:t>FN-</w:t>
      </w:r>
      <w:r w:rsidR="00337D5C" w:rsidRPr="0001438A">
        <w:t xml:space="preserve">BMD </w:t>
      </w:r>
      <w:r w:rsidR="007B2BE6" w:rsidRPr="0001438A">
        <w:t xml:space="preserve">does </w:t>
      </w:r>
      <w:r w:rsidR="00337D5C" w:rsidRPr="0001438A">
        <w:t xml:space="preserve">not capture all determinants of bone strength in the </w:t>
      </w:r>
      <w:r w:rsidR="007B2BE6" w:rsidRPr="0001438A">
        <w:t xml:space="preserve">proximal </w:t>
      </w:r>
      <w:r w:rsidR="00337D5C" w:rsidRPr="0001438A">
        <w:t>femur. For example, trochanteric</w:t>
      </w:r>
      <w:r w:rsidR="00685AD1">
        <w:t xml:space="preserve"> (TR)</w:t>
      </w:r>
      <w:r w:rsidR="00337D5C" w:rsidRPr="0001438A">
        <w:t xml:space="preserve"> BMD is associated with </w:t>
      </w:r>
      <w:r w:rsidR="00D62F9D">
        <w:t>inter</w:t>
      </w:r>
      <w:r w:rsidR="00337D5C" w:rsidRPr="0001438A">
        <w:t xml:space="preserve">trochanteric femoral fractures independent of </w:t>
      </w:r>
      <w:r w:rsidR="00685AD1">
        <w:t>FN-</w:t>
      </w:r>
      <w:r w:rsidR="00337D5C" w:rsidRPr="0001438A">
        <w:t>BMD</w:t>
      </w:r>
      <w:r w:rsidR="007B2BE6" w:rsidRPr="0001438A">
        <w:t>,</w:t>
      </w:r>
      <w:r w:rsidR="00F10B6F" w:rsidRPr="0001438A">
        <w:fldChar w:fldCharType="begin" w:fldLock="1"/>
      </w:r>
      <w:r w:rsidR="001067AC">
        <w:instrText>ADDIN CSL_CITATION {"citationItems":[{"id":"ITEM-1","itemData":{"DOI":"10.1002/jbmr.5650091208","ISSN":"15234681","PMID":"7872054","abstract":"Hip fractures can be separated into femoral neck (cervical or intracapsular) or trochanteric (extracapsular). Tr</w:instrText>
      </w:r>
      <w:r w:rsidR="001067AC">
        <w:rPr>
          <w:rFonts w:hint="eastAsia"/>
        </w:rPr>
        <w:instrText>ochanteric fractures have been associated with up to twice the short</w:instrText>
      </w:r>
      <w:r w:rsidR="001067AC">
        <w:rPr>
          <w:rFonts w:hint="eastAsia"/>
        </w:rPr>
        <w:instrText>‐</w:instrText>
      </w:r>
      <w:r w:rsidR="001067AC">
        <w:rPr>
          <w:rFonts w:hint="eastAsia"/>
        </w:rPr>
        <w:instrText>term mortality of cervical fractures in the elderly. Fracture type may be influenced by the fall direction and local differences in proximal femur strength properties. We previously demo</w:instrText>
      </w:r>
      <w:r w:rsidR="001067AC">
        <w:instrText>nstrated that fall characteristics and body habitus, in addition to femoral bone mineral density, play a dominant role in the prediction of hip fracture in elderly fallers. To examine the association of these determinants with hip fracture type, we assess</w:instrText>
      </w:r>
      <w:r w:rsidR="001067AC">
        <w:rPr>
          <w:rFonts w:hint="eastAsia"/>
        </w:rPr>
        <w:instrText>ed fall characteristics, body habitus, and site</w:instrText>
      </w:r>
      <w:r w:rsidR="001067AC">
        <w:rPr>
          <w:rFonts w:hint="eastAsia"/>
        </w:rPr>
        <w:instrText>‐</w:instrText>
      </w:r>
      <w:r w:rsidR="001067AC">
        <w:rPr>
          <w:rFonts w:hint="eastAsia"/>
        </w:rPr>
        <w:instrText>specific bone mineral density measurements in 112 elderly hip fracture patients (85 women and 27 men, mean age 85 years) 1 week after an acute hip fracture. Trochanteric BMD was 13% lower in women and 11% lower in men for patients with trochanteric fracture than in those with femoral neck fracture (p &lt; 0.01). A stepwise multiple logistic regression indicated that trochanteric BMD (decrease of 1.0 SD, adjusted OR 4.6, 95% CI 2.0</w:instrText>
      </w:r>
      <w:r w:rsidR="001067AC">
        <w:rPr>
          <w:rFonts w:hint="eastAsia"/>
        </w:rPr>
        <w:instrText>‐</w:instrText>
      </w:r>
      <w:r w:rsidR="001067AC">
        <w:rPr>
          <w:rFonts w:hint="eastAsia"/>
        </w:rPr>
        <w:instrText>9.5, p &lt; 0.0001) and femoral neck BMD (increase of 1.0 SD, adjusted OR 3.0, 95% CI 1.6</w:instrText>
      </w:r>
      <w:r w:rsidR="001067AC">
        <w:rPr>
          <w:rFonts w:hint="eastAsia"/>
        </w:rPr>
        <w:instrText>‐</w:instrText>
      </w:r>
      <w:r w:rsidR="001067AC">
        <w:rPr>
          <w:rFonts w:hint="eastAsia"/>
        </w:rPr>
        <w:instrText>5.9, p = 0.0003) were independently associated with trochanteric fracture. Fall characteristics, body habitus, gender, and age were not associated with hip fracture type. We conclude that a relatively low trochanteric BMD or a high femoral neck BMD was associated with a trochanteric hip fracture and that site</w:instrText>
      </w:r>
      <w:r w:rsidR="001067AC">
        <w:rPr>
          <w:rFonts w:hint="eastAsia"/>
        </w:rPr>
        <w:instrText>‐</w:instrText>
      </w:r>
      <w:r w:rsidR="001067AC">
        <w:rPr>
          <w:rFonts w:hint="eastAsia"/>
        </w:rPr>
        <w:instrText>specific trochanteric BMD determinations should be measured when assessing risk of trochanteric hip fractures in the elderly. Copyright © 1994</w:instrText>
      </w:r>
      <w:r w:rsidR="001067AC">
        <w:instrText xml:space="preserve"> ASBMR","author":[{"dropping-particle":"","family":"Greenspan","given":"Susan L.","non-dropping-particle":"","parse-names":false,"suffix":""},{"dropping-particle":"","family":"Myers","given":"Elizabeth R.","non-dropping-particle":"","parse-names":false,"suffix":""},{"dropping-particle":"","family":"Maitland","given":"Lauri A.","non-dropping-particle":"","parse-names":false,"suffix":""},{"dropping-particle":"","family":"Kido","given":"Tamiko H.","non-dropping-particle":"","parse-names":false,"suffix":""},{"dropping-particle":"","family":"Krasnow","given":"Meryl B.","non-dropping-particle":"","parse-names":false,"suffix":""},{"dropping-particle":"","family":"Hayes","given":"Wilson C.","non-dropping-particle":"","parse-names":false,"suffix":""}],"container-title":"Journal of Bone and Mineral Research","id":"ITEM-1","issue":"12","issued":{"date-parts":[["1994"]]},"page":"1889-1894","title":"Trochanteric bone mineral density is associated with type of hip fracture in the elderly","type":"article-journal","volume":"9"},"uris":["http://www.mendeley.com/documents/?uuid=03d848df-cd27-4216-b7c3-acb7a06ebe1e"]}],"mendeley":{"formattedCitation":"&lt;sup&gt;(12)&lt;/sup&gt;","plainTextFormattedCitation":"(12)","previouslyFormattedCitation":"&lt;sup&gt;(12)&lt;/sup&gt;"},"properties":{"noteIndex":0},"schema":"https://github.com/citation-style-language/schema/raw/master/csl-citation.json"}</w:instrText>
      </w:r>
      <w:r w:rsidR="00F10B6F" w:rsidRPr="0001438A">
        <w:fldChar w:fldCharType="separate"/>
      </w:r>
      <w:r w:rsidR="00C25880" w:rsidRPr="00C25880">
        <w:rPr>
          <w:noProof/>
          <w:vertAlign w:val="superscript"/>
        </w:rPr>
        <w:t>(12)</w:t>
      </w:r>
      <w:r w:rsidR="00F10B6F" w:rsidRPr="0001438A">
        <w:fldChar w:fldCharType="end"/>
      </w:r>
      <w:r w:rsidR="007B2BE6" w:rsidRPr="0001438A">
        <w:t xml:space="preserve"> consistent with the observation that pixel-summation and </w:t>
      </w:r>
      <w:r w:rsidR="00CE1252">
        <w:t>quantitation</w:t>
      </w:r>
      <w:r w:rsidR="007B2BE6" w:rsidRPr="0001438A">
        <w:t xml:space="preserve"> of BMD within one </w:t>
      </w:r>
      <w:r w:rsidR="00337D5C" w:rsidRPr="0001438A">
        <w:t>region of interest (ROI)</w:t>
      </w:r>
      <w:r w:rsidR="007B2BE6" w:rsidRPr="0001438A">
        <w:t xml:space="preserve"> </w:t>
      </w:r>
      <w:r w:rsidR="00CE1252">
        <w:t>give</w:t>
      </w:r>
      <w:r w:rsidR="007B2BE6" w:rsidRPr="0001438A">
        <w:t xml:space="preserve"> rise to better fracture prediction within that ROI versus </w:t>
      </w:r>
      <w:r w:rsidR="0012391F">
        <w:t xml:space="preserve">BMD at </w:t>
      </w:r>
      <w:r w:rsidR="007B2BE6" w:rsidRPr="0001438A">
        <w:t>another site,</w:t>
      </w:r>
      <w:r w:rsidR="00FE619F">
        <w:fldChar w:fldCharType="begin" w:fldLock="1"/>
      </w:r>
      <w:r w:rsidR="004F255F">
        <w:instrText>ADDIN CSL_CITATION {"citationItems":[{"id":"ITEM-1","itemData":{"author":[{"dropping-particle":"","family":"Greenspan","given":"SL","non-dropping-particle":"","parse-names":false,"suffix":""},{"dropping-particle":"","family":"Maitland","given":"LA","non-dropping-particle":"","parse-names":false,"suffix":""}],"container-title":"Journal of Bone and  …","id":"ITEM-1","issued":{"date-parts":[["1994"]]},"title":"Femoral bone loss progresses with age: a longitudinal study in women over age 65","type":"article-journal"},"uris":["http://www.mendeley.com/documents/?uuid=9fe4b9a8-2c98-4a4f-8afe-5223121c08a9"]},{"id":"ITEM-2","itemData":{"DOI":"https://doi.org/10.1359/jbmr.080802","abstract":"Abstract The role of bone tissue's geometric distribution in hip fracture risk requires full evaluation in large population-based datasets. We tested whether section modulus, a geometric index of bending strength, predicted hip fracture better than BMD. Among 7474 women from the Study of Osteoporotic Fractures (SOF) with hip DXA scans at baseline, there were 635 incident hip fractures recorded over 13 yr. Hip structural analysis software was used to derive variables from the DXA scans at the narrow neck (NN), intertrochanter (IT), and shaft (S) regions. Associations of derived structural variables with hip fracture were assessed using Cox proportional hazard modeling. Hip fracture prediction was assessed using the C-index concordance statistic. Incident hip fracture cases had larger neck-shaft angles, larger subperiosteal and estimated endosteal diameters, greater distances from lateral cortical margin to center of mass (lateral distance), and higher estimated buckling ratios (p &lt; 0.0001 for each). Areal BMD, cross-sectional area, cross-sectional moment of inertia, section modulus, estimated cortical thickness, and centroid position were all lower in hip fracture cases (p &lt; 0.044). In hip fracture prediction using NN region parameters, estimated cortical thickness, areal BMD, and estimated buckling ratio were equivalent (C-index = 0.72; 95% CI, 0.70, 0.74), but section modulus performed less well (C-index = 0.61; 95% CI, 0.58, 0.63; p &lt; 0.0001 for difference). In multivariable models combining hip structural analysis variables and age, effects of bone dimensions (i.e., lateral distance, subperiosteal diameter, and estimated endosteal width) were interchangeable, whereas age and neck-shaft angle were independent predictors. Several parsimonious multivariable models that were prognostically equivalent for the NN region were obtained combining a measure of width, a measure of mass, age, and neck-shaft angle (BMD is a ratio of mass to width in the NN region; C-index = 0.77; 95% CI, 0.75, 0.79). Trochanteric fractures were best predicted by analysis of the IT region. Because section modulus failed to predict hip fracture risk as well as areal BMD, the thinner cortices and wider bones among those who fractured may imply that simple failure in bending is not the usual event in fracture. Fracture might require initiation (e.g., by localized crushing or buckling of the lateral cortex).","author":[{"dropping-particle":"","family":"Kaptoge","given":"Stephen","non-dropping-particle":"","parse-names":false,"suffix":""},{"dropping-particle":"","family":"Beck","given":"Thomas J","non-dropping-particle":"","parse-names":false,"suffix":""},{"dropping-particle":"","family":"Reeve","given":"Jonathan","non-dropping-particle":"","parse-names":false,"suffix":""},{"dropping-particle":"","family":"Stone","given":"Katie L","non-dropping-particle":"","parse-names":false,"suffix":""},{"dropping-particle":"","family":"Hillier","given":"Teresa A","non-dropping-particle":"","parse-names":false,"suffix":""},{"dropping-particle":"","family":"Cauley","given":"Jane A","non-dropping-particle":"","parse-names":false,"suffix":""},{"dropping-particle":"","family":"Cummings","given":"Steven R","non-dropping-particle":"","parse-names":false,"suffix":""}],"container-title":"Journal of Bone and Mineral Research","id":"ITEM-2","issue":"12","issued":{"date-parts":[["2008"]]},"page":"1892-1904","title":"Prediction of Incident Hip Fracture Risk by Femur Geometry Variables Measured by Hip Structural Analysis in the Study of Osteoporotic Fractures","type":"article-journal","volume":"23"},"uris":["http://www.mendeley.com/documents/?uuid=7cd354fb-001c-4cf5-8980-c5daf2eb3f76"]}],"mendeley":{"formattedCitation":"&lt;sup&gt;(13,14)&lt;/sup&gt;","plainTextFormattedCitation":"(13,14)","previouslyFormattedCitation":"&lt;sup&gt;(13,14)&lt;/sup&gt;"},"properties":{"noteIndex":0},"schema":"https://github.com/citation-style-language/schema/raw/master/csl-citation.json"}</w:instrText>
      </w:r>
      <w:r w:rsidR="00FE619F">
        <w:fldChar w:fldCharType="separate"/>
      </w:r>
      <w:r w:rsidR="00FE619F" w:rsidRPr="00FE619F">
        <w:rPr>
          <w:noProof/>
          <w:vertAlign w:val="superscript"/>
        </w:rPr>
        <w:t>(13,14)</w:t>
      </w:r>
      <w:r w:rsidR="00FE619F">
        <w:fldChar w:fldCharType="end"/>
      </w:r>
      <w:r w:rsidR="007B2BE6" w:rsidRPr="0001438A">
        <w:t xml:space="preserve"> even if th</w:t>
      </w:r>
      <w:r w:rsidR="00B7149B" w:rsidRPr="0001438A">
        <w:t>e</w:t>
      </w:r>
      <w:r w:rsidR="007B2BE6" w:rsidRPr="0001438A">
        <w:t xml:space="preserve"> site</w:t>
      </w:r>
      <w:r w:rsidR="00B7149B" w:rsidRPr="0001438A">
        <w:t>s are</w:t>
      </w:r>
      <w:r w:rsidR="007B2BE6" w:rsidRPr="0001438A">
        <w:t xml:space="preserve"> contiguous.</w:t>
      </w:r>
      <w:r w:rsidR="00B7149B" w:rsidRPr="0001438A">
        <w:t xml:space="preserve"> A further limitation of </w:t>
      </w:r>
      <w:r w:rsidR="004036A6">
        <w:t xml:space="preserve">conventional </w:t>
      </w:r>
      <w:r w:rsidR="00B7149B" w:rsidRPr="0001438A">
        <w:t>BMD</w:t>
      </w:r>
      <w:r w:rsidR="004036A6">
        <w:t xml:space="preserve"> assessment </w:t>
      </w:r>
      <w:r w:rsidR="00B7149B" w:rsidRPr="0001438A">
        <w:t>is that the output metrics (</w:t>
      </w:r>
      <w:r w:rsidR="00E21070">
        <w:t>T-score</w:t>
      </w:r>
      <w:r w:rsidR="00B7149B" w:rsidRPr="0001438A">
        <w:t xml:space="preserve"> and </w:t>
      </w:r>
      <w:r w:rsidR="00E21070">
        <w:t>Z-score</w:t>
      </w:r>
      <w:r w:rsidR="00B7149B" w:rsidRPr="0001438A">
        <w:t>) are not intuitive</w:t>
      </w:r>
      <w:r w:rsidR="00284A4D">
        <w:t xml:space="preserve"> for patients</w:t>
      </w:r>
      <w:r w:rsidR="00B7149B" w:rsidRPr="0001438A">
        <w:t xml:space="preserve">, </w:t>
      </w:r>
      <w:r w:rsidR="00DC6DFE">
        <w:t>making the explanation of</w:t>
      </w:r>
      <w:r w:rsidR="00284A4D">
        <w:t xml:space="preserve"> the results </w:t>
      </w:r>
      <w:r w:rsidR="00B7149B" w:rsidRPr="0001438A">
        <w:t xml:space="preserve">difficult for </w:t>
      </w:r>
      <w:r w:rsidR="001944F1">
        <w:t>them</w:t>
      </w:r>
      <w:r w:rsidR="006D124F" w:rsidRPr="0001438A">
        <w:t xml:space="preserve"> t</w:t>
      </w:r>
      <w:r w:rsidR="00B7149B" w:rsidRPr="0001438A">
        <w:t xml:space="preserve">o </w:t>
      </w:r>
      <w:r w:rsidR="001944F1">
        <w:t xml:space="preserve">interpret </w:t>
      </w:r>
      <w:r w:rsidR="00B7149B" w:rsidRPr="0001438A">
        <w:t>and contextualise.</w:t>
      </w:r>
    </w:p>
    <w:p w14:paraId="113E03C2" w14:textId="4DECA25C" w:rsidR="009C47F6" w:rsidRPr="0001438A" w:rsidRDefault="004036A6" w:rsidP="00C65BA0">
      <w:r>
        <w:t>A</w:t>
      </w:r>
      <w:r w:rsidR="00D4551B" w:rsidRPr="0001438A">
        <w:t>lternative</w:t>
      </w:r>
      <w:r w:rsidR="001729E8" w:rsidRPr="0001438A">
        <w:t xml:space="preserve"> </w:t>
      </w:r>
      <w:r w:rsidR="004B208C" w:rsidRPr="0001438A">
        <w:t xml:space="preserve">analytical </w:t>
      </w:r>
      <w:r w:rsidR="00D4551B" w:rsidRPr="0001438A">
        <w:t xml:space="preserve">approaches have been explored </w:t>
      </w:r>
      <w:r w:rsidR="00CE1252">
        <w:t>to address</w:t>
      </w:r>
      <w:r w:rsidR="00D4551B" w:rsidRPr="0001438A">
        <w:t xml:space="preserve"> the low </w:t>
      </w:r>
      <w:r w:rsidR="00AE50B6" w:rsidRPr="0001438A">
        <w:t xml:space="preserve">sensitivity of </w:t>
      </w:r>
      <w:r w:rsidR="00D4551B" w:rsidRPr="0001438A">
        <w:t>DXA</w:t>
      </w:r>
      <w:r w:rsidR="00B7149B" w:rsidRPr="0001438A">
        <w:t xml:space="preserve"> in population-attributable fracture risk predic</w:t>
      </w:r>
      <w:r w:rsidR="00AE50B6" w:rsidRPr="0001438A">
        <w:t>tion</w:t>
      </w:r>
      <w:r w:rsidR="003F3D98" w:rsidRPr="0001438A">
        <w:t>.</w:t>
      </w:r>
      <w:r w:rsidR="00AE50B6" w:rsidRPr="0001438A">
        <w:t xml:space="preserve"> </w:t>
      </w:r>
      <w:r w:rsidR="003F3D98" w:rsidRPr="0001438A">
        <w:t>At the lumb</w:t>
      </w:r>
      <w:r w:rsidR="009C46AE">
        <w:t>a</w:t>
      </w:r>
      <w:r w:rsidR="003F3D98" w:rsidRPr="0001438A">
        <w:t>r spine, trabecular bone score (TBS)</w:t>
      </w:r>
      <w:r w:rsidR="00F10B6F" w:rsidRPr="0001438A">
        <w:fldChar w:fldCharType="begin" w:fldLock="1"/>
      </w:r>
      <w:r w:rsidR="004F255F">
        <w:instrText>ADDIN CSL_CITATION {"citationItems":[{"id":"ITEM-1","itemData":{"DOI":"10.1002/jbmr.2176","ISBN":"1523-4681 (Electronic)\\r0884-0431 (Linking)","ISSN":"08840431","PMID":"24443324","abstract":"The trabecular bone score (TBS) is a gray-level textural metric that can be extracted from the two-dimensional lumbar spine dual-energy X-ray absorptiometry (DXA) image. TBS is related to bone microarchitecture and provides skeletal information that is not captured from the standard bone mineral density (BMD) measurement. Based on experimental variograms of the projected DXA image, TBS has the potential to discern differences between DXA scans that show similar BMD measurements. An elevated TBS value correlates with better skeletal microstructure; a low TBS value correlates with weaker skeletal microstructure. Lumbar spine TBS has been evaluated in cross-sectional and longitudinal studies. The following conclusions are based upon publications reviewed in this article: 1) TBS gives lower values in postmenopausal women and in men with previous fragility fractures than their nonfractured counterparts; 2) TBS is complementary to data available by lumbar spine DXA measurements; 3) TBS results are lower in women who have sustained a fragility fracture but in whom DXA does not indicate osteoporosis or even osteopenia; 4) TBS predicts fracture risk as well as lumbar spine BMD measurements in postmenopausal women; 5) efficacious therapies for osteoporosis differ in the extent to which they influence the TBS; 6) TBS is associated with fracture risk in individuals with conditions related to reduced bone mass or bone quality. Based on these data, lumbar spine TBS holds promise as an emerging technology that could well become a valuable clinical tool in the diagnosis of osteoporosis and in fracture risk assessment.","author":[{"dropping-particle":"","family":"Silva","given":"Barbara C.","non-dropping-particle":"","parse-names":false,"suffix":""},{"dropping-particle":"","family":"Leslie","given":"William D.","non-dropping-particle":"","parse-names":false,"suffix":""},{"dropping-particle":"","family":"Resch","given":"Heinrich","non-dropping-particle":"","parse-names":false,"suffix":""},{"dropping-particle":"","family":"Lamy","given":"Olivier","non-dropping-particle":"","parse-names":false,"suffix":""},{"dropping-particle":"","family":"Lesnyak","given":"Olga","non-dropping-particle":"","parse-names":false,"suffix":""},{"dropping-particle":"","family":"Binkley","given":"Neil","non-dropping-particle":"","parse-names":false,"suffix":""},{"dropping-particle":"V.","family":"McCloskey","given":"Eugene","non-dropping-particle":"","parse-names":false,"suffix":""},{"dropping-particle":"","family":"Kanis","given":"John A.","non-dropping-particle":"","parse-names":false,"suffix":""},{"dropping-particle":"","family":"Bilezikian","given":"John P.","non-dropping-particle":"","parse-names":false,"suffix":""}],"container-title":"Journal of Bone and Mineral Research","id":"ITEM-1","issue":"3","issued":{"date-parts":[["2014"]]},"page":"518-530","title":"Trabecular bone score: A noninvasive analytical method based upon the DXA image","type":"article-journal","volume":"29"},"uris":["http://www.mendeley.com/documents/?uuid=922b7843-53d8-4899-bd22-9f6e86f5bc80"]},{"id":"ITEM-2","itemData":{"DOI":"10.1016/j.bone.2007.11.018","ISBN":"8756-3282","ISSN":"87563282","PMID":"18234577","abstract":"X-ray imaging remains a very cost-effective technique, with many applications in both medical and material science. However, the physical process of X-ray imaging transforms (e.g. projects) the 3-dimensional (3D) microarchitecture of the object or tissue being studied into a complex 2D grey-level texture. The 3D/2D projection process continues to be a difficult mathematical problem, and neither demonstrations nor well-established correlations have positioned 2D texture analysis-based measurement as a valid indirect evaluation of 3D microarchitecture. The trabecular bone score (TBS) is a new grey-level texture measurement which utilizes experimental variograms of 2D projection images. The aim of the present study was to determine the level of correlation between the 3D characteristics of trabecular bone microarchitecture, as evaluated using μCT reconstruction, and TBS, as evaluated using 2D projection images derived directly from 3D μCT reconstruction. Analyses were performed using sets of human cadaver bone samples from different anatomical sites (lumbar spine, femoral neck, and distal radius). Significant correlations were established via standard multiple regression analysis, and via the use of a generic mathematical 3D/2D relationship. In both instances, the correlations established a significant relationship between TBS and two 3D characteristics of bone microarchitecture: bone volume fraction and mean bone thickness. In particular, it appears that TBS permits to accurately differentiate between two 3D microarchitectures that exhibit the same amount of bone, but different trabecular characteristics. These results demonstrate the existence of a robust and generic relationship, taking into consideration a simplified model of a 2D projection image. Ultimately, this may lead to using TBS measurements directly on DXA images obtained in routine clinical practice. © 2007 Elsevier Inc. All rights reserved.","author":[{"dropping-particle":"","family":"Pothuaud","given":"Laurent","non-dropping-particle":"","parse-names":false,"suffix":""},{"dropping-particle":"","family":"Carceller","given":"Pascal","non-dropping-particle":"","parse-names":false,"suffix":""},{"dropping-particle":"","family":"Hans","given":"Didier","non-dropping-particle":"","parse-names":false,"suffix":""}],"container-title":"Bone","id":"ITEM-2","issue":"4","issued":{"date-parts":[["2008"]]},"page":"775-787","title":"Correlations between grey-level variations in 2D projection images (TBS) and 3D microarchitecture: Applications in the study of human trabecular bone microarchitecture","type":"article-journal","volume":"42"},"uris":["http://www.mendeley.com/documents/?uuid=f70b99d1-fe67-401d-80cd-3de548f897cb"]}],"mendeley":{"formattedCitation":"&lt;sup&gt;(15,16)&lt;/sup&gt;","plainTextFormattedCitation":"(15,16)","previouslyFormattedCitation":"&lt;sup&gt;(15,16)&lt;/sup&gt;"},"properties":{"noteIndex":0},"schema":"https://github.com/citation-style-language/schema/raw/master/csl-citation.json"}</w:instrText>
      </w:r>
      <w:r w:rsidR="00F10B6F" w:rsidRPr="0001438A">
        <w:fldChar w:fldCharType="separate"/>
      </w:r>
      <w:r w:rsidR="00FE619F" w:rsidRPr="00FE619F">
        <w:rPr>
          <w:noProof/>
          <w:vertAlign w:val="superscript"/>
        </w:rPr>
        <w:t>(15,16)</w:t>
      </w:r>
      <w:r w:rsidR="00F10B6F" w:rsidRPr="0001438A">
        <w:fldChar w:fldCharType="end"/>
      </w:r>
      <w:r w:rsidR="003F3D98" w:rsidRPr="0001438A">
        <w:t xml:space="preserve"> is an analytic method that measures the rate of local variations in </w:t>
      </w:r>
      <w:r w:rsidR="00CE1252">
        <w:t>grey-level</w:t>
      </w:r>
      <w:r w:rsidR="003F3D98" w:rsidRPr="0001438A">
        <w:t xml:space="preserve"> from the 2-dimensional lumbar spine DXA image to provide an indirect index of 3-dimensional trabecular microarchitecture. Several studies, reviewed in a European consensus report by Harvey </w:t>
      </w:r>
      <w:r w:rsidR="003F3D98" w:rsidRPr="00080AA8">
        <w:rPr>
          <w:i/>
          <w:iCs/>
        </w:rPr>
        <w:t>et al</w:t>
      </w:r>
      <w:r w:rsidR="00190111">
        <w:t>.</w:t>
      </w:r>
      <w:r w:rsidR="003F3D98" w:rsidRPr="0001438A">
        <w:t>,</w:t>
      </w:r>
      <w:r w:rsidR="00F10B6F" w:rsidRPr="0001438A">
        <w:fldChar w:fldCharType="begin" w:fldLock="1"/>
      </w:r>
      <w:r w:rsidR="004F255F">
        <w:instrText>ADDIN CSL_CITATION {"citationItems":[{"id":"ITEM-1","itemData":{"DOI":"10.1016/j.bone.2015.05.016.Trabecular","author":[{"dropping-particle":"","family":"Harvey","given":"N.C.","non-dropping-particle":"","parse-names":false,"suffix":""},{"dropping-particle":"","family":"Glüer","given":"C.C.","non-dropping-particle":"","parse-names":false,"suffix":""},{"dropping-particle":"","family":"Binkley","given":"N.","non-dropping-particle":"","parse-names":false,"suffix":""},{"dropping-particle":"","family":"McCloskey","given":"E.V.","non-dropping-particle":"","parse-names":false,"suffix":""},{"dropping-particle":"","family":"Brandi","given":"M-L.","non-dropping-particle":"","parse-names":false,"suffix":""},{"dropping-particle":"","family":"Cooper","given":"C.","non-dropping-particle":"","parse-names":false,"suffix":""},{"dropping-particle":"","family":"Kendler","given":"D.","non-dropping-particle":"","parse-names":false,"suffix":""},{"dropping-particle":"","family":"Lamy","given":"O.","non-dropping-particle":"","parse-names":false,"suffix":""},{"dropping-particle":"","family":"Laslop","given":"A.","non-dropping-particle":"","parse-names":false,"suffix":""},{"dropping-particle":"","family":"Camargos","given":"B.M.","non-dropping-particle":"","parse-names":false,"suffix":""},{"dropping-particle":"","family":"Reginster","given":"J-Y.","non-dropping-particle":"","parse-names":false,"suffix":""},{"dropping-particle":"","family":"Rizzoli","given":"R.","non-dropping-particle":"","parse-names":false,"suffix":""},{"dropping-particle":"","family":"Kanis","given":"J. A.","non-dropping-particle":"","parse-names":false,"suffix":""}],"container-title":"Bone","id":"ITEM-1","issued":{"date-parts":[["2015"]]},"page":"216-224","title":"Trabecular bone score (TBS) as a new complementary approach for osteoporosis evaluation in clinical practice","type":"article-journal","volume":"78"},"uris":["http://www.mendeley.com/documents/?uuid=149ac030-13ab-425f-a694-95adedd5509c"]}],"mendeley":{"formattedCitation":"&lt;sup&gt;(17)&lt;/sup&gt;","plainTextFormattedCitation":"(17)","previouslyFormattedCitation":"&lt;sup&gt;(17)&lt;/sup&gt;"},"properties":{"noteIndex":0},"schema":"https://github.com/citation-style-language/schema/raw/master/csl-citation.json"}</w:instrText>
      </w:r>
      <w:r w:rsidR="00F10B6F" w:rsidRPr="0001438A">
        <w:fldChar w:fldCharType="separate"/>
      </w:r>
      <w:r w:rsidR="00FE619F" w:rsidRPr="00FE619F">
        <w:rPr>
          <w:noProof/>
          <w:vertAlign w:val="superscript"/>
        </w:rPr>
        <w:t>(17)</w:t>
      </w:r>
      <w:r w:rsidR="00F10B6F" w:rsidRPr="0001438A">
        <w:fldChar w:fldCharType="end"/>
      </w:r>
      <w:r w:rsidR="003F3D98" w:rsidRPr="0001438A">
        <w:t xml:space="preserve"> have demonstrated that TBS is a predictor of vertebral fracture independent of </w:t>
      </w:r>
      <w:proofErr w:type="spellStart"/>
      <w:r w:rsidR="003F3D98" w:rsidRPr="0001438A">
        <w:t>aBMD</w:t>
      </w:r>
      <w:proofErr w:type="spellEnd"/>
      <w:r w:rsidR="003F3D98" w:rsidRPr="0001438A">
        <w:t xml:space="preserve"> and provides complementary information on vertebral bone quality in diseases </w:t>
      </w:r>
      <w:r w:rsidR="003F3D98" w:rsidRPr="0001438A">
        <w:lastRenderedPageBreak/>
        <w:t>associated with fragility fractures. However, at the femoral neck, the site of greatest disease burden in osteoporosis</w:t>
      </w:r>
      <w:r w:rsidR="009F5F3A">
        <w:t>,</w:t>
      </w:r>
      <w:r w:rsidR="00743ECE">
        <w:rPr>
          <w:color w:val="000000"/>
        </w:rPr>
        <w:t xml:space="preserve"> </w:t>
      </w:r>
      <w:r w:rsidR="004A2056">
        <w:t xml:space="preserve">studies have </w:t>
      </w:r>
      <w:r w:rsidR="003F3D98" w:rsidRPr="0001438A">
        <w:t xml:space="preserve">not </w:t>
      </w:r>
      <w:r w:rsidR="009F5F3A">
        <w:t xml:space="preserve">yet </w:t>
      </w:r>
      <w:r w:rsidR="003F3D98" w:rsidRPr="0001438A">
        <w:t xml:space="preserve">identified an analytic approach </w:t>
      </w:r>
      <w:r w:rsidR="001944F1">
        <w:t>that</w:t>
      </w:r>
      <w:r w:rsidR="009F5F3A">
        <w:t xml:space="preserve"> </w:t>
      </w:r>
      <w:r w:rsidR="003F3D98" w:rsidRPr="0001438A">
        <w:t>extract</w:t>
      </w:r>
      <w:r w:rsidR="001944F1">
        <w:t>s</w:t>
      </w:r>
      <w:r w:rsidR="003F3D98" w:rsidRPr="0001438A">
        <w:t xml:space="preserve"> greater clinically-useful information from conventional DXA images than </w:t>
      </w:r>
      <w:proofErr w:type="spellStart"/>
      <w:r w:rsidR="003F3D98" w:rsidRPr="0001438A">
        <w:t>aBMD</w:t>
      </w:r>
      <w:proofErr w:type="spellEnd"/>
      <w:r w:rsidR="003F3D98" w:rsidRPr="0001438A">
        <w:t xml:space="preserve">. </w:t>
      </w:r>
      <w:r w:rsidR="004B208C" w:rsidRPr="0001438A">
        <w:t>Hip structural analysis (HSA)</w:t>
      </w:r>
      <w:r w:rsidR="00960631" w:rsidRPr="0001438A">
        <w:t xml:space="preserve"> uses the distribution of mineral mass in a line of pixels across the bone axis to measure geometric properties of cross-sections of bone (compiled to </w:t>
      </w:r>
      <w:r w:rsidR="003F3D98" w:rsidRPr="0001438A">
        <w:t>~</w:t>
      </w:r>
      <w:r w:rsidR="00960631" w:rsidRPr="0001438A">
        <w:t>5mm thickness) at that region.</w:t>
      </w:r>
      <w:r w:rsidR="00CB5B72" w:rsidRPr="0001438A">
        <w:fldChar w:fldCharType="begin" w:fldLock="1"/>
      </w:r>
      <w:r w:rsidR="004F255F">
        <w:instrText>ADDIN CSL_CITATION {"citationItems":[{"id":"ITEM-1","itemData":{"author":[{"dropping-particle":"","family":"Beck","given":"T.J.","non-dropping-particle":"","parse-names":false,"suffix":""},{"dropping-particle":"","family":"Ruff","given":"C.B.","non-dropping-particle":"","parse-names":false,"suffix":""},{"dropping-particle":"","family":"Warden","given":"K.E.","non-dropping-particle":"","parse-names":false,"suffix":""},{"dropping-particle":"","family":"Scott","given":"W.W.","non-dropping-particle":"","parse-names":false,"suffix":""},{"dropping-particle":"","family":"Rao","given":"G.U.","non-dropping-particle":"","parse-names":false,"suffix":""}],"container-title":"Investigative Radiology","id":"ITEM-1","issue":"1","issued":{"date-parts":[["1990"]]},"page":"6-18","title":"Predicting femoral neck strength from bone mineral data: a structural approach","type":"article-journal","volume":"25"},"uris":["http://www.mendeley.com/documents/?uuid=573af876-2113-4167-af12-230b4833a6cf"]}],"mendeley":{"formattedCitation":"&lt;sup&gt;(18)&lt;/sup&gt;","plainTextFormattedCitation":"(18)","previouslyFormattedCitation":"&lt;sup&gt;(18)&lt;/sup&gt;"},"properties":{"noteIndex":0},"schema":"https://github.com/citation-style-language/schema/raw/master/csl-citation.json"}</w:instrText>
      </w:r>
      <w:r w:rsidR="00CB5B72" w:rsidRPr="0001438A">
        <w:fldChar w:fldCharType="separate"/>
      </w:r>
      <w:r w:rsidR="00FE619F" w:rsidRPr="00FE619F">
        <w:rPr>
          <w:noProof/>
          <w:vertAlign w:val="superscript"/>
        </w:rPr>
        <w:t>(18)</w:t>
      </w:r>
      <w:r w:rsidR="00CB5B72" w:rsidRPr="0001438A">
        <w:fldChar w:fldCharType="end"/>
      </w:r>
      <w:r w:rsidR="00960631" w:rsidRPr="0001438A">
        <w:t xml:space="preserve"> This approach </w:t>
      </w:r>
      <w:r w:rsidR="003F3987">
        <w:t>provides</w:t>
      </w:r>
      <w:r w:rsidR="00D353BF">
        <w:t xml:space="preserve"> estimates </w:t>
      </w:r>
      <w:r w:rsidR="00960631" w:rsidRPr="0001438A">
        <w:t>of bending strength</w:t>
      </w:r>
      <w:r w:rsidR="00D353BF">
        <w:t xml:space="preserve">, </w:t>
      </w:r>
      <w:r w:rsidR="00107309" w:rsidRPr="00107309">
        <w:t>compressive strength and buckling strength</w:t>
      </w:r>
      <w:r w:rsidR="00960631" w:rsidRPr="0001438A">
        <w:t xml:space="preserve"> at discrete regions of interest in the plane of the DXA image</w:t>
      </w:r>
      <w:r w:rsidR="00090E9A">
        <w:t>.</w:t>
      </w:r>
      <w:r w:rsidR="00960631" w:rsidRPr="0001438A">
        <w:t xml:space="preserve"> </w:t>
      </w:r>
      <w:r w:rsidR="00FF11E1">
        <w:t xml:space="preserve">Lower </w:t>
      </w:r>
      <w:r w:rsidR="00B22BEA">
        <w:t xml:space="preserve">bone </w:t>
      </w:r>
      <w:r w:rsidR="00FF11E1">
        <w:t>strength measured with HSA</w:t>
      </w:r>
      <w:r w:rsidR="00E776D2">
        <w:t xml:space="preserve"> was </w:t>
      </w:r>
      <w:r w:rsidR="00A474B3">
        <w:t>significantly linked with a higher tendency to fracture but</w:t>
      </w:r>
      <w:r w:rsidR="00FF11E1">
        <w:t xml:space="preserve"> </w:t>
      </w:r>
      <w:r w:rsidR="00C037E6">
        <w:t>its</w:t>
      </w:r>
      <w:r w:rsidR="00B22BEA" w:rsidRPr="00B22BEA">
        <w:t xml:space="preserve"> </w:t>
      </w:r>
      <w:r w:rsidR="007E4291">
        <w:t xml:space="preserve">clinical </w:t>
      </w:r>
      <w:r w:rsidR="00B22BEA" w:rsidRPr="00B22BEA">
        <w:t xml:space="preserve">utility </w:t>
      </w:r>
      <w:r w:rsidR="00C037E6" w:rsidRPr="00B22BEA">
        <w:t>in adequately predicting femoral neck fracture</w:t>
      </w:r>
      <w:r w:rsidR="00C037E6">
        <w:t>s</w:t>
      </w:r>
      <w:r w:rsidR="00B22BEA" w:rsidRPr="00B22BEA">
        <w:t xml:space="preserve"> beyond routine </w:t>
      </w:r>
      <w:proofErr w:type="spellStart"/>
      <w:r w:rsidR="005E3FCB">
        <w:t>a</w:t>
      </w:r>
      <w:r w:rsidR="00B22BEA" w:rsidRPr="00B22BEA">
        <w:t>BMD</w:t>
      </w:r>
      <w:proofErr w:type="spellEnd"/>
      <w:r w:rsidR="00815E3C">
        <w:t xml:space="preserve"> requires further study</w:t>
      </w:r>
      <w:r w:rsidR="00960631" w:rsidRPr="0001438A">
        <w:t>.</w:t>
      </w:r>
      <w:r w:rsidR="00CB5B72" w:rsidRPr="0001438A">
        <w:fldChar w:fldCharType="begin" w:fldLock="1"/>
      </w:r>
      <w:r w:rsidR="00EB5921">
        <w:instrText>ADDIN CSL_CITATION {"citationItems":[{"id":"ITEM-1","itemData":{"DOI":"https://doi.org/10.1359/jbmr.080802","abstract":"Abstract The role of bone tissue's geometric distribution in hip fracture risk requires full evaluation in large population-based datasets. We tested whether section modulus, a geometric index of bending strength, predicted hip fracture better than BMD. Among 7474 women from the Study of Osteoporotic Fractures (SOF) with hip DXA scans at baseline, there were 635 incident hip fractures recorded over 13 yr. Hip structural analysis software was used to derive variables from the DXA scans at the narrow neck (NN), intertrochanter (IT), and shaft (S) regions. Associations of derived structural variables with hip fracture were assessed using Cox proportional hazard modeling. Hip fracture prediction was assessed using the C-index concordance statistic. Incident hip fracture cases had larger neck-shaft angles, larger subperiosteal and estimated endosteal diameters, greater distances from lateral cortical margin to center of mass (lateral distance), and higher estimated buckling ratios (p &lt; 0.0001 for each). Areal BMD, cross-sectional area, cross-sectional moment of inertia, section modulus, estimated cortical thickness, and centroid position were all lower in hip fracture cases (p &lt; 0.044). In hip fracture prediction using NN region parameters, estimated cortical thickness, areal BMD, and estimated buckling ratio were equivalent (C-index = 0.72; 95% CI, 0.70, 0.74), but section modulus performed less well (C-index = 0.61; 95% CI, 0.58, 0.63; p &lt; 0.0001 for difference). In multivariable models combining hip structural analysis variables and age, effects of bone dimensions (i.e., lateral distance, subperiosteal diameter, and estimated endosteal width) were interchangeable, whereas age and neck-shaft angle were independent predictors. Several parsimonious multivariable models that were prognostically equivalent for the NN region were obtained combining a measure of width, a measure of mass, age, and neck-shaft angle (BMD is a ratio of mass to width in the NN region; C-index = 0.77; 95% CI, 0.75, 0.79). Trochanteric fractures were best predicted by analysis of the IT region. Because section modulus failed to predict hip fracture risk as well as areal BMD, the thinner cortices and wider bones among those who fractured may imply that simple failure in bending is not the usual event in fracture. Fracture might require initiation (e.g., by localized crushing or buckling of the lateral cortex).","author":[{"dropping-particle":"","family":"Kaptoge","given":"Stephen","non-dropping-particle":"","parse-names":false,"suffix":""},{"dropping-particle":"","family":"Beck","given":"Thomas J","non-dropping-particle":"","parse-names":false,"suffix":""},{"dropping-particle":"","family":"Reeve","given":"Jonathan","non-dropping-particle":"","parse-names":false,"suffix":""},{"dropping-particle":"","family":"Stone","given":"Katie L","non-dropping-particle":"","parse-names":false,"suffix":""},{"dropping-particle":"","family":"Hillier","given":"Teresa A","non-dropping-particle":"","parse-names":false,"suffix":""},{"dropping-particle":"","family":"Cauley","given":"Jane A","non-dropping-particle":"","parse-names":false,"suffix":""},{"dropping-particle":"","family":"Cummings","given":"Steven R","non-dropping-particle":"","parse-names":false,"suffix":""}],"container-title":"Journal of Bone and Mineral Research","id":"ITEM-1","issue":"12","issued":{"date-parts":[["2008"]]},"page":"1892-1904","title":"Prediction of Incident Hip Fracture Risk by Femur Geometry Variables Measured by Hip Structural Analysis in the Study of Osteoporotic Fractures","type":"article-journal","volume":"23"},"uris":["http://www.mendeley.com/documents/?uuid=7cd354fb-001c-4cf5-8980-c5daf2eb3f76"]},{"id":"ITEM-2","itemData":{"DOI":"https://doi.org/10.1359/jbmr.070712","abstract":"Abstract We studied HSA measurements in relation to hip fracture risk in 4806 individuals (2740 women). Hip fractures (n = 147) occurred at the same absolute levels of bone instability in both sexes. Cortical instability (propensity of thinner cortices in wide diameters to buckle) explains why hip fracture risk at different BMD levels is the same across sexes. Introduction: Despite the sexual dimorphism of bone, hip fracture risk is very similar in men and women at the same absolute BMD. We aimed to elucidate the main structural properties of bone that underlie the measured BMD and that ultimately determines the risk of hip fracture in elderly men and women. Materials and Methods: This study is part of the Rotterdam Study (a large prospective population-based cohort) and included 147 incident hip fracture cases in 4806 participants with DXA-derived hip structural analysis (mean follow-up, 8.6 yr). Indices compared in relation to fracture included neck width, cortical thickness, section modulus (an index of bending strength), and buckling ratio (an index of cortical bone instability). We used a mathematical model to calculate the hip fracture distribution by femoral neck BMD, BMC, bone area, and hip structure analysis (HSA) parameters (cortical thickness, section modulus narrow neck width, and buckling ratio) and compared it with prospective data from the Rotterdam Study. Results: In the prospective data, hip fracture cases in both sexes had lower BMD, thinner cortices, greater bone width, lower strength, and higher instability at baseline. In fractured individuals, men had an average BMD that was 0.09 g/cm2 higher than women (p &lt; 0.00001), whereas no significant difference in buckling ratios was seen. Modeled fracture distribution by BMD and buckling ratio levels were in concordance to the prospective data and showed that hip fractures seem to occur at the same absolute levels of bone instability (buckling ratio) in both men and women. No significant differences were observed between the areas under the ROC curves of BMD (0.8146 in women and 0.8048 in men) and the buckling ratio (0.8161 in women and 0.7759 in men). Conclusions: The buckling ratio (an index of bone instability) portrays in both sexes the critical balance between cortical thickness and bone width. Our findings suggest that extreme thinning of cortices in expanded bones plays a key role on local susceptibility to fracture. Even though the buckling ratio does not offer additional predictive…","author":[{"dropping-particle":"","family":"Rivadeneira","given":"Fernando","non-dropping-particle":"","parse-names":false,"suffix":""},{"dropping-particle":"","family":"Zillikens","given":"M Carola","non-dropping-particle":"","parse-names":false,"suffix":""},{"dropping-particle":"","family":"Laet","given":"Chris E D H","non-dropping-particle":"De","parse-names":false,"suffix":""},{"dropping-particle":"","family":"Hofman","given":"Albert","non-dropping-particle":"","parse-names":false,"suffix":""},{"dropping-particle":"","family":"Uitterlinden","given":"André G","non-dropping-particle":"","parse-names":false,"suffix":""},{"dropping-particle":"","family":"Beck","given":"Thomas J","non-dropping-particle":"","parse-names":false,"suffix":""},{"dropping-particle":"","family":"Pols","given":"Huibert A P","non-dropping-particle":"","parse-names":false,"suffix":""}],"container-title":"Journal of Bone and Mineral Research","id":"ITEM-2","issue":"11","issued":{"date-parts":[["2007"]]},"page":"1781-1790","title":"Femoral Neck BMD Is a Strong Predictor of Hip Fracture Susceptibility in Elderly Men and Women Because It Detects Cortical Bone Instability: The Rotterdam Study","type":"article-journal","volume":"22"},"uris":["http://www.mendeley.com/documents/?uuid=6b94633c-31ff-4847-a354-ecbcdcaa2f51"]},{"id":"ITEM-3","itemData":{"DOI":"10.1007/s11657-022-01070-4","ISBN":"0123456789","ISSN":"18623514","PMID":"35122523","abstract":"Summary: This study from southern India showed that proximal hip geometry was significantly impaired in postmenopausal women with femoral neck fracture. The trabecular bone score (TBS), which is reflective of bone microarchitecture, was also significantly impaired in patients with fracture. Introduction: There is limited information with regard to comprehensive bone health in Indian postmenopausal women with neck of femur fracture. We studied the bone mineral density (BMD), trabecular bone score (TBS), proximal hip geometry, and bone mineral biochemistry in postmenopausal women with and without femoral neck fractures. Methods: This was a cross-sectional study conducted at a tertiary care center in South India. BMD, TBS, and hip structural analysis (HSA) were assessed using a dual-energy X-ray absorptiometry (DXA) scanner. Bone mineral biochemical profiles were also studied. Results: A total of 90 postmenopausal women with acute femoral neck fracture with mean (SD) age of 63.2 (6.1) years and 90 age-matched controls were included. The prevalence of osteoporosis was higher among cases as compared to controls (83.3% vs 47.8%; P &lt; 0.001). Degraded bone microarchitecture (TBS value &lt; 1.200) was more frequent among women with hip fracture as compared to controls (46.7% vs 31.1%; P = 0.032). Cross-sectional moment of inertia (CSMI) was significantly lower at the narrow neck (NN) and inter-trochanteric (IT) region in cases (P &lt; 0.05) and buckling ratio (BR) was significantly higher at all three sites in postmenopausal women with femoral neck fracture as compared controls. Multivariate logistic regression analysis showed that femoral neck osteoporosis, low CSMI at NN and high BR at NN and femoral shaft emerged as factors significantly associated with femoral neck fractures. Conclusion: This study highlights that impaired parameters of proximal hip geometry and a low trabecular bone score may be significantly associated with femoral neck fractures in postmenopausal women.","author":[{"dropping-particle":"","family":"Johnson","given":"Johns T.","non-dropping-particle":"","parse-names":false,"suffix":""},{"dropping-particle":"","family":"Cherian","given":"Kripa Elizabeth","non-dropping-particle":"","parse-names":false,"suffix":""},{"dropping-particle":"","family":"Kapoor","given":"Nitin","non-dropping-particle":"","parse-names":false,"suffix":""},{"dropping-particle":"","family":"Jebasingh","given":"Felix K.","non-dropping-particle":"","parse-names":false,"suffix":""},{"dropping-particle":"","family":"Asha","given":"Hesarghatta Shyamsunder","non-dropping-particle":"","parse-names":false,"suffix":""},{"dropping-particle":"","family":"Mathai","given":"Thomas","non-dropping-particle":"","parse-names":false,"suffix":""},{"dropping-particle":"","family":"Nithyananth","given":"Manasseh","non-dropping-particle":"","parse-names":false,"suffix":""},{"dropping-particle":"","family":"Oommen","given":"Anil Thomas","non-dropping-particle":"","parse-names":false,"suffix":""},{"dropping-particle":"","family":"Daniel","given":"Alfred Job","non-dropping-particle":"","parse-names":false,"suffix":""},{"dropping-particle":"","family":"Thomas","given":"Nihal","non-dropping-particle":"","parse-names":false,"suffix":""},{"dropping-particle":"","family":"Paul","given":"Thomas Vizhalil","non-dropping-particle":"","parse-names":false,"suffix":""}],"container-title":"Archives of Osteoporosis","id":"ITEM-3","issue":"1","issued":{"date-parts":[["2022"]]},"page":"1-7","title":"Does hip structural analysis confer additional benefit to routine BMD assessment in postmenopausal women with hip fracture? A study from a tertiary center in southern India","type":"article-journal","volume":"17"},"uris":["http://www.mendeley.com/documents/?uuid=596ac07a-89aa-46bc-a7b1-b640274123de"]},{"id":"ITEM-4","itemData":{"DOI":"10.1007/s00198-015-3282-z","ISSN":"14332965","PMID":"26282230","abstract":"Summary: Many attempts have been made to improve the predictive ability of areal bone mineral density (aBMD) which integrates bone mass and area. The addition of an extra variable derived from the hip dual-energy X-ray (DXA) image TR_σ, which describes distribution of mass within the scanned area of the trochanter, improved prediction of 15-year hip fracture probability in elderly women. Introduction: Two-dimensional DXA imaging of the proximal femur to produce an aBMD is a clinically useful predictor of future fracture risk. Further analysis of the DXA image to produce an eight-variable hip structure analysis (Beck HSA) has been developed to improve understanding of structural factors determining hip bone strength at each of three proximal femur sites, the narrow femoral neck (NN), intertrochanter (TR) and shaft (S). Recently, data on four measurements derived from the currently used eight Beck HSA variables were used to capture population variation in bone structure at each site. These include two previously used variables, the localised aBMD and the sub-periosteal width (W) applying to 5-mm sections (at each sites), and two new variables, standard deviation of normalised mineral-mass projection profile distribution (σ), and displacement between centre-of-mineral mass and geometric centre-of-mineral mass of projection profile (δ). Methods: Using a cohort of 1159 women, mean baseline age 75, who sustained 139 hip fractures over 15 years, we determined whether these measures significantly improved 15-year hip fracture prediction compared to current approach utilising age and total hip aBMD. To describe the most parsimonious model for hip fracture risk prediction, the 12 base measures (4 from each site), total hip aBMD and age were evaluated in stepwise logistic regression models. Results: The final model included TR_σ, total hip aBMD and age and provided improved utility for hip fracture prediction compared to total hip aBMD and age alone (C-statistic 0.73 vs. 0.69, P = 0.009 and net reclassification improvement 0.164, P &lt; 0.001, respectively). Conclusions: Addition of TR_σ to total hip aBMD and age substantially improved prediction of 15-year hip fracture risk in this cohort of elderly women.","author":[{"dropping-particle":"","family":"Khoo","given":"B. C.C.","non-dropping-particle":"","parse-names":false,"suffix":""},{"dropping-particle":"","family":"Lewis","given":"J. R.","non-dropping-particle":"","parse-names":false,"suffix":""},{"dropping-particle":"","family":"Brown","given":"K.","non-dropping-particle":"","parse-names":false,"suffix":""},{"dropping-particle":"","family":"Prince","given":"R. L.","non-dropping-particle":"","parse-names":false,"suffix":""}],"container-title":"Osteoporosis International","id":"ITEM-4","issue":"1","issued":{"date-parts":[["2016"]]},"page":"241-248","title":"Evaluation of a simplified hip structure analysis method for the prediction of incident hip fracture events","type":"article-journal","volume":"27"},"uris":["http://www.mendeley.com/documents/?uuid=2280e402-9d7b-44e1-99d3-418f7b4b955c"]}],"mendeley":{"formattedCitation":"&lt;sup&gt;(14,19–21)&lt;/sup&gt;","plainTextFormattedCitation":"(14,19–21)","previouslyFormattedCitation":"&lt;sup&gt;(14,19–21)&lt;/sup&gt;"},"properties":{"noteIndex":0},"schema":"https://github.com/citation-style-language/schema/raw/master/csl-citation.json"}</w:instrText>
      </w:r>
      <w:r w:rsidR="00CB5B72" w:rsidRPr="0001438A">
        <w:fldChar w:fldCharType="separate"/>
      </w:r>
      <w:r w:rsidR="009313D1" w:rsidRPr="009313D1">
        <w:rPr>
          <w:noProof/>
          <w:vertAlign w:val="superscript"/>
        </w:rPr>
        <w:t>(14,19–21)</w:t>
      </w:r>
      <w:r w:rsidR="00CB5B72" w:rsidRPr="0001438A">
        <w:fldChar w:fldCharType="end"/>
      </w:r>
      <w:r w:rsidR="00960631" w:rsidRPr="0001438A">
        <w:t xml:space="preserve"> </w:t>
      </w:r>
      <w:r w:rsidR="003C1895" w:rsidRPr="0001438A">
        <w:t xml:space="preserve">Yang </w:t>
      </w:r>
      <w:r w:rsidR="003C1895" w:rsidRPr="0001438A">
        <w:rPr>
          <w:i/>
          <w:iCs/>
        </w:rPr>
        <w:t>et al</w:t>
      </w:r>
      <w:r w:rsidR="000F6574" w:rsidRPr="0001438A">
        <w:t>.</w:t>
      </w:r>
      <w:r w:rsidR="000F6574" w:rsidRPr="0001438A">
        <w:fldChar w:fldCharType="begin" w:fldLock="1"/>
      </w:r>
      <w:r w:rsidR="00EB5921">
        <w:instrText>ADDIN CSL_CITATION {"citationItems":[{"id":"ITEM-1","itemData":{"DOI":"https://doi.org/10.1359/jbmr.080906","abstract":"Abstract Several DXA-based structural engineering models (SEMs) of the proximal femur have been developed to estimate stress caused by sideway falls. Their usefulness in discriminating hip fracture has not yet been established and we therefore evaluated these models. The hip DXA scans of 51 postmenopausal women with hip fracture (30 femoral neck, 17 trochanteric, and 4 unspecified) and 153 age-, height-, and weight-matched controls were reanalyzed using a special version of Hologic's software that produced a pixel-by-pixel BMD map. For each map, a curved-beam, a curved composite-beam, and a finite element model were generated to calculate stress within the bone when falling sideways. An index of fracture risk (IFR) was defined over the femoral neck, trochanter, and total hip as the stress divided by the yield stress at each pixel and averaged over the regions of interest. Hip structure analysis (HSA) was also performed using Hologic APEX analysis software. Hip BMD and almost all parameters derived from HSA and SEM were discriminators of hip fracture on their own because their ORs were significantly &gt;1. Because of the high correlation of total hip BMD to HSA and SEM-derived parameters, only the bone width discriminated hip fracture independently from total hip BMD. Judged by the area under the receiver operating characteristics curve, the trochanteric IFR derived from the finite element model was significant better than total hip BMD alone and similar to the total hip BMD plus bone width in discriminating all hip fracture and femoral neck fracture. No index was better than total hip BMD for discriminating trochanteric fractures. In conclusion, the finite element model has the potential to replace hip BMD in discriminating hip fractures.","author":[{"dropping-particle":"","family":"Yang","given":"Lang","non-dropping-particle":"","parse-names":false,"suffix":""},{"dropping-particle":"","family":"Peel","given":"Nicola","non-dropping-particle":"","parse-names":false,"suffix":""},{"dropping-particle":"","family":"Clowes","given":"Jackie A","non-dropping-particle":"","parse-names":false,"suffix":""},{"dropping-particle":"V","family":"McCloskey","given":"Eugene","non-dropping-particle":"","parse-names":false,"suffix":""},{"dropping-particle":"","family":"Eastell","given":"Richard","non-dropping-particle":"","parse-names":false,"suffix":""}],"container-title":"Journal of Bone and Mineral Research","id":"ITEM-1","issue":"1","issued":{"date-parts":[["2009"]]},"page":"33-42","title":"Use of DXA-Based Structural Engineering Models of the Proximal Femur to Discriminate Hip Fracture","type":"article-journal","volume":"24"},"uris":["http://www.mendeley.com/documents/?uuid=23e0f98b-72a8-470f-8103-dde3b240ebab"]}],"mendeley":{"formattedCitation":"&lt;sup&gt;(22)&lt;/sup&gt;","plainTextFormattedCitation":"(22)","previouslyFormattedCitation":"&lt;sup&gt;(22)&lt;/sup&gt;"},"properties":{"noteIndex":0},"schema":"https://github.com/citation-style-language/schema/raw/master/csl-citation.json"}</w:instrText>
      </w:r>
      <w:r w:rsidR="000F6574" w:rsidRPr="0001438A">
        <w:fldChar w:fldCharType="separate"/>
      </w:r>
      <w:r w:rsidR="009313D1" w:rsidRPr="009313D1">
        <w:rPr>
          <w:noProof/>
          <w:vertAlign w:val="superscript"/>
        </w:rPr>
        <w:t>(22)</w:t>
      </w:r>
      <w:r w:rsidR="000F6574" w:rsidRPr="0001438A">
        <w:fldChar w:fldCharType="end"/>
      </w:r>
      <w:r w:rsidR="003C1895" w:rsidRPr="0001438A">
        <w:t xml:space="preserve"> used </w:t>
      </w:r>
      <w:r w:rsidR="003D44BF" w:rsidRPr="0001438A">
        <w:t>DXA-based structural engineering models</w:t>
      </w:r>
      <w:r w:rsidR="003C1895" w:rsidRPr="0001438A">
        <w:t xml:space="preserve"> to calculate lateral stress upon the hip with a sideways fall that provided better femoral neck fracture prediction than </w:t>
      </w:r>
      <w:proofErr w:type="spellStart"/>
      <w:r w:rsidR="003C1895" w:rsidRPr="0001438A">
        <w:t>aBMD</w:t>
      </w:r>
      <w:proofErr w:type="spellEnd"/>
      <w:r w:rsidR="003C1895" w:rsidRPr="0001438A">
        <w:t xml:space="preserve"> but did not better predict trochanteric fractures</w:t>
      </w:r>
      <w:r w:rsidR="003D44BF" w:rsidRPr="0001438A">
        <w:t>.</w:t>
      </w:r>
      <w:r w:rsidR="00100FC1" w:rsidRPr="0001438A">
        <w:t xml:space="preserve"> </w:t>
      </w:r>
      <w:r w:rsidR="00190111">
        <w:t>Several</w:t>
      </w:r>
      <w:r w:rsidR="009C47F6" w:rsidRPr="0001438A">
        <w:t xml:space="preserve"> </w:t>
      </w:r>
      <w:r w:rsidR="008545DA">
        <w:t>machine-learning-based</w:t>
      </w:r>
      <w:r w:rsidR="009C47F6" w:rsidRPr="0001438A">
        <w:t xml:space="preserve"> methods</w:t>
      </w:r>
      <w:r w:rsidR="00190111">
        <w:t xml:space="preserve"> </w:t>
      </w:r>
      <w:r>
        <w:t xml:space="preserve">have </w:t>
      </w:r>
      <w:r w:rsidR="00F728C5">
        <w:t xml:space="preserve">also </w:t>
      </w:r>
      <w:r>
        <w:t>been</w:t>
      </w:r>
      <w:r w:rsidR="00190111">
        <w:t xml:space="preserve"> proposed </w:t>
      </w:r>
      <w:r w:rsidR="009C47F6" w:rsidRPr="0001438A">
        <w:t xml:space="preserve">to quantitate texture features from pixel-level </w:t>
      </w:r>
      <w:r w:rsidR="00CC0D50">
        <w:t>DXA scans</w:t>
      </w:r>
      <w:r w:rsidR="009C47F6" w:rsidRPr="0001438A">
        <w:t xml:space="preserve"> to improve hip fracture prediction.</w:t>
      </w:r>
      <w:r w:rsidR="00190111">
        <w:fldChar w:fldCharType="begin" w:fldLock="1"/>
      </w:r>
      <w:r w:rsidR="00EB5921">
        <w:instrText>ADDIN CSL_CITATION {"citationItems":[{"id":"ITEM-1","itemData":{"DOI":"https://doi.org/10.1002/jbmr.4342","abstract":"ABSTRACT Dual-energy X-ray absorptiometry (DXA)-based bone mineral density testing is standard to diagnose osteoporosis to detect individuals at high risk of fracture. A radiomics approach to extract quantifiable texture features from DXA hip images may improve hip fracture prediction without additional costs. Here, we investigated whether bone radiomics scores from DXA hip images could improve hip fracture prediction in a community-based cohort of older women. The derivation set (143 women who sustained hip fracture [mean age 73 years, time to fracture median 2.1 years] versus 290 age-matched women [mean age 73 years] who did not sustain hip fracture during follow-up [median 5.5 years]) were split into the train set (75%) and the test set (25% hold-out set). Among various models using 14 selected features out of 300 texture features mined from DXA hip images in the train set, random forest model was selected as the best model to build a bone radiomics score (range 0 to 100) based on the performance in the test set. In a community-based cohort (2029 women, mean age 71 years) as the clinical validation set, the bone radiomics score was calculated using a model fitted in the train set. A total of 34 participants (1.7%) sustained hip fracture during median follow-up of 5.4 years (mean bone radiomics score 40 ± 16 versus 28 ± 12 in non-fractured, p &lt; 0.001). A one-point bone radiomics score increment was associated with a 4% elevated risk of incident hip fracture (adjusted hazard ratio [aHR] = 1.04, p = 0.001) after adjustment for age, body mass index (BMI), previous history of fracture, and femoral neck T-score, with improved model fit when added to covariates (likelihood ratio chi-square 10.74, p = 0.001). The association between bone radiomics score with incident hip fracture remained robust (aHR = 1.06, p &lt; 0.001) after adjustment for FRAX hip fracture probability. Bone radiomics scores estimated from texture features of DXA hip images have the potential to improve hip fracture prediction. © 2021 American Society for Bone and Mineral Research (ASBMR).","author":[{"dropping-particle":"","family":"Hong","given":"Namki","non-dropping-particle":"","parse-names":false,"suffix":""},{"dropping-particle":"","family":"Park","given":"Heajeong","non-dropping-particle":"","parse-names":false,"suffix":""},{"dropping-particle":"","family":"Kim","given":"Chang Oh","non-dropping-particle":"","parse-names":false,"suffix":""},{"dropping-particle":"","family":"Kim","given":"Hyeon Chang","non-dropping-particle":"","parse-names":false,"suffix":""},{"dropping-particle":"","family":"Choi","given":"Jin-Young","non-dropping-particle":"","parse-names":false,"suffix":""},{"dropping-particle":"","family":"Kim","given":"Hwiyoung","non-dropping-particle":"","parse-names":false,"suffix":""},{"dropping-particle":"","family":"Rhee","given":"Yumie","non-dropping-particle":"","parse-names":false,"suffix":""}],"container-title":"Journal of Bone and Mineral Research","id":"ITEM-1","issue":"0","issued":{"date-parts":[["2021"]]},"page":"1-9","title":"Bone Radiomics Score Derived From DXA Hip Images Enhances Hip Fracture Prediction in Older Women","type":"article-journal","volume":"0"},"uris":["http://www.mendeley.com/documents/?uuid=a9def70c-eab5-4eeb-8f45-55cdeaf90a44"]},{"id":"ITEM-2","itemData":{"DOI":"10.1007/s00198-020-05444-7","ISBN":"0019802005","ISSN":"14332965","PMID":"32415372","abstract":"Summary: A new technique to enhance hip fracture risk prediction in older adults was presented and assessed. The new method dramatically improved prediction at high specificity levels using only a standard clinical diagnostic scan. This has the potential to be implemented in clinical practice to enhance patient fragility diagnosis. Introduction: Diagnosis of osteoporosis is based on the measurement of bone mineral density (BMD) using dual-energy X-ray absorptiometry (DXA) scans. However, studies have shown this to be insufficient to accurately predict hip fractures. Therefore, complementary methods are needed to enhance hip fracture risk prediction to identify vulnerable patients. Methods: Hip DXA scans were obtained for 192 subjects from the Canadian Multicenter Osteoporosis Study (CaMos), 50 of whom had experienced a hip fracture within 5 years of the scan. 2D statistical shape and appearance modeling was performed to account for the effect of the femur’s geometry and BMD distribution on hip fracture risk. Statistical shape modeling (SSM), and statistical appearance modeling (SAM) were also used separately to predict the fracture risk based solely on the femur’s geometry and BMD distribution, respectively. Combined with BMD, age, and body mass index (BMI), logistic regression was performed to estimate the fracture risk over the 5-year period. Results: Using the new technique, hip fractures were correctly predicted in 78% of cases compared with 36% when using the T-score. The accuracy of the prediction was not greatly reduced when using SSM and SAM (78% and 74% correct, respectively). Various geometric and BMD distribution traits were identified in the fractured and non-fractured groups. Conclusion: 2D SSAM can dramatically improve hip fracture prediction at high specificity levels and estimate the year of the impending fracture using standard clinical images. This has the potential to be implemented in clinical practice to estimate hip fracture risk.","author":[{"dropping-particle":"","family":"Jazinizadeh","given":"F.","non-dropping-particle":"","parse-names":false,"suffix":""},{"dropping-particle":"","family":"Adachi","given":"J. D.","non-dropping-particle":"","parse-names":false,"suffix":""},{"dropping-particle":"","family":"Quenneville","given":"C. E.","non-dropping-particle":"","parse-names":false,"suffix":""}],"container-title":"Osteoporosis International","id":"ITEM-2","issue":"10","issued":{"date-parts":[["2020"]]},"page":"1925-1933","publisher":"Osteoporosis International","title":"Advanced 2D image processing technique to predict hip fracture risk in an older population based on single DXA scans","type":"article-journal","volume":"31"},"uris":["http://www.mendeley.com/documents/?uuid=18dc0a7f-fe2f-421b-b6ae-7e899aedacd3"]},{"id":"ITEM-3","itemData":{"DOI":"10.1007/s00198-006-0302-z","ISSN":"0937941X","PMID":"17235663","abstract":"We introduce an algorithm to evaluate hip DXA scans using quantitative image analysis procedures based on the Minkowski functionals (MF) for differentiation between post-menopausal women with and without hip fracture. In a population of 30 post-menopausal women, the new parameter has a highly discriminative potential with a performance superior to standard densitometry providing complementary information compared to BMD. INTRODUCTION: We introduce a novel algorithm to evaluate DXA scans of the hip using quantitative image analysis based on the Minkowski functionals (MF) to identify post-menopausal women with hip-fracture and to compare the results with densitometry. METHODS: BMD of 30 women (73.9 +/- 10.3 years), 15 of whom had a recent hip fracture, is obtained by DXA using the \"total hip\" ROI. The topology of mineral distribution in the scan images is evaluated using the MF-based parameter MF2D. ROC analysis is employed to assess the discriminative potential (fracture/non-fracture). RESULTS: The area-under-the-curve (AUC) for identification of patients with/without fractures by BMD is .72(p = 0.04), AUC for MF2D is .85(p = 0.001). No statistically significant correlation exists between MF2D and BMD. By discriminant analysis we can show that by combination of MF2D and BMD the outcome increases significantly: using BMD or MF2D alone, 63% and 70% of cases are classified correctly versus 77% of cases in the multivariate model. CONCLUSION: The topology-based parameter has a high predictive potential with respect to identification of patients with high risk of hip fracture, performance is superior to densitometry. The new method provides information complementary to BMD. Best classification results are obtained when BMD and MF2D are combined in a multivariate model.","author":[{"dropping-particle":"","family":"Boehm","given":"H. F.","non-dropping-particle":"","parse-names":false,"suffix":""},{"dropping-particle":"","family":"Vogel","given":"T.","non-dropping-particle":"","parse-names":false,"suffix":""},{"dropping-particle":"","family":"Panteleon","given":"A.","non-dropping-particle":"","parse-names":false,"suffix":""},{"dropping-particle":"","family":"Burklein","given":"D.","non-dropping-particle":"","parse-names":false,"suffix":""},{"dropping-particle":"","family":"Bitterling","given":"H.","non-dropping-particle":"","parse-names":false,"suffix":""},{"dropping-particle":"","family":"Reiser","given":"M.","non-dropping-particle":"","parse-names":false,"suffix":""}],"container-title":"Osteoporosis International","id":"ITEM-3","issue":"6","issued":{"date-parts":[["2007"]]},"page":"779-787","title":"Differentiation between post-menopausal women with and without hip fractures: Enhanced evaluation of clinical DXA by topological analysis of the mineral distribution in the scan images","type":"article-journal","volume":"18"},"uris":["http://www.mendeley.com/documents/?uuid=9ab95098-3f3c-4206-8dd2-7b2b40eac18f"]}],"mendeley":{"formattedCitation":"&lt;sup&gt;(23–25)&lt;/sup&gt;","plainTextFormattedCitation":"(23–25)","previouslyFormattedCitation":"&lt;sup&gt;(23–25)&lt;/sup&gt;"},"properties":{"noteIndex":0},"schema":"https://github.com/citation-style-language/schema/raw/master/csl-citation.json"}</w:instrText>
      </w:r>
      <w:r w:rsidR="00190111">
        <w:fldChar w:fldCharType="separate"/>
      </w:r>
      <w:r w:rsidR="009313D1" w:rsidRPr="009313D1">
        <w:rPr>
          <w:noProof/>
          <w:vertAlign w:val="superscript"/>
        </w:rPr>
        <w:t>(23–25)</w:t>
      </w:r>
      <w:r w:rsidR="00190111">
        <w:fldChar w:fldCharType="end"/>
      </w:r>
      <w:r w:rsidR="00960969">
        <w:t xml:space="preserve"> </w:t>
      </w:r>
      <w:r w:rsidR="00B54C92">
        <w:t xml:space="preserve">Despite their potential merits, </w:t>
      </w:r>
      <w:r w:rsidR="008545DA">
        <w:t xml:space="preserve">the </w:t>
      </w:r>
      <w:r>
        <w:t>small</w:t>
      </w:r>
      <w:r w:rsidR="00B54C92">
        <w:t xml:space="preserve"> number of fracture cases</w:t>
      </w:r>
      <w:r w:rsidR="00FC03A4">
        <w:t xml:space="preserve"> (n</w:t>
      </w:r>
      <w:r w:rsidR="00CC632A">
        <w:t>≤</w:t>
      </w:r>
      <w:r w:rsidR="000C653F">
        <w:t>50</w:t>
      </w:r>
      <w:r w:rsidR="00FC03A4">
        <w:t>)</w:t>
      </w:r>
      <w:r w:rsidR="00B54C92">
        <w:t xml:space="preserve"> is a </w:t>
      </w:r>
      <w:r w:rsidR="001B601E">
        <w:t xml:space="preserve">significant </w:t>
      </w:r>
      <w:r>
        <w:t>limitation</w:t>
      </w:r>
      <w:r w:rsidR="00B54C92">
        <w:t xml:space="preserve"> in these studies.</w:t>
      </w:r>
      <w:r w:rsidR="00B54C92">
        <w:fldChar w:fldCharType="begin" w:fldLock="1"/>
      </w:r>
      <w:r w:rsidR="00EB5921">
        <w:instrText>ADDIN CSL_CITATION {"citationItems":[{"id":"ITEM-1","itemData":{"DOI":"https://doi.org/10.1002/jbmr.4342","abstract":"ABSTRACT Dual-energy X-ray absorptiometry (DXA)-based bone mineral density testing is standard to diagnose osteoporosis to detect individuals at high risk of fracture. A radiomics approach to extract quantifiable texture features from DXA hip images may improve hip fracture prediction without additional costs. Here, we investigated whether bone radiomics scores from DXA hip images could improve hip fracture prediction in a community-based cohort of older women. The derivation set (143 women who sustained hip fracture [mean age 73 years, time to fracture median 2.1 years] versus 290 age-matched women [mean age 73 years] who did not sustain hip fracture during follow-up [median 5.5 years]) were split into the train set (75%) and the test set (25% hold-out set). Among various models using 14 selected features out of 300 texture features mined from DXA hip images in the train set, random forest model was selected as the best model to build a bone radiomics score (range 0 to 100) based on the performance in the test set. In a community-based cohort (2029 women, mean age 71 years) as the clinical validation set, the bone radiomics score was calculated using a model fitted in the train set. A total of 34 participants (1.7%) sustained hip fracture during median follow-up of 5.4 years (mean bone radiomics score 40 ± 16 versus 28 ± 12 in non-fractured, p &lt; 0.001). A one-point bone radiomics score increment was associated with a 4% elevated risk of incident hip fracture (adjusted hazard ratio [aHR] = 1.04, p = 0.001) after adjustment for age, body mass index (BMI), previous history of fracture, and femoral neck T-score, with improved model fit when added to covariates (likelihood ratio chi-square 10.74, p = 0.001). The association between bone radiomics score with incident hip fracture remained robust (aHR = 1.06, p &lt; 0.001) after adjustment for FRAX hip fracture probability. Bone radiomics scores estimated from texture features of DXA hip images have the potential to improve hip fracture prediction. © 2021 American Society for Bone and Mineral Research (ASBMR).","author":[{"dropping-particle":"","family":"Hong","given":"Namki","non-dropping-particle":"","parse-names":false,"suffix":""},{"dropping-particle":"","family":"Park","given":"Heajeong","non-dropping-particle":"","parse-names":false,"suffix":""},{"dropping-particle":"","family":"Kim","given":"Chang Oh","non-dropping-particle":"","parse-names":false,"suffix":""},{"dropping-particle":"","family":"Kim","given":"Hyeon Chang","non-dropping-particle":"","parse-names":false,"suffix":""},{"dropping-particle":"","family":"Choi","given":"Jin-Young","non-dropping-particle":"","parse-names":false,"suffix":""},{"dropping-particle":"","family":"Kim","given":"Hwiyoung","non-dropping-particle":"","parse-names":false,"suffix":""},{"dropping-particle":"","family":"Rhee","given":"Yumie","non-dropping-particle":"","parse-names":false,"suffix":""}],"container-title":"Journal of Bone and Mineral Research","id":"ITEM-1","issue":"0","issued":{"date-parts":[["2021"]]},"page":"1-9","title":"Bone Radiomics Score Derived From DXA Hip Images Enhances Hip Fracture Prediction in Older Women","type":"article-journal","volume":"0"},"uris":["http://www.mendeley.com/documents/?uuid=a9def70c-eab5-4eeb-8f45-55cdeaf90a44"]},{"id":"ITEM-2","itemData":{"DOI":"10.1007/s00198-020-05444-7","ISBN":"0019802005","ISSN":"14332965","PMID":"32415372","abstract":"Summary: A new technique to enhance hip fracture risk prediction in older adults was presented and assessed. The new method dramatically improved prediction at high specificity levels using only a standard clinical diagnostic scan. This has the potential to be implemented in clinical practice to enhance patient fragility diagnosis. Introduction: Diagnosis of osteoporosis is based on the measurement of bone mineral density (BMD) using dual-energy X-ray absorptiometry (DXA) scans. However, studies have shown this to be insufficient to accurately predict hip fractures. Therefore, complementary methods are needed to enhance hip fracture risk prediction to identify vulnerable patients. Methods: Hip DXA scans were obtained for 192 subjects from the Canadian Multicenter Osteoporosis Study (CaMos), 50 of whom had experienced a hip fracture within 5 years of the scan. 2D statistical shape and appearance modeling was performed to account for the effect of the femur’s geometry and BMD distribution on hip fracture risk. Statistical shape modeling (SSM), and statistical appearance modeling (SAM) were also used separately to predict the fracture risk based solely on the femur’s geometry and BMD distribution, respectively. Combined with BMD, age, and body mass index (BMI), logistic regression was performed to estimate the fracture risk over the 5-year period. Results: Using the new technique, hip fractures were correctly predicted in 78% of cases compared with 36% when using the T-score. The accuracy of the prediction was not greatly reduced when using SSM and SAM (78% and 74% correct, respectively). Various geometric and BMD distribution traits were identified in the fractured and non-fractured groups. Conclusion: 2D SSAM can dramatically improve hip fracture prediction at high specificity levels and estimate the year of the impending fracture using standard clinical images. This has the potential to be implemented in clinical practice to estimate hip fracture risk.","author":[{"dropping-particle":"","family":"Jazinizadeh","given":"F.","non-dropping-particle":"","parse-names":false,"suffix":""},{"dropping-particle":"","family":"Adachi","given":"J. D.","non-dropping-particle":"","parse-names":false,"suffix":""},{"dropping-particle":"","family":"Quenneville","given":"C. E.","non-dropping-particle":"","parse-names":false,"suffix":""}],"container-title":"Osteoporosis International","id":"ITEM-2","issue":"10","issued":{"date-parts":[["2020"]]},"page":"1925-1933","publisher":"Osteoporosis International","title":"Advanced 2D image processing technique to predict hip fracture risk in an older population based on single DXA scans","type":"article-journal","volume":"31"},"uris":["http://www.mendeley.com/documents/?uuid=18dc0a7f-fe2f-421b-b6ae-7e899aedacd3"]},{"id":"ITEM-3","itemData":{"DOI":"10.1007/s00198-006-0302-z","ISSN":"0937941X","PMID":"17235663","abstract":"We introduce an algorithm to evaluate hip DXA scans using quantitative image analysis procedures based on the Minkowski functionals (MF) for differentiation between post-menopausal women with and without hip fracture. In a population of 30 post-menopausal women, the new parameter has a highly discriminative potential with a performance superior to standard densitometry providing complementary information compared to BMD. INTRODUCTION: We introduce a novel algorithm to evaluate DXA scans of the hip using quantitative image analysis based on the Minkowski functionals (MF) to identify post-menopausal women with hip-fracture and to compare the results with densitometry. METHODS: BMD of 30 women (73.9 +/- 10.3 years), 15 of whom had a recent hip fracture, is obtained by DXA using the \"total hip\" ROI. The topology of mineral distribution in the scan images is evaluated using the MF-based parameter MF2D. ROC analysis is employed to assess the discriminative potential (fracture/non-fracture). RESULTS: The area-under-the-curve (AUC) for identification of patients with/without fractures by BMD is .72(p = 0.04), AUC for MF2D is .85(p = 0.001). No statistically significant correlation exists between MF2D and BMD. By discriminant analysis we can show that by combination of MF2D and BMD the outcome increases significantly: using BMD or MF2D alone, 63% and 70% of cases are classified correctly versus 77% of cases in the multivariate model. CONCLUSION: The topology-based parameter has a high predictive potential with respect to identification of patients with high risk of hip fracture, performance is superior to densitometry. The new method provides information complementary to BMD. Best classification results are obtained when BMD and MF2D are combined in a multivariate model.","author":[{"dropping-particle":"","family":"Boehm","given":"H. F.","non-dropping-particle":"","parse-names":false,"suffix":""},{"dropping-particle":"","family":"Vogel","given":"T.","non-dropping-particle":"","parse-names":false,"suffix":""},{"dropping-particle":"","family":"Panteleon","given":"A.","non-dropping-particle":"","parse-names":false,"suffix":""},{"dropping-particle":"","family":"Burklein","given":"D.","non-dropping-particle":"","parse-names":false,"suffix":""},{"dropping-particle":"","family":"Bitterling","given":"H.","non-dropping-particle":"","parse-names":false,"suffix":""},{"dropping-particle":"","family":"Reiser","given":"M.","non-dropping-particle":"","parse-names":false,"suffix":""}],"container-title":"Osteoporosis International","id":"ITEM-3","issue":"6","issued":{"date-parts":[["2007"]]},"page":"779-787","title":"Differentiation between post-menopausal women with and without hip fractures: Enhanced evaluation of clinical DXA by topological analysis of the mineral distribution in the scan images","type":"article-journal","volume":"18"},"uris":["http://www.mendeley.com/documents/?uuid=9ab95098-3f3c-4206-8dd2-7b2b40eac18f"]}],"mendeley":{"formattedCitation":"&lt;sup&gt;(23–25)&lt;/sup&gt;","plainTextFormattedCitation":"(23–25)","previouslyFormattedCitation":"&lt;sup&gt;(23–25)&lt;/sup&gt;"},"properties":{"noteIndex":0},"schema":"https://github.com/citation-style-language/schema/raw/master/csl-citation.json"}</w:instrText>
      </w:r>
      <w:r w:rsidR="00B54C92">
        <w:fldChar w:fldCharType="separate"/>
      </w:r>
      <w:r w:rsidR="009313D1" w:rsidRPr="009313D1">
        <w:rPr>
          <w:noProof/>
          <w:vertAlign w:val="superscript"/>
        </w:rPr>
        <w:t>(23–25)</w:t>
      </w:r>
      <w:r w:rsidR="00B54C92">
        <w:fldChar w:fldCharType="end"/>
      </w:r>
      <w:r w:rsidR="00B54C92">
        <w:t xml:space="preserve"> Given the </w:t>
      </w:r>
      <w:r>
        <w:t xml:space="preserve">relatively </w:t>
      </w:r>
      <w:r w:rsidR="00B54C92">
        <w:t xml:space="preserve">low rate of </w:t>
      </w:r>
      <w:r w:rsidR="00044B9B">
        <w:t>hip</w:t>
      </w:r>
      <w:r w:rsidR="00B54C92">
        <w:t xml:space="preserve"> fractures in the </w:t>
      </w:r>
      <w:r w:rsidR="00044B9B">
        <w:t>population</w:t>
      </w:r>
      <w:r w:rsidR="00B54C92">
        <w:t xml:space="preserve"> (</w:t>
      </w:r>
      <w:r w:rsidR="00044B9B">
        <w:t>~</w:t>
      </w:r>
      <w:r w:rsidR="00B54C92">
        <w:t>2</w:t>
      </w:r>
      <w:r w:rsidR="00044B9B">
        <w:t xml:space="preserve"> to 5</w:t>
      </w:r>
      <w:r w:rsidR="00B54C92">
        <w:t>%), employing a discriminative learning approach is prone to overfitting errors.</w:t>
      </w:r>
    </w:p>
    <w:p w14:paraId="0B847F59" w14:textId="22DF435E" w:rsidR="00F45C0A" w:rsidRPr="0001438A" w:rsidRDefault="004036A6" w:rsidP="00EB5921">
      <w:r>
        <w:t xml:space="preserve">We have previously reported a technique termed </w:t>
      </w:r>
      <w:r w:rsidRPr="0001438A">
        <w:t>DXA</w:t>
      </w:r>
      <w:r w:rsidR="00416B92">
        <w:t xml:space="preserve"> </w:t>
      </w:r>
      <w:r w:rsidR="00416B92" w:rsidRPr="0001438A">
        <w:t>Region</w:t>
      </w:r>
      <w:r w:rsidR="00416B92">
        <w:t>-</w:t>
      </w:r>
      <w:r w:rsidRPr="0001438A">
        <w:t xml:space="preserve">Free Analysis (DXA-RFA) </w:t>
      </w:r>
      <w:r>
        <w:t>t</w:t>
      </w:r>
      <w:r w:rsidR="00B90590" w:rsidRPr="0001438A">
        <w:t>o extract pixel-level</w:t>
      </w:r>
      <w:r w:rsidR="00FD5045">
        <w:t xml:space="preserve"> BMD</w:t>
      </w:r>
      <w:r w:rsidR="00B90590" w:rsidRPr="0001438A">
        <w:t xml:space="preserve"> from DXA datasets</w:t>
      </w:r>
      <w:r>
        <w:t xml:space="preserve"> that</w:t>
      </w:r>
      <w:r w:rsidR="00B90590" w:rsidRPr="0001438A">
        <w:t xml:space="preserve"> describe</w:t>
      </w:r>
      <w:r>
        <w:t>s</w:t>
      </w:r>
      <w:r w:rsidR="00B90590" w:rsidRPr="0001438A">
        <w:t xml:space="preserve"> bone</w:t>
      </w:r>
      <w:r w:rsidR="00FE3521" w:rsidRPr="0001438A">
        <w:t xml:space="preserve"> </w:t>
      </w:r>
      <w:r w:rsidR="00650CD3">
        <w:t>loss</w:t>
      </w:r>
      <w:r w:rsidR="00FE3521" w:rsidRPr="0001438A">
        <w:t xml:space="preserve"> </w:t>
      </w:r>
      <w:r w:rsidR="008545DA">
        <w:t>occurring</w:t>
      </w:r>
      <w:r w:rsidR="00337D5C" w:rsidRPr="0001438A">
        <w:t xml:space="preserve"> around </w:t>
      </w:r>
      <w:r w:rsidR="001457FB">
        <w:t xml:space="preserve">hip </w:t>
      </w:r>
      <w:r w:rsidR="00337D5C" w:rsidRPr="0001438A">
        <w:t>joint prosthese</w:t>
      </w:r>
      <w:r w:rsidR="00B90590" w:rsidRPr="0001438A">
        <w:t>s.</w:t>
      </w:r>
      <w:r w:rsidR="007667E3" w:rsidRPr="0001438A">
        <w:fldChar w:fldCharType="begin" w:fldLock="1"/>
      </w:r>
      <w:r w:rsidR="00EB5921">
        <w:instrText>ADDIN CSL_CITATION {"citationItems":[{"id":"ITEM-1","itemData":{"abstract":"Purpose To outline the conceptual development of dual-energy absorptiometric (DXA) region-free analysis, quantify its precision, and evaluate its application to quantify the change in longitudinal femoral periprosthetic bone mineral density (BMD) in patients during the 12 months after total hip arthroplasty. Materials and Methods All subjects had undergone total hip arthroplasty for idiopathic arthritis, and the scans were collected as part of previous ethically approved studies (1998-2005) for which informed consent was provided. Contemporary image processing approaches were used to develop a region of interest-free DXA analysis method with increased spatial resolution for assessment of proximal femoral BMD. The method was calibrated, and its accuracy relative to a proprietary algorithm was assessed by using a hip phantom. The precision of the method was examined by using repeat DXA acquisitions in 29 patients, and its ability to allow spatial resolution of localized periprosthetic BMD change at the hip was assessed in an independent group of 19 patients who were measured throughout a 12-month period. Differences were evaluated with t tests (P &lt; .05). Results The method allowed spatial resolution of more than 10 000 individual BMD data points on a typical archived prosthetic hip scan. The median data point-level error of the method after calibration was -1.9% (interquartile range, -7.2% to 3.5%) relative to a proprietary algorithm. The median data point-level precision, expressed as a coefficient of variation, was 1.4% (interquartile range, 1.2%-1.6%). Evaluation of BMD change in a model of periprosthetic bone loss demonstrated large but highly focal changes in BMD that would not be resolved by using traditional region of interest-based analysis approaches. Conclusion The proposed approach provides a quantitative, precise method for extracting high-spatial-resolution BMD data from existing DXA datasets without the limitations imposed by region of interest-based analysis. © RSNA, 2014.","author":[{"dropping-particle":"","family":"Morris","given":"Richard M","non-dropping-particle":"","parse-names":false,"suffix":""},{"dropping-particle":"","family":"Yang","given":"Lang","non-dropping-particle":"","parse-names":false,"suffix":""},{"dropping-particle":"","family":"Martín-Fernández","given":"Miguel A","non-dropping-particle":"","parse-names":false,"suffix":""},{"dropping-particle":"","family":"Pozo","given":"Jose M","non-dropping-particle":"","parse-names":false,"suffix":""},{"dropping-particle":"","family":"Frangi","given":"Alejandro F","non-dropping-particle":"","parse-names":false,"suffix":""},{"dropping-particle":"","family":"Wilkinson","given":"J Mark","non-dropping-particle":"","parse-names":false,"suffix":""},{"dropping-particle":"","family":"Tower","given":"Prudential","non-dropping-particle":"","parse-names":false,"suffix":""}],"container-title":"Radiology","id":"ITEM-1","issue":"2","issued":{"date-parts":[["2015"]]},"language":"EN","page":"532-539","publisher":"Radiological Society of North America","title":"High-Spatial-Resolution Bone Densitometry with Dual-Energy X-ray Absorptiometric Region-free Analysis","type":"article-journal","volume":"274"},"uris":["http://www.mendeley.com/documents/?uuid=d04747a2-dcaa-43a3-958a-5400d277fc49"]},{"id":"ITEM-2","itemData":{"DOI":"10.1002/jor.23536","ISSN":"1554527X","PMID":"28169450","abstract":"© 2017 The Authors Journal of Orthopaedic Research published by Wiley Periodicals, Inc. on behalf of Orthopaedic Research Society Dual energy X-ray absorptiometry (DXA) is the reference standard method used to study bone mineral density (BMD) after total hip arthroplasty (THA). However, the subtle, spatially complex changes in bone mass due to strain-adaptive bone remodeling relevant to different prosthesis designs are not readily resolved using conventional DXA analysis. DXA region free analysis (DXA RFA) is a novel computational image analysis technique that provides a high-resolution quantitation of periprosthetic BMD. Here, we applied the technique to quantitate the magnitude and areal size of periprosthetic BMD changes using scans acquired during two previous randomized clinical trials (2004 to 2009); one comparing three cemented prosthesis design geometries, and the other comparing a hip resurfacing versus a conventional cementless prosthesis. DXA RFA resolved subtle differences in magnitude and area of bone remodeling between prosthesis designs not previously identified in conventional DXA analyses. A mean bone loss of 10.3%, 12.1%, and 11.1% occurred for the three cemented prostheses within a bone area fraction of 14.8%, 14.4%, and 6.2%, mostly within the lesser trochanter (p  &lt;  0.001). For the cementless prosthesis, a diffuse pattern of bone loss (−14.3%) was observed at the shaft of femur in a small area fraction of 0.6% versus no significant bone loss for the hip resurfacing prosthesis (p  &lt;  0.001). BMD increases were observed consistently at the greater trochanter for all prostheses except the hip-resurfacing prosthesis, where BMD increase was widespread across the metaphysis (p  &lt;  0.001). DXA RFA provides high-resolution insights into the effect of prosthesis design on the local strain environment in bone. © 2017 The Authors Journal of Orthopaedic Research published by Wiley Periodicals, Inc. on behalf of Orthopaedic Research Society. J Orthop Res 35:2203–2210, 2017.","author":[{"dropping-particle":"","family":"Farzi","given":"Mohsen","non-dropping-particle":"","parse-names":false,"suffix":""},{"dropping-particle":"","family":"Morris","given":"Richard M.","non-dropping-particle":"","parse-names":false,"suffix":""},{"dropping-particle":"","family":"Penny","given":"Jeannette","non-dropping-particle":"","parse-names":false,"suffix":""},{"dropping-particle":"","family":"Yang","given":"Lang","non-dropping-particle":"","parse-names":false,"suffix":""},{"dropping-particle":"","family":"Pozo","given":"Jose M.","non-dropping-particle":"","parse-names":false,"suffix":""},{"dropping-particle":"","family":"Overgaard","given":"Søren","non-dropping-particle":"","parse-names":false,"suffix":""},{"dropping-particle":"","family":"Frangi","given":"Alejandro F.","non-dropping-particle":"","parse-names":false,"suffix":""},{"dropping-particle":"","family":"Wilkinson","given":"Jeremy Mark","non-dropping-particle":"","parse-names":false,"suffix":""}],"container-title":"Journal of Orthopaedic Research","id":"ITEM-2","issue":"10","issued":{"date-parts":[["2017"]]},"page":"2203-2210","title":"Quantitating the effect of prosthesis design on femoral remodeling using high-resolution region-free densitometric analysis (DXA-RFA)","type":"article-journal","volume":"35"},"uris":["http://www.mendeley.com/documents/?uuid=fa09352f-331e-4107-9c77-7718cb203f81"]},{"id":"ITEM-3","itemData":{"DOI":"https://doi.org/10.1016/j.jocd.2017.05.013","ISSN":"1094-6950","abstract":"The gold standard tool for measuring periprosthetic bone mineral density (BMD) is dual-energy X-ray absorptiometry (DXA). However, resolution of the method is limited due to the aggregation of pixel data into large regions of interest for clinical and statistical analysis. We have previously validated a region-free analysis method (DXA-RFA) for quantitating BMD change at the pixel level around femoral prostheses. Here, we applied the DXA-RFA method to the pelvis, and quantitated its precision in this setting using repeated DXA scans taken on the same day after repositioning in 29 patients after total hip arthroplasty. Scans were semiautomatically segmented using edge detection, intensity thresholding, and morphologic operations, and elastically registered to a common template generated through generalized Procrustes analysis. Pixel-wise BMD precision between repeated scans was expressed as a coefficient of variation %. Longitudinal BMD change was assessed in an independent group of 24 patients followed up for 260 wk. DXA-RFA spatial resolution of 0.31 mm2 provided approximately 12,500 data points per scan. The median data-point precision was 17.8% (interquartile range 14.3%–22.7%). The anatomic distribution of the precision errors showed poorer precision at the bone borders and superior precision to the obturator foramen. Evaluation of longitudinal BMD showed focal BMD change at 260 wk of −26.8% adjacent to the prosthesis-bone interface (1% of bone map area). In contrast, BMD change of +39.0% was observed at the outer aspect of the ischium (3% of bone map area). Pelvic DXA-RFA is less precise than conventional DXA analysis. However, it is sensitive for detecting local BMD change events in groups of patients, and provides a novel tool for quantitating local bone mass after joint replacement. Using this method, we were able to resolve BMD change over small areas adjacent to the implant-bone interface and in the ischial region over 260 wk after total hip arthroplasty.","author":[{"dropping-particle":"","family":"Parker","given":"Andrew M","non-dropping-particle":"","parse-names":false,"suffix":""},{"dropping-particle":"","family":"Yang","given":"Lang","non-dropping-particle":"","parse-names":false,"suffix":""},{"dropping-particle":"","family":"Farzi","given":"Mohsen","non-dropping-particle":"","parse-names":false,"suffix":""},{"dropping-particle":"","family":"Pozo","given":"José M","non-dropping-particle":"","parse-names":false,"suffix":""},{"dropping-particle":"","family":"Frangi","given":"Alejandro F","non-dropping-particle":"","parse-names":false,"suffix":""},{"dropping-particle":"","family":"Wilkinson","given":"J Mark","non-dropping-particle":"","parse-names":false,"suffix":""}],"container-title":"Journal of Clinical Densitometry","id":"ITEM-3","issue":"4","issued":{"date-parts":[["2017"]]},"page":"480-485","title":"Quantifying Pelvic Periprosthetic Bone Remodeling Using Dual-Energy X-Ray Absorptiometry Region-Free Analysis","type":"article-journal","volume":"20"},"uris":["http://www.mendeley.com/documents/?uuid=a9a4e769-4c5d-47ce-8c0b-6712e9b1af83"]},{"id":"ITEM-4","itemData":{"ISSN":"0021-9355","abstract":"Background: In this randomized controlled trial (RCT), we compared bone remodeling and bone turnover between 2 total hip arthroplasty implants—the short, proximally porous-coated Tri-Lock Bone-Preservation Stem and a conventional, fully-coated Corail prosthesis—over a 2-year postoperative period. Methods: Forty-six participants received the Tri-Lock prosthesis and 40 received the Corail prosthesis. At baseline, the 2 groups had similar demographics, proximal femoral bone mineral density (BMD), bone turnover markers, radiographic canal flare index, and patient-reported outcome measure (PROM) scores. Outcomes were measured at weeks 26, 52, and 104. Results: Loss of periprosthetic bone, measured by high-sensitivity dual x-ray absorptiometry region-free analysis (DXA-RFA), was identified at the calcar and proximal-lateral aspect of the femur in both prosthesis groups (p &lt; 0.05). However, the conventional prosthesis was associated with a smaller reduction in BMD compared with the bone-preservation prosthesis (p &lt; 0.001). This effect was most prominent in the region of the femoral calcar and greater trochanter. A small gain in BMD was also identified in some areas, and this gain was greater with the conventional than the bone-preservation prosthesis (p &lt; 0.001). The 2 groups had similar changes in bone turnover markers and improvement in PROM scores over the study period (p &gt; 0.05). The adverse-event rate was also similar between the groups (p &gt; 0.05). Conclusions: This RCT shows that prostheses intended to preserve proximal femoral bone do not necessarily perform better in this regard than conventional cementless designs. DXA-RFA is a sensitive tool for detecting spatially complex patterns of periprosthetic bone remodeling. Level of Evidence: Therapeutic Level I. See Instructions for Authors for a complete description of levels of evidence.","author":[{"dropping-particle":"","family":"Slullitel","given":"Pablo A","non-dropping-particle":"","parse-names":false,"suffix":""},{"dropping-particle":"","family":"Mahatma","given":"Mohit M","non-dropping-particle":"","parse-names":false,"suffix":""},{"dropping-particle":"","family":"Farzi","given":"Mohsen","non-dropping-particle":"","parse-names":false,"suffix":""},{"dropping-particle":"","family":"Grammatopoulos","given":"George","non-dropping-particle":"","parse-names":false,"suffix":""},{"dropping-particle":"","family":"Wilkinson","given":"J Mark","non-dropping-particle":"","parse-names":false,"suffix":""},{"dropping-particle":"","family":"Beaulé","given":"Paul E","non-dropping-particle":"","parse-names":false,"suffix":""}],"container-title":"JBJS","id":"ITEM-4","issue":"1","issued":{"date-parts":[["2021"]]},"title":"Influence of Femoral Component Design on Proximal Femoral Bone Mass After Total Hip Replacement: A Randomized Controlled Trial","type":"article-journal","volume":"103"},"uris":["http://www.mendeley.com/documents/?uuid=3bb588bc-7458-4b01-9056-168bd438625b"]}],"mendeley":{"formattedCitation":"&lt;sup&gt;(26–29)&lt;/sup&gt;","plainTextFormattedCitation":"(26–29)","previouslyFormattedCitation":"&lt;sup&gt;(26–29)&lt;/sup&gt;"},"properties":{"noteIndex":0},"schema":"https://github.com/citation-style-language/schema/raw/master/csl-citation.json"}</w:instrText>
      </w:r>
      <w:r w:rsidR="007667E3" w:rsidRPr="0001438A">
        <w:fldChar w:fldCharType="separate"/>
      </w:r>
      <w:r w:rsidR="009313D1" w:rsidRPr="009313D1">
        <w:rPr>
          <w:noProof/>
          <w:vertAlign w:val="superscript"/>
        </w:rPr>
        <w:t>(26–29)</w:t>
      </w:r>
      <w:r w:rsidR="007667E3" w:rsidRPr="0001438A">
        <w:fldChar w:fldCharType="end"/>
      </w:r>
      <w:r w:rsidR="00B90590" w:rsidRPr="0001438A">
        <w:t xml:space="preserve"> </w:t>
      </w:r>
      <w:r w:rsidR="00CA1BE8">
        <w:t>We have recently</w:t>
      </w:r>
      <w:r w:rsidR="00B90590" w:rsidRPr="0001438A">
        <w:t xml:space="preserve"> </w:t>
      </w:r>
      <w:r w:rsidR="003F3D98" w:rsidRPr="0001438A">
        <w:t>used this method</w:t>
      </w:r>
      <w:r w:rsidR="00B90590" w:rsidRPr="0001438A">
        <w:t xml:space="preserve"> to develop </w:t>
      </w:r>
      <w:r w:rsidR="00FE3521" w:rsidRPr="0001438A">
        <w:t xml:space="preserve">a </w:t>
      </w:r>
      <w:r w:rsidR="00B00199" w:rsidRPr="0001438A">
        <w:t xml:space="preserve">calibrated and validated </w:t>
      </w:r>
      <w:r w:rsidR="00FE3521" w:rsidRPr="0001438A">
        <w:t xml:space="preserve">spatio-temporal ageing atlas of the </w:t>
      </w:r>
      <w:r w:rsidR="001457FB">
        <w:t xml:space="preserve">native </w:t>
      </w:r>
      <w:r w:rsidR="00FE3521" w:rsidRPr="0001438A">
        <w:t>proximal femur.</w:t>
      </w:r>
      <w:r w:rsidR="007667E3" w:rsidRPr="0001438A">
        <w:fldChar w:fldCharType="begin" w:fldLock="1"/>
      </w:r>
      <w:r w:rsidR="00EB5921">
        <w:instrText>ADDIN CSL_CITATION {"citationItems":[{"id":"ITEM-1","itemData":{"author":[{"dropping-particle":"","family":"Farzi","given":"M.","non-dropping-particle":"","parse-names":false,"suffix":""},{"dropping-particle":"","family":"Pozo","given":"J. M.","non-dropping-particle":"","parse-names":false,"suffix":""},{"dropping-particle":"","family":"McCloskey","given":"E.","non-dropping-particle":"","parse-names":false,"suffix":""},{"dropping-particle":"","family":"Easte","given":"R.","non-dropping-particle":"","parse-names":false,"suffix":""},{"dropping-particle":"","family":"Harvey","given":"N.","non-dropping-particle":"","parse-names":false,"suffix":""},{"dropping-particle":"","family":"Wilkinson","given":"J. M.","non-dropping-particle":"","parse-names":false,"suffix":""},{"dropping-particle":"","family":"Frangi","given":"A. F.","non-dropping-particle":"","parse-names":false,"suffix":""}],"container-title":"IEEE Transactions on Medical Imaging","id":"ITEM-1","issue":"5","issued":{"date-parts":[["2020"]]},"page":"1359-1368","title":"A Spatio-Temporal Ageing Atlas of the Proximal Femur","type":"article-journal","volume":"39"},"uris":["http://www.mendeley.com/documents/?uuid=76e5220f-e11b-4684-867b-b61479b3adbc"]}],"mendeley":{"formattedCitation":"&lt;sup&gt;(30)&lt;/sup&gt;","plainTextFormattedCitation":"(30)","previouslyFormattedCitation":"&lt;sup&gt;(30)&lt;/sup&gt;"},"properties":{"noteIndex":0},"schema":"https://github.com/citation-style-language/schema/raw/master/csl-citation.json"}</w:instrText>
      </w:r>
      <w:r w:rsidR="007667E3" w:rsidRPr="0001438A">
        <w:fldChar w:fldCharType="separate"/>
      </w:r>
      <w:r w:rsidR="009313D1" w:rsidRPr="009313D1">
        <w:rPr>
          <w:noProof/>
          <w:vertAlign w:val="superscript"/>
        </w:rPr>
        <w:t>(30)</w:t>
      </w:r>
      <w:r w:rsidR="007667E3" w:rsidRPr="0001438A">
        <w:fldChar w:fldCharType="end"/>
      </w:r>
      <w:r w:rsidR="00B90590" w:rsidRPr="0001438A">
        <w:t xml:space="preserve"> </w:t>
      </w:r>
      <w:r w:rsidR="00B7149B" w:rsidRPr="0001438A">
        <w:t>In th</w:t>
      </w:r>
      <w:r w:rsidR="006D124F" w:rsidRPr="0001438A">
        <w:t>e present</w:t>
      </w:r>
      <w:r w:rsidR="00B7149B" w:rsidRPr="0001438A">
        <w:t xml:space="preserve"> study</w:t>
      </w:r>
      <w:r w:rsidR="006D124F" w:rsidRPr="0001438A">
        <w:t>,</w:t>
      </w:r>
      <w:r w:rsidR="00B7149B" w:rsidRPr="0001438A">
        <w:t xml:space="preserve"> we aimed to</w:t>
      </w:r>
      <w:r w:rsidR="00F45C0A" w:rsidRPr="0001438A">
        <w:t xml:space="preserve"> 1) </w:t>
      </w:r>
      <w:r w:rsidR="009C47F6" w:rsidRPr="0001438A">
        <w:t xml:space="preserve">introduce a </w:t>
      </w:r>
      <w:r>
        <w:t>more intuitive</w:t>
      </w:r>
      <w:r w:rsidR="009C47F6" w:rsidRPr="0001438A">
        <w:t xml:space="preserve"> index, </w:t>
      </w:r>
      <w:r w:rsidR="00ED56F4">
        <w:t>coined</w:t>
      </w:r>
      <w:r w:rsidR="009C47F6" w:rsidRPr="0001438A">
        <w:t xml:space="preserve"> </w:t>
      </w:r>
      <w:r w:rsidR="001944F1">
        <w:t>“</w:t>
      </w:r>
      <w:r w:rsidR="0076386E">
        <w:t>Densitometric B</w:t>
      </w:r>
      <w:r w:rsidR="009C47F6" w:rsidRPr="0001438A">
        <w:t xml:space="preserve">one </w:t>
      </w:r>
      <w:r w:rsidR="0076386E">
        <w:t>A</w:t>
      </w:r>
      <w:r w:rsidR="009C47F6" w:rsidRPr="0001438A">
        <w:t>ge</w:t>
      </w:r>
      <w:r w:rsidR="001944F1">
        <w:t>”</w:t>
      </w:r>
      <w:r w:rsidR="00BF14C1">
        <w:t xml:space="preserve"> (</w:t>
      </w:r>
      <w:r w:rsidR="005D08B7">
        <w:t>DBA</w:t>
      </w:r>
      <w:r w:rsidR="00BF14C1">
        <w:t>)</w:t>
      </w:r>
      <w:r w:rsidR="009C47F6" w:rsidRPr="0001438A">
        <w:t xml:space="preserve">, </w:t>
      </w:r>
      <w:r w:rsidR="00695517">
        <w:t>derived from</w:t>
      </w:r>
      <w:r w:rsidR="009C47F6" w:rsidRPr="0001438A">
        <w:t xml:space="preserve"> quantification of textural BMD variation using the developed </w:t>
      </w:r>
      <w:r w:rsidR="00DB4209">
        <w:t xml:space="preserve">ageing </w:t>
      </w:r>
      <w:r w:rsidR="009C47F6" w:rsidRPr="0001438A">
        <w:t>atlas</w:t>
      </w:r>
      <w:r w:rsidR="00CD0D18">
        <w:t xml:space="preserve"> for the pro</w:t>
      </w:r>
      <w:r w:rsidR="00107520">
        <w:t>ximal femur</w:t>
      </w:r>
      <w:r w:rsidR="00DB63D3" w:rsidRPr="0001438A">
        <w:t>;</w:t>
      </w:r>
      <w:r w:rsidR="00F45C0A" w:rsidRPr="0001438A">
        <w:t xml:space="preserve"> 2)</w:t>
      </w:r>
      <w:r w:rsidR="009C47F6" w:rsidRPr="0001438A">
        <w:t xml:space="preserve"> determine</w:t>
      </w:r>
      <w:r w:rsidR="00F45C0A" w:rsidRPr="0001438A">
        <w:t xml:space="preserve"> </w:t>
      </w:r>
      <w:r w:rsidR="009C47F6" w:rsidRPr="0001438A">
        <w:t>w</w:t>
      </w:r>
      <w:r w:rsidR="00F45C0A" w:rsidRPr="0001438A">
        <w:t xml:space="preserve">hether </w:t>
      </w:r>
      <w:r w:rsidR="005D08B7">
        <w:t>DBA</w:t>
      </w:r>
      <w:r w:rsidR="00DB63D3" w:rsidRPr="0001438A">
        <w:t xml:space="preserve"> can</w:t>
      </w:r>
      <w:r w:rsidR="00F45C0A" w:rsidRPr="0001438A">
        <w:t xml:space="preserve"> better predict incident hip fractures versus conventional </w:t>
      </w:r>
      <w:r w:rsidR="009B23F4">
        <w:t>FN-BMD, TR-BMD, and total hip (TOT) BMD</w:t>
      </w:r>
      <w:r w:rsidR="00DB63D3" w:rsidRPr="0001438A">
        <w:t xml:space="preserve"> </w:t>
      </w:r>
      <w:r w:rsidR="00E21070">
        <w:t>T-score</w:t>
      </w:r>
      <w:r w:rsidR="00F45C0A" w:rsidRPr="0001438A">
        <w:t xml:space="preserve">, and 3) </w:t>
      </w:r>
      <w:r w:rsidR="009C47F6" w:rsidRPr="0001438A">
        <w:t xml:space="preserve">determine </w:t>
      </w:r>
      <w:r w:rsidR="00F45C0A" w:rsidRPr="0001438A">
        <w:lastRenderedPageBreak/>
        <w:t xml:space="preserve">whether </w:t>
      </w:r>
      <w:r w:rsidR="005D08B7">
        <w:t>DBA</w:t>
      </w:r>
      <w:r w:rsidR="009C47F6" w:rsidRPr="0001438A">
        <w:t xml:space="preserve"> </w:t>
      </w:r>
      <w:r w:rsidR="00205E2C" w:rsidRPr="0001438A">
        <w:t>can predict</w:t>
      </w:r>
      <w:r w:rsidR="00DB63D3" w:rsidRPr="0001438A">
        <w:t xml:space="preserve"> the</w:t>
      </w:r>
      <w:r w:rsidR="00F45C0A" w:rsidRPr="0001438A">
        <w:t xml:space="preserve"> </w:t>
      </w:r>
      <w:r w:rsidR="00DB63D3" w:rsidRPr="0001438A">
        <w:t xml:space="preserve">anatomic </w:t>
      </w:r>
      <w:r w:rsidR="00F45C0A" w:rsidRPr="0001438A">
        <w:t xml:space="preserve">pattern of </w:t>
      </w:r>
      <w:r w:rsidR="00B7149B" w:rsidRPr="0001438A">
        <w:t xml:space="preserve">incident </w:t>
      </w:r>
      <w:r w:rsidR="00F45C0A" w:rsidRPr="0001438A">
        <w:t xml:space="preserve">hip fracture </w:t>
      </w:r>
      <w:r w:rsidR="00205E2C" w:rsidRPr="0001438A">
        <w:t>(femoral neck versus trochanteric)</w:t>
      </w:r>
      <w:r w:rsidR="00F45C0A" w:rsidRPr="0001438A">
        <w:t>.</w:t>
      </w:r>
    </w:p>
    <w:p w14:paraId="2A8919E2" w14:textId="0EBAEB97" w:rsidR="00110972" w:rsidRPr="0001438A" w:rsidRDefault="00110972" w:rsidP="00CA30A8">
      <w:pPr>
        <w:spacing w:line="240" w:lineRule="auto"/>
        <w:ind w:firstLine="0"/>
        <w:jc w:val="left"/>
        <w:rPr>
          <w:sz w:val="20"/>
          <w:szCs w:val="20"/>
        </w:rPr>
      </w:pPr>
    </w:p>
    <w:p w14:paraId="687698B9" w14:textId="5AA993AE" w:rsidR="006349DC" w:rsidRPr="0001438A" w:rsidRDefault="00AB6725">
      <w:pPr>
        <w:pStyle w:val="Heading1"/>
      </w:pPr>
      <w:r w:rsidRPr="0001438A">
        <w:t>Patients</w:t>
      </w:r>
      <w:r w:rsidR="00BF1CF5" w:rsidRPr="0001438A">
        <w:t xml:space="preserve"> and Methods</w:t>
      </w:r>
    </w:p>
    <w:p w14:paraId="2914B823" w14:textId="77777777" w:rsidR="00205E2C" w:rsidRPr="0001438A" w:rsidRDefault="00205E2C" w:rsidP="00205E2C">
      <w:pPr>
        <w:pStyle w:val="Heading2"/>
        <w:rPr>
          <w:rFonts w:ascii="Times New Roman" w:hAnsi="Times New Roman" w:cs="Times New Roman"/>
        </w:rPr>
      </w:pPr>
      <w:r w:rsidRPr="0001438A">
        <w:rPr>
          <w:rFonts w:ascii="Times New Roman" w:hAnsi="Times New Roman" w:cs="Times New Roman"/>
        </w:rPr>
        <w:t>Study Populations</w:t>
      </w:r>
    </w:p>
    <w:p w14:paraId="3C8B7ADB" w14:textId="54908475" w:rsidR="003D4265" w:rsidRPr="0001438A" w:rsidRDefault="00AB6725" w:rsidP="001944F1">
      <w:pPr>
        <w:rPr>
          <w:rFonts w:eastAsiaTheme="minorHAnsi"/>
        </w:rPr>
      </w:pPr>
      <w:r w:rsidRPr="0001438A">
        <w:t xml:space="preserve">The </w:t>
      </w:r>
      <w:r w:rsidR="00DB7CA8" w:rsidRPr="0001438A">
        <w:t>pseudo</w:t>
      </w:r>
      <w:r w:rsidR="00CA0DF1">
        <w:t xml:space="preserve"> </w:t>
      </w:r>
      <w:r w:rsidR="00DB7CA8" w:rsidRPr="0001438A">
        <w:t xml:space="preserve">anonymised </w:t>
      </w:r>
      <w:r w:rsidRPr="0001438A">
        <w:t>patient demographic</w:t>
      </w:r>
      <w:r w:rsidR="00205E2C" w:rsidRPr="0001438A">
        <w:t xml:space="preserve">, incident </w:t>
      </w:r>
      <w:r w:rsidR="001457FB">
        <w:t xml:space="preserve">hip </w:t>
      </w:r>
      <w:r w:rsidR="00205E2C" w:rsidRPr="0001438A">
        <w:t>fracture</w:t>
      </w:r>
      <w:r w:rsidR="00DB7CA8" w:rsidRPr="0001438A">
        <w:t xml:space="preserve"> and imaging</w:t>
      </w:r>
      <w:r w:rsidRPr="0001438A">
        <w:t xml:space="preserve"> data </w:t>
      </w:r>
      <w:r w:rsidR="00DB7CA8" w:rsidRPr="0001438A">
        <w:t>described</w:t>
      </w:r>
      <w:r w:rsidRPr="0001438A">
        <w:t xml:space="preserve"> in this study were </w:t>
      </w:r>
      <w:r w:rsidR="00DB7CA8" w:rsidRPr="0001438A">
        <w:t>accessed</w:t>
      </w:r>
      <w:r w:rsidRPr="0001438A">
        <w:t xml:space="preserve"> </w:t>
      </w:r>
      <w:r w:rsidR="00205E2C" w:rsidRPr="0001438A">
        <w:t>from</w:t>
      </w:r>
      <w:r w:rsidRPr="0001438A">
        <w:t xml:space="preserve"> </w:t>
      </w:r>
      <w:r w:rsidR="00DB7CA8" w:rsidRPr="0001438A">
        <w:t>UK Biobank (a</w:t>
      </w:r>
      <w:r w:rsidR="004036A6">
        <w:t>pproval 17881; July 09, 2018), t</w:t>
      </w:r>
      <w:r w:rsidR="00DB7CA8" w:rsidRPr="0001438A">
        <w:t>he OPUS study</w:t>
      </w:r>
      <w:r w:rsidR="00CA0DF1">
        <w:t xml:space="preserve"> </w:t>
      </w:r>
      <w:r w:rsidR="00CA0DF1" w:rsidRPr="0001438A">
        <w:fldChar w:fldCharType="begin" w:fldLock="1"/>
      </w:r>
      <w:r w:rsidR="00EB5921">
        <w:instrText>ADDIN CSL_CITATION {"citationItems":[{"id":"ITEM-1","itemData":{"DOI":"10.1359/JBMR.040304","ISSN":"0884-0431","PMID":"15068502","abstract":"UNLABELLED: We compared the performance of five QUS devices with DXA in a population-based sample of 2837 women. All QUS approaches discriminated women with and without osteoporotic vertebral fractures. QUS of the calcaneus performed as well as central DXA. INTRODUCTION: Quantitative ultrasound (QUS) methods have found widespread use for the assessment of bone status in osteoporosis, but their optimal use remains to be established. To determine QUS performance for current devices in direct comparison with central DXA, we initiated a large population-based investigation, the Osteoporosis and Ultrasound Study (OPUS). MATERIALS AND METHODS: A total of 463 women 20-39 years of age and 2374 women 55-79 years of age were measured on five different QUS devices along with DXA of the spine and the proximal femur. Their vertebral fracture status was evaluated radiographically. The association of QUS and DXA with vertebral fracture status was evaluated using logistic regression. RESULTS: All QUS approaches tested discriminated women with and without osteoporotic vertebral fractures (20% height reduction), with age-adjusted standardized odds ratios ranging 1.2-1.3 for amplitude-dependent speed of sound (AD-SOS) at the finger phalanges, 1.2-1.4 for broadband ultrasound attenuation (BUA) at the calcaneus, and 1.4-1.5 for speed of sound (SOS) at the calcaneus, 1.4-1.6 for DXA of the total femur, and 1.5-1.6 for DXA at the spine. For more severe fractures (40% height reduction), age-adjusted standardized odds ratios increased to up to 1.9 for DXA of the spine and 2.3 for SOS of the calcaneus. CONCLUSIONS: In conclusion, all five QUS devices tested showed significant age-adjusted differences between subjects with and without vertebral fracture. When selecting the strongest variable, QUS of the calcaneus worked as well as central DXA for identification of women at high risk for prevalent osteoporotic vertebral fractures. QUS-based case-finding strategies would allow halving the number of radiographs in high-risk populations, and this strategy works increasingly well for women with more severe vertebral fractures. It is likely that the good performance of QUS was in part achieved by rigorous quality assurance measures that should also be used in clinical practice.","author":[{"dropping-particle":"","family":"Glüer","given":"Claus C","non-dropping-particle":"","parse-names":false,"suffix":""},{"dropping-particle":"","family":"Eastell","given":"Richard","non-dropping-particle":"","parse-names":false,"suffix":""},{"dropping-particle":"","family":"Reid","given":"David M","non-dropping-particle":"","parse-names":false,"suffix":""},{"dropping-particle":"","family":"Felsenberg","given":"Dieter","non-dropping-particle":"","parse-names":false,"suffix":""},{"dropping-particle":"","family":"Roux","given":"Christian","non-dropping-particle":"","parse-names":false,"suffix":""},{"dropping-particle":"","family":"Barkmann","given":"Reinhard","non-dropping-particle":"","parse-names":false,"suffix":""},{"dropping-particle":"","family":"Timm","given":"Wolfram","non-dropping-particle":"","parse-names":false,"suffix":""},{"dropping-particle":"","family":"Blenk","given":"Tilo","non-dropping-particle":"","parse-names":false,"suffix":""},{"dropping-particle":"","family":"Armbrecht","given":"Gabi","non-dropping-particle":"","parse-names":false,"suffix":""},{"dropping-particle":"","family":"Stewart","given":"Alison","non-dropping-particle":"","parse-names":false,"suffix":""},{"dropping-particle":"","family":"Clowes","given":"Jackie","non-dropping-particle":"","parse-names":false,"suffix":""},{"dropping-particle":"","family":"Thomasius","given":"Friederike E","non-dropping-particle":"","parse-names":false,"suffix":""},{"dropping-particle":"","family":"Kolta","given":"Sami","non-dropping-particle":"","parse-names":false,"suffix":""}],"container-title":"Journal of Bone and Mineral Research","id":"ITEM-1","issue":"5","issued":{"date-parts":[["2004"]]},"page":"782-93","title":"Association of five quantitative ultrasound devices and bone densitometry with osteoporotic vertebral fractures in a population-based sample: the OPUS Study.","type":"article-journal","volume":"19"},"uris":["http://www.mendeley.com/documents/?uuid=d793fa2f-3f05-4aef-a417-565ae63fb167"]}],"mendeley":{"formattedCitation":"&lt;sup&gt;(31)&lt;/sup&gt;","plainTextFormattedCitation":"(31)","previouslyFormattedCitation":"&lt;sup&gt;(31)&lt;/sup&gt;"},"properties":{"noteIndex":0},"schema":"https://github.com/citation-style-language/schema/raw/master/csl-citation.json"}</w:instrText>
      </w:r>
      <w:r w:rsidR="00CA0DF1" w:rsidRPr="0001438A">
        <w:fldChar w:fldCharType="separate"/>
      </w:r>
      <w:r w:rsidR="009313D1" w:rsidRPr="009313D1">
        <w:rPr>
          <w:noProof/>
          <w:vertAlign w:val="superscript"/>
        </w:rPr>
        <w:t>(31)</w:t>
      </w:r>
      <w:r w:rsidR="00CA0DF1" w:rsidRPr="0001438A">
        <w:fldChar w:fldCharType="end"/>
      </w:r>
      <w:r w:rsidR="00DB7CA8" w:rsidRPr="0001438A">
        <w:t xml:space="preserve"> and the MRC-Hip study</w:t>
      </w:r>
      <w:r w:rsidR="001944F1">
        <w:t xml:space="preserve"> </w:t>
      </w:r>
      <w:r w:rsidR="00D07332" w:rsidRPr="0001438A">
        <w:fldChar w:fldCharType="begin" w:fldLock="1"/>
      </w:r>
      <w:r w:rsidR="00EB5921">
        <w:instrText>ADDIN CSL_CITATION {"citationItems":[{"id":"ITEM-1","itemData":{"DOI":"10.1359/jbmr.061008","ISBN":"0884-0431 (Print)","ISSN":"0884-0431","PMID":"17042717","abstract":"A 3-year prospective, randomized, placebo-controlled trial of oral clodronate 800 mg showed that the incidence of clinical fractures was decreased by 20% in 5596 elderly women unselected for osteoporosis. The effect occurred in the absence of systematic calcium and vitamin D supplementation and was observed across a wide range of BMDs. INTRODUCTION: To date, most studies with bisphosphonates have reported on their use in individuals selected to be at high risk for fracture usually by the presence of low BMD or a prior fragility fracture, usually of the spine. We wished to determine the effect of the bisphosphonate, clodronate, on the rate of fractures in women &gt; or =75 years of age living in the community. MATERIALS AND METHODS: Women &gt; or =75 years of age living in the general community in South Yorkshire and North Derbyshire, identified from general practice registers, were recruited by letter of invitation to a randomized, double-blind, controlled trial of 800 mg oral clodronate (Bonefos) or matching placebo daily over 3 years. The main outcomes were the incidences of hip and any clinical fracture. RESULTS: Of the 5579 elderly women included in the intention-to-treat analysis of efficacy, 114 had a new hip fracture during the 3-year treatment phase: 56 (2.0%) women in the clodronate group and 58 (2.1%) women in the placebo group (hazard ration [HR], 1.02; 95% CI, 0.71-1.47). Clodronate did, however, decrease the incidence of any clinical fracture by 20% (264 women [9.5%] versus 337 [12.1%] in the placebo group; HR, 0.80; 95% CI, 0.68-0.94). The incidence of osteoporosis-associated nonhip fractures was also significantly decreased by 29% (5.2% versus 7.4%; HR, 0.71; 95% CI, 0.57-0.87). The ability of clodronate to reduce the risk of osteoporotic fracture was independent of baseline BMD, but the number needed-to-treat was lower in the presence of osteoporosis. CONCLUSIONS: Oral daily clodronate can prevent fractures without significant adverse effects in elderly women living in the general community. The effect on hip fracture risk is not significant, but an effect similar to that at other nonvertebral sites cannot be excluded. This study suggests that antiresorptive therapies can reduce fracture incidence in high-risk individuals even in the presence of a normal or osteopenic BMD.","author":[{"dropping-particle":"V","family":"McCloskey","given":"Eugene","non-dropping-particle":"","parse-names":false,"suffix":""},{"dropping-particle":"","family":"Beneton","given":"Monique","non-dropping-particle":"","parse-names":false,"suffix":""},{"dropping-particle":"","family":"Charlesworth","given":"Diane","non-dropping-particle":"","parse-names":false,"suffix":""},{"dropping-particle":"","family":"Kayan","given":"Karthik","non-dropping-particle":"","parse-names":false,"suffix":""},{"dropping-particle":"","family":"DeTakats","given":"Dominic","non-dropping-particle":"","parse-names":false,"suffix":""},{"dropping-particle":"","family":"Dey","given":"Abhijit","non-dropping-particle":"","parse-names":false,"suffix":""},{"dropping-particle":"","family":"Orgee","given":"Jane","non-dropping-particle":"","parse-names":false,"suffix":""},{"dropping-particle":"","family":"Ashford","given":"Robert","non-dropping-particle":"","parse-names":false,"suffix":""},{"dropping-particle":"","family":"Forster","given":"Martin","non-dropping-particle":"","parse-names":false,"suffix":""},{"dropping-particle":"","family":"Cliffe","given":"Jennifer","non-dropping-particle":"","parse-names":false,"suffix":""},{"dropping-particle":"","family":"Kersh","given":"Linda","non-dropping-particle":"","parse-names":false,"suffix":""},{"dropping-particle":"","family":"Brazier","given":"John","non-dropping-particle":"","parse-names":false,"suffix":""},{"dropping-particle":"","family":"Nichol","given":"Jon","non-dropping-particle":"","parse-names":false,"suffix":""},{"dropping-particle":"","family":"Aropuu","given":"Sakari","non-dropping-particle":"","parse-names":false,"suffix":""},{"dropping-particle":"","family":"Jalava","given":"Tarja","non-dropping-particle":"","parse-names":false,"suffix":""},{"dropping-particle":"","family":"Kanis","given":"John a","non-dropping-particle":"","parse-names":false,"suffix":""}],"container-title":"Journal of bone and mineral research : the official journal of the American Society for Bone and Mineral Research","id":"ITEM-1","issue":"1","issued":{"date-parts":[["2007","1"]]},"language":"eng","page":"135-141","publisher-place":"United States","title":"Clodronate reduces the incidence of fractures in community-dwelling elderly women unselected for osteoporosis: results of a double-blind, placebo-controlled randomized study.","type":"article-journal","volume":"22"},"uris":["http://www.mendeley.com/documents/?uuid=06214be7-7011-4162-9708-afe4f27644ed"]}],"mendeley":{"formattedCitation":"&lt;sup&gt;(32)&lt;/sup&gt;","plainTextFormattedCitation":"(32)","previouslyFormattedCitation":"&lt;sup&gt;(32)&lt;/sup&gt;"},"properties":{"noteIndex":0},"schema":"https://github.com/citation-style-language/schema/raw/master/csl-citation.json"}</w:instrText>
      </w:r>
      <w:r w:rsidR="00D07332" w:rsidRPr="0001438A">
        <w:fldChar w:fldCharType="separate"/>
      </w:r>
      <w:r w:rsidR="009313D1" w:rsidRPr="009313D1">
        <w:rPr>
          <w:noProof/>
          <w:vertAlign w:val="superscript"/>
        </w:rPr>
        <w:t>(32)</w:t>
      </w:r>
      <w:r w:rsidR="00D07332" w:rsidRPr="0001438A">
        <w:fldChar w:fldCharType="end"/>
      </w:r>
      <w:r w:rsidR="00B12239">
        <w:t xml:space="preserve"> (Table 1)</w:t>
      </w:r>
      <w:r w:rsidR="001944F1">
        <w:t xml:space="preserve">. </w:t>
      </w:r>
      <w:r w:rsidR="00A706DC" w:rsidRPr="0001438A">
        <w:t>Ethics approval for the</w:t>
      </w:r>
      <w:r w:rsidR="00680519" w:rsidRPr="0001438A">
        <w:t>se</w:t>
      </w:r>
      <w:r w:rsidR="00A706DC" w:rsidRPr="0001438A">
        <w:t xml:space="preserve"> </w:t>
      </w:r>
      <w:r w:rsidR="00680519" w:rsidRPr="0001438A">
        <w:t>cohorts</w:t>
      </w:r>
      <w:r w:rsidR="00A706DC" w:rsidRPr="0001438A">
        <w:t xml:space="preserve"> was obtained </w:t>
      </w:r>
      <w:r w:rsidR="004A2056">
        <w:t xml:space="preserve">under </w:t>
      </w:r>
      <w:r w:rsidR="00680519" w:rsidRPr="0001438A">
        <w:t>institutional a</w:t>
      </w:r>
      <w:r w:rsidR="00A706DC" w:rsidRPr="0001438A">
        <w:t>nd national requirements</w:t>
      </w:r>
      <w:r w:rsidR="00CA0DF1">
        <w:t>,</w:t>
      </w:r>
      <w:r w:rsidR="00A706DC" w:rsidRPr="0001438A">
        <w:t xml:space="preserve"> and a</w:t>
      </w:r>
      <w:r w:rsidR="00DB7CA8" w:rsidRPr="0001438A">
        <w:t xml:space="preserve">ll subjects provided </w:t>
      </w:r>
      <w:r w:rsidR="00A706DC" w:rsidRPr="0001438A">
        <w:t>written</w:t>
      </w:r>
      <w:r w:rsidR="00DB7CA8" w:rsidRPr="0001438A">
        <w:t xml:space="preserve"> informed consent </w:t>
      </w:r>
      <w:r w:rsidR="0055234E">
        <w:rPr>
          <w:color w:val="000000"/>
        </w:rPr>
        <w:t>before</w:t>
      </w:r>
      <w:r w:rsidR="004A2056">
        <w:t xml:space="preserve"> </w:t>
      </w:r>
      <w:r w:rsidR="00DB7CA8" w:rsidRPr="0001438A">
        <w:t>participation.</w:t>
      </w:r>
      <w:r w:rsidRPr="0001438A">
        <w:t xml:space="preserve"> </w:t>
      </w:r>
      <w:r w:rsidR="00205E2C" w:rsidRPr="0001438A">
        <w:t>The p</w:t>
      </w:r>
      <w:r w:rsidR="007C488F" w:rsidRPr="0001438A">
        <w:t>articipants comprised white women of European descent (M</w:t>
      </w:r>
      <w:r w:rsidR="000D1F20" w:rsidRPr="0001438A">
        <w:t>RC-Hip study</w:t>
      </w:r>
      <w:r w:rsidR="007C488F" w:rsidRPr="0001438A">
        <w:t xml:space="preserve"> n=</w:t>
      </w:r>
      <w:r w:rsidR="00385386" w:rsidRPr="0001438A">
        <w:t>5,018</w:t>
      </w:r>
      <w:r w:rsidR="007C488F" w:rsidRPr="0001438A">
        <w:t xml:space="preserve">, aged </w:t>
      </w:r>
      <w:r w:rsidR="00385386" w:rsidRPr="0001438A">
        <w:t>75</w:t>
      </w:r>
      <w:r w:rsidR="007C488F" w:rsidRPr="0001438A">
        <w:t xml:space="preserve"> to </w:t>
      </w:r>
      <w:r w:rsidR="00385386" w:rsidRPr="0001438A">
        <w:t>97 years</w:t>
      </w:r>
      <w:r w:rsidR="00B032B1">
        <w:t>, mean (SD)=</w:t>
      </w:r>
      <w:r w:rsidR="00F44BAA">
        <w:t>80 (3.9) years</w:t>
      </w:r>
      <w:r w:rsidR="007C488F" w:rsidRPr="0001438A">
        <w:t>; OPUS n=</w:t>
      </w:r>
      <w:r w:rsidR="00467E8B" w:rsidRPr="0001438A">
        <w:t>213</w:t>
      </w:r>
      <w:r w:rsidR="007C488F" w:rsidRPr="0001438A">
        <w:t xml:space="preserve">, aged </w:t>
      </w:r>
      <w:r w:rsidR="00C053E6" w:rsidRPr="0001438A">
        <w:t xml:space="preserve">20 </w:t>
      </w:r>
      <w:r w:rsidR="007C488F" w:rsidRPr="0001438A">
        <w:t xml:space="preserve">to </w:t>
      </w:r>
      <w:r w:rsidR="00C053E6" w:rsidRPr="0001438A">
        <w:t>39</w:t>
      </w:r>
      <w:r w:rsidR="007C488F" w:rsidRPr="0001438A">
        <w:t xml:space="preserve"> years</w:t>
      </w:r>
      <w:r w:rsidR="00F5395C">
        <w:t>, mean (SD)</w:t>
      </w:r>
      <w:r w:rsidR="00F14ED6">
        <w:t xml:space="preserve"> = 32 (5.3) years</w:t>
      </w:r>
      <w:r w:rsidR="007C488F" w:rsidRPr="0001438A">
        <w:t xml:space="preserve"> </w:t>
      </w:r>
      <w:r w:rsidR="00467E8B" w:rsidRPr="0001438A">
        <w:t>and</w:t>
      </w:r>
      <w:r w:rsidR="00C053E6" w:rsidRPr="0001438A">
        <w:t xml:space="preserve"> </w:t>
      </w:r>
      <w:r w:rsidR="00467E8B" w:rsidRPr="0001438A">
        <w:t xml:space="preserve">n=1,189, aged </w:t>
      </w:r>
      <w:r w:rsidR="00C053E6" w:rsidRPr="0001438A">
        <w:t xml:space="preserve">55 </w:t>
      </w:r>
      <w:r w:rsidR="007C488F" w:rsidRPr="0001438A">
        <w:t>to</w:t>
      </w:r>
      <w:r w:rsidR="00C053E6" w:rsidRPr="0001438A">
        <w:t xml:space="preserve"> 79 years</w:t>
      </w:r>
      <w:r w:rsidR="00F058FE">
        <w:t>, mean (SD)=67</w:t>
      </w:r>
      <w:r w:rsidR="0017060A">
        <w:t xml:space="preserve"> </w:t>
      </w:r>
      <w:r w:rsidR="00F058FE">
        <w:t>(7.1) years</w:t>
      </w:r>
      <w:r w:rsidR="007C488F" w:rsidRPr="0001438A">
        <w:t>;</w:t>
      </w:r>
      <w:r w:rsidR="008741B9" w:rsidRPr="0001438A">
        <w:t xml:space="preserve"> UK Biobank </w:t>
      </w:r>
      <w:r w:rsidR="00F81781" w:rsidRPr="0001438A">
        <w:t xml:space="preserve">n=6,918, age 45 </w:t>
      </w:r>
      <w:r w:rsidR="007C488F" w:rsidRPr="0001438A">
        <w:t>to</w:t>
      </w:r>
      <w:r w:rsidR="00F81781" w:rsidRPr="0001438A">
        <w:t xml:space="preserve"> 80 years</w:t>
      </w:r>
      <w:r w:rsidR="00A26FFD">
        <w:t>, mean (SD)=62 (</w:t>
      </w:r>
      <w:r w:rsidR="0042026E">
        <w:t>7.3) years</w:t>
      </w:r>
      <w:r w:rsidR="007D2865" w:rsidRPr="0001438A">
        <w:t>)</w:t>
      </w:r>
      <w:r w:rsidR="007C488F" w:rsidRPr="0001438A">
        <w:t>.</w:t>
      </w:r>
      <w:r w:rsidR="000D1F20" w:rsidRPr="0001438A">
        <w:t xml:space="preserve"> </w:t>
      </w:r>
      <w:r w:rsidR="00273291" w:rsidRPr="0001438A">
        <w:t>All scans (n=</w:t>
      </w:r>
      <w:r w:rsidR="005A7A09" w:rsidRPr="0001438A">
        <w:t>13,338) were used to develop the spatio-temporal BMD ageing atlas</w:t>
      </w:r>
      <w:r w:rsidR="00A706DC" w:rsidRPr="0001438A">
        <w:t>,</w:t>
      </w:r>
      <w:r w:rsidR="008C264C" w:rsidRPr="0001438A">
        <w:t xml:space="preserve"> as detailed in our previous work</w:t>
      </w:r>
      <w:r w:rsidR="00CA0DF1">
        <w:t xml:space="preserve"> </w:t>
      </w:r>
      <w:r w:rsidR="00CA0DF1" w:rsidRPr="0001438A">
        <w:fldChar w:fldCharType="begin" w:fldLock="1"/>
      </w:r>
      <w:r w:rsidR="00EB5921">
        <w:instrText>ADDIN CSL_CITATION {"citationItems":[{"id":"ITEM-1","itemData":{"author":[{"dropping-particle":"","family":"Farzi","given":"M.","non-dropping-particle":"","parse-names":false,"suffix":""},{"dropping-particle":"","family":"Pozo","given":"J. M.","non-dropping-particle":"","parse-names":false,"suffix":""},{"dropping-particle":"","family":"McCloskey","given":"E.","non-dropping-particle":"","parse-names":false,"suffix":""},{"dropping-particle":"","family":"Easte","given":"R.","non-dropping-particle":"","parse-names":false,"suffix":""},{"dropping-particle":"","family":"Harvey","given":"N.","non-dropping-particle":"","parse-names":false,"suffix":""},{"dropping-particle":"","family":"Wilkinson","given":"J. M.","non-dropping-particle":"","parse-names":false,"suffix":""},{"dropping-particle":"","family":"Frangi","given":"A. F.","non-dropping-particle":"","parse-names":false,"suffix":""}],"container-title":"IEEE Transactions on Medical Imaging","id":"ITEM-1","issue":"5","issued":{"date-parts":[["2020"]]},"page":"1359-1368","title":"A Spatio-Temporal Ageing Atlas of the Proximal Femur","type":"article-journal","volume":"39"},"uris":["http://www.mendeley.com/documents/?uuid=76e5220f-e11b-4684-867b-b61479b3adbc"]}],"mendeley":{"formattedCitation":"&lt;sup&gt;(30)&lt;/sup&gt;","plainTextFormattedCitation":"(30)","previouslyFormattedCitation":"&lt;sup&gt;(30)&lt;/sup&gt;"},"properties":{"noteIndex":0},"schema":"https://github.com/citation-style-language/schema/raw/master/csl-citation.json"}</w:instrText>
      </w:r>
      <w:r w:rsidR="00CA0DF1" w:rsidRPr="0001438A">
        <w:fldChar w:fldCharType="separate"/>
      </w:r>
      <w:r w:rsidR="009313D1" w:rsidRPr="009313D1">
        <w:rPr>
          <w:noProof/>
          <w:vertAlign w:val="superscript"/>
        </w:rPr>
        <w:t>(30)</w:t>
      </w:r>
      <w:r w:rsidR="00CA0DF1" w:rsidRPr="0001438A">
        <w:fldChar w:fldCharType="end"/>
      </w:r>
      <w:r w:rsidR="008C264C" w:rsidRPr="0001438A">
        <w:t xml:space="preserve"> </w:t>
      </w:r>
      <w:r w:rsidR="007D2865" w:rsidRPr="0001438A">
        <w:t>and to assess the relationship between</w:t>
      </w:r>
      <w:r w:rsidR="00467E8B" w:rsidRPr="0001438A">
        <w:t xml:space="preserve"> </w:t>
      </w:r>
      <w:r w:rsidR="005D08B7">
        <w:t>DBA</w:t>
      </w:r>
      <w:r w:rsidR="00467E8B" w:rsidRPr="0001438A">
        <w:t xml:space="preserve"> and</w:t>
      </w:r>
      <w:r w:rsidR="007D2865" w:rsidRPr="0001438A">
        <w:t xml:space="preserve"> </w:t>
      </w:r>
      <w:r w:rsidR="009B23F4">
        <w:t>FN-</w:t>
      </w:r>
      <w:r w:rsidR="007D2865" w:rsidRPr="0001438A">
        <w:t xml:space="preserve">BMD </w:t>
      </w:r>
      <w:r w:rsidR="00E21070">
        <w:t>T-score</w:t>
      </w:r>
      <w:r w:rsidR="007D2865" w:rsidRPr="0001438A">
        <w:t xml:space="preserve"> and </w:t>
      </w:r>
      <w:r w:rsidR="00E21070">
        <w:t>Z-score</w:t>
      </w:r>
      <w:r w:rsidR="007D2865" w:rsidRPr="0001438A">
        <w:t xml:space="preserve">. The precision of </w:t>
      </w:r>
      <w:r w:rsidR="005D08B7">
        <w:t>DBA</w:t>
      </w:r>
      <w:r w:rsidR="007D2865" w:rsidRPr="0001438A">
        <w:t xml:space="preserve"> as a </w:t>
      </w:r>
      <w:r w:rsidR="008545DA">
        <w:t>quantitative</w:t>
      </w:r>
      <w:r w:rsidR="007D2865" w:rsidRPr="0001438A">
        <w:t xml:space="preserve"> tool was</w:t>
      </w:r>
      <w:r w:rsidR="0049673A">
        <w:t xml:space="preserve"> estimated</w:t>
      </w:r>
      <w:r w:rsidR="007D2865" w:rsidRPr="0001438A">
        <w:t xml:space="preserve"> </w:t>
      </w:r>
      <w:r w:rsidR="0055234E">
        <w:t>by analysing</w:t>
      </w:r>
      <w:r w:rsidR="007D2865" w:rsidRPr="0001438A">
        <w:t xml:space="preserve"> 25 pairs of DXA scans in a subset of the OPUS cohort</w:t>
      </w:r>
      <w:r w:rsidR="007D2865" w:rsidRPr="0001438A">
        <w:rPr>
          <w:rFonts w:eastAsiaTheme="minorHAnsi"/>
        </w:rPr>
        <w:t xml:space="preserve">. </w:t>
      </w:r>
      <w:r w:rsidR="00F4316C" w:rsidRPr="0001438A">
        <w:rPr>
          <w:rFonts w:eastAsiaTheme="minorHAnsi"/>
        </w:rPr>
        <w:t>The scan pairs were collected</w:t>
      </w:r>
      <w:r w:rsidR="0095242B" w:rsidRPr="0001438A">
        <w:rPr>
          <w:rFonts w:eastAsiaTheme="minorHAnsi"/>
        </w:rPr>
        <w:t xml:space="preserve"> on the same day with patient repositioning between </w:t>
      </w:r>
      <w:r w:rsidR="00F4316C" w:rsidRPr="0001438A">
        <w:rPr>
          <w:rFonts w:eastAsiaTheme="minorHAnsi"/>
        </w:rPr>
        <w:t>acquisitions</w:t>
      </w:r>
      <w:r w:rsidR="0095242B" w:rsidRPr="0001438A">
        <w:rPr>
          <w:rFonts w:eastAsiaTheme="minorHAnsi"/>
        </w:rPr>
        <w:t>.</w:t>
      </w:r>
    </w:p>
    <w:p w14:paraId="1246DC2A" w14:textId="5C711B53" w:rsidR="00522793" w:rsidRDefault="007D2865" w:rsidP="001944F1">
      <w:r w:rsidRPr="0001438A">
        <w:rPr>
          <w:rFonts w:eastAsiaTheme="minorHAnsi"/>
        </w:rPr>
        <w:t xml:space="preserve">The cohort used to evaluate the ability of </w:t>
      </w:r>
      <w:r w:rsidR="005D08B7">
        <w:rPr>
          <w:rFonts w:eastAsiaTheme="minorHAnsi"/>
        </w:rPr>
        <w:t>DBA</w:t>
      </w:r>
      <w:r w:rsidRPr="0001438A">
        <w:rPr>
          <w:rFonts w:eastAsiaTheme="minorHAnsi"/>
        </w:rPr>
        <w:t xml:space="preserve"> </w:t>
      </w:r>
      <w:r w:rsidR="005334CC" w:rsidRPr="0001438A">
        <w:t>to predict</w:t>
      </w:r>
      <w:r w:rsidR="00391929" w:rsidRPr="0001438A">
        <w:t xml:space="preserve"> </w:t>
      </w:r>
      <w:r w:rsidRPr="0001438A">
        <w:t xml:space="preserve">incident </w:t>
      </w:r>
      <w:r w:rsidR="005334CC" w:rsidRPr="0001438A">
        <w:t>hip fractures</w:t>
      </w:r>
      <w:r w:rsidRPr="0001438A">
        <w:t xml:space="preserve"> comprised (n=</w:t>
      </w:r>
      <w:r w:rsidR="00467E8B" w:rsidRPr="0001438A">
        <w:t>5,018</w:t>
      </w:r>
      <w:r w:rsidRPr="0001438A">
        <w:t>) participants in the MRC-Hip study followed up for 5 years after baseline DXA measurement and (n=</w:t>
      </w:r>
      <w:r w:rsidR="00467E8B" w:rsidRPr="0001438A">
        <w:t>6,881</w:t>
      </w:r>
      <w:r w:rsidRPr="0001438A">
        <w:t>) participants in the UK Biobank study followed up for a mean of</w:t>
      </w:r>
      <w:r w:rsidR="00046BC0" w:rsidRPr="0001438A">
        <w:t xml:space="preserve"> 4.</w:t>
      </w:r>
      <w:r w:rsidR="004A5F16">
        <w:t>4</w:t>
      </w:r>
      <w:r w:rsidRPr="0001438A">
        <w:t xml:space="preserve"> years.</w:t>
      </w:r>
      <w:r w:rsidR="00467E8B" w:rsidRPr="0001438A">
        <w:t xml:space="preserve"> </w:t>
      </w:r>
      <w:r w:rsidR="002C58FB">
        <w:t>One hundred eighty-one</w:t>
      </w:r>
      <w:r w:rsidR="002C58FB" w:rsidRPr="0001438A">
        <w:t xml:space="preserve"> </w:t>
      </w:r>
      <w:r w:rsidR="00680519" w:rsidRPr="0001438A">
        <w:t xml:space="preserve">participants in the MRC-Hip study and </w:t>
      </w:r>
      <w:r w:rsidR="00046BC0" w:rsidRPr="0001438A">
        <w:t>27</w:t>
      </w:r>
      <w:r w:rsidR="00680519" w:rsidRPr="0001438A">
        <w:t xml:space="preserve"> in the UK Biobank study suffered an incident </w:t>
      </w:r>
      <w:r w:rsidR="00046BC0" w:rsidRPr="0001438A">
        <w:t>hip</w:t>
      </w:r>
      <w:r w:rsidR="00680519" w:rsidRPr="0001438A">
        <w:t xml:space="preserve"> fracture during the follow</w:t>
      </w:r>
      <w:r w:rsidR="004A5F16">
        <w:t>-</w:t>
      </w:r>
      <w:r w:rsidR="00680519" w:rsidRPr="0001438A">
        <w:t>up period.</w:t>
      </w:r>
      <w:r w:rsidR="00046BC0" w:rsidRPr="0001438A">
        <w:t xml:space="preserve"> In the MRC-Hip study, h</w:t>
      </w:r>
      <w:r w:rsidR="00C30121" w:rsidRPr="0001438A">
        <w:t xml:space="preserve">ip fracture types were also </w:t>
      </w:r>
      <w:r w:rsidR="00BF0059" w:rsidRPr="0001438A">
        <w:t xml:space="preserve">assessed </w:t>
      </w:r>
      <w:r w:rsidR="001457FB">
        <w:t>by plain radiography, with</w:t>
      </w:r>
      <w:r w:rsidR="00C70B4A" w:rsidRPr="0001438A">
        <w:t xml:space="preserve"> 123 cases</w:t>
      </w:r>
      <w:r w:rsidR="00BF0059" w:rsidRPr="0001438A">
        <w:t xml:space="preserve"> reported</w:t>
      </w:r>
      <w:r w:rsidR="00C70B4A" w:rsidRPr="0001438A">
        <w:t xml:space="preserve"> at the neck</w:t>
      </w:r>
      <w:r w:rsidR="00B90119" w:rsidRPr="0001438A">
        <w:t xml:space="preserve">, </w:t>
      </w:r>
      <w:r w:rsidR="001B75EE" w:rsidRPr="0001438A">
        <w:t xml:space="preserve">40 </w:t>
      </w:r>
      <w:r w:rsidR="004902C3" w:rsidRPr="00267F32">
        <w:t xml:space="preserve">patients </w:t>
      </w:r>
      <w:r w:rsidR="00BF0059" w:rsidRPr="00267F32">
        <w:t>at the</w:t>
      </w:r>
      <w:r w:rsidR="00581697" w:rsidRPr="00267F32">
        <w:t xml:space="preserve"> trochanteric</w:t>
      </w:r>
      <w:r w:rsidR="00BF0059" w:rsidRPr="00267F32">
        <w:t xml:space="preserve"> region</w:t>
      </w:r>
      <w:r w:rsidR="00581697" w:rsidRPr="00267F32">
        <w:t xml:space="preserve">, and </w:t>
      </w:r>
      <w:r w:rsidR="00522793" w:rsidRPr="00267F32">
        <w:t>1</w:t>
      </w:r>
      <w:r w:rsidR="00212FCF" w:rsidRPr="00267F32">
        <w:t>8</w:t>
      </w:r>
      <w:r w:rsidR="00581697" w:rsidRPr="00267F32">
        <w:t xml:space="preserve"> </w:t>
      </w:r>
      <w:r w:rsidR="0025417E">
        <w:t>instanc</w:t>
      </w:r>
      <w:r w:rsidR="0025417E" w:rsidRPr="00267F32">
        <w:t>e</w:t>
      </w:r>
      <w:r w:rsidR="00FF4620">
        <w:t>s without defined</w:t>
      </w:r>
      <w:r w:rsidR="0025417E" w:rsidRPr="00267F32">
        <w:t xml:space="preserve"> </w:t>
      </w:r>
      <w:r w:rsidR="00FF4620">
        <w:t>f</w:t>
      </w:r>
      <w:r w:rsidR="001457FB">
        <w:t xml:space="preserve">racture </w:t>
      </w:r>
      <w:r w:rsidR="001457FB">
        <w:lastRenderedPageBreak/>
        <w:t>pattern</w:t>
      </w:r>
      <w:r w:rsidR="00EE7310" w:rsidRPr="00267F32">
        <w:t xml:space="preserve">. </w:t>
      </w:r>
      <w:r w:rsidR="00046BC0" w:rsidRPr="00267F32">
        <w:t xml:space="preserve">In the </w:t>
      </w:r>
      <w:r w:rsidR="009F0E6F">
        <w:t>UK Biobank (</w:t>
      </w:r>
      <w:r w:rsidR="00046BC0" w:rsidRPr="00267F32">
        <w:t>UKBB</w:t>
      </w:r>
      <w:r w:rsidR="009F0E6F">
        <w:t>)</w:t>
      </w:r>
      <w:r w:rsidR="004A5F16" w:rsidRPr="00267F32">
        <w:t xml:space="preserve"> study</w:t>
      </w:r>
      <w:r w:rsidR="00046BC0" w:rsidRPr="00267F32">
        <w:t xml:space="preserve">, hip fracture types were assessed using </w:t>
      </w:r>
      <w:r w:rsidR="001944F1">
        <w:t xml:space="preserve">a combination of </w:t>
      </w:r>
      <w:r w:rsidR="00046BC0" w:rsidRPr="00267F32">
        <w:t>ICD-10</w:t>
      </w:r>
      <w:r w:rsidR="00267F32">
        <w:t xml:space="preserve"> </w:t>
      </w:r>
      <w:r w:rsidR="00B54984" w:rsidRPr="00267F32">
        <w:t>(S72.0, S72.1</w:t>
      </w:r>
      <w:r w:rsidR="001457FB">
        <w:t>)</w:t>
      </w:r>
      <w:r w:rsidR="00B54984" w:rsidRPr="00267F32">
        <w:t xml:space="preserve"> hip fracture</w:t>
      </w:r>
      <w:r w:rsidR="001944F1">
        <w:t xml:space="preserve"> and OPCS4 procedure</w:t>
      </w:r>
      <w:r w:rsidR="00B54984" w:rsidRPr="00267F32">
        <w:t xml:space="preserve"> codes</w:t>
      </w:r>
      <w:r w:rsidR="004036A6">
        <w:t xml:space="preserve">. </w:t>
      </w:r>
      <w:r w:rsidR="002C58FB">
        <w:t>Fifteen</w:t>
      </w:r>
      <w:r w:rsidR="002C58FB" w:rsidRPr="00267F32">
        <w:t xml:space="preserve"> </w:t>
      </w:r>
      <w:r w:rsidR="004036A6">
        <w:t>fractures</w:t>
      </w:r>
      <w:r w:rsidR="00046BC0" w:rsidRPr="00267F32">
        <w:t xml:space="preserve"> were </w:t>
      </w:r>
      <w:r w:rsidR="004036A6">
        <w:t xml:space="preserve">classified as </w:t>
      </w:r>
      <w:r w:rsidR="00046BC0" w:rsidRPr="00267F32">
        <w:t>in the neck</w:t>
      </w:r>
      <w:r w:rsidR="002C58FB">
        <w:t>,</w:t>
      </w:r>
      <w:r w:rsidR="00046BC0" w:rsidRPr="00267F32">
        <w:t xml:space="preserve"> and 12 were </w:t>
      </w:r>
      <w:r w:rsidR="004036A6">
        <w:t>trochanteric</w:t>
      </w:r>
      <w:r w:rsidR="00046BC0" w:rsidRPr="00267F32">
        <w:t>.</w:t>
      </w:r>
    </w:p>
    <w:p w14:paraId="2EA3BE50" w14:textId="58CD0FAD" w:rsidR="00FE22C0" w:rsidRDefault="00FE22C0" w:rsidP="00E73C3E">
      <w:r>
        <w:t xml:space="preserve">In this study, scans were collected either on a Hologic QDR 4500A </w:t>
      </w:r>
      <w:r w:rsidR="00757390">
        <w:t xml:space="preserve">in the MRC-Hip and OPUS studies </w:t>
      </w:r>
      <w:r>
        <w:t xml:space="preserve">or an </w:t>
      </w:r>
      <w:proofErr w:type="spellStart"/>
      <w:r>
        <w:t>iDXA</w:t>
      </w:r>
      <w:proofErr w:type="spellEnd"/>
      <w:r>
        <w:t xml:space="preserve"> Lunar GE scanner</w:t>
      </w:r>
      <w:r w:rsidR="00757390">
        <w:t xml:space="preserve"> in the UK</w:t>
      </w:r>
      <w:r w:rsidR="00D11035">
        <w:t>BB study</w:t>
      </w:r>
      <w:r>
        <w:t xml:space="preserve">. </w:t>
      </w:r>
      <w:r w:rsidR="000758B6">
        <w:t>To am</w:t>
      </w:r>
      <w:r w:rsidR="00E73C3E">
        <w:t>a</w:t>
      </w:r>
      <w:r w:rsidR="000758B6">
        <w:t xml:space="preserve">lgamate data from </w:t>
      </w:r>
      <w:r w:rsidR="00EB0402">
        <w:t>two</w:t>
      </w:r>
      <w:r w:rsidR="00DE3F8B">
        <w:t xml:space="preserve"> </w:t>
      </w:r>
      <w:r w:rsidR="00893CE3">
        <w:t xml:space="preserve">manufacturers, </w:t>
      </w:r>
      <w:r w:rsidR="000006BE">
        <w:t>linear calibration parameters</w:t>
      </w:r>
      <w:r w:rsidR="00AF57B6">
        <w:t xml:space="preserve"> were </w:t>
      </w:r>
      <w:r w:rsidR="00E60C2C">
        <w:t>estimated</w:t>
      </w:r>
      <w:r w:rsidR="00AF57B6">
        <w:t xml:space="preserve"> using</w:t>
      </w:r>
      <w:r w:rsidR="00E60C2C">
        <w:t xml:space="preserve"> the</w:t>
      </w:r>
      <w:r w:rsidR="00AF57B6">
        <w:t xml:space="preserve"> quantile matching regression</w:t>
      </w:r>
      <w:r w:rsidR="00E60C2C">
        <w:t xml:space="preserve"> technique</w:t>
      </w:r>
      <w:r w:rsidR="00E73C3E">
        <w:t>,</w:t>
      </w:r>
      <w:r w:rsidR="00AF57B6">
        <w:t xml:space="preserve"> as </w:t>
      </w:r>
      <w:r w:rsidR="00F96C78">
        <w:t xml:space="preserve">previously </w:t>
      </w:r>
      <w:r w:rsidR="004A2056">
        <w:t>validated</w:t>
      </w:r>
      <w:r w:rsidR="00AF57B6">
        <w:t>.</w:t>
      </w:r>
      <w:r w:rsidR="001871A6">
        <w:fldChar w:fldCharType="begin" w:fldLock="1"/>
      </w:r>
      <w:r w:rsidR="00EB5921">
        <w:instrText>ADDIN CSL_CITATION {"citationItems":[{"id":"ITEM-1","itemData":{"author":[{"dropping-particle":"","family":"Farzi","given":"M.","non-dropping-particle":"","parse-names":false,"suffix":""},{"dropping-particle":"","family":"Pozo","given":"J. M.","non-dropping-particle":"","parse-names":false,"suffix":""},{"dropping-particle":"","family":"McCloskey","given":"E.","non-dropping-particle":"","parse-names":false,"suffix":""},{"dropping-particle":"","family":"Easte","given":"R.","non-dropping-particle":"","parse-names":false,"suffix":""},{"dropping-particle":"","family":"Harvey","given":"N.","non-dropping-particle":"","parse-names":false,"suffix":""},{"dropping-particle":"","family":"Wilkinson","given":"J. M.","non-dropping-particle":"","parse-names":false,"suffix":""},{"dropping-particle":"","family":"Frangi","given":"A. F.","non-dropping-particle":"","parse-names":false,"suffix":""}],"container-title":"IEEE Transactions on Medical Imaging","id":"ITEM-1","issue":"5","issued":{"date-parts":[["2020"]]},"page":"1359-1368","title":"A Spatio-Temporal Ageing Atlas of the Proximal Femur","type":"article-journal","volume":"39"},"uris":["http://www.mendeley.com/documents/?uuid=76e5220f-e11b-4684-867b-b61479b3adbc"]}],"mendeley":{"formattedCitation":"&lt;sup&gt;(30)&lt;/sup&gt;","plainTextFormattedCitation":"(30)","previouslyFormattedCitation":"&lt;sup&gt;(30)&lt;/sup&gt;"},"properties":{"noteIndex":0},"schema":"https://github.com/citation-style-language/schema/raw/master/csl-citation.json"}</w:instrText>
      </w:r>
      <w:r w:rsidR="001871A6">
        <w:fldChar w:fldCharType="separate"/>
      </w:r>
      <w:r w:rsidR="009313D1" w:rsidRPr="009313D1">
        <w:rPr>
          <w:noProof/>
          <w:vertAlign w:val="superscript"/>
        </w:rPr>
        <w:t>(30)</w:t>
      </w:r>
      <w:r w:rsidR="001871A6">
        <w:fldChar w:fldCharType="end"/>
      </w:r>
      <w:r w:rsidR="00AF57B6">
        <w:t xml:space="preserve"> </w:t>
      </w:r>
      <w:r w:rsidR="001871A6">
        <w:t xml:space="preserve">In brief, </w:t>
      </w:r>
      <w:r>
        <w:t xml:space="preserve">n = 406 white British women matched for age and </w:t>
      </w:r>
      <w:r w:rsidR="009F0E6F">
        <w:t>Body Mass Index (</w:t>
      </w:r>
      <w:r>
        <w:t>BMI</w:t>
      </w:r>
      <w:r w:rsidR="009F0E6F">
        <w:t>)</w:t>
      </w:r>
      <w:r>
        <w:t xml:space="preserve"> </w:t>
      </w:r>
      <w:r w:rsidR="006F5F9F">
        <w:t>were selected f</w:t>
      </w:r>
      <w:r w:rsidR="008830E0">
        <w:t>or each scanner.</w:t>
      </w:r>
      <w:r>
        <w:t xml:space="preserve"> </w:t>
      </w:r>
      <w:r w:rsidR="008830E0">
        <w:t xml:space="preserve">Next, </w:t>
      </w:r>
      <w:r w:rsidR="001024CC">
        <w:t>at each pixel coordinate</w:t>
      </w:r>
      <w:r w:rsidR="00C56CD9">
        <w:t>,</w:t>
      </w:r>
      <w:r w:rsidR="001024CC">
        <w:t xml:space="preserve"> </w:t>
      </w:r>
      <w:r w:rsidR="00DE3F8B">
        <w:t>the</w:t>
      </w:r>
      <w:r w:rsidR="006E2647">
        <w:t xml:space="preserve"> linear calibration parameters, i.e. the slope and the intercept, were estimated</w:t>
      </w:r>
      <w:r w:rsidR="0022432D">
        <w:t xml:space="preserve"> such that the</w:t>
      </w:r>
      <w:r w:rsidR="00DE3F8B">
        <w:t xml:space="preserve"> BMD distribution</w:t>
      </w:r>
      <w:r w:rsidR="0022432D">
        <w:t xml:space="preserve"> in each group</w:t>
      </w:r>
      <w:r w:rsidR="00DE3F8B">
        <w:t xml:space="preserve"> </w:t>
      </w:r>
      <w:r w:rsidR="00C56CD9">
        <w:t xml:space="preserve">were matched </w:t>
      </w:r>
      <w:r w:rsidR="00DE3F8B">
        <w:t>between scanners.</w:t>
      </w:r>
    </w:p>
    <w:p w14:paraId="28CDDC48" w14:textId="78F9DD22" w:rsidR="006349DC" w:rsidRPr="0001438A" w:rsidRDefault="006349DC" w:rsidP="00EC5DAE">
      <w:pPr>
        <w:pStyle w:val="Heading1"/>
      </w:pPr>
      <w:r w:rsidRPr="0001438A">
        <w:t>St</w:t>
      </w:r>
      <w:r w:rsidR="00EC5DAE">
        <w:t>atistical methods</w:t>
      </w:r>
    </w:p>
    <w:p w14:paraId="1BC401C9" w14:textId="12EB92BD" w:rsidR="00AB6725" w:rsidRPr="0001438A" w:rsidRDefault="000652F5" w:rsidP="00AB6725">
      <w:pPr>
        <w:pStyle w:val="Heading2"/>
        <w:rPr>
          <w:rFonts w:ascii="Times New Roman" w:hAnsi="Times New Roman" w:cs="Times New Roman"/>
        </w:rPr>
      </w:pPr>
      <w:r>
        <w:rPr>
          <w:rFonts w:ascii="Times New Roman" w:hAnsi="Times New Roman" w:cs="Times New Roman"/>
        </w:rPr>
        <w:t xml:space="preserve">Densitometric </w:t>
      </w:r>
      <w:r w:rsidR="00AB6725" w:rsidRPr="0001438A">
        <w:rPr>
          <w:rFonts w:ascii="Times New Roman" w:hAnsi="Times New Roman" w:cs="Times New Roman"/>
        </w:rPr>
        <w:t>Bone Age</w:t>
      </w:r>
      <w:r w:rsidR="004C1E7E" w:rsidRPr="0001438A">
        <w:rPr>
          <w:rFonts w:ascii="Times New Roman" w:hAnsi="Times New Roman" w:cs="Times New Roman"/>
        </w:rPr>
        <w:t xml:space="preserve"> Estimation</w:t>
      </w:r>
    </w:p>
    <w:p w14:paraId="4985496C" w14:textId="5DE9407F" w:rsidR="00AB6725" w:rsidRDefault="00B233E7" w:rsidP="0033155D">
      <w:r>
        <w:t>The spatio-temporal atlas of BMD</w:t>
      </w:r>
      <w:r w:rsidR="00EB5921">
        <w:t xml:space="preserve"> in the</w:t>
      </w:r>
      <w:r w:rsidR="00307DC5">
        <w:t xml:space="preserve"> proximal</w:t>
      </w:r>
      <w:r w:rsidR="00EB5921">
        <w:t xml:space="preserve"> femur was developed as described previously.</w:t>
      </w:r>
      <w:r w:rsidR="00EB5921">
        <w:fldChar w:fldCharType="begin" w:fldLock="1"/>
      </w:r>
      <w:r w:rsidR="00107EFD">
        <w:instrText>ADDIN CSL_CITATION {"citationItems":[{"id":"ITEM-1","itemData":{"author":[{"dropping-particle":"","family":"Farzi","given":"M.","non-dropping-particle":"","parse-names":false,"suffix":""},{"dropping-particle":"","family":"Pozo","given":"J. M.","non-dropping-particle":"","parse-names":false,"suffix":""},{"dropping-particle":"","family":"McCloskey","given":"E.","non-dropping-particle":"","parse-names":false,"suffix":""},{"dropping-particle":"","family":"Easte","given":"R.","non-dropping-particle":"","parse-names":false,"suffix":""},{"dropping-particle":"","family":"Harvey","given":"N.","non-dropping-particle":"","parse-names":false,"suffix":""},{"dropping-particle":"","family":"Wilkinson","given":"J. M.","non-dropping-particle":"","parse-names":false,"suffix":""},{"dropping-particle":"","family":"Frangi","given":"A. F.","non-dropping-particle":"","parse-names":false,"suffix":""}],"container-title":"IEEE Transactions on Medical Imaging","id":"ITEM-1","issue":"5","issued":{"date-parts":[["2020"]]},"page":"1359-1368","title":"A Spatio-Temporal Ageing Atlas of the Proximal Femur","type":"article-journal","volume":"39"},"uris":["http://www.mendeley.com/documents/?uuid=76e5220f-e11b-4684-867b-b61479b3adbc"]}],"mendeley":{"formattedCitation":"&lt;sup&gt;(30)&lt;/sup&gt;","plainTextFormattedCitation":"(30)","previouslyFormattedCitation":"&lt;sup&gt;(30)&lt;/sup&gt;"},"properties":{"noteIndex":0},"schema":"https://github.com/citation-style-language/schema/raw/master/csl-citation.json"}</w:instrText>
      </w:r>
      <w:r w:rsidR="00EB5921">
        <w:fldChar w:fldCharType="separate"/>
      </w:r>
      <w:r w:rsidR="00EB5921" w:rsidRPr="00EB5921">
        <w:rPr>
          <w:noProof/>
          <w:vertAlign w:val="superscript"/>
        </w:rPr>
        <w:t>(30)</w:t>
      </w:r>
      <w:r w:rsidR="00EB5921">
        <w:fldChar w:fldCharType="end"/>
      </w:r>
      <w:r w:rsidR="00EB5921">
        <w:t xml:space="preserve"> In brief, </w:t>
      </w:r>
      <w:r w:rsidR="0055234E">
        <w:t>BMD map</w:t>
      </w:r>
      <w:r w:rsidR="00D430C3">
        <w:t>s</w:t>
      </w:r>
      <w:r w:rsidR="0055234E">
        <w:t xml:space="preserve"> </w:t>
      </w:r>
      <w:r w:rsidR="00D430C3">
        <w:t>were</w:t>
      </w:r>
      <w:r w:rsidR="0055234E">
        <w:t xml:space="preserve"> obtained for each DXA scan</w:t>
      </w:r>
      <w:r w:rsidR="00272915" w:rsidRPr="0001438A">
        <w:t xml:space="preserve"> with an isotropic spatial resolution of 0.5×0.5 mm</w:t>
      </w:r>
      <w:r w:rsidR="00272915" w:rsidRPr="008C1180">
        <w:rPr>
          <w:vertAlign w:val="superscript"/>
        </w:rPr>
        <w:t>2</w:t>
      </w:r>
      <w:r w:rsidR="00272915" w:rsidRPr="0001438A">
        <w:t xml:space="preserve"> using either Hologic Apex v3.2 (Hologic Inc, Waltham, MA) or Lunar </w:t>
      </w:r>
      <w:proofErr w:type="spellStart"/>
      <w:r w:rsidR="00272915" w:rsidRPr="0001438A">
        <w:t>enCORE</w:t>
      </w:r>
      <w:proofErr w:type="spellEnd"/>
      <w:r w:rsidR="00272915" w:rsidRPr="0001438A">
        <w:t xml:space="preserve"> v16 (GE Healthcare, Madison, WI) proprietary software</w:t>
      </w:r>
      <w:r w:rsidR="0025023B">
        <w:t>,</w:t>
      </w:r>
      <w:r w:rsidR="00272915" w:rsidRPr="0001438A">
        <w:t xml:space="preserve"> </w:t>
      </w:r>
      <w:r w:rsidR="00D430C3">
        <w:t xml:space="preserve">respectively. </w:t>
      </w:r>
      <w:r w:rsidR="00400541">
        <w:t xml:space="preserve">Automatic </w:t>
      </w:r>
      <w:r w:rsidR="00400541" w:rsidRPr="0001438A">
        <w:t xml:space="preserve">segmentation </w:t>
      </w:r>
      <w:r w:rsidR="00A066D8">
        <w:t xml:space="preserve">of the proximal femur was performed </w:t>
      </w:r>
      <w:r w:rsidR="00801D74">
        <w:t>by selecting 65 landmark points around the</w:t>
      </w:r>
      <w:r w:rsidR="00A56425">
        <w:t xml:space="preserve"> bone contour </w:t>
      </w:r>
      <w:r w:rsidR="00A066D8">
        <w:t xml:space="preserve">using the </w:t>
      </w:r>
      <w:r w:rsidR="00DC5B8A">
        <w:t xml:space="preserve">“Bone-Finder v.1.2.0” software developed by </w:t>
      </w:r>
      <w:r w:rsidR="00752159">
        <w:t>Lind</w:t>
      </w:r>
      <w:r w:rsidR="00107EFD">
        <w:t>n</w:t>
      </w:r>
      <w:r w:rsidR="00752159">
        <w:t>er et al.</w:t>
      </w:r>
      <w:r w:rsidR="00107EFD">
        <w:fldChar w:fldCharType="begin" w:fldLock="1"/>
      </w:r>
      <w:r w:rsidR="007C0934">
        <w:instrText>ADDIN CSL_CITATION {"citationItems":[{"id":"ITEM-1","itemData":{"DOI":"10.1109/TMI.2013.2258030","ISSN":"1558-254X (Electronic)","PMID":"23591481","abstract":"Extraction of bone contours from radiographs plays an important role in disease diagnosis, preoperative planning, and treatment analysis. We present a fully automatic method to accurately segment the proximal femur in anteroposterior pelvic radiographs. A number of candidate positions are produced by a global search with a detector. Each is then refined using a statistical shape model together with local detectors for each model point. Both global and local models use Random Forest regression to vote for the optimal positions, leading to robust and accurate results. The performance of the system is evaluated using a set of 839 images of mixed quality. We show that the local search significantly outperforms a range of alternative matching techniques, and that the fully automated system is able to achieve a mean point-to-curve error of less than 0.9 mm for 99% of all 839 images. To the best of our knowledge, this is the most accurate automatic method for segmenting the proximal femur in radiographs yet reported.","author":[{"dropping-particle":"","family":"Lindner","given":"Claudia","non-dropping-particle":"","parse-names":false,"suffix":""},{"dropping-particle":"","family":"Thiagarajah","given":"S","non-dropping-particle":"","parse-names":false,"suffix":""},{"dropping-particle":"","family":"Wilkinson","given":"J Mark","non-dropping-particle":"","parse-names":false,"suffix":""},{"dropping-particle":"","family":"Wallis","given":"Gillian A","non-dropping-particle":"","parse-names":false,"suffix":""},{"dropping-particle":"","family":"Cootes","given":"Timothy F","non-dropping-particle":"","parse-names":false,"suffix":""}],"container-title":"IEEE transactions on medical imaging","id":"ITEM-1","issue":"8","issued":{"date-parts":[["2013","8"]]},"language":"eng","page":"1462-1472","publisher-place":"United States","title":"Fully automatic segmentation of the proximal femur using random forest regression voting.","type":"article-journal","volume":"32"},"uris":["http://www.mendeley.com/documents/?uuid=c859e0a2-0ab8-49c3-8db0-e3e5fb2246e6"]}],"mendeley":{"formattedCitation":"&lt;sup&gt;(33)&lt;/sup&gt;","plainTextFormattedCitation":"(33)","previouslyFormattedCitation":"&lt;sup&gt;(33)&lt;/sup&gt;"},"properties":{"noteIndex":0},"schema":"https://github.com/citation-style-language/schema/raw/master/csl-citation.json"}</w:instrText>
      </w:r>
      <w:r w:rsidR="00107EFD">
        <w:fldChar w:fldCharType="separate"/>
      </w:r>
      <w:r w:rsidR="00107EFD" w:rsidRPr="00107EFD">
        <w:rPr>
          <w:noProof/>
          <w:vertAlign w:val="superscript"/>
        </w:rPr>
        <w:t>(33)</w:t>
      </w:r>
      <w:r w:rsidR="00107EFD">
        <w:fldChar w:fldCharType="end"/>
      </w:r>
      <w:r w:rsidR="009D3E0A">
        <w:t xml:space="preserve"> </w:t>
      </w:r>
      <w:r w:rsidR="000C6072">
        <w:t xml:space="preserve">A standard template comprised of ~16,000 pixels </w:t>
      </w:r>
      <w:r w:rsidR="00F23585">
        <w:t xml:space="preserve">was generated by averaging </w:t>
      </w:r>
      <w:r w:rsidR="008F08B4">
        <w:t xml:space="preserve">over all segmented femurs. </w:t>
      </w:r>
      <w:r w:rsidR="00A444B0">
        <w:t>To remove the morphological variation between scans, a</w:t>
      </w:r>
      <w:r w:rsidR="008F08B4">
        <w:t xml:space="preserve">ll DXA scans were then </w:t>
      </w:r>
      <w:r w:rsidR="000324DD">
        <w:t xml:space="preserve">warped </w:t>
      </w:r>
      <w:r w:rsidR="001D7976">
        <w:t>in</w:t>
      </w:r>
      <w:r w:rsidR="000324DD">
        <w:t xml:space="preserve">to the template </w:t>
      </w:r>
      <w:r w:rsidR="00A64948">
        <w:t>using a thin</w:t>
      </w:r>
      <w:r w:rsidR="007C0934">
        <w:t>-</w:t>
      </w:r>
      <w:r w:rsidR="001D7976">
        <w:t>plate spline (TPS) registration method</w:t>
      </w:r>
      <w:r w:rsidR="00436C82">
        <w:t xml:space="preserve"> </w:t>
      </w:r>
      <w:r w:rsidR="00D970DA">
        <w:t xml:space="preserve">using in-house </w:t>
      </w:r>
      <w:proofErr w:type="spellStart"/>
      <w:r w:rsidR="00D970DA">
        <w:t>Matlab</w:t>
      </w:r>
      <w:proofErr w:type="spellEnd"/>
      <w:r w:rsidR="00D970DA">
        <w:t xml:space="preserve"> </w:t>
      </w:r>
      <w:r w:rsidR="00C743C3">
        <w:t>software</w:t>
      </w:r>
      <w:r w:rsidR="00D970DA">
        <w:t xml:space="preserve"> </w:t>
      </w:r>
      <w:r w:rsidR="00C743C3">
        <w:t>v</w:t>
      </w:r>
      <w:r w:rsidR="00D970DA" w:rsidRPr="00D970DA">
        <w:t>9.7.0.1190202 R2019b</w:t>
      </w:r>
      <w:r w:rsidR="00CA50DB">
        <w:t xml:space="preserve"> </w:t>
      </w:r>
      <w:r w:rsidR="00EF6D04" w:rsidRPr="00EF6D04">
        <w:t>(Mathworks, Cambridge, MA,</w:t>
      </w:r>
      <w:r w:rsidR="00EF6D04">
        <w:t xml:space="preserve"> </w:t>
      </w:r>
      <w:r w:rsidR="00EF6D04" w:rsidRPr="00EF6D04">
        <w:t>USA)</w:t>
      </w:r>
      <w:r w:rsidR="001D7976">
        <w:t>.</w:t>
      </w:r>
      <w:r w:rsidR="007C0934">
        <w:fldChar w:fldCharType="begin" w:fldLock="1"/>
      </w:r>
      <w:r w:rsidR="00EF2361">
        <w:instrText>ADDIN CSL_CITATION {"citationItems":[{"id":"ITEM-1","itemData":{"PMID":"7277265","abstract":"The decomposition of deformations by principal warps is demonstrated. The method is extended to deal with curving edges between landmarks. This formulation is related to other applications of splines current in computer vision. How they might aid in the extraction of features for analysis, comparison, and diagnosis of biological and medical images in indicated","author":[{"dropping-particle":"","family":"Bookstein","given":"F.L.","non-dropping-particle":"","parse-names":false,"suffix":""}],"container-title":"IEEE Transactions on Pattern Analysis and Machine Intelligence","id":"ITEM-1","issue":"6","issued":{"date-parts":[["1989"]]},"title":"Principal Warps: Thin-Plate Splines and the Decomposition of Deformations","type":"article-journal","volume":"11"},"uris":["http://www.mendeley.com/documents/?uuid=9d36248f-7c9f-4979-9160-08fa0e7063e0"]}],"mendeley":{"formattedCitation":"&lt;sup&gt;(34)&lt;/sup&gt;","plainTextFormattedCitation":"(34)","previouslyFormattedCitation":"&lt;sup&gt;(34)&lt;/sup&gt;"},"properties":{"noteIndex":0},"schema":"https://github.com/citation-style-language/schema/raw/master/csl-citation.json"}</w:instrText>
      </w:r>
      <w:r w:rsidR="007C0934">
        <w:fldChar w:fldCharType="separate"/>
      </w:r>
      <w:r w:rsidR="007C0934" w:rsidRPr="007C0934">
        <w:rPr>
          <w:noProof/>
          <w:vertAlign w:val="superscript"/>
        </w:rPr>
        <w:t>(34)</w:t>
      </w:r>
      <w:r w:rsidR="007C0934">
        <w:fldChar w:fldCharType="end"/>
      </w:r>
      <w:r w:rsidR="001D7976">
        <w:t xml:space="preserve"> </w:t>
      </w:r>
      <w:r w:rsidR="00BF6385">
        <w:t xml:space="preserve">Age-specific BMD distribution at </w:t>
      </w:r>
      <w:r w:rsidR="00702669">
        <w:t xml:space="preserve">each individual pixel was estimated smoothly using </w:t>
      </w:r>
      <w:r w:rsidR="006A3645">
        <w:t xml:space="preserve">the R-package </w:t>
      </w:r>
      <w:r w:rsidR="00740044">
        <w:t>VGAM.</w:t>
      </w:r>
      <w:r w:rsidR="00EF2361">
        <w:fldChar w:fldCharType="begin" w:fldLock="1"/>
      </w:r>
      <w:r w:rsidR="00CA39B8">
        <w:instrText>ADDIN CSL_CITATION {"citationItems":[{"id":"ITEM-1","itemData":{"DOI":"10.1002/sim.1822","ISSN":"02776715","PMID":"15236432","abstract":"One of the most popular methods for quantile regression is the LMS method of Cole and Green. The method naturally falls within a penalized likelihood framework, and consequently allows for considerable flexible because all three parameters may be modelled by cubic smoothing splines. The model is also very understandable: for a given value of the covariate, the LMS method applies a Box-Cox transformation to the response in order to transform it to standard normality; to obtain the quantiles, an inverse Box-Cox transformation is applied to the quantiles of the standard normal distribution. The purposes of this article are three-fold. Firstly, LMS quantile regression is presented within the framework of the class of vector generalized additive models. This confers a number of advantages such as a unifying theory and estimation process. Secondly, a new LMS method based on the Yeo-Johnson transformation is proposed, which has the advantage that the response is not restricted to be positive. Lastly, this paper describes a software implementation of three LMS quantile regression methods in the S language. This includes the LMS-Yeo-Johnson method, which is estimated efficiently by a new numerical integration scheme. The LMS-Yeo-Johnson method is illustrated by way of a large cross-sectional data set from a New Zealand working population.","author":[{"dropping-particle":"","family":"Yee","given":"Thomas W.","non-dropping-particle":"","parse-names":false,"suffix":""}],"container-title":"Statistics in Medicine","id":"ITEM-1","issue":"14","issued":{"date-parts":[["2004"]]},"page":"2295-2315","title":"Quantile regression via vector generalized additive models","type":"article-journal","volume":"23"},"uris":["http://www.mendeley.com/documents/?uuid=48da138d-5a59-4735-9034-a6072e764410"]}],"mendeley":{"formattedCitation":"&lt;sup&gt;(35)&lt;/sup&gt;","plainTextFormattedCitation":"(35)","previouslyFormattedCitation":"&lt;sup&gt;(35)&lt;/sup&gt;"},"properties":{"noteIndex":0},"schema":"https://github.com/citation-style-language/schema/raw/master/csl-citation.json"}</w:instrText>
      </w:r>
      <w:r w:rsidR="00EF2361">
        <w:fldChar w:fldCharType="separate"/>
      </w:r>
      <w:r w:rsidR="00EF2361" w:rsidRPr="00EF2361">
        <w:rPr>
          <w:noProof/>
          <w:vertAlign w:val="superscript"/>
        </w:rPr>
        <w:t>(35)</w:t>
      </w:r>
      <w:r w:rsidR="00EF2361">
        <w:fldChar w:fldCharType="end"/>
      </w:r>
      <w:r w:rsidR="00EF2361">
        <w:t xml:space="preserve"> </w:t>
      </w:r>
      <w:r w:rsidR="00400541" w:rsidRPr="0001438A">
        <w:t xml:space="preserve">The resulting atlas allows probabilistic estimation of </w:t>
      </w:r>
      <w:r w:rsidR="00400541">
        <w:t xml:space="preserve">age-specific </w:t>
      </w:r>
      <w:r w:rsidR="00400541" w:rsidRPr="0001438A">
        <w:t>pixel-</w:t>
      </w:r>
      <w:r w:rsidR="00400541" w:rsidRPr="0001438A">
        <w:lastRenderedPageBreak/>
        <w:t>level BMD at any given anatomic site within the proximal femur across the studied age range</w:t>
      </w:r>
      <w:r w:rsidR="00400541">
        <w:t>. Here, we define the “normal bone ageing” trajectory by estimating the median BMD map in the population</w:t>
      </w:r>
      <w:r w:rsidR="00400541" w:rsidRPr="0001438A">
        <w:t xml:space="preserve"> (</w:t>
      </w:r>
      <w:r w:rsidR="00400541">
        <w:t>Figure 1</w:t>
      </w:r>
      <w:r w:rsidR="00400541" w:rsidRPr="0001438A">
        <w:t>).</w:t>
      </w:r>
      <w:r w:rsidR="00400541">
        <w:t xml:space="preserve"> The underlying assumption of the bone ageing trajectory is that all subjects follow a consistent path across the chronological ageing spectrum but at a different speed due to relatively accelerated/decelerated rates of bone loss during ageing. With this definition, </w:t>
      </w:r>
      <w:r w:rsidR="005D08B7">
        <w:t>DBA</w:t>
      </w:r>
      <w:r w:rsidR="00400541">
        <w:t xml:space="preserve"> is the age at which the root mean squared error (RMSE) between the median BMD map and the individual BMD map is smallest (or minimum)</w:t>
      </w:r>
      <w:r w:rsidR="00093F0E">
        <w:t xml:space="preserve"> (Figure</w:t>
      </w:r>
      <w:r w:rsidR="0008129F">
        <w:t xml:space="preserve"> 2)</w:t>
      </w:r>
      <w:r w:rsidR="00400541">
        <w:t>.</w:t>
      </w:r>
      <w:r w:rsidR="0008129F">
        <w:t xml:space="preserve"> </w:t>
      </w:r>
      <w:r w:rsidR="00815EDC" w:rsidRPr="0001438A">
        <w:t xml:space="preserve">Note that </w:t>
      </w:r>
      <w:r w:rsidR="005D08B7">
        <w:t>DBA</w:t>
      </w:r>
      <w:r w:rsidR="00815EDC" w:rsidRPr="0001438A">
        <w:t xml:space="preserve"> </w:t>
      </w:r>
      <w:r w:rsidR="00BB16C7">
        <w:t xml:space="preserve">depends only on </w:t>
      </w:r>
      <w:r w:rsidR="00815EDC" w:rsidRPr="0001438A">
        <w:t>the spatial texture of BMD maps</w:t>
      </w:r>
      <w:r w:rsidR="00AF6920" w:rsidRPr="0001438A">
        <w:t xml:space="preserve"> rather than the chronological age</w:t>
      </w:r>
      <w:r w:rsidR="00815EDC" w:rsidRPr="0001438A">
        <w:t>.</w:t>
      </w:r>
    </w:p>
    <w:p w14:paraId="28A2B806" w14:textId="1D3AB246" w:rsidR="00356EF1" w:rsidRPr="0001438A" w:rsidRDefault="00356EF1" w:rsidP="00356EF1">
      <w:pPr>
        <w:pStyle w:val="Heading2"/>
        <w:rPr>
          <w:rFonts w:ascii="Times New Roman" w:hAnsi="Times New Roman" w:cs="Times New Roman"/>
        </w:rPr>
      </w:pPr>
      <w:r w:rsidRPr="0001438A">
        <w:rPr>
          <w:rFonts w:ascii="Times New Roman" w:hAnsi="Times New Roman" w:cs="Times New Roman"/>
        </w:rPr>
        <w:t>Precision Analysis</w:t>
      </w:r>
    </w:p>
    <w:p w14:paraId="365C9276" w14:textId="49EFF566" w:rsidR="00356EF1" w:rsidRPr="0001438A" w:rsidRDefault="005D08B7" w:rsidP="004036A6">
      <w:r>
        <w:t>DBA</w:t>
      </w:r>
      <w:r w:rsidR="00CC66C1" w:rsidRPr="0001438A">
        <w:t xml:space="preserve"> is a quantitative measurement technique. </w:t>
      </w:r>
      <w:r w:rsidR="0055234E">
        <w:t>A subset of the OPUS cohort (n=25) was scanned twice on the same day</w:t>
      </w:r>
      <w:r w:rsidR="00F96C78">
        <w:t>,</w:t>
      </w:r>
      <w:r w:rsidR="0055234E">
        <w:t xml:space="preserve"> with patient repositioning between scans to assess its precision</w:t>
      </w:r>
      <w:r w:rsidR="00CC66C1" w:rsidRPr="0001438A">
        <w:t xml:space="preserve">. </w:t>
      </w:r>
      <w:r w:rsidR="002C7098">
        <w:t xml:space="preserve">For each scan, </w:t>
      </w:r>
      <w:r>
        <w:t>DBA</w:t>
      </w:r>
      <w:r w:rsidR="002C7098">
        <w:t xml:space="preserve"> w</w:t>
      </w:r>
      <w:r w:rsidR="000857D1">
        <w:t>as</w:t>
      </w:r>
      <w:r w:rsidR="002C7098">
        <w:t xml:space="preserve"> computed </w:t>
      </w:r>
      <w:r w:rsidR="00BF1FCF">
        <w:t xml:space="preserve">independently. </w:t>
      </w:r>
      <w:r w:rsidR="003E0B09">
        <w:t>T</w:t>
      </w:r>
      <w:r w:rsidR="00CC66C1" w:rsidRPr="0001438A">
        <w:t>he coefficient of variation (CV</w:t>
      </w:r>
      <w:r w:rsidR="00C635AA">
        <w:t xml:space="preserve">) was then </w:t>
      </w:r>
      <w:r w:rsidR="0025417E">
        <w:t xml:space="preserve">calculated </w:t>
      </w:r>
      <w:r w:rsidR="00C635AA">
        <w:t xml:space="preserve">as </w:t>
      </w:r>
      <w:r w:rsidR="00CC66C1" w:rsidRPr="0001438A">
        <w:t>the root mean square standard deviation divided by the mean of paired measurements</w:t>
      </w:r>
      <w:r w:rsidR="00C635AA">
        <w:t>.</w:t>
      </w:r>
      <w:r w:rsidR="00783625" w:rsidRPr="0001438A">
        <w:fldChar w:fldCharType="begin" w:fldLock="1"/>
      </w:r>
      <w:r w:rsidR="00CA39B8">
        <w:instrText>ADDIN CSL_CITATION {"citationItems":[{"id":"ITEM-1","itemData":{"DOI":"10.1136/ard.2002.005678","ISSN":"00034967","PMID":"14962964","abstract":"BACKGROUND: Bone mineral density (BMD) measurements are frequently performed repeatedly for each patient. Subsequent BMD measurements allow reproducibility to be assessed. OBJECTIVE: To examine the reproducibility of BMD by dual energy x ray absorptiometry (DXA) and to investigate the practical value of different measures of reproducibility in a group of postmenopausal women. METHODS: Ninety five women, mean age 59.9 years, underwent two subsequent BMD measurements of spine and hip. Reproducibility was expressed as smallest detectable difference (SDD), coefficient of variation (CV), and intraclass correlation coefficient (ICC). Sources of variation were investigated by multilevel analysis. RESULTS: The median interval between measurements was 0 days (range 0-45). The mean difference (SD) between the measurements (g/cm(2)) was -0.001 (0.02) and -0.0004 (0.02) at L1-4 and the total hip, respectively. At L1-4 and the total hip, SDD (g/cm(2)) was +/-0.05 and +/-0.04 and CV (%) was 1.92 and 1.59, respectively. The ICC at spine and hip was 0.99. CONCLUSIONS: Reproducibility in the postmenopausal women studied was good. In a repeated DXA scan a BMD change exceeding 2 radical 2CV (%), the least significant change (LSC), or the SDD should be regarded as significant. Use of the SDD is preferable to use of the CV and LSC (%) because of its independence from BMD and its expression in absolute units. Expressed as SDD, a BMD change of at least +/-0.05 g/cm(2) at L1-4 and +/-0.04 g/cm(2) at the total hip should be considered significant.","author":[{"dropping-particle":"","family":"Lodder","given":"M. C.","non-dropping-particle":"","parse-names":false,"suffix":""},{"dropping-particle":"","family":"Lems","given":"W. F.","non-dropping-particle":"","parse-names":false,"suffix":""},{"dropping-particle":"","family":"Ader","given":"H. J.","non-dropping-particle":"","parse-names":false,"suffix":""},{"dropping-particle":"","family":"Marthinsen","given":"A. E.","non-dropping-particle":"","parse-names":false,"suffix":""},{"dropping-particle":"","family":"Coeverden","given":"S. C C M","non-dropping-particle":"Van","parse-names":false,"suffix":""},{"dropping-particle":"","family":"Lips","given":"P.","non-dropping-particle":"","parse-names":false,"suffix":""},{"dropping-particle":"","family":"Netelenbos","given":"J. C.","non-dropping-particle":"","parse-names":false,"suffix":""},{"dropping-particle":"","family":"Dijkmans","given":"B. A C","non-dropping-particle":"","parse-names":false,"suffix":""},{"dropping-particle":"","family":"Roos","given":"J. C.","non-dropping-particle":"","parse-names":false,"suffix":""}],"container-title":"Annals of the Rheumatic Diseases","id":"ITEM-1","issue":"3","issued":{"date-parts":[["2004"]]},"page":"285-289","title":"Reproducibility of bone mineral density measurement in daily practice","type":"article-journal","volume":"63"},"uris":["http://www.mendeley.com/documents/?uuid=4807a954-d898-48d2-a8df-c10da2212228"]}],"mendeley":{"formattedCitation":"&lt;sup&gt;(36)&lt;/sup&gt;","plainTextFormattedCitation":"(36)","previouslyFormattedCitation":"&lt;sup&gt;(36)&lt;/sup&gt;"},"properties":{"noteIndex":0},"schema":"https://github.com/citation-style-language/schema/raw/master/csl-citation.json"}</w:instrText>
      </w:r>
      <w:r w:rsidR="00783625" w:rsidRPr="0001438A">
        <w:fldChar w:fldCharType="separate"/>
      </w:r>
      <w:r w:rsidR="00EF2361" w:rsidRPr="00EF2361">
        <w:rPr>
          <w:noProof/>
          <w:vertAlign w:val="superscript"/>
        </w:rPr>
        <w:t>(36)</w:t>
      </w:r>
      <w:r w:rsidR="00783625" w:rsidRPr="0001438A">
        <w:fldChar w:fldCharType="end"/>
      </w:r>
      <w:r w:rsidR="00CC66C1" w:rsidRPr="0001438A">
        <w:t xml:space="preserve"> </w:t>
      </w:r>
      <w:r w:rsidR="00C635AA">
        <w:t xml:space="preserve">To visualise the </w:t>
      </w:r>
      <w:r w:rsidR="001351EE">
        <w:t>agreement between measurements, Bland-Altman plots were employed.</w:t>
      </w:r>
    </w:p>
    <w:p w14:paraId="33443C68" w14:textId="231A9A32" w:rsidR="00783625" w:rsidRPr="0001438A" w:rsidRDefault="005D08B7">
      <w:pPr>
        <w:pStyle w:val="Heading2"/>
        <w:rPr>
          <w:rFonts w:ascii="Times New Roman" w:hAnsi="Times New Roman" w:cs="Times New Roman"/>
        </w:rPr>
      </w:pPr>
      <w:r>
        <w:rPr>
          <w:rFonts w:ascii="Times New Roman" w:hAnsi="Times New Roman" w:cs="Times New Roman"/>
        </w:rPr>
        <w:t>DBA</w:t>
      </w:r>
      <w:r w:rsidR="000B551D">
        <w:rPr>
          <w:rFonts w:ascii="Times New Roman" w:hAnsi="Times New Roman" w:cs="Times New Roman"/>
        </w:rPr>
        <w:t xml:space="preserve"> </w:t>
      </w:r>
      <w:r w:rsidR="003B48DB">
        <w:rPr>
          <w:rFonts w:ascii="Times New Roman" w:hAnsi="Times New Roman" w:cs="Times New Roman"/>
        </w:rPr>
        <w:t>a</w:t>
      </w:r>
      <w:r w:rsidR="000B551D">
        <w:rPr>
          <w:rFonts w:ascii="Times New Roman" w:hAnsi="Times New Roman" w:cs="Times New Roman"/>
        </w:rPr>
        <w:t xml:space="preserve">nd </w:t>
      </w:r>
      <w:r w:rsidR="003B48DB">
        <w:rPr>
          <w:rFonts w:ascii="Times New Roman" w:hAnsi="Times New Roman" w:cs="Times New Roman"/>
        </w:rPr>
        <w:t>i</w:t>
      </w:r>
      <w:r w:rsidR="000B551D">
        <w:rPr>
          <w:rFonts w:ascii="Times New Roman" w:hAnsi="Times New Roman" w:cs="Times New Roman"/>
        </w:rPr>
        <w:t>ts Relation</w:t>
      </w:r>
      <w:r w:rsidR="00464829">
        <w:rPr>
          <w:rFonts w:ascii="Times New Roman" w:hAnsi="Times New Roman" w:cs="Times New Roman"/>
        </w:rPr>
        <w:t>ship</w:t>
      </w:r>
      <w:r w:rsidR="000B551D">
        <w:rPr>
          <w:rFonts w:ascii="Times New Roman" w:hAnsi="Times New Roman" w:cs="Times New Roman"/>
        </w:rPr>
        <w:t xml:space="preserve"> </w:t>
      </w:r>
      <w:r w:rsidR="003B48DB">
        <w:rPr>
          <w:rFonts w:ascii="Times New Roman" w:hAnsi="Times New Roman" w:cs="Times New Roman"/>
        </w:rPr>
        <w:t>w</w:t>
      </w:r>
      <w:r w:rsidR="000B551D">
        <w:rPr>
          <w:rFonts w:ascii="Times New Roman" w:hAnsi="Times New Roman" w:cs="Times New Roman"/>
        </w:rPr>
        <w:t xml:space="preserve">ith </w:t>
      </w:r>
      <w:r w:rsidR="003B48DB">
        <w:rPr>
          <w:rFonts w:ascii="Times New Roman" w:hAnsi="Times New Roman" w:cs="Times New Roman"/>
        </w:rPr>
        <w:t>t</w:t>
      </w:r>
      <w:r w:rsidR="000B551D">
        <w:rPr>
          <w:rFonts w:ascii="Times New Roman" w:hAnsi="Times New Roman" w:cs="Times New Roman"/>
        </w:rPr>
        <w:t>he FN-BMD T-</w:t>
      </w:r>
      <w:r w:rsidR="003B48DB">
        <w:rPr>
          <w:rFonts w:ascii="Times New Roman" w:hAnsi="Times New Roman" w:cs="Times New Roman"/>
        </w:rPr>
        <w:t>score</w:t>
      </w:r>
      <w:r w:rsidR="000B551D">
        <w:rPr>
          <w:rFonts w:ascii="Times New Roman" w:hAnsi="Times New Roman" w:cs="Times New Roman"/>
        </w:rPr>
        <w:t xml:space="preserve"> </w:t>
      </w:r>
      <w:r w:rsidR="003B48DB">
        <w:rPr>
          <w:rFonts w:ascii="Times New Roman" w:hAnsi="Times New Roman" w:cs="Times New Roman"/>
        </w:rPr>
        <w:t>a</w:t>
      </w:r>
      <w:r w:rsidR="000B551D">
        <w:rPr>
          <w:rFonts w:ascii="Times New Roman" w:hAnsi="Times New Roman" w:cs="Times New Roman"/>
        </w:rPr>
        <w:t>nd Z-score</w:t>
      </w:r>
    </w:p>
    <w:p w14:paraId="79528F8F" w14:textId="3B96FA12" w:rsidR="0018467E" w:rsidRPr="0001438A" w:rsidRDefault="005D08B7" w:rsidP="001E11D3">
      <w:r>
        <w:t>DBA</w:t>
      </w:r>
      <w:r w:rsidR="0018467E" w:rsidRPr="0001438A">
        <w:t xml:space="preserve"> is similar</w:t>
      </w:r>
      <w:r w:rsidR="00A56D06">
        <w:t xml:space="preserve"> in principle</w:t>
      </w:r>
      <w:r w:rsidR="0018467E" w:rsidRPr="0001438A">
        <w:t xml:space="preserve"> to the conventional </w:t>
      </w:r>
      <w:r w:rsidR="00E21070">
        <w:t>T-score</w:t>
      </w:r>
      <w:r w:rsidR="0018467E" w:rsidRPr="0001438A">
        <w:t xml:space="preserve"> and </w:t>
      </w:r>
      <w:r w:rsidR="00E21070">
        <w:t>Z-score</w:t>
      </w:r>
      <w:r w:rsidR="0055234E">
        <w:t>. A</w:t>
      </w:r>
      <w:r w:rsidR="00A56D06">
        <w:t>n</w:t>
      </w:r>
      <w:r w:rsidR="004036A6">
        <w:t xml:space="preserve"> individual’s “score” is defined by comparison against </w:t>
      </w:r>
      <w:r w:rsidR="0018467E" w:rsidRPr="0001438A">
        <w:t xml:space="preserve">a set of reference values from the population. </w:t>
      </w:r>
      <w:r w:rsidR="003B5F32">
        <w:t xml:space="preserve">Figure 3 </w:t>
      </w:r>
      <w:r w:rsidR="0018467E" w:rsidRPr="0001438A">
        <w:t xml:space="preserve">demonstrates this analogy for </w:t>
      </w:r>
      <w:proofErr w:type="spellStart"/>
      <w:r w:rsidR="0018467E" w:rsidRPr="0001438A">
        <w:t>aBMD</w:t>
      </w:r>
      <w:proofErr w:type="spellEnd"/>
      <w:r w:rsidR="0018467E" w:rsidRPr="0001438A">
        <w:t xml:space="preserve"> at the femoral neck. </w:t>
      </w:r>
      <w:r w:rsidR="00AB3C98">
        <w:t>Note that</w:t>
      </w:r>
      <w:r w:rsidR="007A427E">
        <w:t xml:space="preserve"> </w:t>
      </w:r>
      <w:proofErr w:type="gramStart"/>
      <w:r w:rsidR="00CC67E9">
        <w:t>similar to</w:t>
      </w:r>
      <w:proofErr w:type="gramEnd"/>
      <w:r w:rsidR="00CC67E9">
        <w:t xml:space="preserve"> </w:t>
      </w:r>
      <w:r w:rsidR="00E87BF2">
        <w:t>FN-</w:t>
      </w:r>
      <w:r w:rsidR="00EC12C2">
        <w:t xml:space="preserve">BMD </w:t>
      </w:r>
      <w:r w:rsidR="00E21070">
        <w:t>T-score</w:t>
      </w:r>
      <w:r w:rsidR="0018467E" w:rsidRPr="0001438A">
        <w:t xml:space="preserve"> and </w:t>
      </w:r>
      <w:r w:rsidR="00E21070">
        <w:t>Z-score</w:t>
      </w:r>
      <w:r w:rsidR="00CC67E9">
        <w:t xml:space="preserve">, </w:t>
      </w:r>
      <w:r>
        <w:t>DBA</w:t>
      </w:r>
      <w:r w:rsidR="00CC67E9">
        <w:t xml:space="preserve"> is also a linear </w:t>
      </w:r>
      <w:r w:rsidR="00856D1B">
        <w:t>function of FN-BMD</w:t>
      </w:r>
      <w:r w:rsidR="0018467E" w:rsidRPr="0001438A">
        <w:t xml:space="preserve">. </w:t>
      </w:r>
      <w:r w:rsidR="003B5F32">
        <w:t xml:space="preserve">Figure 3 </w:t>
      </w:r>
      <w:r w:rsidR="00F7468A">
        <w:t>shows</w:t>
      </w:r>
      <w:r w:rsidR="00A0490C">
        <w:t xml:space="preserve"> the bone ageing </w:t>
      </w:r>
      <w:r w:rsidR="00F7468A">
        <w:t xml:space="preserve">distribution and </w:t>
      </w:r>
      <w:r w:rsidR="00A0490C">
        <w:t xml:space="preserve">trajectory </w:t>
      </w:r>
      <w:r w:rsidR="000A3ED8">
        <w:t xml:space="preserve">for </w:t>
      </w:r>
      <w:r w:rsidR="00E87BF2">
        <w:t>FN-</w:t>
      </w:r>
      <w:r w:rsidR="004605BA">
        <w:t>BMD</w:t>
      </w:r>
      <w:r w:rsidR="0070562A">
        <w:t xml:space="preserve">, with each point representing an individual subject from the </w:t>
      </w:r>
      <w:r w:rsidR="000A3ED8">
        <w:t>population.</w:t>
      </w:r>
      <w:r w:rsidR="0073524A">
        <w:t xml:space="preserve"> Similarly, for n=16,000 pixels</w:t>
      </w:r>
      <w:r w:rsidR="00F7468A">
        <w:t xml:space="preserve"> representing the whole proximal femur</w:t>
      </w:r>
      <w:r w:rsidR="0073524A">
        <w:t xml:space="preserve">, the bone ageing trajectory would be </w:t>
      </w:r>
      <w:r w:rsidR="00BA4371">
        <w:t xml:space="preserve">a smooth non-linear </w:t>
      </w:r>
      <w:r w:rsidR="00B56921">
        <w:t>curve</w:t>
      </w:r>
      <w:r w:rsidR="00BA4371">
        <w:t xml:space="preserve"> in th</w:t>
      </w:r>
      <w:r w:rsidR="004C7159">
        <w:t>is</w:t>
      </w:r>
      <w:r w:rsidR="00BA4371">
        <w:t xml:space="preserve"> high-dimension</w:t>
      </w:r>
      <w:r w:rsidR="004C7159">
        <w:t>al space</w:t>
      </w:r>
      <w:r w:rsidR="00B56921">
        <w:t>.</w:t>
      </w:r>
      <w:r w:rsidR="00A0490C">
        <w:t xml:space="preserve"> </w:t>
      </w:r>
      <w:r w:rsidR="000D4D69">
        <w:t>W</w:t>
      </w:r>
      <w:r w:rsidR="00CB62DD" w:rsidRPr="0001438A">
        <w:t xml:space="preserve">hen </w:t>
      </w:r>
      <w:r>
        <w:t>DBA</w:t>
      </w:r>
      <w:r w:rsidR="00CB62DD" w:rsidRPr="0001438A">
        <w:t xml:space="preserve"> is computed over n~16,000 pixels on the template, </w:t>
      </w:r>
      <w:r w:rsidR="00F45A45" w:rsidRPr="0001438A">
        <w:t xml:space="preserve">the </w:t>
      </w:r>
      <w:r w:rsidR="00CB62DD" w:rsidRPr="0001438A">
        <w:t>spatial BMD texture</w:t>
      </w:r>
      <w:r w:rsidR="00F45A45" w:rsidRPr="0001438A">
        <w:t xml:space="preserve"> also</w:t>
      </w:r>
      <w:r w:rsidR="00CB62DD" w:rsidRPr="0001438A">
        <w:t xml:space="preserve"> </w:t>
      </w:r>
      <w:r w:rsidR="00CB62DD" w:rsidRPr="0001438A">
        <w:lastRenderedPageBreak/>
        <w:t>contribute</w:t>
      </w:r>
      <w:r w:rsidR="00F45A45" w:rsidRPr="0001438A">
        <w:t xml:space="preserve">s to </w:t>
      </w:r>
      <w:r w:rsidR="0055234E">
        <w:t>calculating</w:t>
      </w:r>
      <w:r w:rsidR="00F45A45" w:rsidRPr="0001438A">
        <w:t xml:space="preserve"> bone age. The Pearson coefficient correlation </w:t>
      </w:r>
      <w:r w:rsidR="00F45A45" w:rsidRPr="003A64FD">
        <w:rPr>
          <w:i/>
          <w:iCs/>
        </w:rPr>
        <w:t>r</w:t>
      </w:r>
      <w:r w:rsidR="00F45A45" w:rsidRPr="0001438A">
        <w:t xml:space="preserve"> is reported to assess the relationship between </w:t>
      </w:r>
      <w:r>
        <w:t>DBA</w:t>
      </w:r>
      <w:r w:rsidR="00F45A45" w:rsidRPr="0001438A">
        <w:t xml:space="preserve"> and </w:t>
      </w:r>
      <w:r w:rsidR="00E87BF2">
        <w:t>FN-</w:t>
      </w:r>
      <w:r w:rsidR="00F45A45" w:rsidRPr="0001438A">
        <w:t xml:space="preserve">BMD </w:t>
      </w:r>
      <w:r w:rsidR="00E21070">
        <w:t>T-score</w:t>
      </w:r>
      <w:r w:rsidR="00F45A45" w:rsidRPr="0001438A">
        <w:t xml:space="preserve"> and </w:t>
      </w:r>
      <w:r w:rsidR="00E21070">
        <w:t>Z-score</w:t>
      </w:r>
      <w:r w:rsidR="00F45A45" w:rsidRPr="0001438A">
        <w:t>.</w:t>
      </w:r>
      <w:r w:rsidR="00F7468A">
        <w:rPr>
          <w:noProof/>
          <w:lang w:eastAsia="zh-CN"/>
        </w:rPr>
        <mc:AlternateContent>
          <mc:Choice Requires="wpi">
            <w:drawing>
              <wp:anchor distT="0" distB="0" distL="114300" distR="114300" simplePos="0" relativeHeight="251658240" behindDoc="0" locked="0" layoutInCell="1" allowOverlap="1" wp14:anchorId="74CE6B29" wp14:editId="6C630C7C">
                <wp:simplePos x="0" y="0"/>
                <wp:positionH relativeFrom="column">
                  <wp:posOffset>5733619</wp:posOffset>
                </wp:positionH>
                <wp:positionV relativeFrom="paragraph">
                  <wp:posOffset>762095</wp:posOffset>
                </wp:positionV>
                <wp:extent cx="360" cy="360"/>
                <wp:effectExtent l="38100" t="38100" r="38100" b="38100"/>
                <wp:wrapNone/>
                <wp:docPr id="22" name="Ink 22"/>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xmlns:oel="http://schemas.microsoft.com/office/2019/extlst">
            <w:pict>
              <v:shape w14:anchorId="2A1199A5" id="Ink 22" o:spid="_x0000_s1026" type="#_x0000_t75" style="position:absolute;margin-left:450.45pt;margin-top:59pt;width:2.05pt;height:2.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">
                <v:imagedata r:id="rId29" o:title=""/>
              </v:shape>
            </w:pict>
          </mc:Fallback>
        </mc:AlternateContent>
      </w:r>
      <w:r w:rsidR="00774F17">
        <w:t xml:space="preserve"> </w:t>
      </w:r>
      <w:r w:rsidR="001E11D3">
        <w:rPr>
          <w:lang w:val="en-US" w:bidi="fa-IR"/>
        </w:rPr>
        <w:t xml:space="preserve">All statistical tests were performed in </w:t>
      </w:r>
      <w:r w:rsidR="001E11D3" w:rsidRPr="00D34918">
        <w:rPr>
          <w:lang w:val="en-US" w:bidi="fa-IR"/>
        </w:rPr>
        <w:t>M</w:t>
      </w:r>
      <w:r w:rsidR="001E11D3">
        <w:rPr>
          <w:lang w:val="en-US" w:bidi="fa-IR"/>
        </w:rPr>
        <w:t>ATLAB</w:t>
      </w:r>
      <w:r w:rsidR="001E11D3" w:rsidRPr="00D34918">
        <w:rPr>
          <w:lang w:val="en-US" w:bidi="fa-IR"/>
        </w:rPr>
        <w:t xml:space="preserve"> </w:t>
      </w:r>
      <w:r w:rsidR="001E11D3">
        <w:rPr>
          <w:lang w:val="en-US" w:bidi="fa-IR"/>
        </w:rPr>
        <w:t>v</w:t>
      </w:r>
      <w:r w:rsidR="001E11D3" w:rsidRPr="00675B2D">
        <w:rPr>
          <w:lang w:val="en-US" w:bidi="fa-IR"/>
        </w:rPr>
        <w:t>9.7.0.1190202 (R2019b)</w:t>
      </w:r>
      <w:r w:rsidR="001E11D3" w:rsidRPr="00D34918">
        <w:rPr>
          <w:lang w:val="en-US" w:bidi="fa-IR"/>
        </w:rPr>
        <w:t xml:space="preserve"> (Mathworks Inc, Cambridge, MA)</w:t>
      </w:r>
      <w:r w:rsidR="001E11D3">
        <w:rPr>
          <w:lang w:val="en-US" w:bidi="fa-IR"/>
        </w:rPr>
        <w:t xml:space="preserve">. </w:t>
      </w:r>
      <w:r w:rsidR="00B5752D">
        <w:t xml:space="preserve">A p-value of below 0.05 was considered to be significant. </w:t>
      </w:r>
    </w:p>
    <w:p w14:paraId="16C784D9" w14:textId="1EEAD243" w:rsidR="00356EF1" w:rsidRPr="0001438A" w:rsidRDefault="00356EF1" w:rsidP="003A64FD">
      <w:pPr>
        <w:pStyle w:val="Heading2"/>
        <w:rPr>
          <w:rFonts w:ascii="Times New Roman" w:hAnsi="Times New Roman" w:cs="Times New Roman"/>
        </w:rPr>
      </w:pPr>
      <w:r w:rsidRPr="0001438A">
        <w:rPr>
          <w:rFonts w:ascii="Times New Roman" w:hAnsi="Times New Roman" w:cs="Times New Roman"/>
        </w:rPr>
        <w:t>Fracture Prediction</w:t>
      </w:r>
    </w:p>
    <w:p w14:paraId="7D369126" w14:textId="28E8BAE1" w:rsidR="00BC6290" w:rsidRPr="0001438A" w:rsidRDefault="000553D7">
      <w:r>
        <w:t>T</w:t>
      </w:r>
      <w:r w:rsidR="00BC6290" w:rsidRPr="0001438A">
        <w:t xml:space="preserve">he ability of </w:t>
      </w:r>
      <w:r w:rsidR="0025023B">
        <w:t xml:space="preserve">baseline </w:t>
      </w:r>
      <w:r w:rsidR="005D08B7">
        <w:t>DBA</w:t>
      </w:r>
      <w:r w:rsidR="00BC6290" w:rsidRPr="0001438A">
        <w:t xml:space="preserve"> to predict incident hip fractures was compared versus conventional </w:t>
      </w:r>
      <w:r w:rsidR="008F33F6">
        <w:t>FN</w:t>
      </w:r>
      <w:r w:rsidR="00E87BF2">
        <w:t>-BMD</w:t>
      </w:r>
      <w:r w:rsidR="008F33F6">
        <w:t>)</w:t>
      </w:r>
      <w:r w:rsidR="00D7717D">
        <w:t xml:space="preserve">, </w:t>
      </w:r>
      <w:r w:rsidR="008F33F6">
        <w:t>TR</w:t>
      </w:r>
      <w:r w:rsidR="00E87BF2">
        <w:t>-BMD</w:t>
      </w:r>
      <w:r w:rsidR="00D7717D">
        <w:t xml:space="preserve"> and </w:t>
      </w:r>
      <w:r w:rsidR="008F33F6">
        <w:t>TOT</w:t>
      </w:r>
      <w:r w:rsidR="00E87BF2">
        <w:t>-</w:t>
      </w:r>
      <w:r w:rsidR="00D7717D">
        <w:t>BMD</w:t>
      </w:r>
      <w:r w:rsidR="00BC6290" w:rsidRPr="0001438A" w:rsidDel="00BC6290">
        <w:t xml:space="preserve"> </w:t>
      </w:r>
      <w:r w:rsidR="00BC6290" w:rsidRPr="0001438A">
        <w:t xml:space="preserve">to determine whether the use of the full spatial resolution of DXA can help to capture bone strength beyond </w:t>
      </w:r>
      <w:r w:rsidR="00054E92">
        <w:t>tradi</w:t>
      </w:r>
      <w:r w:rsidR="00580B24">
        <w:t>tional region-based</w:t>
      </w:r>
      <w:r w:rsidR="00BC6290" w:rsidRPr="0001438A">
        <w:t xml:space="preserve"> BMD</w:t>
      </w:r>
      <w:r w:rsidR="00580B24">
        <w:t xml:space="preserve"> values</w:t>
      </w:r>
      <w:r w:rsidR="00BC6290" w:rsidRPr="0001438A">
        <w:t xml:space="preserve">. </w:t>
      </w:r>
      <w:r w:rsidR="002351BF">
        <w:t>W</w:t>
      </w:r>
      <w:r w:rsidR="002D0807" w:rsidRPr="0001438A">
        <w:t xml:space="preserve">e compared </w:t>
      </w:r>
      <w:r w:rsidR="005D08B7">
        <w:t>DBA</w:t>
      </w:r>
      <w:r w:rsidR="002D0807" w:rsidRPr="0001438A">
        <w:t xml:space="preserve"> versus </w:t>
      </w:r>
      <w:r w:rsidR="0019389A">
        <w:t>FN-BMD, TR-BMD and TOT-BMD</w:t>
      </w:r>
      <w:r w:rsidR="00991F9A" w:rsidRPr="0001438A">
        <w:t xml:space="preserve"> by </w:t>
      </w:r>
      <w:r w:rsidR="008545DA">
        <w:t>classifying</w:t>
      </w:r>
      <w:r w:rsidR="00991F9A" w:rsidRPr="0001438A">
        <w:t xml:space="preserve"> subjects into two groups</w:t>
      </w:r>
      <w:r w:rsidR="00BF0106">
        <w:t xml:space="preserve">, </w:t>
      </w:r>
      <w:proofErr w:type="gramStart"/>
      <w:r w:rsidR="00BF0106">
        <w:t>i.e.</w:t>
      </w:r>
      <w:proofErr w:type="gramEnd"/>
      <w:r w:rsidR="00E87BF2">
        <w:t xml:space="preserve"> </w:t>
      </w:r>
      <w:r w:rsidR="00991F9A" w:rsidRPr="0001438A">
        <w:t xml:space="preserve">fractured </w:t>
      </w:r>
      <w:r w:rsidR="004036A6">
        <w:t>versus</w:t>
      </w:r>
      <w:r w:rsidR="00991F9A" w:rsidRPr="0001438A">
        <w:t xml:space="preserve"> </w:t>
      </w:r>
      <w:r w:rsidR="004036A6">
        <w:t xml:space="preserve">fracture-free </w:t>
      </w:r>
      <w:r w:rsidR="00991F9A" w:rsidRPr="0001438A">
        <w:t>control</w:t>
      </w:r>
      <w:r w:rsidR="004036A6">
        <w:t>s</w:t>
      </w:r>
      <w:r w:rsidR="00E87BF2">
        <w:t>.</w:t>
      </w:r>
      <w:r w:rsidR="009D3DF0">
        <w:t xml:space="preserve"> </w:t>
      </w:r>
      <w:r w:rsidR="00991F9A" w:rsidRPr="0001438A">
        <w:t xml:space="preserve">To </w:t>
      </w:r>
      <w:r w:rsidR="008545DA">
        <w:t>determine</w:t>
      </w:r>
      <w:r w:rsidR="00991F9A" w:rsidRPr="0001438A">
        <w:t xml:space="preserve"> the </w:t>
      </w:r>
      <w:r w:rsidR="008545DA">
        <w:t>sensitivity</w:t>
      </w:r>
      <w:r w:rsidR="00991F9A" w:rsidRPr="0001438A">
        <w:t xml:space="preserve"> </w:t>
      </w:r>
      <w:r w:rsidR="004036A6">
        <w:t>for discrimination of</w:t>
      </w:r>
      <w:r w:rsidR="00991F9A" w:rsidRPr="0001438A">
        <w:t xml:space="preserve"> fracture types (femoral neck versus trochanteric), we repeated the experiments for each fracture type </w:t>
      </w:r>
      <w:r w:rsidR="008545DA">
        <w:t>separately</w:t>
      </w:r>
      <w:r w:rsidR="00991F9A" w:rsidRPr="0001438A">
        <w:t>.</w:t>
      </w:r>
    </w:p>
    <w:p w14:paraId="68A7C680" w14:textId="6FDDB306" w:rsidR="00445E00" w:rsidRDefault="00FB7216" w:rsidP="0025023B">
      <w:pPr>
        <w:rPr>
          <w:lang w:val="en-US" w:bidi="fa-IR"/>
        </w:rPr>
      </w:pPr>
      <w:r w:rsidRPr="0001438A">
        <w:rPr>
          <w:lang w:val="en-US" w:bidi="fa-IR"/>
        </w:rPr>
        <w:t xml:space="preserve">Evaluating classification performance </w:t>
      </w:r>
      <w:r w:rsidR="00991F9A" w:rsidRPr="0001438A">
        <w:rPr>
          <w:lang w:val="en-US" w:bidi="fa-IR"/>
        </w:rPr>
        <w:t>is</w:t>
      </w:r>
      <w:r w:rsidRPr="0001438A">
        <w:rPr>
          <w:lang w:val="en-US" w:bidi="fa-IR"/>
        </w:rPr>
        <w:t xml:space="preserve"> challenging due to the</w:t>
      </w:r>
      <w:r w:rsidR="00BB6ED3">
        <w:rPr>
          <w:lang w:val="en-US" w:bidi="fa-IR"/>
        </w:rPr>
        <w:t xml:space="preserve"> l</w:t>
      </w:r>
      <w:r w:rsidR="001E2B01">
        <w:rPr>
          <w:lang w:val="en-US" w:bidi="fa-IR"/>
        </w:rPr>
        <w:t>ow proportion of individuals suffering a</w:t>
      </w:r>
      <w:r w:rsidR="0025023B">
        <w:rPr>
          <w:lang w:val="en-US" w:bidi="fa-IR"/>
        </w:rPr>
        <w:t>n incident</w:t>
      </w:r>
      <w:r w:rsidR="001E2B01">
        <w:rPr>
          <w:lang w:val="en-US" w:bidi="fa-IR"/>
        </w:rPr>
        <w:t xml:space="preserve"> </w:t>
      </w:r>
      <w:r w:rsidR="00BB6ED3">
        <w:rPr>
          <w:lang w:val="en-US" w:bidi="fa-IR"/>
        </w:rPr>
        <w:t xml:space="preserve">fracture </w:t>
      </w:r>
      <w:r w:rsidR="001E2B01">
        <w:rPr>
          <w:lang w:val="en-US" w:bidi="fa-IR"/>
        </w:rPr>
        <w:t>during the follow-</w:t>
      </w:r>
      <w:r w:rsidR="00BB6ED3">
        <w:rPr>
          <w:lang w:val="en-US" w:bidi="fa-IR"/>
        </w:rPr>
        <w:t>up</w:t>
      </w:r>
      <w:r w:rsidR="00F728C5">
        <w:rPr>
          <w:lang w:val="en-US" w:bidi="fa-IR"/>
        </w:rPr>
        <w:t xml:space="preserve"> period, termed</w:t>
      </w:r>
      <w:r w:rsidRPr="0001438A">
        <w:rPr>
          <w:lang w:val="en-US" w:bidi="fa-IR"/>
        </w:rPr>
        <w:t xml:space="preserve"> </w:t>
      </w:r>
      <w:r w:rsidRPr="0001438A">
        <w:rPr>
          <w:i/>
          <w:iCs/>
          <w:lang w:val="en-US" w:bidi="fa-IR"/>
        </w:rPr>
        <w:t xml:space="preserve">class </w:t>
      </w:r>
      <w:r w:rsidR="00E6364B" w:rsidRPr="0001438A">
        <w:rPr>
          <w:i/>
          <w:iCs/>
          <w:lang w:val="en-US" w:bidi="fa-IR"/>
        </w:rPr>
        <w:t>imbalance</w:t>
      </w:r>
      <w:r w:rsidR="00F728C5">
        <w:rPr>
          <w:lang w:val="en-US" w:bidi="fa-IR"/>
        </w:rPr>
        <w:t>.</w:t>
      </w:r>
      <w:r w:rsidR="004036A6">
        <w:rPr>
          <w:lang w:val="en-US" w:bidi="fa-IR"/>
        </w:rPr>
        <w:t xml:space="preserve"> </w:t>
      </w:r>
      <w:r w:rsidR="00991F9A" w:rsidRPr="0001438A">
        <w:rPr>
          <w:lang w:val="en-US" w:bidi="fa-IR"/>
        </w:rPr>
        <w:t xml:space="preserve">To address this issue, the </w:t>
      </w:r>
      <w:r w:rsidR="00991F9A" w:rsidRPr="0001438A">
        <w:t>Precision-Recall Characteristics</w:t>
      </w:r>
      <w:r w:rsidR="00991F9A" w:rsidRPr="0001438A">
        <w:rPr>
          <w:lang w:val="en-US" w:bidi="fa-IR"/>
        </w:rPr>
        <w:t xml:space="preserve"> (PRC) plot</w:t>
      </w:r>
      <w:r w:rsidR="00991F9A" w:rsidRPr="0001438A">
        <w:rPr>
          <w:lang w:val="en-US" w:bidi="fa-IR"/>
        </w:rPr>
        <w:fldChar w:fldCharType="begin" w:fldLock="1"/>
      </w:r>
      <w:r w:rsidR="00CA39B8">
        <w:rPr>
          <w:lang w:val="en-US" w:bidi="fa-IR"/>
        </w:rPr>
        <w:instrText>ADDIN CSL_CITATION {"citationItems":[{"id":"ITEM-1","itemData":{"DOI":"10.1371/journal.pone.0118432","ISSN":"19326203","PMID":"25738806","abstract":"Binary classifiers are routinely evaluated with performance measures such as sensitivity and specificity, and performance is frequently illustrated with Receiver Operating Characteristics (ROC) plots. Alternative measures such as positive predictive value (PPV) and the associated Precision/Recall (PRC) plots are used less frequently. Many bioinformatics studies develop and evaluate classifiers that are to be applied to strongly imbalanced datasets in which the number of negatives outweighs the number of positives significantly. While ROC plots are visually appealing and provide an overview of a classifier's performance across a wide range of specificities, one can ask whether ROC plots could be misleading when applied in imbalanced classification scenarios. We show here that the visual interpretability of ROC plots in the context of imbalanced datasets can be deceptive with respect to conclusions about the reliability of classification performance, owing to an intuitive but wrong interpretation of specificity. PRC plots, on the other hand, can provide the viewer with an accurate prediction of future classification performance due to the fact that they evaluate the fraction of true positives among positive predictions. Our findings have potential implications for the interpretation of a large number of studies that use ROC plots on imbalanced datasets.","author":[{"dropping-particle":"","family":"Saito","given":"Takaya","non-dropping-particle":"","parse-names":false,"suffix":""},{"dropping-particle":"","family":"Rehmsmeier","given":"Marc","non-dropping-particle":"","parse-names":false,"suffix":""}],"container-title":"PLoS ONE","id":"ITEM-1","issue":"3","issued":{"date-parts":[["2015"]]},"page":"1-21","title":"The precision-recall plot is more informative than the ROC plot when evaluating binary classifiers on imbalanced datasets","type":"article-journal","volume":"10"},"uris":["http://www.mendeley.com/documents/?uuid=8af6094d-b689-4b53-8ed9-ed7be7bbbf1e"]}],"mendeley":{"formattedCitation":"&lt;sup&gt;(37)&lt;/sup&gt;","plainTextFormattedCitation":"(37)","previouslyFormattedCitation":"&lt;sup&gt;(37)&lt;/sup&gt;"},"properties":{"noteIndex":0},"schema":"https://github.com/citation-style-language/schema/raw/master/csl-citation.json"}</w:instrText>
      </w:r>
      <w:r w:rsidR="00991F9A" w:rsidRPr="0001438A">
        <w:rPr>
          <w:lang w:val="en-US" w:bidi="fa-IR"/>
        </w:rPr>
        <w:fldChar w:fldCharType="separate"/>
      </w:r>
      <w:r w:rsidR="00EF2361" w:rsidRPr="00EF2361">
        <w:rPr>
          <w:noProof/>
          <w:vertAlign w:val="superscript"/>
          <w:lang w:val="en-US" w:bidi="fa-IR"/>
        </w:rPr>
        <w:t>(37)</w:t>
      </w:r>
      <w:r w:rsidR="00991F9A" w:rsidRPr="0001438A">
        <w:rPr>
          <w:lang w:val="en-US" w:bidi="fa-IR"/>
        </w:rPr>
        <w:fldChar w:fldCharType="end"/>
      </w:r>
      <w:r w:rsidR="00991F9A" w:rsidRPr="0001438A">
        <w:rPr>
          <w:lang w:val="en-US" w:bidi="fa-IR"/>
        </w:rPr>
        <w:t xml:space="preserve"> was </w:t>
      </w:r>
      <w:r w:rsidR="004036A6">
        <w:rPr>
          <w:lang w:val="en-US" w:bidi="fa-IR"/>
        </w:rPr>
        <w:t xml:space="preserve">used </w:t>
      </w:r>
      <w:r w:rsidR="00BB16C7">
        <w:rPr>
          <w:lang w:val="en-US" w:bidi="fa-IR"/>
        </w:rPr>
        <w:t xml:space="preserve">besides </w:t>
      </w:r>
      <w:r w:rsidR="00207FAD" w:rsidRPr="0001438A">
        <w:rPr>
          <w:lang w:val="en-US" w:bidi="fa-IR"/>
        </w:rPr>
        <w:t>t</w:t>
      </w:r>
      <w:r w:rsidR="002D0807" w:rsidRPr="0001438A">
        <w:rPr>
          <w:lang w:val="en-US" w:bidi="fa-IR"/>
        </w:rPr>
        <w:t>he</w:t>
      </w:r>
      <w:r w:rsidRPr="0001438A">
        <w:rPr>
          <w:lang w:val="en-US" w:bidi="fa-IR"/>
        </w:rPr>
        <w:t xml:space="preserve"> </w:t>
      </w:r>
      <w:r w:rsidR="00E6364B" w:rsidRPr="0001438A">
        <w:t>Receiver Operating Characteristics (</w:t>
      </w:r>
      <w:r w:rsidRPr="0001438A">
        <w:rPr>
          <w:lang w:val="en-US" w:bidi="fa-IR"/>
        </w:rPr>
        <w:t>ROC</w:t>
      </w:r>
      <w:r w:rsidR="00E6364B" w:rsidRPr="0001438A">
        <w:rPr>
          <w:lang w:val="en-US" w:bidi="fa-IR"/>
        </w:rPr>
        <w:t>)</w:t>
      </w:r>
      <w:r w:rsidRPr="0001438A">
        <w:rPr>
          <w:lang w:val="en-US" w:bidi="fa-IR"/>
        </w:rPr>
        <w:t xml:space="preserve"> analysis</w:t>
      </w:r>
      <w:r w:rsidR="00207FAD" w:rsidRPr="0001438A">
        <w:rPr>
          <w:lang w:val="en-US" w:bidi="fa-IR"/>
        </w:rPr>
        <w:t>.</w:t>
      </w:r>
      <w:r w:rsidRPr="0001438A">
        <w:rPr>
          <w:lang w:val="en-US" w:bidi="fa-IR"/>
        </w:rPr>
        <w:t xml:space="preserve"> </w:t>
      </w:r>
      <w:r w:rsidR="00207FAD" w:rsidRPr="0001438A">
        <w:rPr>
          <w:lang w:val="en-US" w:bidi="fa-IR"/>
        </w:rPr>
        <w:t xml:space="preserve">The </w:t>
      </w:r>
      <w:r w:rsidR="000B551D">
        <w:rPr>
          <w:lang w:val="en-US" w:bidi="fa-IR"/>
        </w:rPr>
        <w:t>A</w:t>
      </w:r>
      <w:r w:rsidR="00207FAD" w:rsidRPr="0001438A">
        <w:rPr>
          <w:lang w:val="en-US" w:bidi="fa-IR"/>
        </w:rPr>
        <w:t xml:space="preserve">rea </w:t>
      </w:r>
      <w:r w:rsidR="000B551D">
        <w:rPr>
          <w:lang w:val="en-US" w:bidi="fa-IR"/>
        </w:rPr>
        <w:t>U</w:t>
      </w:r>
      <w:r w:rsidR="00207FAD" w:rsidRPr="0001438A">
        <w:rPr>
          <w:lang w:val="en-US" w:bidi="fa-IR"/>
        </w:rPr>
        <w:t xml:space="preserve">nder the </w:t>
      </w:r>
      <w:r w:rsidR="000B551D">
        <w:rPr>
          <w:lang w:val="en-US" w:bidi="fa-IR"/>
        </w:rPr>
        <w:t>C</w:t>
      </w:r>
      <w:r w:rsidR="00207FAD" w:rsidRPr="0001438A">
        <w:rPr>
          <w:lang w:val="en-US" w:bidi="fa-IR"/>
        </w:rPr>
        <w:t>urve (AUC) was reported for</w:t>
      </w:r>
      <w:r w:rsidR="00254398" w:rsidRPr="0001438A">
        <w:rPr>
          <w:lang w:val="en-US" w:bidi="fa-IR"/>
        </w:rPr>
        <w:t xml:space="preserve"> the ROC and the PRC plots.</w:t>
      </w:r>
      <w:r w:rsidR="00207FAD" w:rsidRPr="0001438A">
        <w:rPr>
          <w:lang w:val="en-US" w:bidi="fa-IR"/>
        </w:rPr>
        <w:t xml:space="preserve"> To </w:t>
      </w:r>
      <w:r w:rsidR="004036A6">
        <w:rPr>
          <w:lang w:val="en-US" w:bidi="fa-IR"/>
        </w:rPr>
        <w:t>d</w:t>
      </w:r>
      <w:r w:rsidR="00207FAD" w:rsidRPr="0001438A">
        <w:rPr>
          <w:lang w:val="en-US" w:bidi="fa-IR"/>
        </w:rPr>
        <w:t>etermin</w:t>
      </w:r>
      <w:r w:rsidR="003A64FD">
        <w:rPr>
          <w:lang w:val="en-US" w:bidi="fa-IR"/>
        </w:rPr>
        <w:t>e</w:t>
      </w:r>
      <w:r w:rsidR="00207FAD" w:rsidRPr="0001438A">
        <w:rPr>
          <w:lang w:val="en-US" w:bidi="fa-IR"/>
        </w:rPr>
        <w:t xml:space="preserve"> the 95% confidence interval (CI)</w:t>
      </w:r>
      <w:r w:rsidR="004036A6">
        <w:rPr>
          <w:lang w:val="en-US" w:bidi="fa-IR"/>
        </w:rPr>
        <w:t xml:space="preserve"> and statistical significance of any difference between the fracture versus fracture-free curve profiles</w:t>
      </w:r>
      <w:r w:rsidR="00207FAD" w:rsidRPr="0001438A">
        <w:rPr>
          <w:lang w:val="en-US" w:bidi="fa-IR"/>
        </w:rPr>
        <w:t xml:space="preserve">, bootstrapping with n=1000 </w:t>
      </w:r>
      <w:r w:rsidR="00BB6ED3">
        <w:rPr>
          <w:lang w:val="en-US" w:bidi="fa-IR"/>
        </w:rPr>
        <w:t xml:space="preserve">repetitions </w:t>
      </w:r>
      <w:r w:rsidR="00207FAD" w:rsidRPr="0001438A">
        <w:rPr>
          <w:lang w:val="en-US" w:bidi="fa-IR"/>
        </w:rPr>
        <w:t>was employed.</w:t>
      </w:r>
    </w:p>
    <w:p w14:paraId="3179467A" w14:textId="7F837E3E" w:rsidR="009D3DF0" w:rsidRDefault="009D3DF0" w:rsidP="009D3DF0">
      <w:pPr>
        <w:pStyle w:val="Heading2"/>
        <w:rPr>
          <w:lang w:val="en-US" w:bidi="fa-IR"/>
        </w:rPr>
      </w:pPr>
      <w:r>
        <w:rPr>
          <w:lang w:val="en-US" w:bidi="fa-IR"/>
        </w:rPr>
        <w:t>Fracture Patterns</w:t>
      </w:r>
    </w:p>
    <w:p w14:paraId="728F1BF6" w14:textId="13468E74" w:rsidR="009D3DF0" w:rsidRPr="009D3DF0" w:rsidRDefault="009D3DF0">
      <w:pPr>
        <w:rPr>
          <w:lang w:val="en-US" w:bidi="fa-IR"/>
        </w:rPr>
      </w:pPr>
      <w:r>
        <w:rPr>
          <w:lang w:val="en-US" w:bidi="fa-IR"/>
        </w:rPr>
        <w:t xml:space="preserve">ROC analysis was employed to classify fractured cases into neck </w:t>
      </w:r>
      <w:r w:rsidR="004036A6">
        <w:rPr>
          <w:lang w:val="en-US" w:bidi="fa-IR"/>
        </w:rPr>
        <w:t>versus</w:t>
      </w:r>
      <w:r>
        <w:rPr>
          <w:lang w:val="en-US" w:bidi="fa-IR"/>
        </w:rPr>
        <w:t xml:space="preserve"> trochanteric fractures</w:t>
      </w:r>
      <w:r w:rsidR="0094719B">
        <w:rPr>
          <w:lang w:val="en-US" w:bidi="fa-IR"/>
        </w:rPr>
        <w:t xml:space="preserve"> to determine</w:t>
      </w:r>
      <w:r w:rsidR="0094719B" w:rsidRPr="0094719B">
        <w:rPr>
          <w:lang w:val="en-US" w:bidi="fa-IR"/>
        </w:rPr>
        <w:t xml:space="preserve"> whether </w:t>
      </w:r>
      <w:r w:rsidR="005D08B7">
        <w:rPr>
          <w:lang w:val="en-US" w:bidi="fa-IR"/>
        </w:rPr>
        <w:t>DBA</w:t>
      </w:r>
      <w:r w:rsidR="0094719B" w:rsidRPr="0094719B">
        <w:rPr>
          <w:lang w:val="en-US" w:bidi="fa-IR"/>
        </w:rPr>
        <w:t xml:space="preserve"> can differentiate between fracture patterns</w:t>
      </w:r>
      <w:r w:rsidR="0094719B">
        <w:rPr>
          <w:lang w:val="en-US" w:bidi="fa-IR"/>
        </w:rPr>
        <w:t xml:space="preserve">. </w:t>
      </w:r>
      <w:r w:rsidR="00D22097">
        <w:rPr>
          <w:lang w:val="en-US" w:bidi="fa-IR"/>
        </w:rPr>
        <w:t xml:space="preserve">To further </w:t>
      </w:r>
      <w:proofErr w:type="spellStart"/>
      <w:r w:rsidR="00D22097">
        <w:rPr>
          <w:lang w:val="en-US" w:bidi="fa-IR"/>
        </w:rPr>
        <w:t>visuali</w:t>
      </w:r>
      <w:r w:rsidR="00964C0E">
        <w:rPr>
          <w:lang w:val="en-US" w:bidi="fa-IR"/>
        </w:rPr>
        <w:t>s</w:t>
      </w:r>
      <w:r w:rsidR="00D22097">
        <w:rPr>
          <w:lang w:val="en-US" w:bidi="fa-IR"/>
        </w:rPr>
        <w:t>e</w:t>
      </w:r>
      <w:proofErr w:type="spellEnd"/>
      <w:r w:rsidR="00D22097">
        <w:rPr>
          <w:lang w:val="en-US" w:bidi="fa-IR"/>
        </w:rPr>
        <w:t xml:space="preserve"> </w:t>
      </w:r>
      <w:r w:rsidR="00DE7314">
        <w:rPr>
          <w:lang w:val="en-US" w:bidi="fa-IR"/>
        </w:rPr>
        <w:t>spatially complex fracture-specific patterns</w:t>
      </w:r>
      <w:r w:rsidR="00A92675">
        <w:rPr>
          <w:lang w:val="en-US" w:bidi="fa-IR"/>
        </w:rPr>
        <w:t xml:space="preserve">, </w:t>
      </w:r>
      <w:r w:rsidR="006B4719">
        <w:rPr>
          <w:lang w:val="en-US" w:bidi="fa-IR"/>
        </w:rPr>
        <w:t xml:space="preserve">the </w:t>
      </w:r>
      <w:r w:rsidR="00F371ED">
        <w:rPr>
          <w:lang w:val="en-US" w:bidi="fa-IR"/>
        </w:rPr>
        <w:t xml:space="preserve">component of the </w:t>
      </w:r>
      <w:r w:rsidR="00537D23">
        <w:rPr>
          <w:lang w:val="en-US" w:bidi="fa-IR"/>
        </w:rPr>
        <w:t>BMD texture pattern</w:t>
      </w:r>
      <w:r w:rsidR="00F371ED">
        <w:rPr>
          <w:lang w:val="en-US" w:bidi="fa-IR"/>
        </w:rPr>
        <w:t xml:space="preserve"> that is attributable to </w:t>
      </w:r>
      <w:r w:rsidR="00537D23">
        <w:rPr>
          <w:lang w:val="en-US" w:bidi="fa-IR"/>
        </w:rPr>
        <w:t>ageing</w:t>
      </w:r>
      <w:r w:rsidR="00F371ED">
        <w:rPr>
          <w:lang w:val="en-US" w:bidi="fa-IR"/>
        </w:rPr>
        <w:t xml:space="preserve"> alone</w:t>
      </w:r>
      <w:r w:rsidR="00695D6C">
        <w:rPr>
          <w:lang w:val="en-US" w:bidi="fa-IR"/>
        </w:rPr>
        <w:t>, shown in Figure 1,</w:t>
      </w:r>
      <w:r w:rsidR="00537D23">
        <w:rPr>
          <w:lang w:val="en-US" w:bidi="fa-IR"/>
        </w:rPr>
        <w:t xml:space="preserve"> must be removed. </w:t>
      </w:r>
      <w:r w:rsidR="00864FC1">
        <w:rPr>
          <w:lang w:val="en-US" w:bidi="fa-IR"/>
        </w:rPr>
        <w:t>To canc</w:t>
      </w:r>
      <w:r w:rsidR="00650007">
        <w:rPr>
          <w:lang w:val="en-US" w:bidi="fa-IR"/>
        </w:rPr>
        <w:t>e</w:t>
      </w:r>
      <w:r w:rsidR="00864FC1">
        <w:rPr>
          <w:lang w:val="en-US" w:bidi="fa-IR"/>
        </w:rPr>
        <w:t xml:space="preserve">l </w:t>
      </w:r>
      <w:r w:rsidR="003930B8">
        <w:rPr>
          <w:lang w:val="en-US" w:bidi="fa-IR"/>
        </w:rPr>
        <w:t xml:space="preserve">the </w:t>
      </w:r>
      <w:r w:rsidR="003930B8">
        <w:rPr>
          <w:lang w:val="en-US" w:bidi="fa-IR"/>
        </w:rPr>
        <w:lastRenderedPageBreak/>
        <w:t xml:space="preserve">ageing effect, </w:t>
      </w:r>
      <w:r w:rsidR="009F7B17">
        <w:rPr>
          <w:lang w:val="en-US" w:bidi="fa-IR"/>
        </w:rPr>
        <w:t xml:space="preserve">BMD maps were </w:t>
      </w:r>
      <w:proofErr w:type="spellStart"/>
      <w:r w:rsidR="009F7B17">
        <w:rPr>
          <w:lang w:val="en-US" w:bidi="fa-IR"/>
        </w:rPr>
        <w:t>normali</w:t>
      </w:r>
      <w:r w:rsidR="00964C0E">
        <w:rPr>
          <w:lang w:val="en-US" w:bidi="fa-IR"/>
        </w:rPr>
        <w:t>s</w:t>
      </w:r>
      <w:r w:rsidR="009F7B17">
        <w:rPr>
          <w:lang w:val="en-US" w:bidi="fa-IR"/>
        </w:rPr>
        <w:t>ed</w:t>
      </w:r>
      <w:proofErr w:type="spellEnd"/>
      <w:r w:rsidR="009F7B17">
        <w:rPr>
          <w:lang w:val="en-US" w:bidi="fa-IR"/>
        </w:rPr>
        <w:t xml:space="preserve"> </w:t>
      </w:r>
      <w:r w:rsidR="001F3777">
        <w:rPr>
          <w:lang w:val="en-US" w:bidi="fa-IR"/>
        </w:rPr>
        <w:t xml:space="preserve">in respect </w:t>
      </w:r>
      <w:proofErr w:type="gramStart"/>
      <w:r w:rsidR="001F3777">
        <w:rPr>
          <w:lang w:val="en-US" w:bidi="fa-IR"/>
        </w:rPr>
        <w:t>of</w:t>
      </w:r>
      <w:r w:rsidR="009F7B17">
        <w:rPr>
          <w:lang w:val="en-US" w:bidi="fa-IR"/>
        </w:rPr>
        <w:t xml:space="preserve"> </w:t>
      </w:r>
      <w:r w:rsidR="001F3777">
        <w:rPr>
          <w:lang w:val="en-US" w:bidi="fa-IR"/>
        </w:rPr>
        <w:t xml:space="preserve"> </w:t>
      </w:r>
      <w:r w:rsidR="009F7B17">
        <w:rPr>
          <w:lang w:val="en-US" w:bidi="fa-IR"/>
        </w:rPr>
        <w:t>their</w:t>
      </w:r>
      <w:proofErr w:type="gramEnd"/>
      <w:r w:rsidR="009F7B17">
        <w:rPr>
          <w:lang w:val="en-US" w:bidi="fa-IR"/>
        </w:rPr>
        <w:t xml:space="preserve"> </w:t>
      </w:r>
      <w:r w:rsidR="005D08B7">
        <w:rPr>
          <w:lang w:val="en-US" w:bidi="fa-IR"/>
        </w:rPr>
        <w:t>DBA</w:t>
      </w:r>
      <w:r w:rsidR="009F7B17">
        <w:rPr>
          <w:lang w:val="en-US" w:bidi="fa-IR"/>
        </w:rPr>
        <w:t xml:space="preserve"> as follows: </w:t>
      </w:r>
      <w:r w:rsidR="006F3385">
        <w:rPr>
          <w:lang w:val="en-US" w:bidi="fa-IR"/>
        </w:rPr>
        <w:t xml:space="preserve">for each </w:t>
      </w:r>
      <w:r w:rsidR="00B13E22">
        <w:rPr>
          <w:lang w:val="en-US" w:bidi="fa-IR"/>
        </w:rPr>
        <w:t xml:space="preserve">individual </w:t>
      </w:r>
      <w:r w:rsidR="006F3385">
        <w:rPr>
          <w:lang w:val="en-US" w:bidi="fa-IR"/>
        </w:rPr>
        <w:t xml:space="preserve">BMD map and </w:t>
      </w:r>
      <w:r w:rsidR="00A72CCA">
        <w:rPr>
          <w:lang w:val="en-US" w:bidi="fa-IR"/>
        </w:rPr>
        <w:t>at</w:t>
      </w:r>
      <w:r w:rsidR="00D133F4">
        <w:rPr>
          <w:lang w:val="en-US" w:bidi="fa-IR"/>
        </w:rPr>
        <w:t xml:space="preserve"> </w:t>
      </w:r>
      <w:r w:rsidR="009F7B17">
        <w:rPr>
          <w:lang w:val="en-US" w:bidi="fa-IR"/>
        </w:rPr>
        <w:t>each</w:t>
      </w:r>
      <w:r w:rsidR="006F3385">
        <w:rPr>
          <w:lang w:val="en-US" w:bidi="fa-IR"/>
        </w:rPr>
        <w:t xml:space="preserve"> </w:t>
      </w:r>
      <w:r w:rsidR="009F7B17">
        <w:rPr>
          <w:lang w:val="en-US" w:bidi="fa-IR"/>
        </w:rPr>
        <w:t>pixel</w:t>
      </w:r>
      <w:r w:rsidR="00E73C3E">
        <w:rPr>
          <w:lang w:val="en-US" w:bidi="fa-IR"/>
        </w:rPr>
        <w:t xml:space="preserve"> coordinate</w:t>
      </w:r>
      <w:r w:rsidR="009F7B17">
        <w:rPr>
          <w:lang w:val="en-US" w:bidi="fa-IR"/>
        </w:rPr>
        <w:t>,</w:t>
      </w:r>
      <w:r w:rsidR="009F7B17" w:rsidRPr="009F7B17">
        <w:t xml:space="preserve"> </w:t>
      </w:r>
      <w:r w:rsidR="009F7B17" w:rsidRPr="009F7B17">
        <w:rPr>
          <w:lang w:val="en-US" w:bidi="fa-IR"/>
        </w:rPr>
        <w:t>the</w:t>
      </w:r>
      <w:r w:rsidR="00E5066D">
        <w:rPr>
          <w:lang w:val="en-US" w:bidi="fa-IR"/>
        </w:rPr>
        <w:t xml:space="preserve"> probability of observing </w:t>
      </w:r>
      <w:r w:rsidR="008A7C2F">
        <w:rPr>
          <w:lang w:val="en-US" w:bidi="fa-IR"/>
        </w:rPr>
        <w:t>a BMD value lower than</w:t>
      </w:r>
      <w:r w:rsidR="00902258">
        <w:rPr>
          <w:lang w:val="en-US" w:bidi="fa-IR"/>
        </w:rPr>
        <w:t xml:space="preserve"> </w:t>
      </w:r>
      <w:r w:rsidR="000A3600">
        <w:rPr>
          <w:lang w:val="en-US" w:bidi="fa-IR"/>
        </w:rPr>
        <w:t xml:space="preserve">the </w:t>
      </w:r>
      <w:r w:rsidR="0084182C">
        <w:rPr>
          <w:lang w:val="en-US" w:bidi="fa-IR"/>
        </w:rPr>
        <w:t>given</w:t>
      </w:r>
      <w:r w:rsidR="000A3600">
        <w:rPr>
          <w:lang w:val="en-US" w:bidi="fa-IR"/>
        </w:rPr>
        <w:t xml:space="preserve"> pixel BMD</w:t>
      </w:r>
      <w:r w:rsidR="009F7B17" w:rsidRPr="009F7B17">
        <w:rPr>
          <w:lang w:val="en-US" w:bidi="fa-IR"/>
        </w:rPr>
        <w:t xml:space="preserve"> among the population with a</w:t>
      </w:r>
      <w:r w:rsidR="009F7B17">
        <w:rPr>
          <w:lang w:val="en-US" w:bidi="fa-IR"/>
        </w:rPr>
        <w:t xml:space="preserve"> </w:t>
      </w:r>
      <w:r w:rsidR="009F7B17" w:rsidRPr="009F7B17">
        <w:rPr>
          <w:lang w:val="en-US" w:bidi="fa-IR"/>
        </w:rPr>
        <w:t xml:space="preserve">similar </w:t>
      </w:r>
      <w:r w:rsidR="005D08B7">
        <w:rPr>
          <w:lang w:val="en-US" w:bidi="fa-IR"/>
        </w:rPr>
        <w:t>DBA</w:t>
      </w:r>
      <w:r w:rsidR="009F7B17">
        <w:rPr>
          <w:lang w:val="en-US" w:bidi="fa-IR"/>
        </w:rPr>
        <w:t xml:space="preserve"> is reported </w:t>
      </w:r>
      <w:r w:rsidR="00267F32">
        <w:rPr>
          <w:lang w:val="en-US" w:bidi="fa-IR"/>
        </w:rPr>
        <w:t>as</w:t>
      </w:r>
      <w:r w:rsidR="009F7B17">
        <w:rPr>
          <w:lang w:val="en-US" w:bidi="fa-IR"/>
        </w:rPr>
        <w:t xml:space="preserve"> a number between 0 and 1</w:t>
      </w:r>
      <w:r w:rsidR="000B6888">
        <w:rPr>
          <w:lang w:val="en-US" w:bidi="fa-IR"/>
        </w:rPr>
        <w:t>.</w:t>
      </w:r>
      <w:r w:rsidR="0094719B">
        <w:rPr>
          <w:lang w:val="en-US" w:bidi="fa-IR"/>
        </w:rPr>
        <w:t xml:space="preserve"> </w:t>
      </w:r>
      <w:r w:rsidR="00875EA4">
        <w:rPr>
          <w:lang w:val="en-US" w:bidi="fa-IR"/>
        </w:rPr>
        <w:t xml:space="preserve">Here, we refer </w:t>
      </w:r>
      <w:r w:rsidR="0094719B">
        <w:rPr>
          <w:lang w:val="en-US" w:bidi="fa-IR"/>
        </w:rPr>
        <w:t xml:space="preserve">to </w:t>
      </w:r>
      <w:r w:rsidR="009D6EB6">
        <w:rPr>
          <w:lang w:val="en-US" w:bidi="fa-IR"/>
        </w:rPr>
        <w:t>these</w:t>
      </w:r>
      <w:r w:rsidR="0094719B">
        <w:rPr>
          <w:lang w:val="en-US" w:bidi="fa-IR"/>
        </w:rPr>
        <w:t xml:space="preserve"> </w:t>
      </w:r>
      <w:proofErr w:type="spellStart"/>
      <w:r w:rsidR="009F7B17">
        <w:rPr>
          <w:lang w:val="en-US" w:bidi="fa-IR"/>
        </w:rPr>
        <w:t>normali</w:t>
      </w:r>
      <w:r w:rsidR="00964C0E">
        <w:rPr>
          <w:lang w:val="en-US" w:bidi="fa-IR"/>
        </w:rPr>
        <w:t>s</w:t>
      </w:r>
      <w:r w:rsidR="009F7B17">
        <w:rPr>
          <w:lang w:val="en-US" w:bidi="fa-IR"/>
        </w:rPr>
        <w:t>ed</w:t>
      </w:r>
      <w:proofErr w:type="spellEnd"/>
      <w:r w:rsidR="009F7B17">
        <w:rPr>
          <w:lang w:val="en-US" w:bidi="fa-IR"/>
        </w:rPr>
        <w:t xml:space="preserve"> BMD maps</w:t>
      </w:r>
      <w:r w:rsidR="009D6EB6">
        <w:rPr>
          <w:lang w:val="en-US" w:bidi="fa-IR"/>
        </w:rPr>
        <w:t xml:space="preserve"> as </w:t>
      </w:r>
      <w:r w:rsidR="009F7B17">
        <w:rPr>
          <w:lang w:val="en-US" w:bidi="fa-IR"/>
        </w:rPr>
        <w:t>quantile maps</w:t>
      </w:r>
      <w:r w:rsidR="0094719B">
        <w:rPr>
          <w:lang w:val="en-US" w:bidi="fa-IR"/>
        </w:rPr>
        <w:t>.</w:t>
      </w:r>
      <w:r>
        <w:rPr>
          <w:lang w:val="en-US" w:bidi="fa-IR"/>
        </w:rPr>
        <w:t xml:space="preserve"> </w:t>
      </w:r>
      <w:r w:rsidR="009F7B17">
        <w:rPr>
          <w:lang w:val="en-US" w:bidi="fa-IR"/>
        </w:rPr>
        <w:t>Next,</w:t>
      </w:r>
      <w:r w:rsidR="0094719B">
        <w:rPr>
          <w:lang w:val="en-US" w:bidi="fa-IR"/>
        </w:rPr>
        <w:t xml:space="preserve"> </w:t>
      </w:r>
      <w:r w:rsidR="003877B1">
        <w:rPr>
          <w:lang w:val="en-US" w:bidi="fa-IR"/>
        </w:rPr>
        <w:t>the pixel</w:t>
      </w:r>
      <w:r w:rsidR="00964C0E">
        <w:rPr>
          <w:lang w:val="en-US" w:bidi="fa-IR"/>
        </w:rPr>
        <w:t>-</w:t>
      </w:r>
      <w:r w:rsidR="003877B1">
        <w:rPr>
          <w:lang w:val="en-US" w:bidi="fa-IR"/>
        </w:rPr>
        <w:t xml:space="preserve">level changes in </w:t>
      </w:r>
      <w:r w:rsidR="007A7CF1">
        <w:rPr>
          <w:lang w:val="en-US" w:bidi="fa-IR"/>
        </w:rPr>
        <w:t xml:space="preserve">quantile maps were tested using a </w:t>
      </w:r>
      <w:r w:rsidR="00104601">
        <w:rPr>
          <w:lang w:val="en-US" w:bidi="fa-IR"/>
        </w:rPr>
        <w:t>Mann Whitney U test</w:t>
      </w:r>
      <w:r w:rsidR="00EC1171">
        <w:rPr>
          <w:rStyle w:val="Cap"/>
          <w:lang w:val="en-US"/>
        </w:rPr>
        <w:t xml:space="preserve"> </w:t>
      </w:r>
      <w:r w:rsidR="00D066F4">
        <w:rPr>
          <w:lang w:val="en-US" w:bidi="fa-IR"/>
        </w:rPr>
        <w:t xml:space="preserve">between the fracture-free control group </w:t>
      </w:r>
      <w:r w:rsidR="0046135B">
        <w:rPr>
          <w:lang w:val="en-US" w:bidi="fa-IR"/>
        </w:rPr>
        <w:t xml:space="preserve">and </w:t>
      </w:r>
      <w:r w:rsidR="00825E51">
        <w:rPr>
          <w:lang w:val="en-US" w:bidi="fa-IR"/>
        </w:rPr>
        <w:t xml:space="preserve">the </w:t>
      </w:r>
      <w:r w:rsidR="0046135B">
        <w:rPr>
          <w:lang w:val="en-US" w:bidi="fa-IR"/>
        </w:rPr>
        <w:t>fractured</w:t>
      </w:r>
      <w:r w:rsidR="00825E51">
        <w:rPr>
          <w:lang w:val="en-US" w:bidi="fa-IR"/>
        </w:rPr>
        <w:t xml:space="preserve"> cases</w:t>
      </w:r>
      <w:r w:rsidR="0046135B">
        <w:rPr>
          <w:lang w:val="en-US" w:bidi="fa-IR"/>
        </w:rPr>
        <w:t>.</w:t>
      </w:r>
      <w:r w:rsidR="00AF2DC8">
        <w:rPr>
          <w:lang w:val="en-US" w:bidi="fa-IR"/>
        </w:rPr>
        <w:t xml:space="preserve"> </w:t>
      </w:r>
      <w:r w:rsidR="000C4A2D">
        <w:t>To account for the multiple testing issue,</w:t>
      </w:r>
      <w:r w:rsidR="000C4A2D" w:rsidRPr="001560CE">
        <w:t xml:space="preserve"> </w:t>
      </w:r>
      <w:r w:rsidR="000C4A2D">
        <w:t xml:space="preserve">computed p-values were reported as </w:t>
      </w:r>
      <w:r w:rsidR="000C4A2D" w:rsidRPr="001560CE">
        <w:t>q-value</w:t>
      </w:r>
      <w:r w:rsidR="000C4A2D">
        <w:t>s defined as</w:t>
      </w:r>
      <w:r w:rsidR="000C4A2D" w:rsidRPr="001560CE">
        <w:t xml:space="preserve"> the minimum </w:t>
      </w:r>
      <w:r w:rsidR="000C4A2D">
        <w:t xml:space="preserve">false discovery rate (FDR) </w:t>
      </w:r>
      <w:r w:rsidR="000C4A2D" w:rsidRPr="001560CE">
        <w:t xml:space="preserve">level for which </w:t>
      </w:r>
      <w:r w:rsidR="000C4A2D">
        <w:t>a</w:t>
      </w:r>
      <w:r w:rsidR="000C4A2D" w:rsidRPr="001560CE">
        <w:t xml:space="preserve"> pixel is selected as significant</w:t>
      </w:r>
      <w:r w:rsidR="001E2B01">
        <w:rPr>
          <w:lang w:val="en-US" w:bidi="fa-IR"/>
        </w:rPr>
        <w:t>, as described previously</w:t>
      </w:r>
      <w:r w:rsidR="001B2D0A">
        <w:rPr>
          <w:lang w:val="en-US" w:bidi="fa-IR"/>
        </w:rPr>
        <w:t>.</w:t>
      </w:r>
      <w:r w:rsidR="001B2D0A">
        <w:rPr>
          <w:lang w:val="en-US" w:bidi="fa-IR"/>
        </w:rPr>
        <w:fldChar w:fldCharType="begin" w:fldLock="1"/>
      </w:r>
      <w:r w:rsidR="00EB5921">
        <w:rPr>
          <w:lang w:val="en-US" w:bidi="fa-IR"/>
        </w:rPr>
        <w:instrText>ADDIN CSL_CITATION {"citationItems":[{"id":"ITEM-1","itemData":{"DOI":"10.1002/jor.23536","ISSN":"1554527X","PMID":"28169450","abstract":"© 2017 The Authors Journal of Orthopaedic Research published by Wiley Periodicals, Inc. on behalf of Orthopaedic Research Society Dual energy X-ray absorptiometry (DXA) is the reference standard method used to study bone mineral density (BMD) after total hip arthroplasty (THA). However, the subtle, spatially complex changes in bone mass due to strain-adaptive bone remodeling relevant to different prosthesis designs are not readily resolved using conventional DXA analysis. DXA region free analysis (DXA RFA) is a novel computational image analysis technique that provides a high-resolution quantitation of periprosthetic BMD. Here, we applied the technique to quantitate the magnitude and areal size of periprosthetic BMD changes using scans acquired during two previous randomized clinical trials (2004 to 2009); one comparing three cemented prosthesis design geometries, and the other comparing a hip resurfacing versus a conventional cementless prosthesis. DXA RFA resolved subtle differences in magnitude and area of bone remodeling between prosthesis designs not previously identified in conventional DXA analyses. A mean bone loss of 10.3%, 12.1%, and 11.1% occurred for the three cemented prostheses within a bone area fraction of 14.8%, 14.4%, and 6.2%, mostly within the lesser trochanter (p  &lt;  0.001). For the cementless prosthesis, a diffuse pattern of bone loss (−14.3%) was observed at the shaft of femur in a small area fraction of 0.6% versus no significant bone loss for the hip resurfacing prosthesis (p  &lt;  0.001). BMD increases were observed consistently at the greater trochanter for all prostheses except the hip-resurfacing prosthesis, where BMD increase was widespread across the metaphysis (p  &lt;  0.001). DXA RFA provides high-resolution insights into the effect of prosthesis design on the local strain environment in bone. © 2017 The Authors Journal of Orthopaedic Research published by Wiley Periodicals, Inc. on behalf of Orthopaedic Research Society. J Orthop Res 35:2203–2210, 2017.","author":[{"dropping-particle":"","family":"Farzi","given":"Mohsen","non-dropping-particle":"","parse-names":false,"suffix":""},{"dropping-particle":"","family":"Morris","given":"Richard M.","non-dropping-particle":"","parse-names":false,"suffix":""},{"dropping-particle":"","family":"Penny","given":"Jeannette","non-dropping-particle":"","parse-names":false,"suffix":""},{"dropping-particle":"","family":"Yang","given":"Lang","non-dropping-particle":"","parse-names":false,"suffix":""},{"dropping-particle":"","family":"Pozo","given":"Jose M.","non-dropping-particle":"","parse-names":false,"suffix":""},{"dropping-particle":"","family":"Overgaard","given":"Søren","non-dropping-particle":"","parse-names":false,"suffix":""},{"dropping-particle":"","family":"Frangi","given":"Alejandro F.","non-dropping-particle":"","parse-names":false,"suffix":""},{"dropping-particle":"","family":"Wilkinson","given":"Jeremy Mark","non-dropping-particle":"","parse-names":false,"suffix":""}],"container-title":"Journal of Orthopaedic Research","id":"ITEM-1","issue":"10","issued":{"date-parts":[["2017"]]},"page":"2203-2210","title":"Quantitating the effect of prosthesis design on femoral remodeling using high-resolution region-free densitometric analysis (DXA-RFA)","type":"article-journal","volume":"35"},"uris":["http://www.mendeley.com/documents/?uuid=fa09352f-331e-4107-9c77-7718cb203f81"]}],"mendeley":{"formattedCitation":"&lt;sup&gt;(27)&lt;/sup&gt;","plainTextFormattedCitation":"(27)","previouslyFormattedCitation":"&lt;sup&gt;(27)&lt;/sup&gt;"},"properties":{"noteIndex":0},"schema":"https://github.com/citation-style-language/schema/raw/master/csl-citation.json"}</w:instrText>
      </w:r>
      <w:r w:rsidR="001B2D0A">
        <w:rPr>
          <w:lang w:val="en-US" w:bidi="fa-IR"/>
        </w:rPr>
        <w:fldChar w:fldCharType="separate"/>
      </w:r>
      <w:r w:rsidR="009313D1" w:rsidRPr="009313D1">
        <w:rPr>
          <w:noProof/>
          <w:vertAlign w:val="superscript"/>
          <w:lang w:val="en-US" w:bidi="fa-IR"/>
        </w:rPr>
        <w:t>(27)</w:t>
      </w:r>
      <w:r w:rsidR="001B2D0A">
        <w:rPr>
          <w:lang w:val="en-US" w:bidi="fa-IR"/>
        </w:rPr>
        <w:fldChar w:fldCharType="end"/>
      </w:r>
      <w:r w:rsidR="00D34918">
        <w:rPr>
          <w:lang w:val="en-US" w:bidi="fa-IR"/>
        </w:rPr>
        <w:t xml:space="preserve"> </w:t>
      </w:r>
      <w:r w:rsidR="00494968">
        <w:rPr>
          <w:lang w:val="en-US" w:bidi="fa-IR"/>
        </w:rPr>
        <w:t xml:space="preserve">Regions with a </w:t>
      </w:r>
      <w:r w:rsidR="00783B00">
        <w:rPr>
          <w:lang w:val="en-US" w:bidi="fa-IR"/>
        </w:rPr>
        <w:t xml:space="preserve">q-value </w:t>
      </w:r>
      <w:r w:rsidR="00BA53D6">
        <w:rPr>
          <w:lang w:val="en-US" w:bidi="fa-IR"/>
        </w:rPr>
        <w:t>&lt;</w:t>
      </w:r>
      <w:r w:rsidR="00783B00">
        <w:rPr>
          <w:lang w:val="en-US" w:bidi="fa-IR"/>
        </w:rPr>
        <w:t xml:space="preserve">0.05 </w:t>
      </w:r>
      <w:r w:rsidR="007710E9">
        <w:rPr>
          <w:lang w:val="en-US" w:bidi="fa-IR"/>
        </w:rPr>
        <w:t xml:space="preserve">were </w:t>
      </w:r>
      <w:r w:rsidR="00DE0B7B">
        <w:rPr>
          <w:lang w:val="en-US" w:bidi="fa-IR"/>
        </w:rPr>
        <w:t xml:space="preserve">considered significant. </w:t>
      </w:r>
      <w:r w:rsidR="00D34918">
        <w:rPr>
          <w:lang w:val="en-US" w:bidi="fa-IR"/>
        </w:rPr>
        <w:t>All statistical tests were per</w:t>
      </w:r>
      <w:r w:rsidR="00F911C2">
        <w:rPr>
          <w:lang w:val="en-US" w:bidi="fa-IR"/>
        </w:rPr>
        <w:t>f</w:t>
      </w:r>
      <w:r w:rsidR="00D34918">
        <w:rPr>
          <w:lang w:val="en-US" w:bidi="fa-IR"/>
        </w:rPr>
        <w:t xml:space="preserve">ormed in </w:t>
      </w:r>
      <w:r w:rsidR="00D34918" w:rsidRPr="00D34918">
        <w:rPr>
          <w:lang w:val="en-US" w:bidi="fa-IR"/>
        </w:rPr>
        <w:t>M</w:t>
      </w:r>
      <w:r w:rsidR="00F911C2">
        <w:rPr>
          <w:lang w:val="en-US" w:bidi="fa-IR"/>
        </w:rPr>
        <w:t>ATLAB</w:t>
      </w:r>
      <w:r w:rsidR="00D34918" w:rsidRPr="00D34918">
        <w:rPr>
          <w:lang w:val="en-US" w:bidi="fa-IR"/>
        </w:rPr>
        <w:t xml:space="preserve"> </w:t>
      </w:r>
      <w:r w:rsidR="00675B2D">
        <w:rPr>
          <w:lang w:val="en-US" w:bidi="fa-IR"/>
        </w:rPr>
        <w:t>v</w:t>
      </w:r>
      <w:r w:rsidR="00675B2D" w:rsidRPr="00675B2D">
        <w:rPr>
          <w:lang w:val="en-US" w:bidi="fa-IR"/>
        </w:rPr>
        <w:t>9.7.0.1190202 (R2019b)</w:t>
      </w:r>
      <w:r w:rsidR="00D34918" w:rsidRPr="00D34918">
        <w:rPr>
          <w:lang w:val="en-US" w:bidi="fa-IR"/>
        </w:rPr>
        <w:t xml:space="preserve"> (Mathworks Inc, Cambridge, MA)</w:t>
      </w:r>
      <w:r w:rsidR="00A8029B">
        <w:rPr>
          <w:lang w:val="en-US" w:bidi="fa-IR"/>
        </w:rPr>
        <w:t>.</w:t>
      </w:r>
    </w:p>
    <w:p w14:paraId="409E31F8" w14:textId="6BD0676F" w:rsidR="00BF1CF5" w:rsidRPr="0001438A" w:rsidRDefault="00BF1CF5" w:rsidP="00BF1CF5">
      <w:pPr>
        <w:pStyle w:val="Heading1"/>
      </w:pPr>
      <w:r w:rsidRPr="0001438A">
        <w:t>Results</w:t>
      </w:r>
    </w:p>
    <w:p w14:paraId="3335CCE7" w14:textId="14D3AFF7" w:rsidR="00510692" w:rsidRPr="0001438A" w:rsidRDefault="005D08B7" w:rsidP="00510692">
      <w:pPr>
        <w:pStyle w:val="Heading2"/>
        <w:rPr>
          <w:rFonts w:ascii="Times New Roman" w:hAnsi="Times New Roman" w:cs="Times New Roman"/>
        </w:rPr>
      </w:pPr>
      <w:r>
        <w:rPr>
          <w:rFonts w:ascii="Times New Roman" w:hAnsi="Times New Roman" w:cs="Times New Roman"/>
        </w:rPr>
        <w:t>DBA</w:t>
      </w:r>
      <w:r w:rsidR="00510692" w:rsidRPr="0001438A">
        <w:rPr>
          <w:rFonts w:ascii="Times New Roman" w:hAnsi="Times New Roman" w:cs="Times New Roman"/>
        </w:rPr>
        <w:t xml:space="preserve"> Precision</w:t>
      </w:r>
    </w:p>
    <w:p w14:paraId="39532622" w14:textId="0D879CFF" w:rsidR="00D66D0C" w:rsidRDefault="003B5F32" w:rsidP="00EC5DAE">
      <w:r>
        <w:t xml:space="preserve">Figure 4 </w:t>
      </w:r>
      <w:r w:rsidR="00510692" w:rsidRPr="0001438A">
        <w:t xml:space="preserve">shows the </w:t>
      </w:r>
      <w:r w:rsidR="003F3279">
        <w:t xml:space="preserve">Bland-Altman plot </w:t>
      </w:r>
      <w:r w:rsidR="00F458A8">
        <w:t xml:space="preserve">for </w:t>
      </w:r>
      <w:r w:rsidR="00510692" w:rsidRPr="0001438A">
        <w:t xml:space="preserve">estimated </w:t>
      </w:r>
      <w:r w:rsidR="005D08B7">
        <w:t>DBA</w:t>
      </w:r>
      <w:r w:rsidR="00510692" w:rsidRPr="0001438A">
        <w:t xml:space="preserve"> for each scan </w:t>
      </w:r>
      <w:r w:rsidR="008545DA">
        <w:t>pair</w:t>
      </w:r>
      <w:r w:rsidR="00510692" w:rsidRPr="0001438A">
        <w:t xml:space="preserve"> (</w:t>
      </w:r>
      <w:r w:rsidR="00510692" w:rsidRPr="0001438A">
        <w:rPr>
          <w:i/>
          <w:iCs/>
        </w:rPr>
        <w:t>n</w:t>
      </w:r>
      <w:r w:rsidR="00510692" w:rsidRPr="0001438A">
        <w:t xml:space="preserve">=25). </w:t>
      </w:r>
      <w:r w:rsidR="009C7F14">
        <w:rPr>
          <w:rStyle w:val="Hyperlink0"/>
        </w:rPr>
        <w:t>The coefficient of variation was 2.</w:t>
      </w:r>
      <w:r w:rsidR="00651BF3">
        <w:rPr>
          <w:rStyle w:val="Hyperlink0"/>
        </w:rPr>
        <w:t>3</w:t>
      </w:r>
      <w:r w:rsidR="009C7F14">
        <w:rPr>
          <w:rStyle w:val="Hyperlink0"/>
        </w:rPr>
        <w:t>%</w:t>
      </w:r>
      <w:r w:rsidR="001E2B01">
        <w:t xml:space="preserve">. </w:t>
      </w:r>
      <w:r w:rsidR="00EC5DAE">
        <w:t xml:space="preserve">The mean </w:t>
      </w:r>
      <w:r w:rsidR="007415F9">
        <w:t>difference</w:t>
      </w:r>
      <w:r w:rsidR="00186F0E">
        <w:t xml:space="preserve"> in </w:t>
      </w:r>
      <w:r w:rsidR="005D08B7">
        <w:t>DBA</w:t>
      </w:r>
      <w:r w:rsidR="00EC5DAE">
        <w:t xml:space="preserve"> between the first and second scan measurements was</w:t>
      </w:r>
      <w:r w:rsidR="00EC5DAE" w:rsidRPr="00EC5DAE">
        <w:t xml:space="preserve"> 0.5 years (95% </w:t>
      </w:r>
      <w:r w:rsidR="00A35B67">
        <w:t>CI</w:t>
      </w:r>
      <w:r w:rsidR="00EC5DAE" w:rsidRPr="00EC5DAE">
        <w:t xml:space="preserve"> -</w:t>
      </w:r>
      <w:r w:rsidR="00214826">
        <w:t>0</w:t>
      </w:r>
      <w:r w:rsidR="00EC5DAE" w:rsidRPr="00EC5DAE">
        <w:t>.</w:t>
      </w:r>
      <w:r w:rsidR="003C1532">
        <w:t>4</w:t>
      </w:r>
      <w:r w:rsidR="00EC5DAE" w:rsidRPr="00EC5DAE">
        <w:t xml:space="preserve"> to </w:t>
      </w:r>
      <w:r w:rsidR="003C1532">
        <w:t>1</w:t>
      </w:r>
      <w:r w:rsidR="00EC5DAE" w:rsidRPr="00EC5DAE">
        <w:t>.</w:t>
      </w:r>
      <w:r w:rsidR="003C1532">
        <w:t>2</w:t>
      </w:r>
      <w:r w:rsidR="00F956F2">
        <w:t xml:space="preserve"> years</w:t>
      </w:r>
      <w:r w:rsidR="00EC5DAE" w:rsidRPr="00EC5DAE">
        <w:t>)</w:t>
      </w:r>
      <w:r w:rsidR="00A5621B">
        <w:rPr>
          <w:rStyle w:val="Hyperlink0"/>
        </w:rPr>
        <w:t>.</w:t>
      </w:r>
    </w:p>
    <w:p w14:paraId="5DF760DF" w14:textId="59D3BC8F" w:rsidR="007E7B18" w:rsidRPr="0001438A" w:rsidRDefault="005D08B7" w:rsidP="00664599">
      <w:pPr>
        <w:pStyle w:val="Heading2"/>
        <w:rPr>
          <w:rFonts w:ascii="Times New Roman" w:hAnsi="Times New Roman" w:cs="Times New Roman"/>
        </w:rPr>
      </w:pPr>
      <w:r>
        <w:rPr>
          <w:rFonts w:ascii="Times New Roman" w:hAnsi="Times New Roman" w:cs="Times New Roman"/>
        </w:rPr>
        <w:t>DBA</w:t>
      </w:r>
      <w:r w:rsidR="00A00934" w:rsidRPr="0001438A">
        <w:rPr>
          <w:rFonts w:ascii="Times New Roman" w:hAnsi="Times New Roman" w:cs="Times New Roman"/>
        </w:rPr>
        <w:t xml:space="preserve"> </w:t>
      </w:r>
      <w:r w:rsidR="00510692" w:rsidRPr="0001438A">
        <w:rPr>
          <w:rFonts w:ascii="Times New Roman" w:hAnsi="Times New Roman" w:cs="Times New Roman"/>
        </w:rPr>
        <w:t xml:space="preserve">relation with the </w:t>
      </w:r>
      <w:r w:rsidR="000E69EC">
        <w:rPr>
          <w:rFonts w:ascii="Times New Roman" w:hAnsi="Times New Roman" w:cs="Times New Roman"/>
        </w:rPr>
        <w:t>N</w:t>
      </w:r>
      <w:r w:rsidR="000E69EC" w:rsidRPr="0001438A">
        <w:rPr>
          <w:rFonts w:ascii="Times New Roman" w:hAnsi="Times New Roman" w:cs="Times New Roman"/>
        </w:rPr>
        <w:t xml:space="preserve">eck </w:t>
      </w:r>
      <w:r w:rsidR="00510692" w:rsidRPr="0001438A">
        <w:rPr>
          <w:rFonts w:ascii="Times New Roman" w:hAnsi="Times New Roman" w:cs="Times New Roman"/>
        </w:rPr>
        <w:t xml:space="preserve">BMD </w:t>
      </w:r>
      <w:r w:rsidR="00E21070">
        <w:rPr>
          <w:rFonts w:ascii="Times New Roman" w:hAnsi="Times New Roman" w:cs="Times New Roman"/>
        </w:rPr>
        <w:t>T-score</w:t>
      </w:r>
      <w:r w:rsidR="00510692" w:rsidRPr="0001438A">
        <w:rPr>
          <w:rFonts w:ascii="Times New Roman" w:hAnsi="Times New Roman" w:cs="Times New Roman"/>
        </w:rPr>
        <w:t xml:space="preserve"> and </w:t>
      </w:r>
      <w:r w:rsidR="00E21070">
        <w:rPr>
          <w:rFonts w:ascii="Times New Roman" w:hAnsi="Times New Roman" w:cs="Times New Roman"/>
        </w:rPr>
        <w:t>Z-score</w:t>
      </w:r>
    </w:p>
    <w:p w14:paraId="71D162D5" w14:textId="00F68CBA" w:rsidR="002F512C" w:rsidRPr="0001438A" w:rsidRDefault="00572491" w:rsidP="005C47F8">
      <w:r>
        <w:t xml:space="preserve">Figure 5 </w:t>
      </w:r>
      <w:r w:rsidR="0022169F" w:rsidRPr="0001438A">
        <w:t xml:space="preserve">shows </w:t>
      </w:r>
      <w:r w:rsidR="008545DA">
        <w:t xml:space="preserve">the </w:t>
      </w:r>
      <w:r w:rsidR="0022169F" w:rsidRPr="0001438A">
        <w:t xml:space="preserve">estimated </w:t>
      </w:r>
      <w:r w:rsidR="005D08B7">
        <w:t>DBA</w:t>
      </w:r>
      <w:r w:rsidR="0022169F" w:rsidRPr="0001438A">
        <w:t xml:space="preserve"> versus the chronological age </w:t>
      </w:r>
      <w:r w:rsidR="0094719B">
        <w:t xml:space="preserve">across the </w:t>
      </w:r>
      <w:r w:rsidR="0022169F" w:rsidRPr="0001438A">
        <w:t xml:space="preserve">study cohorts (n=13,338). Each </w:t>
      </w:r>
      <w:r w:rsidR="008545DA">
        <w:t>subject</w:t>
      </w:r>
      <w:r w:rsidR="0022169F" w:rsidRPr="0001438A">
        <w:t xml:space="preserve"> is represented with a single dot colo</w:t>
      </w:r>
      <w:r w:rsidR="00964C0E">
        <w:t>u</w:t>
      </w:r>
      <w:r w:rsidR="0022169F" w:rsidRPr="0001438A">
        <w:t xml:space="preserve">r-coded </w:t>
      </w:r>
      <w:r w:rsidR="005776BC">
        <w:t xml:space="preserve">by measured </w:t>
      </w:r>
      <w:r w:rsidR="00183238">
        <w:t>FN-</w:t>
      </w:r>
      <w:r w:rsidR="005776BC">
        <w:t xml:space="preserve">BMD </w:t>
      </w:r>
      <w:r w:rsidR="00E21070">
        <w:t>T-score</w:t>
      </w:r>
      <w:r w:rsidR="0022169F" w:rsidRPr="0001438A">
        <w:t xml:space="preserve"> </w:t>
      </w:r>
      <w:r w:rsidR="005776BC">
        <w:t xml:space="preserve">category: osteoporotic </w:t>
      </w:r>
      <w:r w:rsidR="0022169F" w:rsidRPr="0001438A">
        <w:t xml:space="preserve">(red; </w:t>
      </w:r>
      <w:r w:rsidR="00E21070">
        <w:t>T-score</w:t>
      </w:r>
      <m:oMath>
        <m:r>
          <w:rPr>
            <w:rFonts w:ascii="Cambria Math" w:hAnsi="Cambria Math"/>
          </w:rPr>
          <m:t>≤-2.5</m:t>
        </m:r>
      </m:oMath>
      <w:r w:rsidR="0022169F" w:rsidRPr="0001438A">
        <w:t>), osteopenic (yellow</w:t>
      </w:r>
      <w:r w:rsidR="00803866" w:rsidRPr="0001438A">
        <w:t xml:space="preserve">; </w:t>
      </w:r>
      <m:oMath>
        <m:r>
          <w:rPr>
            <w:rFonts w:ascii="Cambria Math" w:hAnsi="Cambria Math"/>
          </w:rPr>
          <m:t>-2.5&lt;</m:t>
        </m:r>
      </m:oMath>
      <w:r w:rsidR="00E21070">
        <w:t>T-score</w:t>
      </w:r>
      <m:oMath>
        <m:r>
          <w:rPr>
            <w:rFonts w:ascii="Cambria Math" w:hAnsi="Cambria Math"/>
          </w:rPr>
          <m:t>≤-1</m:t>
        </m:r>
      </m:oMath>
      <w:r w:rsidR="0022169F" w:rsidRPr="0001438A">
        <w:t>), or normal (green</w:t>
      </w:r>
      <w:r w:rsidR="00803866" w:rsidRPr="0001438A">
        <w:t xml:space="preserve">; </w:t>
      </w:r>
      <w:r w:rsidR="00E21070">
        <w:t>T-score</w:t>
      </w:r>
      <m:oMath>
        <m:r>
          <w:rPr>
            <w:rFonts w:ascii="Cambria Math" w:hAnsi="Cambria Math"/>
          </w:rPr>
          <m:t>&gt;-1</m:t>
        </m:r>
      </m:oMath>
      <w:r w:rsidR="0022169F" w:rsidRPr="0001438A">
        <w:t xml:space="preserve">). </w:t>
      </w:r>
      <w:r w:rsidR="005D08B7">
        <w:t>DBA</w:t>
      </w:r>
      <w:r w:rsidR="00E54128">
        <w:t xml:space="preserve"> was linearly </w:t>
      </w:r>
      <w:r w:rsidR="007D50BE">
        <w:t>correlated with</w:t>
      </w:r>
      <w:r w:rsidR="00E54128">
        <w:t xml:space="preserve"> </w:t>
      </w:r>
      <w:r w:rsidR="004726BA">
        <w:rPr>
          <w:lang w:val="en-US"/>
        </w:rPr>
        <w:t>both</w:t>
      </w:r>
      <w:r w:rsidR="008545DA">
        <w:t xml:space="preserve"> </w:t>
      </w:r>
      <w:r w:rsidR="00BF0106">
        <w:t>FN-</w:t>
      </w:r>
      <w:r w:rsidR="005776BC">
        <w:t xml:space="preserve">BMD </w:t>
      </w:r>
      <w:r w:rsidR="00E21070">
        <w:t>T-score</w:t>
      </w:r>
      <w:r w:rsidR="000F3C31" w:rsidRPr="0001438A">
        <w:t xml:space="preserve"> (R</w:t>
      </w:r>
      <w:r w:rsidR="000F3C31" w:rsidRPr="0001438A">
        <w:rPr>
          <w:vertAlign w:val="superscript"/>
        </w:rPr>
        <w:t>2</w:t>
      </w:r>
      <w:r w:rsidR="000F3C31" w:rsidRPr="0001438A">
        <w:t>=</w:t>
      </w:r>
      <w:r w:rsidR="00140964">
        <w:t>-</w:t>
      </w:r>
      <w:r w:rsidR="000F3C31" w:rsidRPr="0001438A">
        <w:t>0.8</w:t>
      </w:r>
      <w:r w:rsidR="00C87E98">
        <w:t>2</w:t>
      </w:r>
      <w:r w:rsidR="001B2D0A">
        <w:t>; p-value&lt;0.001</w:t>
      </w:r>
      <w:r w:rsidR="000F3C31" w:rsidRPr="0001438A">
        <w:t>)</w:t>
      </w:r>
      <w:r w:rsidR="00CA172C">
        <w:t xml:space="preserve"> and </w:t>
      </w:r>
      <w:r w:rsidR="00E21070">
        <w:t>Z-score</w:t>
      </w:r>
      <w:r w:rsidR="00561098">
        <w:t xml:space="preserve"> </w:t>
      </w:r>
      <w:r w:rsidR="00561098" w:rsidRPr="0001438A">
        <w:t>(R</w:t>
      </w:r>
      <w:r w:rsidR="00561098" w:rsidRPr="0001438A">
        <w:rPr>
          <w:vertAlign w:val="superscript"/>
        </w:rPr>
        <w:t>2</w:t>
      </w:r>
      <w:r w:rsidR="00561098" w:rsidRPr="0001438A">
        <w:t>=0.</w:t>
      </w:r>
      <w:r w:rsidR="00561098">
        <w:t>7</w:t>
      </w:r>
      <w:r w:rsidR="00561098" w:rsidRPr="0001438A">
        <w:t>8</w:t>
      </w:r>
      <w:r w:rsidR="00561098">
        <w:t>; p-value&lt;0.001</w:t>
      </w:r>
      <w:r w:rsidR="00561098" w:rsidRPr="0001438A">
        <w:t>)</w:t>
      </w:r>
      <w:r w:rsidR="000F3C31" w:rsidRPr="0001438A">
        <w:t xml:space="preserve">. </w:t>
      </w:r>
      <w:r w:rsidR="00E21070">
        <w:t>T-score</w:t>
      </w:r>
      <w:r w:rsidR="00162B54">
        <w:t xml:space="preserve"> was</w:t>
      </w:r>
      <w:r w:rsidR="00DE1D38">
        <w:t xml:space="preserve"> </w:t>
      </w:r>
      <w:r w:rsidR="00272FB6">
        <w:t>inversely proportiona</w:t>
      </w:r>
      <w:r w:rsidR="00231D50">
        <w:t>l</w:t>
      </w:r>
      <w:r w:rsidR="00D64242">
        <w:t xml:space="preserve"> to</w:t>
      </w:r>
      <w:r w:rsidR="00272FB6">
        <w:t xml:space="preserve"> </w:t>
      </w:r>
      <w:r w:rsidR="005D08B7">
        <w:t>DBA</w:t>
      </w:r>
      <w:r w:rsidR="00231D50">
        <w:t xml:space="preserve"> (</w:t>
      </w:r>
      <w:r w:rsidR="00382B56">
        <w:t xml:space="preserve">as </w:t>
      </w:r>
      <w:r w:rsidR="005D08B7">
        <w:t>DBA</w:t>
      </w:r>
      <w:r w:rsidR="00540665">
        <w:t xml:space="preserve"> increases along the </w:t>
      </w:r>
      <m:oMath>
        <m:r>
          <w:rPr>
            <w:rFonts w:ascii="Cambria Math" w:hAnsi="Cambria Math"/>
          </w:rPr>
          <m:t>y</m:t>
        </m:r>
      </m:oMath>
      <w:r w:rsidR="00540665">
        <w:t xml:space="preserve">-axis, </w:t>
      </w:r>
      <w:r w:rsidR="00F00EB9">
        <w:t xml:space="preserve">the </w:t>
      </w:r>
      <w:r w:rsidR="00E21070">
        <w:t>T-score</w:t>
      </w:r>
      <w:r w:rsidR="00F00EB9">
        <w:t xml:space="preserve"> decreases</w:t>
      </w:r>
      <w:r w:rsidR="005C47F8">
        <w:t>, also demonstrated by</w:t>
      </w:r>
      <w:r w:rsidR="00586525">
        <w:t xml:space="preserve"> the vertical </w:t>
      </w:r>
      <w:r w:rsidR="004F4D81">
        <w:t>colo</w:t>
      </w:r>
      <w:r w:rsidR="00964C0E">
        <w:t>u</w:t>
      </w:r>
      <w:r w:rsidR="004F4D81">
        <w:t xml:space="preserve">r </w:t>
      </w:r>
      <w:r w:rsidR="00586525">
        <w:t xml:space="preserve">variation </w:t>
      </w:r>
      <w:r w:rsidR="004F4D81">
        <w:t>from green to red among the scattered dots</w:t>
      </w:r>
      <w:r w:rsidR="005C47F8">
        <w:t>)</w:t>
      </w:r>
      <w:r w:rsidR="004F4D81">
        <w:t>.</w:t>
      </w:r>
      <w:r w:rsidR="00586525">
        <w:t xml:space="preserve"> </w:t>
      </w:r>
      <w:r w:rsidR="000F3C31" w:rsidRPr="0001438A">
        <w:t xml:space="preserve">The </w:t>
      </w:r>
      <w:r w:rsidR="00E21070">
        <w:t>Z-score</w:t>
      </w:r>
      <w:r w:rsidR="00E73CD9">
        <w:t xml:space="preserve"> was directly proportionate </w:t>
      </w:r>
      <w:r w:rsidR="00C63B57">
        <w:t xml:space="preserve">to </w:t>
      </w:r>
      <w:r w:rsidR="00FA2BA0">
        <w:t>the chronological age minus</w:t>
      </w:r>
      <w:r w:rsidR="004717AE">
        <w:t xml:space="preserve"> </w:t>
      </w:r>
      <w:r w:rsidR="005D08B7">
        <w:t>DBA</w:t>
      </w:r>
      <w:r w:rsidR="00FA2BA0">
        <w:t xml:space="preserve"> for each subject.</w:t>
      </w:r>
      <w:r w:rsidR="00E73CD9">
        <w:t xml:space="preserve"> </w:t>
      </w:r>
      <w:r w:rsidR="004717AE">
        <w:t xml:space="preserve">Note </w:t>
      </w:r>
      <w:r w:rsidR="004717AE">
        <w:lastRenderedPageBreak/>
        <w:t xml:space="preserve">that </w:t>
      </w:r>
      <w:r w:rsidR="009D0EF0">
        <w:t>a</w:t>
      </w:r>
      <w:r w:rsidR="003A2016" w:rsidRPr="0001438A">
        <w:t xml:space="preserve">t </w:t>
      </w:r>
      <w:r w:rsidR="00E21070">
        <w:t>Z-score</w:t>
      </w:r>
      <w:r w:rsidR="003A2016" w:rsidRPr="0001438A">
        <w:t xml:space="preserve">=0, the </w:t>
      </w:r>
      <w:r w:rsidR="009D0EF0">
        <w:t>dashed</w:t>
      </w:r>
      <w:r w:rsidR="003A2016" w:rsidRPr="0001438A">
        <w:t xml:space="preserve"> black line follows the </w:t>
      </w:r>
      <w:r w:rsidR="009D0EF0">
        <w:t>solid</w:t>
      </w:r>
      <w:r w:rsidR="003A2016" w:rsidRPr="0001438A">
        <w:t xml:space="preserve"> blue identity line</w:t>
      </w:r>
      <w:r w:rsidR="00165908">
        <w:t>.</w:t>
      </w:r>
      <w:r w:rsidR="00640B81">
        <w:t xml:space="preserve"> As points deviate from the identity line</w:t>
      </w:r>
      <w:r w:rsidR="00C11A45" w:rsidRPr="0001438A">
        <w:t>,</w:t>
      </w:r>
      <w:r w:rsidR="00476FE0">
        <w:t xml:space="preserve"> the </w:t>
      </w:r>
      <w:r w:rsidR="00E21070">
        <w:t>Z-score</w:t>
      </w:r>
      <w:r w:rsidR="00476FE0">
        <w:t xml:space="preserve"> increases for points below the identity line</w:t>
      </w:r>
      <w:r w:rsidR="009D1F78">
        <w:t xml:space="preserve"> and decreases for points above the identity line.</w:t>
      </w:r>
    </w:p>
    <w:p w14:paraId="290D1AEA" w14:textId="31E12708" w:rsidR="00666FF7" w:rsidRPr="0001438A" w:rsidRDefault="0041256C" w:rsidP="005C47F8">
      <w:r>
        <w:t xml:space="preserve">Given the linear correlation between </w:t>
      </w:r>
      <w:r w:rsidR="005D08B7">
        <w:t>DBA</w:t>
      </w:r>
      <w:r>
        <w:t xml:space="preserve"> and </w:t>
      </w:r>
      <w:r w:rsidR="00F0182B">
        <w:t>FN-</w:t>
      </w:r>
      <w:r>
        <w:t xml:space="preserve">BMD </w:t>
      </w:r>
      <w:r w:rsidR="00E21070">
        <w:t>T-score</w:t>
      </w:r>
      <w:r w:rsidR="004B14F3">
        <w:t xml:space="preserve">, </w:t>
      </w:r>
      <w:r w:rsidR="0019513A">
        <w:t>the corresponding</w:t>
      </w:r>
      <w:r w:rsidR="00B17040">
        <w:t xml:space="preserve"> </w:t>
      </w:r>
      <w:r w:rsidR="004250A9">
        <w:t xml:space="preserve">cut-off </w:t>
      </w:r>
      <w:r w:rsidR="005D08B7">
        <w:t>DBA</w:t>
      </w:r>
      <w:r w:rsidR="004250A9">
        <w:t xml:space="preserve"> thr</w:t>
      </w:r>
      <w:r w:rsidR="00B523BB">
        <w:t>e</w:t>
      </w:r>
      <w:r w:rsidR="004250A9">
        <w:t xml:space="preserve">sholds for </w:t>
      </w:r>
      <w:r w:rsidR="00E21070">
        <w:t>T-score</w:t>
      </w:r>
      <w:r w:rsidR="0050404A">
        <w:t>s</w:t>
      </w:r>
      <w:r w:rsidR="004250A9">
        <w:t xml:space="preserve"> -2.5 and -1 were </w:t>
      </w:r>
      <w:r w:rsidR="0050404A">
        <w:t>83.5 and 54.4 years, respectively.</w:t>
      </w:r>
      <w:r w:rsidR="0019513A">
        <w:t xml:space="preserve"> </w:t>
      </w:r>
      <w:r w:rsidR="00572491">
        <w:t xml:space="preserve">Figure 6 </w:t>
      </w:r>
      <w:r w:rsidR="003E41BF">
        <w:t>shows the confusion matrix</w:t>
      </w:r>
      <w:r w:rsidR="00B50C8F">
        <w:t xml:space="preserve"> for classif</w:t>
      </w:r>
      <w:r w:rsidR="001E2B01">
        <w:t>ying</w:t>
      </w:r>
      <w:r w:rsidR="00443499">
        <w:t xml:space="preserve"> </w:t>
      </w:r>
      <w:r w:rsidR="00B50C8F">
        <w:t>subjects into osteoporotic, osteopenic, and normal</w:t>
      </w:r>
      <w:r w:rsidR="00D12B62">
        <w:t xml:space="preserve"> using </w:t>
      </w:r>
      <w:r w:rsidR="005D08B7">
        <w:t>DBA</w:t>
      </w:r>
      <w:r w:rsidR="00D12B62">
        <w:t xml:space="preserve"> versus the </w:t>
      </w:r>
      <w:r w:rsidR="00162596">
        <w:t>FN-</w:t>
      </w:r>
      <w:r w:rsidR="00D12B62">
        <w:t xml:space="preserve">BMD </w:t>
      </w:r>
      <w:r w:rsidR="00E21070">
        <w:t>T-score</w:t>
      </w:r>
      <w:r w:rsidR="00D12B62">
        <w:t>.</w:t>
      </w:r>
      <w:r w:rsidR="00B51A22">
        <w:t xml:space="preserve"> </w:t>
      </w:r>
      <w:r w:rsidR="0075331A">
        <w:t>Few</w:t>
      </w:r>
      <w:r w:rsidR="00B51A22">
        <w:t xml:space="preserve"> osteoporotic cases were misclassified as normal.</w:t>
      </w:r>
      <w:r w:rsidR="0039334D">
        <w:t xml:space="preserve"> </w:t>
      </w:r>
      <w:r w:rsidR="001A11EB">
        <w:t xml:space="preserve">This is consistent with </w:t>
      </w:r>
      <w:r w:rsidR="00993BF4">
        <w:t>observing</w:t>
      </w:r>
      <w:r w:rsidR="00465883">
        <w:t xml:space="preserve"> a clear clustering demarcation</w:t>
      </w:r>
      <w:r w:rsidR="00120B48" w:rsidRPr="0001438A">
        <w:t xml:space="preserve"> line</w:t>
      </w:r>
      <w:r w:rsidR="0011051D" w:rsidRPr="0001438A">
        <w:t xml:space="preserve"> between normal</w:t>
      </w:r>
      <w:r w:rsidR="000F3C31" w:rsidRPr="0001438A">
        <w:t xml:space="preserve"> (green dots)</w:t>
      </w:r>
      <w:r w:rsidR="0011051D" w:rsidRPr="0001438A">
        <w:t xml:space="preserve"> and osteoporotic </w:t>
      </w:r>
      <w:r w:rsidR="000F3C31" w:rsidRPr="0001438A">
        <w:t xml:space="preserve">(red dots) </w:t>
      </w:r>
      <w:r w:rsidR="00465883">
        <w:t>subjects</w:t>
      </w:r>
      <w:r w:rsidR="00993BF4">
        <w:t xml:space="preserve"> in</w:t>
      </w:r>
      <w:r w:rsidR="00572491">
        <w:t xml:space="preserve"> Figure 5</w:t>
      </w:r>
      <w:r w:rsidR="0011051D" w:rsidRPr="0001438A">
        <w:t>.</w:t>
      </w:r>
      <w:r w:rsidR="008A71BD" w:rsidRPr="0001438A">
        <w:t xml:space="preserve"> </w:t>
      </w:r>
      <w:r w:rsidR="001E2B01">
        <w:t>Most</w:t>
      </w:r>
      <w:r w:rsidR="00D40931">
        <w:t xml:space="preserve"> misclassification</w:t>
      </w:r>
      <w:r w:rsidR="00CD142E">
        <w:t>s</w:t>
      </w:r>
      <w:r w:rsidR="00D40931">
        <w:t xml:space="preserve"> were attributed to the osteopenic cases</w:t>
      </w:r>
      <w:r w:rsidR="009B3009">
        <w:t xml:space="preserve"> defined by </w:t>
      </w:r>
      <w:r w:rsidR="00854F39">
        <w:t xml:space="preserve">either </w:t>
      </w:r>
      <w:r w:rsidR="005D08B7">
        <w:t>DBA</w:t>
      </w:r>
      <w:r w:rsidR="009B3009">
        <w:t xml:space="preserve"> or FN-BMD T-score</w:t>
      </w:r>
      <w:r w:rsidR="006B348F">
        <w:t xml:space="preserve"> (</w:t>
      </w:r>
      <w:r w:rsidR="00572491">
        <w:t>Figure 6</w:t>
      </w:r>
      <w:r w:rsidR="006B348F">
        <w:t>)</w:t>
      </w:r>
      <w:r w:rsidR="00D40931">
        <w:t>.</w:t>
      </w:r>
      <w:r w:rsidR="00CD142E">
        <w:t xml:space="preserve"> This is </w:t>
      </w:r>
      <w:r w:rsidR="00B627F1">
        <w:t>observed as</w:t>
      </w:r>
      <w:r w:rsidR="008A7855">
        <w:t xml:space="preserve"> </w:t>
      </w:r>
      <w:r w:rsidR="00095756">
        <w:t xml:space="preserve">yellow dots overlaid </w:t>
      </w:r>
      <w:r w:rsidR="00B627F1">
        <w:t>on</w:t>
      </w:r>
      <w:r w:rsidR="00095756">
        <w:t xml:space="preserve"> the green and red dots in</w:t>
      </w:r>
      <w:r w:rsidR="00572491">
        <w:t xml:space="preserve"> Figure 5</w:t>
      </w:r>
      <w:r w:rsidR="00095756">
        <w:t xml:space="preserve">. </w:t>
      </w:r>
      <w:r w:rsidR="00CA4A08">
        <w:t xml:space="preserve">These observations suggest that </w:t>
      </w:r>
      <w:r w:rsidR="003578C6">
        <w:t xml:space="preserve">spatial BMD patterns </w:t>
      </w:r>
      <w:r w:rsidR="005C47F8">
        <w:t>may</w:t>
      </w:r>
      <w:r w:rsidR="003578C6">
        <w:t xml:space="preserve"> </w:t>
      </w:r>
      <w:r w:rsidR="005C47F8">
        <w:t>provide discriminatory information</w:t>
      </w:r>
      <w:r w:rsidR="00054E92">
        <w:t xml:space="preserve"> </w:t>
      </w:r>
      <w:r w:rsidR="006329D5">
        <w:t xml:space="preserve">in cases with intermediate </w:t>
      </w:r>
      <w:r w:rsidR="0008257D">
        <w:t>FN-</w:t>
      </w:r>
      <w:r w:rsidR="006329D5">
        <w:t>BMD</w:t>
      </w:r>
      <w:r w:rsidR="00634575" w:rsidRPr="0001438A">
        <w:t>.</w:t>
      </w:r>
    </w:p>
    <w:p w14:paraId="1FCD4FFD" w14:textId="34851EEE" w:rsidR="00DE6E4C" w:rsidRPr="0001438A" w:rsidRDefault="00DA7BDA" w:rsidP="00DE6E4C">
      <w:pPr>
        <w:pStyle w:val="Heading2"/>
        <w:rPr>
          <w:rFonts w:ascii="Times New Roman" w:hAnsi="Times New Roman" w:cs="Times New Roman"/>
        </w:rPr>
      </w:pPr>
      <w:r w:rsidRPr="0001438A">
        <w:rPr>
          <w:rFonts w:ascii="Times New Roman" w:hAnsi="Times New Roman" w:cs="Times New Roman"/>
        </w:rPr>
        <w:t>Fracture Prediction</w:t>
      </w:r>
    </w:p>
    <w:p w14:paraId="674F4F0A" w14:textId="14EEACB6" w:rsidR="00636D59" w:rsidRDefault="003B5F32" w:rsidP="004469A6">
      <w:r>
        <w:t xml:space="preserve">Figure 2 </w:t>
      </w:r>
      <w:r w:rsidR="000B5AC4">
        <w:t xml:space="preserve">provides a visual example of BMD maps for </w:t>
      </w:r>
      <w:r w:rsidR="003578C6">
        <w:t>subjects</w:t>
      </w:r>
      <w:r w:rsidR="000B5AC4">
        <w:t xml:space="preserve"> who sustained a</w:t>
      </w:r>
      <w:r w:rsidR="00DF45C1">
        <w:t xml:space="preserve"> follow-</w:t>
      </w:r>
      <w:r w:rsidR="005F3F7C">
        <w:t>u</w:t>
      </w:r>
      <w:r w:rsidR="00DF45C1">
        <w:t>p incident</w:t>
      </w:r>
      <w:r w:rsidR="00465883">
        <w:t xml:space="preserve"> </w:t>
      </w:r>
      <w:r w:rsidR="000B5AC4">
        <w:t>trochanteric fracture</w:t>
      </w:r>
      <w:r w:rsidR="000E4205">
        <w:t xml:space="preserve"> (a) </w:t>
      </w:r>
      <w:r w:rsidR="000B5AC4">
        <w:t>and a control subject with similar neck BMD and age</w:t>
      </w:r>
      <w:r w:rsidR="003578C6">
        <w:t xml:space="preserve"> but</w:t>
      </w:r>
      <w:r w:rsidR="000B5AC4">
        <w:t xml:space="preserve"> remained fracture-free</w:t>
      </w:r>
      <w:r w:rsidR="000E4205">
        <w:t xml:space="preserve"> (b)</w:t>
      </w:r>
      <w:r w:rsidR="000B5AC4">
        <w:t xml:space="preserve">. </w:t>
      </w:r>
      <w:r w:rsidR="003578C6">
        <w:t>The fractured subject</w:t>
      </w:r>
      <w:r w:rsidR="0024523A">
        <w:t xml:space="preserve"> </w:t>
      </w:r>
      <w:r w:rsidR="00E73C3E">
        <w:t>had</w:t>
      </w:r>
      <w:r w:rsidR="00CC7703">
        <w:t xml:space="preserve"> widespread bone loss in the trochanteric region</w:t>
      </w:r>
      <w:r w:rsidR="00D72DE2">
        <w:t>.</w:t>
      </w:r>
      <w:r w:rsidR="00623AEA">
        <w:t xml:space="preserve"> This texture variation is reflected in the</w:t>
      </w:r>
      <w:r w:rsidR="00E73C3E">
        <w:t xml:space="preserve"> </w:t>
      </w:r>
      <w:r w:rsidR="00E372AC">
        <w:t>18-</w:t>
      </w:r>
      <w:r w:rsidR="00E73C3E">
        <w:t xml:space="preserve">year difference in </w:t>
      </w:r>
      <w:r w:rsidR="005D08B7">
        <w:t>DBA</w:t>
      </w:r>
      <w:r w:rsidR="008014B8">
        <w:t xml:space="preserve"> </w:t>
      </w:r>
      <w:r w:rsidR="00E73C3E">
        <w:t>between the fracture versus control subject, despite the same chronological age and</w:t>
      </w:r>
      <w:r w:rsidR="007A6565">
        <w:t xml:space="preserve"> FN-BMD</w:t>
      </w:r>
      <w:r w:rsidR="003505A9">
        <w:t>.</w:t>
      </w:r>
      <w:r w:rsidR="000B5AC4">
        <w:t xml:space="preserve"> </w:t>
      </w:r>
      <w:r w:rsidR="003578C6">
        <w:t xml:space="preserve">Tables </w:t>
      </w:r>
      <w:r w:rsidR="004469A6">
        <w:t>2</w:t>
      </w:r>
      <w:r w:rsidR="003578C6">
        <w:t xml:space="preserve"> and </w:t>
      </w:r>
      <w:r w:rsidR="004469A6">
        <w:t>3</w:t>
      </w:r>
      <w:r w:rsidR="003578C6">
        <w:t xml:space="preserve"> show the AUC for the corresponding ROC and PRC plots for quantitative analysi</w:t>
      </w:r>
      <w:r w:rsidR="001F4CE1" w:rsidRPr="0001438A">
        <w:t>s</w:t>
      </w:r>
      <w:r w:rsidR="000B5AC4">
        <w:t>, respectively.</w:t>
      </w:r>
      <w:r w:rsidR="00836AE7" w:rsidRPr="0001438A">
        <w:t xml:space="preserve"> </w:t>
      </w:r>
      <w:r w:rsidR="00610298">
        <w:t xml:space="preserve">In the ROC analysis, </w:t>
      </w:r>
      <w:r w:rsidR="000D4395" w:rsidRPr="0001438A">
        <w:t>AUC</w:t>
      </w:r>
      <w:r w:rsidR="00AD74B3" w:rsidRPr="0001438A">
        <w:t>=</w:t>
      </w:r>
      <w:r w:rsidR="000D4395" w:rsidRPr="0001438A">
        <w:t>1</w:t>
      </w:r>
      <w:r w:rsidR="00610298">
        <w:t xml:space="preserve"> for an ideal classifier</w:t>
      </w:r>
      <w:r w:rsidR="000D4395" w:rsidRPr="0001438A">
        <w:t xml:space="preserve"> and AUC=0.5 </w:t>
      </w:r>
      <w:r w:rsidR="00610298" w:rsidRPr="0001438A">
        <w:t>for a random classifier</w:t>
      </w:r>
      <w:r w:rsidR="004469A6">
        <w:t xml:space="preserve"> (Figure 7)</w:t>
      </w:r>
      <w:r w:rsidR="00610298">
        <w:t>.</w:t>
      </w:r>
      <w:r w:rsidR="00610298" w:rsidRPr="0001438A">
        <w:t xml:space="preserve"> </w:t>
      </w:r>
      <w:r w:rsidR="00610298">
        <w:t xml:space="preserve">In the PRC analysis, </w:t>
      </w:r>
      <w:r w:rsidR="000E4205">
        <w:t>AUC=1 for a</w:t>
      </w:r>
      <w:r w:rsidR="00280074">
        <w:t xml:space="preserve"> perfect</w:t>
      </w:r>
      <w:r w:rsidR="000E4205">
        <w:t xml:space="preserve"> classifier</w:t>
      </w:r>
      <w:r w:rsidR="000E4205" w:rsidRPr="0001438A">
        <w:t xml:space="preserve"> </w:t>
      </w:r>
      <w:r w:rsidR="000E4205">
        <w:t xml:space="preserve">and </w:t>
      </w:r>
      <w:r w:rsidR="000D4395" w:rsidRPr="0001438A">
        <w:t>AUC=</w:t>
      </w:r>
      <w:r w:rsidR="00582D82" w:rsidRPr="0001438A">
        <w:rPr>
          <w:i/>
          <w:iCs/>
        </w:rPr>
        <w:t>p</w:t>
      </w:r>
      <w:r w:rsidR="00582D82" w:rsidRPr="0001438A">
        <w:t xml:space="preserve"> </w:t>
      </w:r>
      <w:r w:rsidR="00610298">
        <w:t>for a random classifier</w:t>
      </w:r>
      <w:r w:rsidR="000E4205">
        <w:t>,</w:t>
      </w:r>
      <w:r w:rsidR="00610298">
        <w:t xml:space="preserve"> </w:t>
      </w:r>
      <w:r w:rsidR="008B4911" w:rsidRPr="0001438A">
        <w:t xml:space="preserve">where </w:t>
      </w:r>
      <w:r w:rsidR="008B4911" w:rsidRPr="0001438A">
        <w:rPr>
          <w:i/>
          <w:iCs/>
        </w:rPr>
        <w:t>p</w:t>
      </w:r>
      <w:r w:rsidR="008B4911" w:rsidRPr="0001438A">
        <w:t xml:space="preserve"> is the proportion of fracture</w:t>
      </w:r>
      <w:r w:rsidR="003E10E0" w:rsidRPr="0001438A">
        <w:t>d</w:t>
      </w:r>
      <w:r w:rsidR="008B4911" w:rsidRPr="0001438A">
        <w:t xml:space="preserve"> cases among the cohort</w:t>
      </w:r>
      <w:r w:rsidR="004469A6">
        <w:t xml:space="preserve"> (Figure 8)</w:t>
      </w:r>
      <w:r w:rsidR="00636D59" w:rsidRPr="0001438A">
        <w:t>.</w:t>
      </w:r>
    </w:p>
    <w:p w14:paraId="4EA09101" w14:textId="20A9E348" w:rsidR="00C5044E" w:rsidRDefault="00C23FD6" w:rsidP="0025023B">
      <w:r w:rsidRPr="0001438A">
        <w:t xml:space="preserve">The ROC </w:t>
      </w:r>
      <w:r w:rsidR="00987D4D">
        <w:t xml:space="preserve">analysis </w:t>
      </w:r>
      <w:r w:rsidR="00850E0C" w:rsidRPr="00850E0C">
        <w:t xml:space="preserve">for the prediction of both trochanteric and neck fractures </w:t>
      </w:r>
      <w:r w:rsidR="00987D4D">
        <w:t xml:space="preserve">suggests </w:t>
      </w:r>
      <w:r w:rsidR="00440208">
        <w:t>a slight increase of approximately 1% (</w:t>
      </w:r>
      <w:r w:rsidR="00B52F29">
        <w:t>9</w:t>
      </w:r>
      <w:r w:rsidR="006569D3">
        <w:t>5% CI 0.4% to 1.6%</w:t>
      </w:r>
      <w:r w:rsidR="00440208">
        <w:t>), 2% (</w:t>
      </w:r>
      <w:r w:rsidR="00202EE3">
        <w:t xml:space="preserve">95% </w:t>
      </w:r>
      <w:r w:rsidR="00A7201A">
        <w:t>CI -0.5% to 3.5%</w:t>
      </w:r>
      <w:r w:rsidR="00440208">
        <w:t xml:space="preserve">), and </w:t>
      </w:r>
      <w:r w:rsidR="00440208">
        <w:lastRenderedPageBreak/>
        <w:t>3% (</w:t>
      </w:r>
      <w:r w:rsidR="00733843">
        <w:t>95% CI 1.0%</w:t>
      </w:r>
      <w:r w:rsidR="00DA7A73">
        <w:t xml:space="preserve"> to 4.0%</w:t>
      </w:r>
      <w:r w:rsidR="00440208">
        <w:t>)</w:t>
      </w:r>
      <w:r w:rsidR="006E01A1">
        <w:t xml:space="preserve"> in AUC for </w:t>
      </w:r>
      <w:r w:rsidR="005D08B7">
        <w:t>DBA</w:t>
      </w:r>
      <w:r w:rsidR="00440208">
        <w:t xml:space="preserve"> in comparison to TOT-BMD, FN-</w:t>
      </w:r>
      <w:proofErr w:type="gramStart"/>
      <w:r w:rsidR="00440208">
        <w:t>BMD</w:t>
      </w:r>
      <w:proofErr w:type="gramEnd"/>
      <w:r w:rsidR="00440208">
        <w:t xml:space="preserve"> and TR-BMD</w:t>
      </w:r>
      <w:r w:rsidR="0025023B">
        <w:t>, respectively</w:t>
      </w:r>
      <w:r w:rsidR="00987D4D">
        <w:t xml:space="preserve">. </w:t>
      </w:r>
      <w:r w:rsidR="006E01A1">
        <w:t>C</w:t>
      </w:r>
      <w:r w:rsidR="009E0DF0">
        <w:t>ompar</w:t>
      </w:r>
      <w:r w:rsidR="00253392">
        <w:t xml:space="preserve">ed to FN-BMD, </w:t>
      </w:r>
      <w:r w:rsidR="005D08B7">
        <w:t>DBA</w:t>
      </w:r>
      <w:r w:rsidR="00253392">
        <w:t xml:space="preserve"> improved the ROC-AUC for predicting trochanteric fractures by ~5% (</w:t>
      </w:r>
      <w:r w:rsidR="00D963C5">
        <w:t>95% CI 1.1% to 9.8%</w:t>
      </w:r>
      <w:r w:rsidR="00253392">
        <w:t>) with similar performance for detecting</w:t>
      </w:r>
      <w:r w:rsidR="005849FE">
        <w:t xml:space="preserve"> neck fractures. </w:t>
      </w:r>
      <w:r w:rsidR="005D68A1">
        <w:t>Compar</w:t>
      </w:r>
      <w:r w:rsidR="00253392">
        <w:t xml:space="preserve">ed to TR-BMD, </w:t>
      </w:r>
      <w:r w:rsidR="005D08B7">
        <w:t>DBA</w:t>
      </w:r>
      <w:r w:rsidR="00253392">
        <w:t xml:space="preserve"> improved the ROC-AUC for predicting</w:t>
      </w:r>
      <w:r w:rsidR="001837FE">
        <w:t xml:space="preserve"> neck fractures by ~3% (</w:t>
      </w:r>
      <w:r w:rsidR="0043240C">
        <w:t xml:space="preserve">95% CI 1.1% to </w:t>
      </w:r>
      <w:r w:rsidR="00B84FE6">
        <w:t>4.9%</w:t>
      </w:r>
      <w:r w:rsidR="001837FE">
        <w:t xml:space="preserve">) with </w:t>
      </w:r>
      <w:r w:rsidR="003D7913">
        <w:t>similar performance to detect trochanteric fractures</w:t>
      </w:r>
      <w:r w:rsidR="00A95A3A">
        <w:t xml:space="preserve"> (Table 2)</w:t>
      </w:r>
      <w:r w:rsidR="003D7913">
        <w:t>.</w:t>
      </w:r>
    </w:p>
    <w:p w14:paraId="6C465E1C" w14:textId="465D9B07" w:rsidR="003547CC" w:rsidRDefault="003C7CDC" w:rsidP="00EC5DAE">
      <w:r>
        <w:t>The PRC analysis suggest</w:t>
      </w:r>
      <w:r w:rsidR="002944C0">
        <w:t>ed</w:t>
      </w:r>
      <w:r w:rsidR="00C802F7">
        <w:t xml:space="preserve"> that</w:t>
      </w:r>
      <w:r>
        <w:t xml:space="preserve"> </w:t>
      </w:r>
      <w:r w:rsidR="005D08B7">
        <w:t>DBA</w:t>
      </w:r>
      <w:r w:rsidR="009E140E">
        <w:t xml:space="preserve"> was more precise than </w:t>
      </w:r>
      <w:r w:rsidR="006D7C90">
        <w:t>FN-</w:t>
      </w:r>
      <w:r w:rsidR="009E140E">
        <w:t>BMD</w:t>
      </w:r>
      <w:r w:rsidR="00417E43">
        <w:t>, TR-BMD</w:t>
      </w:r>
      <w:r w:rsidR="000362C7">
        <w:t>, and TOT-BMD</w:t>
      </w:r>
      <w:r w:rsidR="009E140E">
        <w:t xml:space="preserve"> in the prediction of </w:t>
      </w:r>
      <w:r w:rsidR="00097780">
        <w:t>incident</w:t>
      </w:r>
      <w:r w:rsidR="009E140E">
        <w:t xml:space="preserve"> fractures</w:t>
      </w:r>
      <w:r w:rsidR="00E372AC">
        <w:t>,</w:t>
      </w:r>
      <w:r w:rsidR="0071104F">
        <w:t xml:space="preserve"> but </w:t>
      </w:r>
      <w:r w:rsidR="00090AF0">
        <w:t xml:space="preserve">it was not </w:t>
      </w:r>
      <w:r w:rsidR="00EC5DAE">
        <w:t xml:space="preserve">statistically </w:t>
      </w:r>
      <w:r w:rsidR="00090AF0">
        <w:t>significant</w:t>
      </w:r>
      <w:r w:rsidR="009E140E">
        <w:t xml:space="preserve"> (Table </w:t>
      </w:r>
      <w:r w:rsidR="007C4507">
        <w:t>3</w:t>
      </w:r>
      <w:r w:rsidR="009E140E">
        <w:t>).</w:t>
      </w:r>
      <w:r>
        <w:t xml:space="preserve"> </w:t>
      </w:r>
    </w:p>
    <w:p w14:paraId="053B0982" w14:textId="75588F07" w:rsidR="003C7CDC" w:rsidRDefault="003C7CDC" w:rsidP="003C7CDC">
      <w:pPr>
        <w:pStyle w:val="Heading2"/>
      </w:pPr>
      <w:r>
        <w:t>Fracture Patterns</w:t>
      </w:r>
    </w:p>
    <w:p w14:paraId="70ECD408" w14:textId="65A0E2A8" w:rsidR="002130BE" w:rsidRDefault="003F3778">
      <w:r>
        <w:t>Bone age, unlike</w:t>
      </w:r>
      <w:r w:rsidR="00D152E8">
        <w:t xml:space="preserve"> </w:t>
      </w:r>
      <w:r w:rsidR="00773EC6">
        <w:t>FN-</w:t>
      </w:r>
      <w:r w:rsidR="00CF7C68">
        <w:t xml:space="preserve">BMD </w:t>
      </w:r>
      <w:r w:rsidR="00E21070">
        <w:t>T-score</w:t>
      </w:r>
      <w:r>
        <w:t>,</w:t>
      </w:r>
      <w:r w:rsidR="00CF7C68">
        <w:t xml:space="preserve"> </w:t>
      </w:r>
      <w:r w:rsidR="00D73231">
        <w:t xml:space="preserve">was not dependent </w:t>
      </w:r>
      <w:r w:rsidR="0096411C">
        <w:t>on the potential site of fracture</w:t>
      </w:r>
      <w:r w:rsidR="001F058A">
        <w:t xml:space="preserve"> (Tables </w:t>
      </w:r>
      <w:r w:rsidR="00237DFD">
        <w:t>1</w:t>
      </w:r>
      <w:r w:rsidR="001F058A">
        <w:t xml:space="preserve"> and </w:t>
      </w:r>
      <w:r w:rsidR="00237DFD">
        <w:t>2</w:t>
      </w:r>
      <w:r w:rsidR="001F058A">
        <w:t>)</w:t>
      </w:r>
      <w:r w:rsidR="0096411C">
        <w:t>.</w:t>
      </w:r>
      <w:r w:rsidR="00CF7C68">
        <w:t xml:space="preserve"> </w:t>
      </w:r>
      <w:r w:rsidR="00A01F0D">
        <w:t xml:space="preserve">Figure 9 </w:t>
      </w:r>
      <w:r w:rsidR="00CF7C68">
        <w:t>shows heat</w:t>
      </w:r>
      <w:r w:rsidR="00E372AC">
        <w:t xml:space="preserve"> </w:t>
      </w:r>
      <w:r w:rsidR="00CF7C68">
        <w:t xml:space="preserve">maps for </w:t>
      </w:r>
      <w:r w:rsidR="008545DA">
        <w:t>the pixel</w:t>
      </w:r>
      <w:r w:rsidR="00CF7C68">
        <w:t>-by-pixel difference between</w:t>
      </w:r>
      <w:r w:rsidR="000C65BB">
        <w:t xml:space="preserve"> controls and fractured groups.</w:t>
      </w:r>
      <w:r w:rsidR="00CF7C68">
        <w:t xml:space="preserve"> </w:t>
      </w:r>
      <w:r w:rsidR="003547CC">
        <w:t>The o</w:t>
      </w:r>
      <w:r w:rsidR="000C65BB">
        <w:t>bserved fracture</w:t>
      </w:r>
      <w:r w:rsidR="003547CC">
        <w:t>-</w:t>
      </w:r>
      <w:r w:rsidR="000C65BB">
        <w:t xml:space="preserve">specific </w:t>
      </w:r>
      <w:r w:rsidR="003547CC">
        <w:t xml:space="preserve">pixel BMD </w:t>
      </w:r>
      <w:r w:rsidR="000C65BB">
        <w:t>patterns were spatially complex.</w:t>
      </w:r>
      <w:r w:rsidR="001560CE">
        <w:t xml:space="preserve"> </w:t>
      </w:r>
      <w:r w:rsidR="000C65BB">
        <w:t xml:space="preserve">For neck fractures, the q-map shows a local pattern of bone </w:t>
      </w:r>
      <w:r w:rsidR="001C3A5C">
        <w:t>deficiency</w:t>
      </w:r>
      <w:r w:rsidR="000C65BB">
        <w:t xml:space="preserve"> </w:t>
      </w:r>
      <w:r w:rsidR="001C3A5C">
        <w:t>that was most apparent in the same orientation as the</w:t>
      </w:r>
      <w:r w:rsidR="000C65BB">
        <w:t xml:space="preserve"> principal tensile </w:t>
      </w:r>
      <w:r w:rsidR="00CF6985">
        <w:t>trabeculae</w:t>
      </w:r>
      <w:r w:rsidR="000C65BB">
        <w:t xml:space="preserve"> </w:t>
      </w:r>
      <w:r w:rsidR="0063238B">
        <w:t xml:space="preserve">first </w:t>
      </w:r>
      <w:r w:rsidR="000C65BB">
        <w:t xml:space="preserve">characterised in </w:t>
      </w:r>
      <w:r w:rsidR="00EC5DAE">
        <w:t>plain</w:t>
      </w:r>
      <w:r w:rsidR="000C65BB">
        <w:t xml:space="preserve"> radiograph</w:t>
      </w:r>
      <w:r w:rsidR="00EC5DAE">
        <w:t xml:space="preserve"> imaging</w:t>
      </w:r>
      <w:r w:rsidR="000C65BB">
        <w:t xml:space="preserve"> </w:t>
      </w:r>
      <w:r w:rsidR="0063238B">
        <w:t>by Singh et al</w:t>
      </w:r>
      <w:r w:rsidR="000C65BB">
        <w:t>.</w:t>
      </w:r>
      <w:r w:rsidR="000C65BB">
        <w:fldChar w:fldCharType="begin" w:fldLock="1"/>
      </w:r>
      <w:r w:rsidR="000F3163">
        <w:instrText>ADDIN CSL_CITATION {"citationItems":[{"id":"ITEM-1","itemData":{"author":[{"dropping-particle":"","family":"Singh","given":"Manmohan","non-dropping-particle":"","parse-names":false,"suffix":""},{"dropping-particle":"","family":"Nagrath","given":"A\\_R","non-dropping-particle":"","parse-names":false,"suffix":""},{"dropping-particle":"","family":"Maini","given":"PS","non-dropping-particle":"","parse-names":false,"suffix":""}],"container-title":"The Journal of Bone and Joint Surgery","id":"ITEM-1","issue":"3","issued":{"date-parts":[["1970"]]},"page":"457-467","title":"Changes in trabecular pattern of the upper end of the femur as an index of osteoporosis","type":"article-journal","volume":"52"},"uris":["http://www.mendeley.com/documents/?uuid=0b35ee54-11e1-475b-8629-1108fd995654"]}],"mendeley":{"formattedCitation":"&lt;sup&gt;(38)&lt;/sup&gt;","plainTextFormattedCitation":"(38)","previouslyFormattedCitation":"&lt;sup&gt;(38)&lt;/sup&gt;"},"properties":{"noteIndex":0},"schema":"https://github.com/citation-style-language/schema/raw/master/csl-citation.json"}</w:instrText>
      </w:r>
      <w:r w:rsidR="000C65BB">
        <w:fldChar w:fldCharType="separate"/>
      </w:r>
      <w:r w:rsidR="00CA39B8" w:rsidRPr="00CA39B8">
        <w:rPr>
          <w:noProof/>
          <w:vertAlign w:val="superscript"/>
        </w:rPr>
        <w:t>(38)</w:t>
      </w:r>
      <w:r w:rsidR="000C65BB">
        <w:fldChar w:fldCharType="end"/>
      </w:r>
      <w:r w:rsidR="000C65BB">
        <w:t xml:space="preserve"> For trochanteric fractures, widespread bone loss in the trochanteric region was observed.</w:t>
      </w:r>
    </w:p>
    <w:p w14:paraId="5C0F7B9B" w14:textId="024AA8D1" w:rsidR="00BF1CF5" w:rsidRPr="0001438A" w:rsidRDefault="00BF1CF5" w:rsidP="00BF1CF5">
      <w:pPr>
        <w:pStyle w:val="Heading1"/>
      </w:pPr>
      <w:r w:rsidRPr="0001438A">
        <w:t>Discussion</w:t>
      </w:r>
    </w:p>
    <w:p w14:paraId="5B1FA9C1" w14:textId="4DBE2254" w:rsidR="00283D92" w:rsidRDefault="00E608E6" w:rsidP="005A43F2">
      <w:r>
        <w:t xml:space="preserve">We </w:t>
      </w:r>
      <w:r w:rsidR="00235315">
        <w:t>have examined</w:t>
      </w:r>
      <w:r w:rsidR="00D4695C">
        <w:t xml:space="preserve"> </w:t>
      </w:r>
      <w:r w:rsidR="008B7D4C">
        <w:t>DBA</w:t>
      </w:r>
      <w:r w:rsidR="00D4695C" w:rsidRPr="0001438A">
        <w:t xml:space="preserve"> as a</w:t>
      </w:r>
      <w:r w:rsidR="00235315">
        <w:t xml:space="preserve"> potential </w:t>
      </w:r>
      <w:r w:rsidR="00D4695C" w:rsidRPr="0001438A">
        <w:t>new marker</w:t>
      </w:r>
      <w:r w:rsidR="00D4695C">
        <w:t xml:space="preserve"> of</w:t>
      </w:r>
      <w:r w:rsidR="00D4695C" w:rsidRPr="0001438A">
        <w:t xml:space="preserve"> </w:t>
      </w:r>
      <w:r w:rsidR="00D4695C">
        <w:t>bone quality</w:t>
      </w:r>
      <w:r w:rsidR="00547F6C">
        <w:t xml:space="preserve"> by quantitating</w:t>
      </w:r>
      <w:r w:rsidR="004F6055">
        <w:t xml:space="preserve"> </w:t>
      </w:r>
      <w:r w:rsidR="00031ABB" w:rsidRPr="007066F4">
        <w:t xml:space="preserve">age-related spatial </w:t>
      </w:r>
      <w:r w:rsidR="008545DA">
        <w:t>texture</w:t>
      </w:r>
      <w:r w:rsidR="00031ABB" w:rsidRPr="007066F4">
        <w:t xml:space="preserve"> variation in</w:t>
      </w:r>
      <w:r w:rsidR="00E46D08">
        <w:t xml:space="preserve"> BMD maps</w:t>
      </w:r>
      <w:r w:rsidR="00031ABB" w:rsidRPr="007066F4">
        <w:t xml:space="preserve"> using </w:t>
      </w:r>
      <w:r w:rsidR="004B41D1">
        <w:t>a</w:t>
      </w:r>
      <w:r w:rsidR="00204AFC">
        <w:t xml:space="preserve"> recently deve</w:t>
      </w:r>
      <w:r w:rsidR="00E46D08">
        <w:t>loped spatio-temporal atl</w:t>
      </w:r>
      <w:r w:rsidR="00FF7901">
        <w:t>a</w:t>
      </w:r>
      <w:r w:rsidR="00E46D08">
        <w:t>s</w:t>
      </w:r>
      <w:r w:rsidR="00FC10C8">
        <w:t xml:space="preserve"> of</w:t>
      </w:r>
      <w:r w:rsidR="00E46D08">
        <w:t xml:space="preserve"> BMD in the proximal femur</w:t>
      </w:r>
      <w:r w:rsidR="001067AC">
        <w:fldChar w:fldCharType="begin" w:fldLock="1"/>
      </w:r>
      <w:r w:rsidR="00EB5921">
        <w:instrText>ADDIN CSL_CITATION {"citationItems":[{"id":"ITEM-1","itemData":{"author":[{"dropping-particle":"","family":"Farzi","given":"M.","non-dropping-particle":"","parse-names":false,"suffix":""},{"dropping-particle":"","family":"Pozo","given":"J. M.","non-dropping-particle":"","parse-names":false,"suffix":""},{"dropping-particle":"","family":"McCloskey","given":"E.","non-dropping-particle":"","parse-names":false,"suffix":""},{"dropping-particle":"","family":"Easte","given":"R.","non-dropping-particle":"","parse-names":false,"suffix":""},{"dropping-particle":"","family":"Harvey","given":"N.","non-dropping-particle":"","parse-names":false,"suffix":""},{"dropping-particle":"","family":"Wilkinson","given":"J. M.","non-dropping-particle":"","parse-names":false,"suffix":""},{"dropping-particle":"","family":"Frangi","given":"A. F.","non-dropping-particle":"","parse-names":false,"suffix":""}],"container-title":"IEEE Transactions on Medical Imaging","id":"ITEM-1","issue":"5","issued":{"date-parts":[["2020"]]},"page":"1359-1368","title":"A Spatio-Temporal Ageing Atlas of the Proximal Femur","type":"article-journal","volume":"39"},"uris":["http://www.mendeley.com/documents/?uuid=76e5220f-e11b-4684-867b-b61479b3adbc"]}],"mendeley":{"formattedCitation":"&lt;sup&gt;(30)&lt;/sup&gt;","plainTextFormattedCitation":"(30)","previouslyFormattedCitation":"&lt;sup&gt;(30)&lt;/sup&gt;"},"properties":{"noteIndex":0},"schema":"https://github.com/citation-style-language/schema/raw/master/csl-citation.json"}</w:instrText>
      </w:r>
      <w:r w:rsidR="001067AC">
        <w:fldChar w:fldCharType="separate"/>
      </w:r>
      <w:r w:rsidR="009313D1" w:rsidRPr="009313D1">
        <w:rPr>
          <w:noProof/>
          <w:vertAlign w:val="superscript"/>
        </w:rPr>
        <w:t>(30)</w:t>
      </w:r>
      <w:r w:rsidR="001067AC">
        <w:fldChar w:fldCharType="end"/>
      </w:r>
      <w:r w:rsidR="00E46D08">
        <w:t xml:space="preserve">. </w:t>
      </w:r>
      <w:r w:rsidR="00CF0FCD">
        <w:t>We compared the ab</w:t>
      </w:r>
      <w:r w:rsidR="00235315">
        <w:t>i</w:t>
      </w:r>
      <w:r w:rsidR="00CF0FCD">
        <w:t xml:space="preserve">lity of </w:t>
      </w:r>
      <w:r w:rsidR="008B7D4C">
        <w:t>DBA</w:t>
      </w:r>
      <w:r w:rsidR="00CF0FCD">
        <w:t xml:space="preserve"> </w:t>
      </w:r>
      <w:r w:rsidR="004B41D1">
        <w:t>to</w:t>
      </w:r>
      <w:r w:rsidR="0096031E">
        <w:t xml:space="preserve"> conventio</w:t>
      </w:r>
      <w:r w:rsidR="004B41D1">
        <w:t>n</w:t>
      </w:r>
      <w:r w:rsidR="0096031E">
        <w:t>al region-based B</w:t>
      </w:r>
      <w:r w:rsidR="00AE4F19">
        <w:t>MD</w:t>
      </w:r>
      <w:r w:rsidR="0096031E">
        <w:t xml:space="preserve"> measurements including</w:t>
      </w:r>
      <w:r w:rsidR="00CF0FCD">
        <w:t xml:space="preserve"> FN-BMD, T</w:t>
      </w:r>
      <w:r w:rsidR="0096031E">
        <w:t xml:space="preserve">R-BMD and TOT-BMD to predict </w:t>
      </w:r>
      <w:r w:rsidR="00AE4F19">
        <w:t xml:space="preserve">hip fractures </w:t>
      </w:r>
      <w:r w:rsidR="00C30F59">
        <w:t>in</w:t>
      </w:r>
      <w:r w:rsidR="00EC5DAE">
        <w:t xml:space="preserve"> a large cohort of n=11,899 w</w:t>
      </w:r>
      <w:r w:rsidR="00D43C0C">
        <w:t xml:space="preserve">hite women </w:t>
      </w:r>
      <w:r w:rsidR="00BB7884">
        <w:t>from the MRC-Hip</w:t>
      </w:r>
      <w:r w:rsidR="00BB7884">
        <w:fldChar w:fldCharType="begin" w:fldLock="1"/>
      </w:r>
      <w:r w:rsidR="00EB5921">
        <w:instrText>ADDIN CSL_CITATION {"citationItems":[{"id":"ITEM-1","itemData":{"DOI":"10.1359/jbmr.061008","ISBN":"0884-0431 (Print)","ISSN":"0884-0431","PMID":"17042717","abstract":"A 3-year prospective, randomized, placebo-controlled trial of oral clodronate 800 mg showed that the incidence of clinical fractures was decreased by 20% in 5596 elderly women unselected for osteoporosis. The effect occurred in the absence of systematic calcium and vitamin D supplementation and was observed across a wide range of BMDs. INTRODUCTION: To date, most studies with bisphosphonates have reported on their use in individuals selected to be at high risk for fracture usually by the presence of low BMD or a prior fragility fracture, usually of the spine. We wished to determine the effect of the bisphosphonate, clodronate, on the rate of fractures in women &gt; or =75 years of age living in the community. MATERIALS AND METHODS: Women &gt; or =75 years of age living in the general community in South Yorkshire and North Derbyshire, identified from general practice registers, were recruited by letter of invitation to a randomized, double-blind, controlled trial of 800 mg oral clodronate (Bonefos) or matching placebo daily over 3 years. The main outcomes were the incidences of hip and any clinical fracture. RESULTS: Of the 5579 elderly women included in the intention-to-treat analysis of efficacy, 114 had a new hip fracture during the 3-year treatment phase: 56 (2.0%) women in the clodronate group and 58 (2.1%) women in the placebo group (hazard ration [HR], 1.02; 95% CI, 0.71-1.47). Clodronate did, however, decrease the incidence of any clinical fracture by 20% (264 women [9.5%] versus 337 [12.1%] in the placebo group; HR, 0.80; 95% CI, 0.68-0.94). The incidence of osteoporosis-associated nonhip fractures was also significantly decreased by 29% (5.2% versus 7.4%; HR, 0.71; 95% CI, 0.57-0.87). The ability of clodronate to reduce the risk of osteoporotic fracture was independent of baseline BMD, but the number needed-to-treat was lower in the presence of osteoporosis. CONCLUSIONS: Oral daily clodronate can prevent fractures without significant adverse effects in elderly women living in the general community. The effect on hip fracture risk is not significant, but an effect similar to that at other nonvertebral sites cannot be excluded. This study suggests that antiresorptive therapies can reduce fracture incidence in high-risk individuals even in the presence of a normal or osteopenic BMD.","author":[{"dropping-particle":"V","family":"McCloskey","given":"Eugene","non-dropping-particle":"","parse-names":false,"suffix":""},{"dropping-particle":"","family":"Beneton","given":"Monique","non-dropping-particle":"","parse-names":false,"suffix":""},{"dropping-particle":"","family":"Charlesworth","given":"Diane","non-dropping-particle":"","parse-names":false,"suffix":""},{"dropping-particle":"","family":"Kayan","given":"Karthik","non-dropping-particle":"","parse-names":false,"suffix":""},{"dropping-particle":"","family":"DeTakats","given":"Dominic","non-dropping-particle":"","parse-names":false,"suffix":""},{"dropping-particle":"","family":"Dey","given":"Abhijit","non-dropping-particle":"","parse-names":false,"suffix":""},{"dropping-particle":"","family":"Orgee","given":"Jane","non-dropping-particle":"","parse-names":false,"suffix":""},{"dropping-particle":"","family":"Ashford","given":"Robert","non-dropping-particle":"","parse-names":false,"suffix":""},{"dropping-particle":"","family":"Forster","given":"Martin","non-dropping-particle":"","parse-names":false,"suffix":""},{"dropping-particle":"","family":"Cliffe","given":"Jennifer","non-dropping-particle":"","parse-names":false,"suffix":""},{"dropping-particle":"","family":"Kersh","given":"Linda","non-dropping-particle":"","parse-names":false,"suffix":""},{"dropping-particle":"","family":"Brazier","given":"John","non-dropping-particle":"","parse-names":false,"suffix":""},{"dropping-particle":"","family":"Nichol","given":"Jon","non-dropping-particle":"","parse-names":false,"suffix":""},{"dropping-particle":"","family":"Aropuu","given":"Sakari","non-dropping-particle":"","parse-names":false,"suffix":""},{"dropping-particle":"","family":"Jalava","given":"Tarja","non-dropping-particle":"","parse-names":false,"suffix":""},{"dropping-particle":"","family":"Kanis","given":"John a","non-dropping-particle":"","parse-names":false,"suffix":""}],"container-title":"Journal of bone and mineral research : the official journal of the American Society for Bone and Mineral Research","id":"ITEM-1","issue":"1","issued":{"date-parts":[["2007","1"]]},"language":"eng","page":"135-141","publisher-place":"United States","title":"Clodronate reduces the incidence of fractures in community-dwelling elderly women unselected for osteoporosis: results of a double-blind, placebo-controlled randomized study.","type":"article-journal","volume":"22"},"uris":["http://www.mendeley.com/documents/?uuid=06214be7-7011-4162-9708-afe4f27644ed"]}],"mendeley":{"formattedCitation":"&lt;sup&gt;(32)&lt;/sup&gt;","plainTextFormattedCitation":"(32)","previouslyFormattedCitation":"&lt;sup&gt;(32)&lt;/sup&gt;"},"properties":{"noteIndex":0},"schema":"https://github.com/citation-style-language/schema/raw/master/csl-citation.json"}</w:instrText>
      </w:r>
      <w:r w:rsidR="00BB7884">
        <w:fldChar w:fldCharType="separate"/>
      </w:r>
      <w:r w:rsidR="009313D1" w:rsidRPr="009313D1">
        <w:rPr>
          <w:noProof/>
          <w:vertAlign w:val="superscript"/>
        </w:rPr>
        <w:t>(32)</w:t>
      </w:r>
      <w:r w:rsidR="00BB7884">
        <w:fldChar w:fldCharType="end"/>
      </w:r>
      <w:r w:rsidR="00BB7884">
        <w:t xml:space="preserve"> and the UK Biobank stud</w:t>
      </w:r>
      <w:r w:rsidR="004B41D1">
        <w:t>ies</w:t>
      </w:r>
      <w:r w:rsidR="00BB7884">
        <w:fldChar w:fldCharType="begin" w:fldLock="1"/>
      </w:r>
      <w:r w:rsidR="000F3163">
        <w:instrText>ADDIN CSL_CITATION {"citationItems":[{"id":"ITEM-1","itemData":{"DOI":"10.1038/s41467-020-15948-9","ISSN":"20411723","PMID":"32457287","abstract":"UK Biobank is a population-based cohort of half a million participants aged 40–69 years recruited between 2006 and 2010. In 2014, UK Biobank started the world’s largest multi-modal imaging study, with the aim of re-inviting 100,000 participants to undergo brain, cardiac and abdominal magnetic resonance imaging, dual-energy X-ray absorptiometry and carotid ultrasound. The combination of large-scale multi-modal imaging with extensive phenotypic and genetic data offers an unprecedented resource for scientists to conduct health-related research. This article provides an in-depth overview of the imaging enhancement, including the data collected, how it is managed and processed, and future directions.","author":[{"dropping-particle":"","family":"Littlejohns","given":"Thomas J.","non-dropping-particle":"","parse-names":false,"suffix":""},{"dropping-particle":"","family":"Holliday","given":"Jo","non-dropping-particle":"","parse-names":false,"suffix":""},{"dropping-particle":"","family":"Gibson","given":"Lorna M.","non-dropping-particle":"","parse-names":false,"suffix":""},{"dropping-particle":"","family":"Garratt","given":"Steve","non-dropping-particle":"","parse-names":false,"suffix":""},{"dropping-particle":"","family":"Oesingmann","given":"Niels","non-dropping-particle":"","parse-names":false,"suffix":""},{"dropping-particle":"","family":"Alfaro-Almagro","given":"Fidel","non-dropping-particle":"","parse-names":false,"suffix":""},{"dropping-particle":"","family":"Bell","given":"Jimmy D.","non-dropping-particle":"","parse-names":false,"suffix":""},{"dropping-particle":"","family":"Boultwood","given":"Chris","non-dropping-particle":"","parse-names":false,"suffix":""},{"dropping-particle":"","family":"Collins","given":"Rory","non-dropping-particle":"","parse-names":false,"suffix":""},{"dropping-particle":"","family":"Conroy","given":"Megan C.","non-dropping-particle":"","parse-names":false,"suffix":""},{"dropping-particle":"","family":"Crabtree","given":"Nicola","non-dropping-particle":"","parse-names":false,"suffix":""},{"dropping-particle":"","family":"Doherty","given":"Nicola","non-dropping-particle":"","parse-names":false,"suffix":""},{"dropping-particle":"","family":"Frangi","given":"Alejandro F.","non-dropping-particle":"","parse-names":false,"suffix":""},{"dropping-particle":"","family":"Harvey","given":"Nicholas C.","non-dropping-particle":"","parse-names":false,"suffix":""},{"dropping-particle":"","family":"Leeson","given":"Paul","non-dropping-particle":"","parse-names":false,"suffix":""},{"dropping-particle":"","family":"Miller","given":"Karla L.","non-dropping-particle":"","parse-names":false,"suffix":""},{"dropping-particle":"","family":"Neubauer","given":"Stefan","non-dropping-particle":"","parse-names":false,"suffix":""},{"dropping-particle":"","family":"Petersen","given":"Steffen E.","non-dropping-particle":"","parse-names":false,"suffix":""},{"dropping-particle":"","family":"Sellors","given":"Jonathan","non-dropping-particle":"","parse-names":false,"suffix":""},{"dropping-particle":"","family":"Sheard","given":"Simon","non-dropping-particle":"","parse-names":false,"suffix":""},{"dropping-particle":"","family":"Smith","given":"Stephen M.","non-dropping-particle":"","parse-names":false,"suffix":""},{"dropping-particle":"","family":"Sudlow","given":"Cathie L.M.","non-dropping-particle":"","parse-names":false,"suffix":""},{"dropping-particle":"","family":"Matthews","given":"Paul M.","non-dropping-particle":"","parse-names":false,"suffix":""},{"dropping-particle":"","family":"Allen","given":"Naomi E.","non-dropping-particle":"","parse-names":false,"suffix":""}],"container-title":"Nature Communications","id":"ITEM-1","issue":"1","issued":{"date-parts":[["2020"]]},"page":"1-12","publisher":"Springer US","title":"The UK Biobank imaging enhancement of 100,000 participants: rationale, data collection, management and future directions","type":"article-journal","volume":"11"},"uris":["http://www.mendeley.com/documents/?uuid=05927f59-b5f5-4799-9ae2-2905cb0e4051"]}],"mendeley":{"formattedCitation":"&lt;sup&gt;(39)&lt;/sup&gt;","plainTextFormattedCitation":"(39)","previouslyFormattedCitation":"&lt;sup&gt;(39)&lt;/sup&gt;"},"properties":{"noteIndex":0},"schema":"https://github.com/citation-style-language/schema/raw/master/csl-citation.json"}</w:instrText>
      </w:r>
      <w:r w:rsidR="00BB7884">
        <w:fldChar w:fldCharType="separate"/>
      </w:r>
      <w:r w:rsidR="00CA39B8" w:rsidRPr="00CA39B8">
        <w:rPr>
          <w:noProof/>
          <w:vertAlign w:val="superscript"/>
        </w:rPr>
        <w:t>(39)</w:t>
      </w:r>
      <w:r w:rsidR="00BB7884">
        <w:fldChar w:fldCharType="end"/>
      </w:r>
      <w:r w:rsidR="00BB7884">
        <w:t xml:space="preserve">. </w:t>
      </w:r>
      <w:r w:rsidR="008B7D4C">
        <w:t>DBA</w:t>
      </w:r>
      <w:r w:rsidR="00283D92">
        <w:t xml:space="preserve"> </w:t>
      </w:r>
      <w:r w:rsidR="00371373">
        <w:t xml:space="preserve">showed the </w:t>
      </w:r>
      <w:r w:rsidR="00233EEA">
        <w:t>highest ROC-AUC</w:t>
      </w:r>
      <w:r w:rsidR="00A67F41">
        <w:t>,</w:t>
      </w:r>
      <w:r w:rsidR="00DE3B1B">
        <w:t xml:space="preserve"> modestly</w:t>
      </w:r>
      <w:r w:rsidR="00233EEA">
        <w:t xml:space="preserve"> </w:t>
      </w:r>
      <w:r w:rsidR="00283D92">
        <w:t>improv</w:t>
      </w:r>
      <w:r w:rsidR="00233EEA">
        <w:t>ing</w:t>
      </w:r>
      <w:r w:rsidR="00283D92">
        <w:t xml:space="preserve"> the overall </w:t>
      </w:r>
      <w:r w:rsidR="00283D92">
        <w:lastRenderedPageBreak/>
        <w:t>performance in comparison to TOT-BMD</w:t>
      </w:r>
      <w:r w:rsidR="00EC31E9">
        <w:t xml:space="preserve"> by 1% (95% CI 0.4% to 1.6%)</w:t>
      </w:r>
      <w:r w:rsidR="00B67754">
        <w:t>,</w:t>
      </w:r>
      <w:r w:rsidR="00283D92">
        <w:t xml:space="preserve"> TR-BMD</w:t>
      </w:r>
      <w:r w:rsidR="0081168D">
        <w:t xml:space="preserve"> by </w:t>
      </w:r>
      <w:r w:rsidR="00D072C6">
        <w:t>3% (95% CI 1.0% to 4.0%)</w:t>
      </w:r>
      <w:r w:rsidR="00B67754">
        <w:t xml:space="preserve">, and </w:t>
      </w:r>
      <w:r w:rsidR="00E4476D">
        <w:t>FN-BMD</w:t>
      </w:r>
      <w:r w:rsidR="0081168D">
        <w:t xml:space="preserve"> by</w:t>
      </w:r>
      <w:r w:rsidR="00D072C6">
        <w:t xml:space="preserve"> 2% (95% CI -0.5% to 3.5%)</w:t>
      </w:r>
      <w:r w:rsidR="0015361E">
        <w:t>.</w:t>
      </w:r>
    </w:p>
    <w:p w14:paraId="7A444150" w14:textId="3E94A179" w:rsidR="0002228A" w:rsidRDefault="00964D0A" w:rsidP="00A67F41">
      <w:r>
        <w:t>Our finding</w:t>
      </w:r>
      <w:r w:rsidR="00007E8A">
        <w:t>s</w:t>
      </w:r>
      <w:r>
        <w:t xml:space="preserve"> </w:t>
      </w:r>
      <w:r w:rsidR="00443961">
        <w:t>confirm</w:t>
      </w:r>
      <w:r>
        <w:t xml:space="preserve"> </w:t>
      </w:r>
      <w:r w:rsidR="000247B6">
        <w:t xml:space="preserve">that </w:t>
      </w:r>
      <w:r w:rsidR="00090AF0">
        <w:t xml:space="preserve">region-specific BMD measurements </w:t>
      </w:r>
      <w:r w:rsidR="00165253">
        <w:t>are</w:t>
      </w:r>
      <w:r w:rsidR="00090AF0">
        <w:t xml:space="preserve"> most sensitive to fractures occurring within the same anatomical site</w:t>
      </w:r>
      <w:r w:rsidR="0002228A">
        <w:t xml:space="preserve"> with relatively </w:t>
      </w:r>
      <w:r w:rsidR="005C47F8">
        <w:t>worse</w:t>
      </w:r>
      <w:r w:rsidR="0002228A">
        <w:t xml:space="preserve"> performance at other </w:t>
      </w:r>
      <w:r w:rsidR="00CA1BE8">
        <w:t>location</w:t>
      </w:r>
      <w:r w:rsidR="0002228A">
        <w:t>s.</w:t>
      </w:r>
      <w:r w:rsidR="00090AF0">
        <w:t xml:space="preserve"> </w:t>
      </w:r>
      <w:r w:rsidR="0002228A">
        <w:t>FN-BMD was better than TR-BMD in identifying neck fractures</w:t>
      </w:r>
      <w:r w:rsidR="00EC5DAE">
        <w:t xml:space="preserve"> </w:t>
      </w:r>
      <w:r w:rsidR="001D052C">
        <w:t xml:space="preserve">whereas TR-BMD </w:t>
      </w:r>
      <w:r w:rsidR="005C47F8">
        <w:t xml:space="preserve">performed </w:t>
      </w:r>
      <w:r w:rsidR="00A33C64">
        <w:t>better</w:t>
      </w:r>
      <w:r w:rsidR="0002228A">
        <w:t xml:space="preserve"> </w:t>
      </w:r>
      <w:r w:rsidR="005C47F8">
        <w:t>for</w:t>
      </w:r>
      <w:r w:rsidR="0002228A">
        <w:t xml:space="preserve"> </w:t>
      </w:r>
      <w:r w:rsidR="005C47F8">
        <w:t xml:space="preserve">identifying </w:t>
      </w:r>
      <w:r w:rsidR="0002228A">
        <w:t>trochanteric fractures</w:t>
      </w:r>
      <w:r w:rsidR="00EC5DAE">
        <w:t>, as</w:t>
      </w:r>
      <w:r w:rsidR="0002228A">
        <w:t xml:space="preserve"> measured as ROC-AUC</w:t>
      </w:r>
      <w:r w:rsidR="00A33C64">
        <w:t xml:space="preserve"> (Table </w:t>
      </w:r>
      <w:r w:rsidR="00A97E1D">
        <w:t>2</w:t>
      </w:r>
      <w:r w:rsidR="00A33C64">
        <w:t>)</w:t>
      </w:r>
      <w:r w:rsidR="0002228A">
        <w:t xml:space="preserve">. </w:t>
      </w:r>
      <w:r w:rsidR="008B7D4C">
        <w:t>DBA</w:t>
      </w:r>
      <w:r w:rsidR="0002228A">
        <w:t>, however, was sensitive to both fracture types capturing texture patterns in the neck</w:t>
      </w:r>
      <w:r w:rsidR="0002228A" w:rsidRPr="0001438A">
        <w:t xml:space="preserve"> </w:t>
      </w:r>
      <w:r w:rsidR="0002228A">
        <w:t xml:space="preserve">and trochanteric regions </w:t>
      </w:r>
      <w:r w:rsidR="00BB16C7">
        <w:t>simultaneously</w:t>
      </w:r>
      <w:r w:rsidR="0002228A">
        <w:t>. Compar</w:t>
      </w:r>
      <w:r w:rsidR="00237BA6">
        <w:t xml:space="preserve">ed to FN-BMD, </w:t>
      </w:r>
      <w:r w:rsidR="008B7D4C">
        <w:t>DBA</w:t>
      </w:r>
      <w:r w:rsidR="00237BA6">
        <w:t xml:space="preserve"> improved the ROC-AUC </w:t>
      </w:r>
      <w:r w:rsidR="00A67F41">
        <w:t>for predicting</w:t>
      </w:r>
      <w:r w:rsidR="0002228A">
        <w:t xml:space="preserve"> trochanteric fractures by ~5%</w:t>
      </w:r>
      <w:r w:rsidR="00EC5DAE">
        <w:t>, but</w:t>
      </w:r>
      <w:r w:rsidR="008362B3">
        <w:t xml:space="preserve"> with </w:t>
      </w:r>
      <w:r w:rsidR="00EC5DAE">
        <w:t>a similar</w:t>
      </w:r>
      <w:r w:rsidR="009C13A2">
        <w:t xml:space="preserve"> </w:t>
      </w:r>
      <w:r w:rsidR="0002228A">
        <w:t>performance for predicti</w:t>
      </w:r>
      <w:r w:rsidR="00237BA6">
        <w:t>ng</w:t>
      </w:r>
      <w:r w:rsidR="0002228A">
        <w:t xml:space="preserve"> neck fractures. </w:t>
      </w:r>
      <w:r w:rsidR="00525818">
        <w:t xml:space="preserve">Compared </w:t>
      </w:r>
      <w:r w:rsidR="0002228A">
        <w:t xml:space="preserve">to TR-BMD, </w:t>
      </w:r>
      <w:r w:rsidR="008B7D4C">
        <w:t>DBA</w:t>
      </w:r>
      <w:r w:rsidR="0002228A">
        <w:t xml:space="preserve"> improved the ROC-AUC for predicti</w:t>
      </w:r>
      <w:r w:rsidR="00A67F41">
        <w:t>ng</w:t>
      </w:r>
      <w:r w:rsidR="0002228A">
        <w:t xml:space="preserve"> neck fractures by ~3% </w:t>
      </w:r>
      <w:r w:rsidR="00A76FAE">
        <w:t>w</w:t>
      </w:r>
      <w:r w:rsidR="001E2033">
        <w:t>ith</w:t>
      </w:r>
      <w:r w:rsidR="00A76FAE">
        <w:t xml:space="preserve"> </w:t>
      </w:r>
      <w:r w:rsidR="00EC5DAE">
        <w:t>similar</w:t>
      </w:r>
      <w:r w:rsidR="001E2033">
        <w:t xml:space="preserve"> performance </w:t>
      </w:r>
      <w:r w:rsidR="0002228A">
        <w:t>for the prediction of trochanteric fractures.</w:t>
      </w:r>
      <w:r w:rsidR="00B44550">
        <w:t xml:space="preserve"> Compared to TOT-BMD, </w:t>
      </w:r>
      <w:r w:rsidR="008B7D4C">
        <w:t>DBA</w:t>
      </w:r>
      <w:r w:rsidR="00FC7F39">
        <w:t xml:space="preserve"> </w:t>
      </w:r>
      <w:r w:rsidR="009A02E9">
        <w:t>improved the ROC-AUC for</w:t>
      </w:r>
      <w:r w:rsidR="00202909">
        <w:t xml:space="preserve"> the</w:t>
      </w:r>
      <w:r w:rsidR="009A02E9">
        <w:t xml:space="preserve"> prediction of </w:t>
      </w:r>
      <w:r w:rsidR="00DE5188">
        <w:t>neck and trochanteric fractures by ~0.6% and ~1.4%, respectively.</w:t>
      </w:r>
    </w:p>
    <w:p w14:paraId="6F4626B7" w14:textId="560DBD98" w:rsidR="00567BB4" w:rsidRDefault="00463459" w:rsidP="00D00755">
      <w:pPr>
        <w:ind w:firstLine="0"/>
      </w:pPr>
      <w:r>
        <w:tab/>
      </w:r>
      <w:r w:rsidR="00FC675D">
        <w:t>Our results demonstrate</w:t>
      </w:r>
      <w:r>
        <w:t>d</w:t>
      </w:r>
      <w:r w:rsidR="00FC675D">
        <w:t xml:space="preserve"> that </w:t>
      </w:r>
      <w:r w:rsidR="008B7D4C">
        <w:t>DBA</w:t>
      </w:r>
      <w:r w:rsidR="00FC675D">
        <w:t xml:space="preserve"> is a precise quantitative tool</w:t>
      </w:r>
      <w:r w:rsidR="00EC5DAE">
        <w:t>, based, as</w:t>
      </w:r>
      <w:r w:rsidR="00FC675D">
        <w:t xml:space="preserve"> tested </w:t>
      </w:r>
      <w:r w:rsidR="00EC5DAE">
        <w:t>by independent analysis of</w:t>
      </w:r>
      <w:r w:rsidR="00FC675D" w:rsidRPr="0001438A">
        <w:t xml:space="preserve"> </w:t>
      </w:r>
      <w:r w:rsidR="00EC5DAE">
        <w:t xml:space="preserve">repeat </w:t>
      </w:r>
      <w:r w:rsidR="00FC675D" w:rsidRPr="0001438A">
        <w:t>scan</w:t>
      </w:r>
      <w:r w:rsidR="00EC5DAE">
        <w:t xml:space="preserve"> acquisitions</w:t>
      </w:r>
      <w:r w:rsidR="00FC675D" w:rsidRPr="0001438A">
        <w:t xml:space="preserve"> collected on the same </w:t>
      </w:r>
      <w:r w:rsidR="00FC675D">
        <w:t xml:space="preserve">day </w:t>
      </w:r>
      <w:r w:rsidR="00FC675D" w:rsidRPr="0001438A">
        <w:t>with patient repositioning between scans</w:t>
      </w:r>
      <w:r w:rsidR="00FC675D">
        <w:t xml:space="preserve">. Given its intuitive definition, </w:t>
      </w:r>
      <w:r w:rsidR="008B7D4C">
        <w:t>DBA</w:t>
      </w:r>
      <w:r w:rsidR="00FC675D">
        <w:t xml:space="preserve"> concept may facilitate patient communication and </w:t>
      </w:r>
      <w:r w:rsidR="00FC675D" w:rsidRPr="00BB16C7">
        <w:rPr>
          <w:color w:val="000000"/>
        </w:rPr>
        <w:t>engagement in clinical practice</w:t>
      </w:r>
      <w:r w:rsidR="00FC675D">
        <w:t>.</w:t>
      </w:r>
      <w:r w:rsidR="00F439E3">
        <w:t xml:space="preserve"> </w:t>
      </w:r>
      <w:r w:rsidR="00F439E3" w:rsidRPr="0001438A">
        <w:t xml:space="preserve">This concept is analogous to vascular age </w:t>
      </w:r>
      <w:r w:rsidR="00F439E3" w:rsidRPr="0001438A">
        <w:fldChar w:fldCharType="begin" w:fldLock="1"/>
      </w:r>
      <w:r w:rsidR="000F3163">
        <w:instrText>ADDIN CSL_CITATION {"citationItems":[{"id":"ITEM-1","itemData":{"DOI":"10.1177/2047487314566999","ISSN":"20474881","abstract":"Background Vascular age is an alternate means of representing an individual's cardiovascular risk. Little consensus exists on what vascular age represents and its clinical utility has not been determined. We systematically reviewed the literature to provide a comprehensive overview of different methods that have been used to define vascular age, and to examine its potential clinical value in patient communication and risk prediction. Design This was a systematic review with data sources of PubMed and Embase. Results We identified 39 articles on vascular age, 20 proposed to use vascular age as a communication tool and 19 proposed to use vascular age as a means to improve cardiovascular risk prediction. Eight papers were methodological and 31 papers reported on vascular age in study populations. Of these 31 papers, vascular age was a direct translation of the absolute risk estimated by existing cardiovascular risk prediction models in 15 papers, 12 derived vascular age from the reference values of an additional test, and in three papers vascular age was defined as the age at which the estimated cardiovascular risk equals the risk from non-invasive imaging observed degree of atherosclerosis. One trial found a small effect on risk factor levels when vascular age was communicated instead of cardiovascular risk. Conclusion Despite sharing a common name, various studies have proposed distinct ways to define and measure vascular age. Studies into the effects of vascular age as a tool to improve cardiovascular risk prediction or patient communication are scarce but will be required before its clinical use can be justified.","author":[{"dropping-particle":"","family":"Groenewegen","given":"K. A.","non-dropping-particle":"","parse-names":false,"suffix":""},{"dropping-particle":"","family":"Ruijter","given":"H. M.","non-dropping-particle":"Den","parse-names":false,"suffix":""},{"dropping-particle":"","family":"Pasterkamp","given":"G.","non-dropping-particle":"","parse-names":false,"suffix":""},{"dropping-particle":"","family":"Polak","given":"J. F.","non-dropping-particle":"","parse-names":false,"suffix":""},{"dropping-particle":"","family":"Bots","given":"M. L.","non-dropping-particle":"","parse-names":false,"suffix":""},{"dropping-particle":"","family":"Peters","given":"Sanne A.E.","non-dropping-particle":"","parse-names":false,"suffix":""}],"container-title":"European Journal of Preventive Cardiology","id":"ITEM-1","issue":"3","issued":{"date-parts":[["2016"]]},"page":"264-274","title":"Vascular age to determine cardiovascular disease risk: A systematic review of its concepts, definitions, and clinical applications","type":"article-journal","volume":"23"},"uris":["http://www.mendeley.com/documents/?uuid=6b9d8aa1-765c-4ea8-9b2c-bc0e6c713e0b"]}],"mendeley":{"formattedCitation":"&lt;sup&gt;(40)&lt;/sup&gt;","plainTextFormattedCitation":"(40)","previouslyFormattedCitation":"&lt;sup&gt;(40)&lt;/sup&gt;"},"properties":{"noteIndex":0},"schema":"https://github.com/citation-style-language/schema/raw/master/csl-citation.json"}</w:instrText>
      </w:r>
      <w:r w:rsidR="00F439E3" w:rsidRPr="0001438A">
        <w:fldChar w:fldCharType="separate"/>
      </w:r>
      <w:r w:rsidR="00CA39B8" w:rsidRPr="00CA39B8">
        <w:rPr>
          <w:noProof/>
          <w:vertAlign w:val="superscript"/>
        </w:rPr>
        <w:t>(40)</w:t>
      </w:r>
      <w:r w:rsidR="00F439E3" w:rsidRPr="0001438A">
        <w:fldChar w:fldCharType="end"/>
      </w:r>
      <w:r w:rsidR="00F439E3" w:rsidRPr="0001438A">
        <w:t xml:space="preserve"> or brain age </w:t>
      </w:r>
      <w:r w:rsidR="00F439E3" w:rsidRPr="0001438A">
        <w:fldChar w:fldCharType="begin" w:fldLock="1"/>
      </w:r>
      <w:r w:rsidR="000F3163">
        <w:instrText>ADDIN CSL_CITATION {"citationItems":[{"id":"ITEM-1","itemData":{"DOI":"10.1073/pnas.1902376116","ISSN":"10916490","PMID":"31575746","abstract":"The gap between predicted brain age using magnetic resonance imaging (MRI) and chronological age may serve as a biomarker for early-stage neurodegeneration. However, owing to the lack of large longitudinal studies, it has been challenging to validate this link. We aimed to investigate the utility of such a gap as a risk biomarker for incident dementia using a deep learning approach for predicting brain age based on MRI-derived gray matter (GM). We built a convolutional neural network (CNN) model to predict brain age trained on 3,688 dementia-free participants of the Rotterdam Study (mean age 66 ± 11 y, 55% women). Logistic regressions and Cox proportional hazards were used to assess the association of the age gap with incident dementia, adjusted for age, sex, intracranial volume, GM volume, hippocampal volume, white matter hyperintensities, years of education, and APOE e4 allele carriership. Additionally, we computed the attention maps, which shows which regions are important for age prediction. Logistic regression and Cox proportional hazard models showed that the age gap was significantly related to incident dementia (odds ratio [OR] = 1.11 and 95% confidence intervals [CI] = 1.05–1.16; hazard ratio [HR] = 1.11, and 95% CI = 1.06–1.15, respectively). Attention maps indicated that GM density around the amygdala and hippocampi primarily drove the age estimation. We showed that the gap between predicted and chronological brain age is a biomarker, complimentary to those that are known, associated with risk of dementia, and could possibly be used for early-stage dementia risk screening.","author":[{"dropping-particle":"","family":"Wang","given":"Johnny","non-dropping-particle":"","parse-names":false,"suffix":""},{"dropping-particle":"","family":"Knol","given":"Maria J.","non-dropping-particle":"","parse-names":false,"suffix":""},{"dropping-particle":"","family":"Tiulpin","given":"Aleksei","non-dropping-particle":"","parse-names":false,"suffix":""},{"dropping-particle":"","family":"Dubost","given":"Florian","non-dropping-particle":"","parse-names":false,"suffix":""},{"dropping-particle":"","family":"Bruijne","given":"Marleen","non-dropping-particle":"De","parse-names":false,"suffix":""},{"dropping-particle":"","family":"Vernooij","given":"Meike W.","non-dropping-particle":"","parse-names":false,"suffix":""},{"dropping-particle":"","family":"Adams","given":"Hieab H.H.","non-dropping-particle":"","parse-names":false,"suffix":""},{"dropping-particle":"","family":"Ikram","given":"M. Arfan","non-dropping-particle":"","parse-names":false,"suffix":""},{"dropping-particle":"","family":"Niessen","given":"Wiro J.","non-dropping-particle":"","parse-names":false,"suffix":""},{"dropping-particle":"V.","family":"Roshchupkin","given":"Gennady","non-dropping-particle":"","parse-names":false,"suffix":""}],"container-title":"Proceedings of the National Academy of Sciences of the United States of America","id":"ITEM-1","issue":"42","issued":{"date-parts":[["2019"]]},"page":"21213-21218","title":"Gray matter age prediction as a biomarker for risk of dementia","type":"article-journal","volume":"116"},"uris":["http://www.mendeley.com/documents/?uuid=8a1f8d9b-4511-4ed3-af45-8480b072710c"]}],"mendeley":{"formattedCitation":"&lt;sup&gt;(41)&lt;/sup&gt;","plainTextFormattedCitation":"(41)","previouslyFormattedCitation":"&lt;sup&gt;(41)&lt;/sup&gt;"},"properties":{"noteIndex":0},"schema":"https://github.com/citation-style-language/schema/raw/master/csl-citation.json"}</w:instrText>
      </w:r>
      <w:r w:rsidR="00F439E3" w:rsidRPr="0001438A">
        <w:fldChar w:fldCharType="separate"/>
      </w:r>
      <w:r w:rsidR="00CA39B8" w:rsidRPr="00CA39B8">
        <w:rPr>
          <w:noProof/>
          <w:vertAlign w:val="superscript"/>
        </w:rPr>
        <w:t>(41)</w:t>
      </w:r>
      <w:r w:rsidR="00F439E3" w:rsidRPr="0001438A">
        <w:fldChar w:fldCharType="end"/>
      </w:r>
      <w:r w:rsidR="00F439E3" w:rsidRPr="0001438A">
        <w:t xml:space="preserve"> that </w:t>
      </w:r>
      <w:r w:rsidR="00F439E3">
        <w:t xml:space="preserve">have been </w:t>
      </w:r>
      <w:r w:rsidR="00F439E3" w:rsidRPr="0001438A">
        <w:t xml:space="preserve">proposed to express the risk of cardiovascular diseases or dementia, respectively. </w:t>
      </w:r>
      <w:r w:rsidR="00F439E3">
        <w:t>Note that t</w:t>
      </w:r>
      <w:r w:rsidR="00F439E3" w:rsidRPr="0001438A">
        <w:t xml:space="preserve">he terminology </w:t>
      </w:r>
      <w:r w:rsidR="00F439E3" w:rsidRPr="002117BA">
        <w:t>bone age</w:t>
      </w:r>
      <w:r w:rsidR="00F439E3" w:rsidRPr="0001438A">
        <w:t xml:space="preserve"> is not new; it </w:t>
      </w:r>
      <w:r w:rsidR="00EC5DAE">
        <w:t xml:space="preserve">is </w:t>
      </w:r>
      <w:r w:rsidR="00F439E3" w:rsidRPr="0001438A">
        <w:t xml:space="preserve">used by paediatricians to </w:t>
      </w:r>
      <w:r w:rsidR="00EC5DAE">
        <w:t>quantitate</w:t>
      </w:r>
      <w:r w:rsidR="00F439E3" w:rsidRPr="0001438A">
        <w:t xml:space="preserve"> skeletal maturity in a child and is based on a comparison of a wrist radiograph with atlas patterns to assess the closure of the growth plates </w:t>
      </w:r>
      <w:r w:rsidR="00F439E3" w:rsidRPr="0001438A">
        <w:fldChar w:fldCharType="begin" w:fldLock="1"/>
      </w:r>
      <w:r w:rsidR="000F3163">
        <w:instrText>ADDIN CSL_CITATION {"citationItems":[{"id":"ITEM-1","itemData":{"DOI":"10.1259/0007-1285-61-728-683","ISSN":"0007-1285","PMID":"3416108","abstract":"Bone ages assessed by the TW2 method and the GP atlas were compared in 97 children radiographed for trauma. Bone age assessed by the TW2 method was slightly closer to chronological age than the GP estimate, but TW2 was slightly less reproducible between observers. Given the relatively laborious and time-consuming nature of the TW2 method, there seems little point in promoting its use in the general hospital setting. The GP method was improved by recalibrating the standard radiographs to match the local population.","author":[{"dropping-particle":"","family":"Cole","given":"a J","non-dropping-particle":"","parse-names":false,"suffix":""},{"dropping-particle":"","family":"Webb","given":"L","non-dropping-particle":"","parse-names":false,"suffix":""},{"dropping-particle":"","family":"Cole","given":"T J","non-dropping-particle":"","parse-names":false,"suffix":""}],"container-title":"The British journal of radiology","id":"ITEM-1","issue":"728","issued":{"date-parts":[["1988"]]},"page":"683-686","title":"Bone age estimation: a comparison of methods.","type":"article-journal","volume":"61"},"uris":["http://www.mendeley.com/documents/?uuid=6cea7259-500c-42c1-8c35-fa3e289e0b62"]},{"id":"ITEM-2","itemData":{"DOI":"10.1109/42.938240","ISBN":"0278-0062","ISSN":"02780062","PMID":"11513023","abstract":"Clinical assessment of skeletal maturity is based on a visual comparison of a left-hand wrist radiograph with atlas patterns. Using a new digital hand atlas an image analysis methodology is being developed. To assist radiologists in bone age estimation. The analysis starts with a preprocessing function yielding epiphyseal/metaphyseal regions of interest (EMROIs). Then, these regions are subjected to a feature extraction function. Accuracy has been measured independently at three stages of the image analysis: detection of phalangeal tip, extraction of the EMROIs, and location of diameters and lower edge of the EMROIs. Extracted features describe the stage of skeletal development more objectively than visual comparison.","author":[{"dropping-particle":"","family":"Pietka","given":"Ewa","non-dropping-particle":"","parse-names":false,"suffix":""},{"dropping-particle":"","family":"Gertych","given":"Arkadiusz","non-dropping-particle":"","parse-names":false,"suffix":""},{"dropping-particle":"","family":"Pospiech","given":"Sylwia","non-dropping-particle":"","parse-names":false,"suffix":""},{"dropping-particle":"","family":"Cao","given":"Fei","non-dropping-particle":"","parse-names":false,"suffix":""},{"dropping-particle":"","family":"Huang","given":"H. K.","non-dropping-particle":"","parse-names":false,"suffix":""},{"dropping-particle":"","family":"Gilsanz","given":"V.","non-dropping-particle":"","parse-names":false,"suffix":""}],"container-title":"IEEE Transactions on Medical Imaging","id":"ITEM-2","issue":"8","issued":{"date-parts":[["2001"]]},"page":"715-729","title":"Computer-assisted bone age assessment: Image preprocessing and epiphyseal/metaphyseal ROI extraction","type":"article-journal","volume":"20"},"uris":["http://www.mendeley.com/documents/?uuid=a5acb8ff-5ca8-4381-8af0-9e3c0bbca88b"]}],"mendeley":{"formattedCitation":"&lt;sup&gt;(42,43)&lt;/sup&gt;","plainTextFormattedCitation":"(42,43)","previouslyFormattedCitation":"&lt;sup&gt;(42,43)&lt;/sup&gt;"},"properties":{"noteIndex":0},"schema":"https://github.com/citation-style-language/schema/raw/master/csl-citation.json"}</w:instrText>
      </w:r>
      <w:r w:rsidR="00F439E3" w:rsidRPr="0001438A">
        <w:fldChar w:fldCharType="separate"/>
      </w:r>
      <w:r w:rsidR="00CA39B8" w:rsidRPr="00CA39B8">
        <w:rPr>
          <w:noProof/>
          <w:vertAlign w:val="superscript"/>
        </w:rPr>
        <w:t>(42,43)</w:t>
      </w:r>
      <w:r w:rsidR="00F439E3" w:rsidRPr="0001438A">
        <w:fldChar w:fldCharType="end"/>
      </w:r>
      <w:r w:rsidR="00F439E3" w:rsidRPr="0001438A">
        <w:t xml:space="preserve">. </w:t>
      </w:r>
      <w:r w:rsidR="00BF2914">
        <w:t xml:space="preserve">To avoid confusion, the </w:t>
      </w:r>
      <w:r w:rsidR="00AA567C">
        <w:t>proposed</w:t>
      </w:r>
      <w:r w:rsidR="00BF2914">
        <w:t xml:space="preserve"> </w:t>
      </w:r>
      <w:r w:rsidR="00AA567C">
        <w:t>concept is called densitometric bone age.</w:t>
      </w:r>
    </w:p>
    <w:p w14:paraId="20C02CD3" w14:textId="60E5328F" w:rsidR="00A14958" w:rsidRDefault="003E1DD8">
      <w:pPr>
        <w:rPr>
          <w:rStyle w:val="Hyperlink0"/>
        </w:rPr>
      </w:pPr>
      <w:r>
        <w:t xml:space="preserve">The overall </w:t>
      </w:r>
      <w:r w:rsidR="0006130E">
        <w:t xml:space="preserve">prediction </w:t>
      </w:r>
      <w:r>
        <w:t>performance</w:t>
      </w:r>
      <w:r w:rsidR="0006130E">
        <w:t xml:space="preserve"> </w:t>
      </w:r>
      <w:r w:rsidR="00D1773B">
        <w:t xml:space="preserve">of a tool in detecting an event is a function of the </w:t>
      </w:r>
      <w:r w:rsidR="00AA4F06">
        <w:t>prevalence</w:t>
      </w:r>
      <w:r w:rsidR="0006130E">
        <w:t xml:space="preserve"> of </w:t>
      </w:r>
      <w:r w:rsidR="00D1773B">
        <w:t>such events</w:t>
      </w:r>
      <w:r w:rsidR="0006130E">
        <w:t xml:space="preserve"> in the population.</w:t>
      </w:r>
      <w:r>
        <w:t xml:space="preserve"> </w:t>
      </w:r>
      <w:r w:rsidR="00A14958">
        <w:t>T</w:t>
      </w:r>
      <w:r w:rsidR="00BB7884">
        <w:t>he population</w:t>
      </w:r>
      <w:r w:rsidR="00964C0E">
        <w:t>-</w:t>
      </w:r>
      <w:r w:rsidR="00BB7884">
        <w:t xml:space="preserve">attributable risk (PAR) for an incident hip fracture </w:t>
      </w:r>
      <w:r w:rsidR="00D1773B">
        <w:t xml:space="preserve">in this study </w:t>
      </w:r>
      <w:r w:rsidR="00BB7884">
        <w:t>was 52% (</w:t>
      </w:r>
      <w:r w:rsidR="003547CC">
        <w:t>versus</w:t>
      </w:r>
      <w:r w:rsidR="00A14958">
        <w:t xml:space="preserve"> 28% </w:t>
      </w:r>
      <w:r w:rsidR="00A14958" w:rsidRPr="0001438A">
        <w:t>in the SOF study</w:t>
      </w:r>
      <w:r w:rsidR="00A14958" w:rsidRPr="0001438A">
        <w:fldChar w:fldCharType="begin" w:fldLock="1"/>
      </w:r>
      <w:r w:rsidR="00A14958" w:rsidRPr="0001438A">
        <w:instrText>ADDIN CSL_CITATION {"citationItems":[{"id":"ITEM-1","itemData":{"DOI":"10.1359/jbmr.2003.18.11.1947","ISBN":"1523-4681","ISSN":"0884-0431","PMID":"14606506","abstract":"In a large cohort of U.S. women aged 65 and older, we report the relationships of BMD measured at several sites, and subsequent fracture risk at multiple sites over &gt;8 years of follow-up. Although we found almost all fracture types to be related to low BMD, the overall proportion of fractures attributable to low BMD is modest. Introduction: Although several studies have reported the relationship between bone mineral density (BMD) and subsequent fracture risk, most have been limited by short follow-up time, BMD measures at only one or two sites, or availability of data for only select fracture types. Materials and Methods: In the multicenter Study of Osteoporotic Fractures (SOF), we studied the relationship of several different BMD measures to fracture risk of multiple types in 9704 non-black women aged 65 and older. We previously reported on the relationship of peripheral BMD measures to risk of several types of fracture during an average 2.2-year follow-up period. In this expanded analysis, we present results of the relationship of both peripheral and central BMD measures and fractures of multiple types during 10.4 and 8.5 years of follow-up, respectively. We also report population attributable risk (PAR) estimates for osteoporosis and risk of several types of fracture. Results: Our results show that almost all types of fractures have an increased incidence in women with low BMD. However, hip BMD is somewhat more strongly related to most of the fracture types studied than spine or peripheral BMD measures. Nonetheless, the proportion of fractures attributable to osteoporosis (based on a standard definition of osteoporosis) is modest, ranging from Ͻ10% to 44% based on the most commonly used definition of osteoporosis (BMD T-score Ͻ Ϫ2.5). Conclusion: Finding effective prevention strategies for fractures in older women will require additional interventions beside preventions for bone loss, such as prevention of falls and other fracture risk factors.","author":[{"dropping-particle":"","family":"Stone","given":"Katie L","non-dropping-particle":"","parse-names":false,"suffix":""},{"dropping-particle":"","family":"Seeley","given":"Dana G","non-dropping-particle":"","parse-names":false,"suffix":""},{"dropping-particle":"","family":"Lui","given":"Li-Yung","non-dropping-particle":"","parse-names":false,"suffix":""},{"dropping-particle":"","family":"Cauley","given":"Jane A","non-dropping-particle":"","parse-names":false,"suffix":""},{"dropping-particle":"","family":"Ensrud","given":"Kristine","non-dropping-particle":"","parse-names":false,"suffix":""},{"dropping-particle":"","family":"Browner","given":"Warren S","non-dropping-particle":"","parse-names":false,"suffix":""},{"dropping-particle":"","family":"Nevitt","given":"Michael C","non-dropping-particle":"","parse-names":false,"suffix":""},{"dropping-particle":"","family":"Cummings","given":"Steven R","non-dropping-particle":"","parse-names":false,"suffix":""}],"container-title":"J Bone Miner Res","id":"ITEM-1","issue":"11","issued":{"date-parts":[["2003"]]},"page":"1947-1954","title":"BMD at Multiple Sites and Risk of Fracture of Multiple Types: Long-Term Results From the Study of Osteoporotic Fractures","type":"article-journal","volume":"18"},"uris":["http://www.mendeley.com/documents/?uuid=75fe71bf-dcee-44e7-8832-f947faf92d56"]}],"mendeley":{"formattedCitation":"&lt;sup&gt;(10)&lt;/sup&gt;","plainTextFormattedCitation":"(10)","previouslyFormattedCitation":"&lt;sup&gt;(10)&lt;/sup&gt;"},"properties":{"noteIndex":0},"schema":"https://github.com/citation-style-language/schema/raw/master/csl-citation.json"}</w:instrText>
      </w:r>
      <w:r w:rsidR="00A14958" w:rsidRPr="0001438A">
        <w:fldChar w:fldCharType="separate"/>
      </w:r>
      <w:r w:rsidR="00A14958" w:rsidRPr="0001438A">
        <w:rPr>
          <w:noProof/>
          <w:vertAlign w:val="superscript"/>
        </w:rPr>
        <w:t>(10)</w:t>
      </w:r>
      <w:r w:rsidR="00A14958" w:rsidRPr="0001438A">
        <w:fldChar w:fldCharType="end"/>
      </w:r>
      <w:r w:rsidR="00A14958">
        <w:t xml:space="preserve">) </w:t>
      </w:r>
      <w:r w:rsidR="00BB7884">
        <w:t xml:space="preserve">for cohorts with </w:t>
      </w:r>
      <w:r w:rsidR="00822195">
        <w:lastRenderedPageBreak/>
        <w:t xml:space="preserve">a </w:t>
      </w:r>
      <w:r w:rsidR="00BB7884">
        <w:t xml:space="preserve">cut-off </w:t>
      </w:r>
      <w:r w:rsidR="00E21070">
        <w:t>T-score</w:t>
      </w:r>
      <w:r w:rsidR="00BB7884">
        <w:t xml:space="preserve"> of -2.5 and 8</w:t>
      </w:r>
      <w:r w:rsidR="00A14958">
        <w:t>5</w:t>
      </w:r>
      <w:r w:rsidR="00BB7884">
        <w:t>%</w:t>
      </w:r>
      <w:r w:rsidR="00A14958">
        <w:t xml:space="preserve"> (</w:t>
      </w:r>
      <w:r w:rsidR="003547CC">
        <w:t>versus</w:t>
      </w:r>
      <w:r w:rsidR="00A14958">
        <w:t xml:space="preserve"> 51% </w:t>
      </w:r>
      <w:r w:rsidR="00A14958" w:rsidRPr="0001438A">
        <w:t>in the SOF study</w:t>
      </w:r>
      <w:r w:rsidR="00A14958" w:rsidRPr="0001438A">
        <w:fldChar w:fldCharType="begin" w:fldLock="1"/>
      </w:r>
      <w:r w:rsidR="00A14958" w:rsidRPr="0001438A">
        <w:instrText>ADDIN CSL_CITATION {"citationItems":[{"id":"ITEM-1","itemData":{"DOI":"10.1359/jbmr.2003.18.11.1947","ISBN":"1523-4681","ISSN":"0884-0431","PMID":"14606506","abstract":"In a large cohort of U.S. women aged 65 and older, we report the relationships of BMD measured at several sites, and subsequent fracture risk at multiple sites over &gt;8 years of follow-up. Although we found almost all fracture types to be related to low BMD, the overall proportion of fractures attributable to low BMD is modest. Introduction: Although several studies have reported the relationship between bone mineral density (BMD) and subsequent fracture risk, most have been limited by short follow-up time, BMD measures at only one or two sites, or availability of data for only select fracture types. Materials and Methods: In the multicenter Study of Osteoporotic Fractures (SOF), we studied the relationship of several different BMD measures to fracture risk of multiple types in 9704 non-black women aged 65 and older. We previously reported on the relationship of peripheral BMD measures to risk of several types of fracture during an average 2.2-year follow-up period. In this expanded analysis, we present results of the relationship of both peripheral and central BMD measures and fractures of multiple types during 10.4 and 8.5 years of follow-up, respectively. We also report population attributable risk (PAR) estimates for osteoporosis and risk of several types of fracture. Results: Our results show that almost all types of fractures have an increased incidence in women with low BMD. However, hip BMD is somewhat more strongly related to most of the fracture types studied than spine or peripheral BMD measures. Nonetheless, the proportion of fractures attributable to osteoporosis (based on a standard definition of osteoporosis) is modest, ranging from Ͻ10% to 44% based on the most commonly used definition of osteoporosis (BMD T-score Ͻ Ϫ2.5). Conclusion: Finding effective prevention strategies for fractures in older women will require additional interventions beside preventions for bone loss, such as prevention of falls and other fracture risk factors.","author":[{"dropping-particle":"","family":"Stone","given":"Katie L","non-dropping-particle":"","parse-names":false,"suffix":""},{"dropping-particle":"","family":"Seeley","given":"Dana G","non-dropping-particle":"","parse-names":false,"suffix":""},{"dropping-particle":"","family":"Lui","given":"Li-Yung","non-dropping-particle":"","parse-names":false,"suffix":""},{"dropping-particle":"","family":"Cauley","given":"Jane A","non-dropping-particle":"","parse-names":false,"suffix":""},{"dropping-particle":"","family":"Ensrud","given":"Kristine","non-dropping-particle":"","parse-names":false,"suffix":""},{"dropping-particle":"","family":"Browner","given":"Warren S","non-dropping-particle":"","parse-names":false,"suffix":""},{"dropping-particle":"","family":"Nevitt","given":"Michael C","non-dropping-particle":"","parse-names":false,"suffix":""},{"dropping-particle":"","family":"Cummings","given":"Steven R","non-dropping-particle":"","parse-names":false,"suffix":""}],"container-title":"J Bone Miner Res","id":"ITEM-1","issue":"11","issued":{"date-parts":[["2003"]]},"page":"1947-1954","title":"BMD at Multiple Sites and Risk of Fracture of Multiple Types: Long-Term Results From the Study of Osteoporotic Fractures","type":"article-journal","volume":"18"},"uris":["http://www.mendeley.com/documents/?uuid=75fe71bf-dcee-44e7-8832-f947faf92d56"]}],"mendeley":{"formattedCitation":"&lt;sup&gt;(10)&lt;/sup&gt;","plainTextFormattedCitation":"(10)","previouslyFormattedCitation":"&lt;sup&gt;(10)&lt;/sup&gt;"},"properties":{"noteIndex":0},"schema":"https://github.com/citation-style-language/schema/raw/master/csl-citation.json"}</w:instrText>
      </w:r>
      <w:r w:rsidR="00A14958" w:rsidRPr="0001438A">
        <w:fldChar w:fldCharType="separate"/>
      </w:r>
      <w:r w:rsidR="00A14958" w:rsidRPr="0001438A">
        <w:rPr>
          <w:noProof/>
          <w:vertAlign w:val="superscript"/>
        </w:rPr>
        <w:t>(10)</w:t>
      </w:r>
      <w:r w:rsidR="00A14958" w:rsidRPr="0001438A">
        <w:fldChar w:fldCharType="end"/>
      </w:r>
      <w:r w:rsidR="00A14958">
        <w:t>)</w:t>
      </w:r>
      <w:r w:rsidR="00BB7884">
        <w:t xml:space="preserve"> for a more conservative cut-off point of -1.5. </w:t>
      </w:r>
      <w:r w:rsidR="00822195">
        <w:t>Unlike the SOF study</w:t>
      </w:r>
      <w:r w:rsidR="008C7BD7">
        <w:t xml:space="preserve"> </w:t>
      </w:r>
      <w:r w:rsidR="008C7BD7">
        <w:fldChar w:fldCharType="begin" w:fldLock="1"/>
      </w:r>
      <w:r w:rsidR="008C7BD7">
        <w:instrText>ADDIN CSL_CITATION {"citationItems":[{"id":"ITEM-1","itemData":{"DOI":"10.1359/jbmr.2003.18.11.1947","ISBN":"1523-4681","ISSN":"0884-0431","PMID":"14606506","abstract":"In a large cohort of U.S. women aged 65 and older, we report the relationships of BMD measured at several sites, and subsequent fracture risk at multiple sites over &gt;8 years of follow-up. Although we found almost all fracture types to be related to low BMD, the overall proportion of fractures attributable to low BMD is modest. Introduction: Although several studies have reported the relationship between bone mineral density (BMD) and subsequent fracture risk, most have been limited by short follow-up time, BMD measures at only one or two sites, or availability of data for only select fracture types. Materials and Methods: In the multicenter Study of Osteoporotic Fractures (SOF), we studied the relationship of several different BMD measures to fracture risk of multiple types in 9704 non-black women aged 65 and older. We previously reported on the relationship of peripheral BMD measures to risk of several types of fracture during an average 2.2-year follow-up period. In this expanded analysis, we present results of the relationship of both peripheral and central BMD measures and fractures of multiple types during 10.4 and 8.5 years of follow-up, respectively. We also report population attributable risk (PAR) estimates for osteoporosis and risk of several types of fracture. Results: Our results show that almost all types of fractures have an increased incidence in women with low BMD. However, hip BMD is somewhat more strongly related to most of the fracture types studied than spine or peripheral BMD measures. Nonetheless, the proportion of fractures attributable to osteoporosis (based on a standard definition of osteoporosis) is modest, ranging from Ͻ10% to 44% based on the most commonly used definition of osteoporosis (BMD T-score Ͻ Ϫ2.5). Conclusion: Finding effective prevention strategies for fractures in older women will require additional interventions beside preventions for bone loss, such as prevention of falls and other fracture risk factors.","author":[{"dropping-particle":"","family":"Stone","given":"Katie L","non-dropping-particle":"","parse-names":false,"suffix":""},{"dropping-particle":"","family":"Seeley","given":"Dana G","non-dropping-particle":"","parse-names":false,"suffix":""},{"dropping-particle":"","family":"Lui","given":"Li-Yung","non-dropping-particle":"","parse-names":false,"suffix":""},{"dropping-particle":"","family":"Cauley","given":"Jane A","non-dropping-particle":"","parse-names":false,"suffix":""},{"dropping-particle":"","family":"Ensrud","given":"Kristine","non-dropping-particle":"","parse-names":false,"suffix":""},{"dropping-particle":"","family":"Browner","given":"Warren S","non-dropping-particle":"","parse-names":false,"suffix":""},{"dropping-particle":"","family":"Nevitt","given":"Michael C","non-dropping-particle":"","parse-names":false,"suffix":""},{"dropping-particle":"","family":"Cummings","given":"Steven R","non-dropping-particle":"","parse-names":false,"suffix":""}],"container-title":"J Bone Miner Res","id":"ITEM-1","issue":"11","issued":{"date-parts":[["2003"]]},"page":"1947-1954","title":"BMD at Multiple Sites and Risk of Fracture of Multiple Types: Long-Term Results From the Study of Osteoporotic Fractures","type":"article-journal","volume":"18"},"uris":["http://www.mendeley.com/documents/?uuid=75fe71bf-dcee-44e7-8832-f947faf92d56"]}],"mendeley":{"formattedCitation":"&lt;sup&gt;(10)&lt;/sup&gt;","plainTextFormattedCitation":"(10)","previouslyFormattedCitation":"&lt;sup&gt;(10)&lt;/sup&gt;"},"properties":{"noteIndex":0},"schema":"https://github.com/citation-style-language/schema/raw/master/csl-citation.json"}</w:instrText>
      </w:r>
      <w:r w:rsidR="008C7BD7">
        <w:fldChar w:fldCharType="separate"/>
      </w:r>
      <w:r w:rsidR="008C7BD7" w:rsidRPr="00822195">
        <w:rPr>
          <w:noProof/>
          <w:vertAlign w:val="superscript"/>
        </w:rPr>
        <w:t>(10)</w:t>
      </w:r>
      <w:r w:rsidR="008C7BD7">
        <w:fldChar w:fldCharType="end"/>
      </w:r>
      <w:r w:rsidR="00822195">
        <w:t xml:space="preserve"> our findings suggest that a </w:t>
      </w:r>
      <w:r w:rsidR="00EC5DAE">
        <w:t>high</w:t>
      </w:r>
      <w:r w:rsidR="00CA1BE8">
        <w:t xml:space="preserve"> </w:t>
      </w:r>
      <w:r w:rsidR="00822195">
        <w:t xml:space="preserve">proportion of </w:t>
      </w:r>
      <w:r w:rsidR="003547CC">
        <w:t xml:space="preserve">proximal femoral </w:t>
      </w:r>
      <w:r w:rsidR="00822195">
        <w:t>fragility fractures</w:t>
      </w:r>
      <w:r w:rsidR="00757B00">
        <w:t xml:space="preserve"> (85%)</w:t>
      </w:r>
      <w:r w:rsidR="00822195">
        <w:t xml:space="preserve"> may be attributed to low </w:t>
      </w:r>
      <w:r w:rsidR="003244F9">
        <w:t>FN-</w:t>
      </w:r>
      <w:r w:rsidR="00822195">
        <w:t xml:space="preserve">BMD </w:t>
      </w:r>
      <w:r w:rsidR="00E21070">
        <w:t>T-score</w:t>
      </w:r>
      <w:r w:rsidR="00822195">
        <w:t xml:space="preserve">. However, note </w:t>
      </w:r>
      <w:r w:rsidR="00822195" w:rsidRPr="0001438A">
        <w:t>that PAR depends not only on</w:t>
      </w:r>
      <w:r w:rsidR="00822195">
        <w:t xml:space="preserve"> the</w:t>
      </w:r>
      <w:r w:rsidR="00822195" w:rsidRPr="0001438A">
        <w:t xml:space="preserve"> excess risk imposed by low </w:t>
      </w:r>
      <w:r w:rsidR="003244F9">
        <w:t>FN-</w:t>
      </w:r>
      <w:r w:rsidR="00822195" w:rsidRPr="0001438A">
        <w:t xml:space="preserve">BMD but also on the proportion of exposed subjects with a </w:t>
      </w:r>
      <w:r w:rsidR="00E21070">
        <w:t>T-score</w:t>
      </w:r>
      <w:r w:rsidR="00822195" w:rsidRPr="0001438A">
        <w:t xml:space="preserve"> below the cut-off threshold. </w:t>
      </w:r>
      <w:r w:rsidR="00822195">
        <w:t>In our cohort study, the prevalence of osteoporosis was 23.6% (</w:t>
      </w:r>
      <w:r w:rsidR="003547CC">
        <w:t xml:space="preserve">versus </w:t>
      </w:r>
      <w:r w:rsidR="00822195">
        <w:t>17.7% in the SOF study</w:t>
      </w:r>
      <w:r w:rsidR="00822195">
        <w:fldChar w:fldCharType="begin" w:fldLock="1"/>
      </w:r>
      <w:r w:rsidR="00191ED6">
        <w:instrText>ADDIN CSL_CITATION {"citationItems":[{"id":"ITEM-1","itemData":{"DOI":"10.1359/jbmr.2003.18.11.1947","ISBN":"1523-4681","ISSN":"0884-0431","PMID":"14606506","abstract":"In a large cohort of U.S. women aged 65 and older, we report the relationships of BMD measured at several sites, and subsequent fracture risk at multiple sites over &gt;8 years of follow-up. Although we found almost all fracture types to be related to low BMD, the overall proportion of fractures attributable to low BMD is modest. Introduction: Although several studies have reported the relationship between bone mineral density (BMD) and subsequent fracture risk, most have been limited by short follow-up time, BMD measures at only one or two sites, or availability of data for only select fracture types. Materials and Methods: In the multicenter Study of Osteoporotic Fractures (SOF), we studied the relationship of several different BMD measures to fracture risk of multiple types in 9704 non-black women aged 65 and older. We previously reported on the relationship of peripheral BMD measures to risk of several types of fracture during an average 2.2-year follow-up period. In this expanded analysis, we present results of the relationship of both peripheral and central BMD measures and fractures of multiple types during 10.4 and 8.5 years of follow-up, respectively. We also report population attributable risk (PAR) estimates for osteoporosis and risk of several types of fracture. Results: Our results show that almost all types of fractures have an increased incidence in women with low BMD. However, hip BMD is somewhat more strongly related to most of the fracture types studied than spine or peripheral BMD measures. Nonetheless, the proportion of fractures attributable to osteoporosis (based on a standard definition of osteoporosis) is modest, ranging from Ͻ10% to 44% based on the most commonly used definition of osteoporosis (BMD T-score Ͻ Ϫ2.5). Conclusion: Finding effective prevention strategies for fractures in older women will require additional interventions beside preventions for bone loss, such as prevention of falls and other fracture risk factors.","author":[{"dropping-particle":"","family":"Stone","given":"Katie L","non-dropping-particle":"","parse-names":false,"suffix":""},{"dropping-particle":"","family":"Seeley","given":"Dana G","non-dropping-particle":"","parse-names":false,"suffix":""},{"dropping-particle":"","family":"Lui","given":"Li-Yung","non-dropping-particle":"","parse-names":false,"suffix":""},{"dropping-particle":"","family":"Cauley","given":"Jane A","non-dropping-particle":"","parse-names":false,"suffix":""},{"dropping-particle":"","family":"Ensrud","given":"Kristine","non-dropping-particle":"","parse-names":false,"suffix":""},{"dropping-particle":"","family":"Browner","given":"Warren S","non-dropping-particle":"","parse-names":false,"suffix":""},{"dropping-particle":"","family":"Nevitt","given":"Michael C","non-dropping-particle":"","parse-names":false,"suffix":""},{"dropping-particle":"","family":"Cummings","given":"Steven R","non-dropping-particle":"","parse-names":false,"suffix":""}],"container-title":"J Bone Miner Res","id":"ITEM-1","issue":"11","issued":{"date-parts":[["2003"]]},"page":"1947-1954","title":"BMD at Multiple Sites and Risk of Fracture of Multiple Types: Long-Term Results From the Study of Osteoporotic Fractures","type":"article-journal","volume":"18"},"uris":["http://www.mendeley.com/documents/?uuid=75fe71bf-dcee-44e7-8832-f947faf92d56"]}],"mendeley":{"formattedCitation":"&lt;sup&gt;(10)&lt;/sup&gt;","plainTextFormattedCitation":"(10)","previouslyFormattedCitation":"&lt;sup&gt;(10)&lt;/sup&gt;"},"properties":{"noteIndex":0},"schema":"https://github.com/citation-style-language/schema/raw/master/csl-citation.json"}</w:instrText>
      </w:r>
      <w:r w:rsidR="00822195">
        <w:fldChar w:fldCharType="separate"/>
      </w:r>
      <w:r w:rsidR="00822195" w:rsidRPr="00822195">
        <w:rPr>
          <w:noProof/>
          <w:vertAlign w:val="superscript"/>
        </w:rPr>
        <w:t>(10)</w:t>
      </w:r>
      <w:r w:rsidR="00822195">
        <w:fldChar w:fldCharType="end"/>
      </w:r>
      <w:r w:rsidR="00822195">
        <w:t>) and 61.8% (</w:t>
      </w:r>
      <w:r w:rsidR="003547CC">
        <w:t>versus</w:t>
      </w:r>
      <w:r w:rsidR="00822195">
        <w:t xml:space="preserve"> 48.1% in the SOF study</w:t>
      </w:r>
      <w:r w:rsidR="00822195">
        <w:fldChar w:fldCharType="begin" w:fldLock="1"/>
      </w:r>
      <w:r w:rsidR="00191ED6">
        <w:instrText>ADDIN CSL_CITATION {"citationItems":[{"id":"ITEM-1","itemData":{"DOI":"10.1359/jbmr.2003.18.11.1947","ISBN":"1523-4681","ISSN":"0884-0431","PMID":"14606506","abstract":"In a large cohort of U.S. women aged 65 and older, we report the relationships of BMD measured at several sites, and subsequent fracture risk at multiple sites over &gt;8 years of follow-up. Although we found almost all fracture types to be related to low BMD, the overall proportion of fractures attributable to low BMD is modest. Introduction: Although several studies have reported the relationship between bone mineral density (BMD) and subsequent fracture risk, most have been limited by short follow-up time, BMD measures at only one or two sites, or availability of data for only select fracture types. Materials and Methods: In the multicenter Study of Osteoporotic Fractures (SOF), we studied the relationship of several different BMD measures to fracture risk of multiple types in 9704 non-black women aged 65 and older. We previously reported on the relationship of peripheral BMD measures to risk of several types of fracture during an average 2.2-year follow-up period. In this expanded analysis, we present results of the relationship of both peripheral and central BMD measures and fractures of multiple types during 10.4 and 8.5 years of follow-up, respectively. We also report population attributable risk (PAR) estimates for osteoporosis and risk of several types of fracture. Results: Our results show that almost all types of fractures have an increased incidence in women with low BMD. However, hip BMD is somewhat more strongly related to most of the fracture types studied than spine or peripheral BMD measures. Nonetheless, the proportion of fractures attributable to osteoporosis (based on a standard definition of osteoporosis) is modest, ranging from Ͻ10% to 44% based on the most commonly used definition of osteoporosis (BMD T-score Ͻ Ϫ2.5). Conclusion: Finding effective prevention strategies for fractures in older women will require additional interventions beside preventions for bone loss, such as prevention of falls and other fracture risk factors.","author":[{"dropping-particle":"","family":"Stone","given":"Katie L","non-dropping-particle":"","parse-names":false,"suffix":""},{"dropping-particle":"","family":"Seeley","given":"Dana G","non-dropping-particle":"","parse-names":false,"suffix":""},{"dropping-particle":"","family":"Lui","given":"Li-Yung","non-dropping-particle":"","parse-names":false,"suffix":""},{"dropping-particle":"","family":"Cauley","given":"Jane A","non-dropping-particle":"","parse-names":false,"suffix":""},{"dropping-particle":"","family":"Ensrud","given":"Kristine","non-dropping-particle":"","parse-names":false,"suffix":""},{"dropping-particle":"","family":"Browner","given":"Warren S","non-dropping-particle":"","parse-names":false,"suffix":""},{"dropping-particle":"","family":"Nevitt","given":"Michael C","non-dropping-particle":"","parse-names":false,"suffix":""},{"dropping-particle":"","family":"Cummings","given":"Steven R","non-dropping-particle":"","parse-names":false,"suffix":""}],"container-title":"J Bone Miner Res","id":"ITEM-1","issue":"11","issued":{"date-parts":[["2003"]]},"page":"1947-1954","title":"BMD at Multiple Sites and Risk of Fracture of Multiple Types: Long-Term Results From the Study of Osteoporotic Fractures","type":"article-journal","volume":"18"},"uris":["http://www.mendeley.com/documents/?uuid=75fe71bf-dcee-44e7-8832-f947faf92d56"]}],"mendeley":{"formattedCitation":"&lt;sup&gt;(10)&lt;/sup&gt;","plainTextFormattedCitation":"(10)","previouslyFormattedCitation":"&lt;sup&gt;(10)&lt;/sup&gt;"},"properties":{"noteIndex":0},"schema":"https://github.com/citation-style-language/schema/raw/master/csl-citation.json"}</w:instrText>
      </w:r>
      <w:r w:rsidR="00822195">
        <w:fldChar w:fldCharType="separate"/>
      </w:r>
      <w:r w:rsidR="00822195" w:rsidRPr="00822195">
        <w:rPr>
          <w:noProof/>
          <w:vertAlign w:val="superscript"/>
        </w:rPr>
        <w:t>(10)</w:t>
      </w:r>
      <w:r w:rsidR="00822195">
        <w:fldChar w:fldCharType="end"/>
      </w:r>
      <w:r w:rsidR="00822195">
        <w:t xml:space="preserve">) using the cut-off </w:t>
      </w:r>
      <w:r w:rsidR="00E21070">
        <w:t>T-score</w:t>
      </w:r>
      <w:r w:rsidR="00822195">
        <w:t xml:space="preserve"> of -2.5 and -1.5, respectively. </w:t>
      </w:r>
      <w:r w:rsidR="009D3B1F">
        <w:rPr>
          <w:rStyle w:val="Hyperlink0"/>
        </w:rPr>
        <w:t xml:space="preserve">The elevated PAR in our study may be attributed to the higher prevalence of subjects with a low FN-BMD T-score in </w:t>
      </w:r>
      <w:r w:rsidR="00D1773B">
        <w:rPr>
          <w:rStyle w:val="Hyperlink0"/>
        </w:rPr>
        <w:t>our</w:t>
      </w:r>
      <w:r w:rsidR="009D3B1F">
        <w:rPr>
          <w:rStyle w:val="Hyperlink0"/>
        </w:rPr>
        <w:t xml:space="preserve"> cohorts.</w:t>
      </w:r>
    </w:p>
    <w:p w14:paraId="3DF20571" w14:textId="673BA1FA" w:rsidR="00AF72D4" w:rsidRPr="00781689" w:rsidRDefault="00AF72D4" w:rsidP="006B7F11">
      <w:pPr>
        <w:rPr>
          <w:rFonts w:eastAsia="Times New Roman"/>
        </w:rPr>
      </w:pPr>
      <w:r w:rsidRPr="00781689">
        <w:t xml:space="preserve">Here, </w:t>
      </w:r>
      <w:r w:rsidRPr="00781689">
        <w:rPr>
          <w:rFonts w:eastAsia="Times New Roman"/>
        </w:rPr>
        <w:t>we developed a reference ageing atlas of BMD textural variation in the whole population</w:t>
      </w:r>
      <w:r w:rsidRPr="00781689">
        <w:rPr>
          <w:rFonts w:eastAsia="Times New Roman"/>
          <w:b/>
          <w:bCs/>
        </w:rPr>
        <w:t xml:space="preserve"> </w:t>
      </w:r>
      <w:r w:rsidRPr="00781689">
        <w:rPr>
          <w:rFonts w:eastAsia="Times New Roman"/>
        </w:rPr>
        <w:t xml:space="preserve">and interpreted osteoporosis as a natural process of senescence. </w:t>
      </w:r>
      <w:r w:rsidR="008B7D4C">
        <w:rPr>
          <w:rFonts w:eastAsia="Times New Roman"/>
        </w:rPr>
        <w:t>DBA</w:t>
      </w:r>
      <w:r w:rsidRPr="00781689">
        <w:rPr>
          <w:rFonts w:eastAsia="Times New Roman"/>
        </w:rPr>
        <w:t xml:space="preserve"> was proposed </w:t>
      </w:r>
      <w:r w:rsidRPr="00781689">
        <w:t xml:space="preserve">as a surrogate </w:t>
      </w:r>
      <w:r w:rsidR="00E14347">
        <w:t>for</w:t>
      </w:r>
      <w:r w:rsidRPr="00781689">
        <w:t xml:space="preserve"> bone quality in the proximal femur by mapping individual BMD scans to the median ageing trajectory. Note that an alternative discriminative learning approach could also be adopted by generating two different ag</w:t>
      </w:r>
      <w:r w:rsidR="00731A64">
        <w:t>e</w:t>
      </w:r>
      <w:r w:rsidRPr="00781689">
        <w:t xml:space="preserve">ing trajectories for the fractured cases and the fracture-free controls. </w:t>
      </w:r>
      <w:r w:rsidRPr="00781689">
        <w:rPr>
          <w:rFonts w:eastAsia="Times New Roman"/>
        </w:rPr>
        <w:t>We did not adopt this discriminative approach as only a small proportion of the population (~2%) experienced incident hip fractures. Moreover, whether a control subject would remain fracture-free cannot be guaranteed.</w:t>
      </w:r>
    </w:p>
    <w:p w14:paraId="2DCA0100" w14:textId="4A6F9938" w:rsidR="00AE1A3A" w:rsidRDefault="008B7D4C">
      <w:r>
        <w:t>DBA</w:t>
      </w:r>
      <w:r w:rsidR="00B512C2">
        <w:t xml:space="preserve"> does not </w:t>
      </w:r>
      <w:r w:rsidR="00B512C2" w:rsidRPr="00B512C2">
        <w:rPr>
          <w:i/>
          <w:iCs/>
        </w:rPr>
        <w:t>per se</w:t>
      </w:r>
      <w:r w:rsidR="00B512C2">
        <w:rPr>
          <w:i/>
          <w:iCs/>
        </w:rPr>
        <w:t xml:space="preserve"> </w:t>
      </w:r>
      <w:r w:rsidR="00D1773B">
        <w:t>predict specific</w:t>
      </w:r>
      <w:r w:rsidR="00B512C2">
        <w:t xml:space="preserve"> fracture-specific patterns. However, a</w:t>
      </w:r>
      <w:r w:rsidR="00AE1A3A">
        <w:t xml:space="preserve">nalysing normalised BMD maps </w:t>
      </w:r>
      <w:r w:rsidR="00EC5DAE">
        <w:t>by</w:t>
      </w:r>
      <w:r w:rsidR="00AE1A3A">
        <w:t xml:space="preserve"> their </w:t>
      </w:r>
      <w:r w:rsidR="00301C4A">
        <w:t xml:space="preserve">corresponding </w:t>
      </w:r>
      <w:r>
        <w:t>DBA</w:t>
      </w:r>
      <w:r w:rsidR="00AE1A3A">
        <w:t xml:space="preserve"> </w:t>
      </w:r>
      <w:r w:rsidR="00B512C2">
        <w:t>suggest</w:t>
      </w:r>
      <w:r w:rsidR="00EC5DAE">
        <w:t>s</w:t>
      </w:r>
      <w:r w:rsidR="00B512C2">
        <w:t xml:space="preserve"> the potential for further improving fracture prediction by </w:t>
      </w:r>
      <w:r w:rsidR="005979A4">
        <w:t>incorporating</w:t>
      </w:r>
      <w:r w:rsidR="00B512C2">
        <w:t xml:space="preserve"> the observed </w:t>
      </w:r>
      <w:r w:rsidR="00AA4F06">
        <w:t>spatially complex</w:t>
      </w:r>
      <w:r w:rsidR="00B512C2">
        <w:t xml:space="preserve"> fracture patterns</w:t>
      </w:r>
      <w:r w:rsidR="00A401D4">
        <w:t xml:space="preserve">. For example, in Figure 9 those individuals who went on to have an incident femoral neck fracture had a baseline DBA texture pattern of BMD deficiency that was greatest in the distribution of the principal tensile trabeculae whilst those sustaining an incident trochanteric fracture had a </w:t>
      </w:r>
      <w:r w:rsidR="00CF6985">
        <w:t xml:space="preserve">baseline </w:t>
      </w:r>
      <w:r w:rsidR="00A401D4">
        <w:t xml:space="preserve">DBA texture pattern of BMD deficiency that was evident </w:t>
      </w:r>
      <w:r w:rsidR="00CF6985">
        <w:t xml:space="preserve">more diffusely </w:t>
      </w:r>
      <w:r w:rsidR="00A401D4">
        <w:t>in the trochanteric region</w:t>
      </w:r>
      <w:r w:rsidR="00B512C2">
        <w:t>.</w:t>
      </w:r>
      <w:r w:rsidR="005979A4">
        <w:t xml:space="preserve"> </w:t>
      </w:r>
      <w:r w:rsidR="00AE1A3A">
        <w:t xml:space="preserve">Distinct variation between observed fracture patterns attributed to </w:t>
      </w:r>
      <w:r w:rsidR="00AA4F06">
        <w:lastRenderedPageBreak/>
        <w:t xml:space="preserve">the </w:t>
      </w:r>
      <w:r w:rsidR="00AE1A3A">
        <w:t xml:space="preserve">neck versus trochanteric fractures </w:t>
      </w:r>
      <w:r w:rsidR="00CF6985">
        <w:t>thus</w:t>
      </w:r>
      <w:r w:rsidR="005979A4">
        <w:t xml:space="preserve"> support </w:t>
      </w:r>
      <w:r w:rsidR="005979A4" w:rsidRPr="00BB16C7">
        <w:rPr>
          <w:color w:val="000000"/>
        </w:rPr>
        <w:t>the idea</w:t>
      </w:r>
      <w:r w:rsidR="0026003D" w:rsidRPr="00BB16C7">
        <w:rPr>
          <w:color w:val="000000"/>
        </w:rPr>
        <w:t xml:space="preserve"> </w:t>
      </w:r>
      <w:r w:rsidR="005979A4">
        <w:t>that</w:t>
      </w:r>
      <w:r w:rsidR="008C7BD7">
        <w:t xml:space="preserve"> </w:t>
      </w:r>
      <w:r w:rsidR="007335E1">
        <w:t>identifying</w:t>
      </w:r>
      <w:r w:rsidR="005979A4">
        <w:t xml:space="preserve"> </w:t>
      </w:r>
      <w:r w:rsidR="005979A4" w:rsidRPr="00AE10E0">
        <w:rPr>
          <w:color w:val="000000"/>
        </w:rPr>
        <w:t>relevant</w:t>
      </w:r>
      <w:r w:rsidR="0026003D" w:rsidRPr="00AE10E0">
        <w:rPr>
          <w:color w:val="000000"/>
        </w:rPr>
        <w:t xml:space="preserve"> </w:t>
      </w:r>
      <w:r w:rsidR="005979A4">
        <w:t xml:space="preserve">texture features from BMD maps </w:t>
      </w:r>
      <w:r w:rsidR="00EC5DAE">
        <w:t>might</w:t>
      </w:r>
      <w:r w:rsidR="005979A4">
        <w:t xml:space="preserve"> facilitate fracture risk assessment.</w:t>
      </w:r>
    </w:p>
    <w:p w14:paraId="03613F58" w14:textId="4D0277FF" w:rsidR="007114F0" w:rsidRPr="00C75AAF" w:rsidRDefault="002F26F9">
      <w:r>
        <w:t xml:space="preserve">This study also has limitations. First, the follow-up period for the cohort from the UK Biobank studies was relatively short, at 3 to 6 years. </w:t>
      </w:r>
      <w:r w:rsidR="005979A4">
        <w:fldChar w:fldCharType="begin" w:fldLock="1"/>
      </w:r>
      <w:r w:rsidR="000F3163">
        <w:instrText>ADDIN CSL_CITATION {"citationItems":[{"id":"ITEM-1","itemData":{"DOI":"10.1038/s41467-020-15948-9","ISSN":"20411723","PMID":"32457287","abstract":"UK Biobank is a population-based cohort of half a million participants aged 40–69 years recruited between 2006 and 2010. In 2014, UK Biobank started the world’s largest multi-modal imaging study, with the aim of re-inviting 100,000 participants to undergo brain, cardiac and abdominal magnetic resonance imaging, dual-energy X-ray absorptiometry and carotid ultrasound. The combination of large-scale multi-modal imaging with extensive phenotypic and genetic data offers an unprecedented resource for scientists to conduct health-related research. This article provides an in-depth overview of the imaging enhancement, including the data collected, how it is managed and processed, and future directions.","author":[{"dropping-particle":"","family":"Littlejohns","given":"Thomas J.","non-dropping-particle":"","parse-names":false,"suffix":""},{"dropping-particle":"","family":"Holliday","given":"Jo","non-dropping-particle":"","parse-names":false,"suffix":""},{"dropping-particle":"","family":"Gibson","given":"Lorna M.","non-dropping-particle":"","parse-names":false,"suffix":""},{"dropping-particle":"","family":"Garratt","given":"Steve","non-dropping-particle":"","parse-names":false,"suffix":""},{"dropping-particle":"","family":"Oesingmann","given":"Niels","non-dropping-particle":"","parse-names":false,"suffix":""},{"dropping-particle":"","family":"Alfaro-Almagro","given":"Fidel","non-dropping-particle":"","parse-names":false,"suffix":""},{"dropping-particle":"","family":"Bell","given":"Jimmy D.","non-dropping-particle":"","parse-names":false,"suffix":""},{"dropping-particle":"","family":"Boultwood","given":"Chris","non-dropping-particle":"","parse-names":false,"suffix":""},{"dropping-particle":"","family":"Collins","given":"Rory","non-dropping-particle":"","parse-names":false,"suffix":""},{"dropping-particle":"","family":"Conroy","given":"Megan C.","non-dropping-particle":"","parse-names":false,"suffix":""},{"dropping-particle":"","family":"Crabtree","given":"Nicola","non-dropping-particle":"","parse-names":false,"suffix":""},{"dropping-particle":"","family":"Doherty","given":"Nicola","non-dropping-particle":"","parse-names":false,"suffix":""},{"dropping-particle":"","family":"Frangi","given":"Alejandro F.","non-dropping-particle":"","parse-names":false,"suffix":""},{"dropping-particle":"","family":"Harvey","given":"Nicholas C.","non-dropping-particle":"","parse-names":false,"suffix":""},{"dropping-particle":"","family":"Leeson","given":"Paul","non-dropping-particle":"","parse-names":false,"suffix":""},{"dropping-particle":"","family":"Miller","given":"Karla L.","non-dropping-particle":"","parse-names":false,"suffix":""},{"dropping-particle":"","family":"Neubauer","given":"Stefan","non-dropping-particle":"","parse-names":false,"suffix":""},{"dropping-particle":"","family":"Petersen","given":"Steffen E.","non-dropping-particle":"","parse-names":false,"suffix":""},{"dropping-particle":"","family":"Sellors","given":"Jonathan","non-dropping-particle":"","parse-names":false,"suffix":""},{"dropping-particle":"","family":"Sheard","given":"Simon","non-dropping-particle":"","parse-names":false,"suffix":""},{"dropping-particle":"","family":"Smith","given":"Stephen M.","non-dropping-particle":"","parse-names":false,"suffix":""},{"dropping-particle":"","family":"Sudlow","given":"Cathie L.M.","non-dropping-particle":"","parse-names":false,"suffix":""},{"dropping-particle":"","family":"Matthews","given":"Paul M.","non-dropping-particle":"","parse-names":false,"suffix":""},{"dropping-particle":"","family":"Allen","given":"Naomi E.","non-dropping-particle":"","parse-names":false,"suffix":""}],"container-title":"Nature Communications","id":"ITEM-1","issue":"1","issued":{"date-parts":[["2020"]]},"page":"1-12","publisher":"Springer US","title":"The UK Biobank imaging enhancement of 100,000 participants: rationale, data collection, management and future directions","type":"article-journal","volume":"11"},"uris":["http://www.mendeley.com/documents/?uuid=05927f59-b5f5-4799-9ae2-2905cb0e4051"]}],"mendeley":{"formattedCitation":"&lt;sup&gt;(39)&lt;/sup&gt;","plainTextFormattedCitation":"(39)","previouslyFormattedCitation":"&lt;sup&gt;(39)&lt;/sup&gt;"},"properties":{"noteIndex":0},"schema":"https://github.com/citation-style-language/schema/raw/master/csl-citation.json"}</w:instrText>
      </w:r>
      <w:r w:rsidR="005979A4">
        <w:fldChar w:fldCharType="separate"/>
      </w:r>
      <w:r w:rsidR="00CA39B8" w:rsidRPr="00CA39B8">
        <w:rPr>
          <w:noProof/>
          <w:vertAlign w:val="superscript"/>
        </w:rPr>
        <w:t>(39)</w:t>
      </w:r>
      <w:r w:rsidR="005979A4">
        <w:fldChar w:fldCharType="end"/>
      </w:r>
      <w:r w:rsidR="009C1411">
        <w:t xml:space="preserve"> Since fracture information were extracted from </w:t>
      </w:r>
      <w:r w:rsidR="009F0E6F">
        <w:t>Hospital Episodes Statistics (</w:t>
      </w:r>
      <w:r w:rsidR="009C1411">
        <w:t>HES</w:t>
      </w:r>
      <w:r w:rsidR="009F0E6F">
        <w:t>)</w:t>
      </w:r>
      <w:r w:rsidR="009C1411">
        <w:t xml:space="preserve"> data </w:t>
      </w:r>
      <w:r w:rsidR="003547CC">
        <w:t xml:space="preserve">that was </w:t>
      </w:r>
      <w:r w:rsidR="009C1411">
        <w:t xml:space="preserve">truncated by </w:t>
      </w:r>
      <w:r w:rsidR="00CA0DF1">
        <w:t>May 31</w:t>
      </w:r>
      <w:proofErr w:type="gramStart"/>
      <w:r w:rsidR="009C1411">
        <w:t xml:space="preserve"> 2020</w:t>
      </w:r>
      <w:proofErr w:type="gramEnd"/>
      <w:r w:rsidR="008C7BD7">
        <w:t>,</w:t>
      </w:r>
      <w:r w:rsidR="009C1411">
        <w:t xml:space="preserve"> and variable baseline scan time, </w:t>
      </w:r>
      <w:r w:rsidR="00AA4F06">
        <w:t xml:space="preserve">a </w:t>
      </w:r>
      <w:r w:rsidR="009C1411">
        <w:t xml:space="preserve">variable follow-up period was inevitable to include the maximum number of participants. </w:t>
      </w:r>
      <w:r w:rsidR="00191ED6">
        <w:t>Secondly</w:t>
      </w:r>
      <w:r w:rsidR="00C75AAF" w:rsidRPr="00C75AAF">
        <w:t>, w</w:t>
      </w:r>
      <w:r w:rsidR="0099083E" w:rsidRPr="00C75AAF">
        <w:t xml:space="preserve">hile the atlas development methodology is generic and can be readily applied to other ethnicities, our current findings are only applicable to </w:t>
      </w:r>
      <w:r w:rsidR="000B551D">
        <w:t>w</w:t>
      </w:r>
      <w:r w:rsidR="0099083E" w:rsidRPr="00C75AAF">
        <w:t>hite European women.</w:t>
      </w:r>
    </w:p>
    <w:p w14:paraId="2AE17653" w14:textId="7493F733" w:rsidR="00FD4435" w:rsidRPr="0001438A" w:rsidRDefault="003547CC" w:rsidP="003547CC">
      <w:r>
        <w:t>In conclusion, t</w:t>
      </w:r>
      <w:r w:rsidR="00611055" w:rsidRPr="0001438A">
        <w:t>he results of this study</w:t>
      </w:r>
      <w:r w:rsidR="007A6195" w:rsidRPr="0001438A">
        <w:t xml:space="preserve"> suggest the potential for improving fracture prediction by analysing </w:t>
      </w:r>
      <w:r w:rsidR="00E87BA4" w:rsidRPr="0001438A">
        <w:t>spatial</w:t>
      </w:r>
      <w:r w:rsidR="007A6195" w:rsidRPr="0001438A">
        <w:t xml:space="preserve"> BMD </w:t>
      </w:r>
      <w:r w:rsidR="00463459">
        <w:t xml:space="preserve">texture </w:t>
      </w:r>
      <w:r w:rsidR="00CE6D57" w:rsidRPr="0001438A">
        <w:t>patterns</w:t>
      </w:r>
      <w:r w:rsidR="007A6195" w:rsidRPr="0001438A">
        <w:t>.</w:t>
      </w:r>
      <w:r w:rsidR="002E6639">
        <w:t xml:space="preserve"> </w:t>
      </w:r>
      <w:r w:rsidR="0006130E">
        <w:t>W</w:t>
      </w:r>
      <w:r w:rsidR="002E6639" w:rsidRPr="0001438A">
        <w:t xml:space="preserve">e </w:t>
      </w:r>
      <w:r>
        <w:t>have shown that</w:t>
      </w:r>
      <w:r w:rsidR="002E6639" w:rsidRPr="0001438A">
        <w:t xml:space="preserve"> the proposed bone age concept</w:t>
      </w:r>
      <w:r w:rsidR="0006130E">
        <w:t xml:space="preserve"> </w:t>
      </w:r>
      <w:r w:rsidR="00C067F0">
        <w:t>is consistent to</w:t>
      </w:r>
      <w:r w:rsidR="002E6639" w:rsidRPr="0001438A">
        <w:t xml:space="preserve"> current diagnostic guidelines but provides a more intuitive reflection </w:t>
      </w:r>
      <w:r w:rsidR="00E36615">
        <w:t>than</w:t>
      </w:r>
      <w:r w:rsidR="002E6639" w:rsidRPr="0001438A">
        <w:t xml:space="preserve"> both </w:t>
      </w:r>
      <w:r w:rsidR="00E21070">
        <w:t>T-score</w:t>
      </w:r>
      <w:r w:rsidR="002E6639" w:rsidRPr="0001438A">
        <w:t xml:space="preserve"> and </w:t>
      </w:r>
      <w:r w:rsidR="00E21070">
        <w:t>Z-score</w:t>
      </w:r>
      <w:r w:rsidR="002E6639" w:rsidRPr="0001438A">
        <w:t>. Besides potential clinical value in facilitating patient communication, we show</w:t>
      </w:r>
      <w:r w:rsidR="0006130E">
        <w:t>ed</w:t>
      </w:r>
      <w:r w:rsidR="002E6639" w:rsidRPr="0001438A">
        <w:t xml:space="preserve"> that </w:t>
      </w:r>
      <w:r w:rsidR="008B7D4C">
        <w:t>DBA</w:t>
      </w:r>
      <w:r w:rsidR="002E6639" w:rsidRPr="0001438A">
        <w:t xml:space="preserve"> is more precise than </w:t>
      </w:r>
      <w:r w:rsidR="00625A4A">
        <w:t>FN-</w:t>
      </w:r>
      <w:r w:rsidR="002E6639" w:rsidRPr="0001438A">
        <w:t>BMD in identifying trochanteric fractures and may facilitate early-stage fracture risk screening.</w:t>
      </w:r>
    </w:p>
    <w:p w14:paraId="305747DD" w14:textId="59999BC4" w:rsidR="00BF1CF5" w:rsidRPr="0001438A" w:rsidRDefault="00BF1CF5" w:rsidP="00BF1CF5">
      <w:pPr>
        <w:pStyle w:val="Heading1"/>
      </w:pPr>
      <w:r w:rsidRPr="0001438A">
        <w:t>Acknowledg</w:t>
      </w:r>
      <w:r w:rsidR="009C6A39" w:rsidRPr="0001438A">
        <w:t>ement</w:t>
      </w:r>
    </w:p>
    <w:p w14:paraId="634B05C6" w14:textId="3710EB44" w:rsidR="00BF1CF5" w:rsidRPr="0001438A" w:rsidRDefault="007010D1" w:rsidP="00EC5DAE">
      <w:r w:rsidRPr="0001438A">
        <w:t xml:space="preserve">The work of M. Farzi was supported by </w:t>
      </w:r>
      <w:r w:rsidR="00EC5DAE">
        <w:t>a</w:t>
      </w:r>
      <w:r w:rsidRPr="0001438A">
        <w:t xml:space="preserve"> PhD Fellowship from the Medical Research Council/Arthritis Research U</w:t>
      </w:r>
      <w:r w:rsidR="009C6A39" w:rsidRPr="0001438A">
        <w:t>K</w:t>
      </w:r>
      <w:r w:rsidRPr="0001438A">
        <w:t xml:space="preserve"> Centre for Integrated Research into Musculoskeletal Ageing under Grant MR/P020941/1. </w:t>
      </w:r>
      <w:r w:rsidR="007C1479">
        <w:t xml:space="preserve">The work of AF Frangi </w:t>
      </w:r>
      <w:r w:rsidR="007C1479" w:rsidRPr="007C1479">
        <w:t xml:space="preserve">is </w:t>
      </w:r>
      <w:r w:rsidR="007C1479">
        <w:t xml:space="preserve">partially </w:t>
      </w:r>
      <w:r w:rsidR="007C1479" w:rsidRPr="007C1479">
        <w:t>funded by the Royal Academy of Engineering (CiET1819\19).</w:t>
      </w:r>
      <w:r w:rsidR="007C1479">
        <w:t xml:space="preserve"> </w:t>
      </w:r>
      <w:r w:rsidRPr="0001438A">
        <w:t>This work was undertaken using data from the MRC-Hip study (MRC/G9518113) and OPUS study (sponsored by Eli Lilly, Sanofi-Aventis, Procter &amp; Gamble Pharmaceuticals, Hoffman-La Roche, Pfizer, and Novartis). The authors thank the OPUS Steering Committee for permission to use its DXA scans.</w:t>
      </w:r>
    </w:p>
    <w:p w14:paraId="5A9C4898" w14:textId="02C827D4" w:rsidR="00E07061" w:rsidRPr="0001438A" w:rsidRDefault="00E07061">
      <w:pPr>
        <w:spacing w:line="240" w:lineRule="auto"/>
        <w:ind w:firstLine="0"/>
        <w:jc w:val="left"/>
      </w:pPr>
      <w:r w:rsidRPr="0001438A">
        <w:br w:type="page"/>
      </w:r>
    </w:p>
    <w:p w14:paraId="26903BD5" w14:textId="3BD561F2" w:rsidR="00AE7EFA" w:rsidRPr="0001438A" w:rsidRDefault="00BF1CF5" w:rsidP="00001405">
      <w:pPr>
        <w:pStyle w:val="Heading1"/>
      </w:pPr>
      <w:r w:rsidRPr="0001438A">
        <w:lastRenderedPageBreak/>
        <w:t>References</w:t>
      </w:r>
    </w:p>
    <w:p w14:paraId="2D61D506" w14:textId="039D5F06" w:rsidR="000F3163" w:rsidRPr="000F3163" w:rsidRDefault="00001405" w:rsidP="000F3163">
      <w:pPr>
        <w:widowControl w:val="0"/>
        <w:autoSpaceDE w:val="0"/>
        <w:autoSpaceDN w:val="0"/>
        <w:adjustRightInd w:val="0"/>
        <w:spacing w:after="120" w:line="240" w:lineRule="auto"/>
        <w:ind w:left="640" w:hanging="640"/>
        <w:rPr>
          <w:noProof/>
        </w:rPr>
      </w:pPr>
      <w:r w:rsidRPr="0001438A">
        <w:fldChar w:fldCharType="begin" w:fldLock="1"/>
      </w:r>
      <w:r w:rsidRPr="0001438A">
        <w:instrText xml:space="preserve">ADDIN Mendeley Bibliography CSL_BIBLIOGRAPHY </w:instrText>
      </w:r>
      <w:r w:rsidRPr="0001438A">
        <w:fldChar w:fldCharType="separate"/>
      </w:r>
      <w:r w:rsidR="000F3163" w:rsidRPr="000F3163">
        <w:rPr>
          <w:noProof/>
        </w:rPr>
        <w:t xml:space="preserve">1. </w:t>
      </w:r>
      <w:r w:rsidR="000F3163" w:rsidRPr="000F3163">
        <w:rPr>
          <w:noProof/>
        </w:rPr>
        <w:tab/>
        <w:t xml:space="preserve">Kanis JA, Melton III LJ, Christiansen C, Johnston CC, Khaltaev N. The diagnosis of osteoporosis. J. Bone Miner. Res. 1994;9(8):1137–41. </w:t>
      </w:r>
    </w:p>
    <w:p w14:paraId="1D361449"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2. </w:t>
      </w:r>
      <w:r w:rsidRPr="000F3163">
        <w:rPr>
          <w:noProof/>
        </w:rPr>
        <w:tab/>
        <w:t xml:space="preserve">Kanis J a., McCloskey E V., Johansson H, Oden A, Melton LJ, Khaltaev N. A reference standard for the description of osteoporosis. Bone. 2008;42(3):467–75. </w:t>
      </w:r>
    </w:p>
    <w:p w14:paraId="3EB4E479"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3. </w:t>
      </w:r>
      <w:r w:rsidRPr="000F3163">
        <w:rPr>
          <w:noProof/>
        </w:rPr>
        <w:tab/>
        <w:t xml:space="preserve">Marshall D, Johnell O, Wedel H. Meta-analysis of how well measures of bone mineral density predict occurrence of osteoporotic fractures. BMJ. 1996;312(7041):1254–9. </w:t>
      </w:r>
    </w:p>
    <w:p w14:paraId="3CADD963"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4. </w:t>
      </w:r>
      <w:r w:rsidRPr="000F3163">
        <w:rPr>
          <w:noProof/>
        </w:rPr>
        <w:tab/>
        <w:t xml:space="preserve">Kanis JA. Diagnosis of osteoporosis and assessment of fracture risk. Lancet. 2002;359(9321):1929–36. </w:t>
      </w:r>
    </w:p>
    <w:p w14:paraId="7479863A"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5. </w:t>
      </w:r>
      <w:r w:rsidRPr="000F3163">
        <w:rPr>
          <w:noProof/>
        </w:rPr>
        <w:tab/>
        <w:t>Cosman F, de Beur SJ, LeBoff MS, Lewiecki EM, Tanner B, Randall S, Lindsay R. Clinician’s Guide to Prevention and Treatment of Osteoporosis. Osteoporos. Int. [Internet]. 2014;25(10):2359–81. Available from: https://doi.org/10.1007/s00198-014-2794-2</w:t>
      </w:r>
    </w:p>
    <w:p w14:paraId="751F420C"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6. </w:t>
      </w:r>
      <w:r w:rsidRPr="000F3163">
        <w:rPr>
          <w:noProof/>
        </w:rPr>
        <w:tab/>
        <w:t xml:space="preserve">Hip fracture: management (NICE Guideline CG124). London: National Institute for Health and Care Excellence (UK); 2017. </w:t>
      </w:r>
    </w:p>
    <w:p w14:paraId="4B35C49D"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7. </w:t>
      </w:r>
      <w:r w:rsidRPr="000F3163">
        <w:rPr>
          <w:noProof/>
        </w:rPr>
        <w:tab/>
        <w:t xml:space="preserve">Compston J, Cooper A, Cooper C, Gittoes N, Gregson C, Harvey N, Hope S, Kanis JA, McCloskey E V., Poole KES, Reid DM, Selby P, Thompson F, Thurston A, Vine N, The National Osteoporosis Guidline Group (NOGG). UK clinical guideline for the prevention and treatment of osteoporosis. Arch. Osteoporos. Springer; 2017;12(1):43. </w:t>
      </w:r>
    </w:p>
    <w:p w14:paraId="68C4976B"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8. </w:t>
      </w:r>
      <w:r w:rsidRPr="000F3163">
        <w:rPr>
          <w:noProof/>
        </w:rPr>
        <w:tab/>
        <w:t xml:space="preserve">2019 surveillance of osteoporosis: assessing the risk of fragility fracture (NICE guideline CG146). London: National Institute for Health and Care Excellence (UK); 2019. </w:t>
      </w:r>
    </w:p>
    <w:p w14:paraId="58F1E2A6"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9. </w:t>
      </w:r>
      <w:r w:rsidRPr="000F3163">
        <w:rPr>
          <w:noProof/>
        </w:rPr>
        <w:tab/>
        <w:t xml:space="preserve">Melton III LJ, Atkinson EJ, O’Fallon WM, Wahner HW, Riggs BL. Long-term fracture prediction by bone mineral assessed at different skeletal sites. J. Bone Miner. Res. 1993;8(10):1227–33. </w:t>
      </w:r>
    </w:p>
    <w:p w14:paraId="5290E108"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10. </w:t>
      </w:r>
      <w:r w:rsidRPr="000F3163">
        <w:rPr>
          <w:noProof/>
        </w:rPr>
        <w:tab/>
        <w:t xml:space="preserve">Stone KL, Seeley DG, Lui L-Y, Cauley JA, Ensrud K, Browner WS, Nevitt MC, Cummings SR. BMD at Multiple Sites and Risk of Fracture of Multiple Types: Long-Term Results From the Study of Osteoporotic Fractures. J Bone Min. Res. 2003;18(11):1947–54. </w:t>
      </w:r>
    </w:p>
    <w:p w14:paraId="1B15CADF"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11. </w:t>
      </w:r>
      <w:r w:rsidRPr="000F3163">
        <w:rPr>
          <w:noProof/>
        </w:rPr>
        <w:tab/>
        <w:t xml:space="preserve">Mai HT, Tran TS, Ho-Le TP, Center JR, Eisman JA, Nguyen T V. Two-Thirds of All Fractures Are Not Attributable to Osteoporosis and Advancing Age: Implications for Fracture Prevention. J. Clin. Endocrinol. Metab. 2019;104(8):3514–20. </w:t>
      </w:r>
    </w:p>
    <w:p w14:paraId="2E14941F"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12. </w:t>
      </w:r>
      <w:r w:rsidRPr="000F3163">
        <w:rPr>
          <w:noProof/>
        </w:rPr>
        <w:tab/>
        <w:t xml:space="preserve">Greenspan SL, Myers ER, Maitland LA, Kido TH, Krasnow MB, Hayes WC. Trochanteric bone mineral density is associated with type of hip fracture in the elderly. J. Bone Miner. Res. 1994;9(12):1889–94. </w:t>
      </w:r>
    </w:p>
    <w:p w14:paraId="66832B32"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13. </w:t>
      </w:r>
      <w:r w:rsidRPr="000F3163">
        <w:rPr>
          <w:noProof/>
        </w:rPr>
        <w:tab/>
        <w:t>Greenspan S, Maitland L. Femoral bone loss progresses with age: a longitudinal study in women over age 65. J. Bone  … [Internet]. 1994 [cited 2015 Apr 19]; Available from: http://onlinelibrary.wiley.com/doi/10.1002/jbmr.5650091216/abstract</w:t>
      </w:r>
    </w:p>
    <w:p w14:paraId="511D175F"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14. </w:t>
      </w:r>
      <w:r w:rsidRPr="000F3163">
        <w:rPr>
          <w:noProof/>
        </w:rPr>
        <w:tab/>
        <w:t xml:space="preserve">Kaptoge S, Beck TJ, Reeve J, Stone KL, Hillier TA, Cauley JA, Cummings SR. Prediction of Incident Hip Fracture Risk by Femur Geometry Variables Measured by Hip Structural Analysis in the Study of Osteoporotic Fractures. J. Bone Miner. Res. 2008;23(12):1892–904. </w:t>
      </w:r>
    </w:p>
    <w:p w14:paraId="64167B2A"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lastRenderedPageBreak/>
        <w:t xml:space="preserve">15. </w:t>
      </w:r>
      <w:r w:rsidRPr="000F3163">
        <w:rPr>
          <w:noProof/>
        </w:rPr>
        <w:tab/>
        <w:t xml:space="preserve">Silva BC, Leslie WD, Resch H, Lamy O, Lesnyak O, Binkley N, McCloskey E V., Kanis JA, Bilezikian JP. Trabecular bone score: A noninvasive analytical method based upon the DXA image. J. Bone Miner. Res. 2014;29(3):518–30. </w:t>
      </w:r>
    </w:p>
    <w:p w14:paraId="4D7FEA6D"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16. </w:t>
      </w:r>
      <w:r w:rsidRPr="000F3163">
        <w:rPr>
          <w:noProof/>
        </w:rPr>
        <w:tab/>
        <w:t xml:space="preserve">Pothuaud L, Carceller P, Hans D. Correlations between grey-level variations in 2D projection images (TBS) and 3D microarchitecture: Applications in the study of human trabecular bone microarchitecture. Bone. 2008;42(4):775–87. </w:t>
      </w:r>
    </w:p>
    <w:p w14:paraId="3F512E37"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17. </w:t>
      </w:r>
      <w:r w:rsidRPr="000F3163">
        <w:rPr>
          <w:noProof/>
        </w:rPr>
        <w:tab/>
        <w:t xml:space="preserve">Harvey NC, Glüer CC, Binkley N, McCloskey EV, Brandi M-L, Cooper C, Kendler D, Lamy O, Laslop A, Camargos BM, Reginster J-Y, Rizzoli R, Kanis JA. Trabecular bone score (TBS) as a new complementary approach for osteoporosis evaluation in clinical practice. Bone. 2015;78:216–24. </w:t>
      </w:r>
    </w:p>
    <w:p w14:paraId="2866CCEC"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18. </w:t>
      </w:r>
      <w:r w:rsidRPr="000F3163">
        <w:rPr>
          <w:noProof/>
        </w:rPr>
        <w:tab/>
        <w:t xml:space="preserve">Beck TJ, Ruff CB, Warden KE, Scott WW, Rao GU. Predicting femoral neck strength from bone mineral data: a structural approach. Invest. Radiol. 1990;25(1):6–18. </w:t>
      </w:r>
    </w:p>
    <w:p w14:paraId="0AD04484"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19. </w:t>
      </w:r>
      <w:r w:rsidRPr="000F3163">
        <w:rPr>
          <w:noProof/>
        </w:rPr>
        <w:tab/>
        <w:t xml:space="preserve">Rivadeneira F, Zillikens MC, De Laet CEDH, Hofman A, Uitterlinden AG, Beck TJ, Pols HAP. Femoral Neck BMD Is a Strong Predictor of Hip Fracture Susceptibility in Elderly Men and Women Because It Detects Cortical Bone Instability: The Rotterdam Study. J. Bone Miner. Res. 2007;22(11):1781–90. </w:t>
      </w:r>
    </w:p>
    <w:p w14:paraId="72E13A11"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20. </w:t>
      </w:r>
      <w:r w:rsidRPr="000F3163">
        <w:rPr>
          <w:noProof/>
        </w:rPr>
        <w:tab/>
        <w:t xml:space="preserve">Johnson JT, Cherian KE, Kapoor N, Jebasingh FK, Asha HS, Mathai T, Nithyananth M, Oommen AT, Daniel AJ, Thomas N, Paul TV. Does hip structural analysis confer additional benefit to routine BMD assessment in postmenopausal women with hip fracture? A study from a tertiary center in southern India. Arch. Osteoporos. 2022;17(1):1–7. </w:t>
      </w:r>
    </w:p>
    <w:p w14:paraId="457D8E45"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21. </w:t>
      </w:r>
      <w:r w:rsidRPr="000F3163">
        <w:rPr>
          <w:noProof/>
        </w:rPr>
        <w:tab/>
        <w:t xml:space="preserve">Khoo BCC, Lewis JR, Brown K, Prince RL. Evaluation of a simplified hip structure analysis method for the prediction of incident hip fracture events. Osteoporos. Int. 2016;27(1):241–8. </w:t>
      </w:r>
    </w:p>
    <w:p w14:paraId="7CC7BCB6"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22. </w:t>
      </w:r>
      <w:r w:rsidRPr="000F3163">
        <w:rPr>
          <w:noProof/>
        </w:rPr>
        <w:tab/>
        <w:t xml:space="preserve">Yang L, Peel N, Clowes JA, McCloskey E V, Eastell R. Use of DXA-Based Structural Engineering Models of the Proximal Femur to Discriminate Hip Fracture. J. Bone Miner. Res. 2009;24(1):33–42. </w:t>
      </w:r>
    </w:p>
    <w:p w14:paraId="159F958B"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23. </w:t>
      </w:r>
      <w:r w:rsidRPr="000F3163">
        <w:rPr>
          <w:noProof/>
        </w:rPr>
        <w:tab/>
        <w:t xml:space="preserve">Hong N, Park H, Kim CO, Kim HC, Choi J-Y, Kim H, Rhee Y. Bone Radiomics Score Derived From DXA Hip Images Enhances Hip Fracture Prediction in Older Women. J. Bone Miner. Res. 2021;0(0):1–9. </w:t>
      </w:r>
    </w:p>
    <w:p w14:paraId="2638C00D"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24. </w:t>
      </w:r>
      <w:r w:rsidRPr="000F3163">
        <w:rPr>
          <w:noProof/>
        </w:rPr>
        <w:tab/>
        <w:t xml:space="preserve">Jazinizadeh F, Adachi JD, Quenneville CE. Advanced 2D image processing technique to predict hip fracture risk in an older population based on single DXA scans. Osteoporos. Int. Osteoporosis International; 2020;31(10):1925–33. </w:t>
      </w:r>
    </w:p>
    <w:p w14:paraId="6A2C824B"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25. </w:t>
      </w:r>
      <w:r w:rsidRPr="000F3163">
        <w:rPr>
          <w:noProof/>
        </w:rPr>
        <w:tab/>
        <w:t xml:space="preserve">Boehm HF, Vogel T, Panteleon A, Burklein D, Bitterling H, Reiser M. Differentiation between post-menopausal women with and without hip fractures: Enhanced evaluation of clinical DXA by topological analysis of the mineral distribution in the scan images. Osteoporos. Int. 2007;18(6):779–87. </w:t>
      </w:r>
    </w:p>
    <w:p w14:paraId="488F73B4"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26. </w:t>
      </w:r>
      <w:r w:rsidRPr="000F3163">
        <w:rPr>
          <w:noProof/>
        </w:rPr>
        <w:tab/>
        <w:t xml:space="preserve">Morris RM, Yang L, Martín-Fernández MA, Pozo JM, Frangi AF, Wilkinson JM, Tower P. High-Spatial-Resolution Bone Densitometry with Dual-Energy X-ray Absorptiometric Region-free Analysis. Radiology. Radiological Society of North America; 2015;274(2):532–9. </w:t>
      </w:r>
    </w:p>
    <w:p w14:paraId="42568EEA"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27. </w:t>
      </w:r>
      <w:r w:rsidRPr="000F3163">
        <w:rPr>
          <w:noProof/>
        </w:rPr>
        <w:tab/>
        <w:t xml:space="preserve">Farzi M, Morris RM, Penny J, Yang L, Pozo JM, Overgaard S, Frangi AF, Wilkinson JM. Quantitating the effect of prosthesis design on femoral remodeling using high-resolution region-free densitometric analysis (DXA-RFA). J. Orthop. Res. 2017;35(10):2203–10. </w:t>
      </w:r>
    </w:p>
    <w:p w14:paraId="0DB58EA3"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lastRenderedPageBreak/>
        <w:t xml:space="preserve">28. </w:t>
      </w:r>
      <w:r w:rsidRPr="000F3163">
        <w:rPr>
          <w:noProof/>
        </w:rPr>
        <w:tab/>
        <w:t xml:space="preserve">Parker AM, Yang L, Farzi M, Pozo JM, Frangi AF, Wilkinson JM. Quantifying Pelvic Periprosthetic Bone Remodeling Using Dual-Energy X-Ray Absorptiometry Region-Free Analysis. J. Clin. Densitom. 2017;20(4):480–5. </w:t>
      </w:r>
    </w:p>
    <w:p w14:paraId="092DBEB6"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29. </w:t>
      </w:r>
      <w:r w:rsidRPr="000F3163">
        <w:rPr>
          <w:noProof/>
        </w:rPr>
        <w:tab/>
        <w:t xml:space="preserve">Slullitel PA, Mahatma MM, Farzi M, Grammatopoulos G, Wilkinson JM, Beaulé PE. Influence of Femoral Component Design on Proximal Femoral Bone Mass After Total Hip Replacement: A Randomized Controlled Trial. JBJS. 2021;103(1). </w:t>
      </w:r>
    </w:p>
    <w:p w14:paraId="3AFA0823"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30. </w:t>
      </w:r>
      <w:r w:rsidRPr="000F3163">
        <w:rPr>
          <w:noProof/>
        </w:rPr>
        <w:tab/>
        <w:t xml:space="preserve">Farzi M, Pozo JM, McCloskey E, Easte R, Harvey N, Wilkinson JM, Frangi AF. A Spatio-Temporal Ageing Atlas of the Proximal Femur. IEEE Trans. Med. Imaging. 2020;39(5):1359–68. </w:t>
      </w:r>
    </w:p>
    <w:p w14:paraId="2516ED26"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31. </w:t>
      </w:r>
      <w:r w:rsidRPr="000F3163">
        <w:rPr>
          <w:noProof/>
        </w:rPr>
        <w:tab/>
        <w:t xml:space="preserve">Glüer CC, Eastell R, Reid DM, Felsenberg D, Roux C, Barkmann R, Timm W, Blenk T, Armbrecht G, Stewart A, Clowes J, Thomasius FE, Kolta S. Association of five quantitative ultrasound devices and bone densitometry with osteoporotic vertebral fractures in a population-based sample: the OPUS Study. J. Bone Miner. Res. 2004;19(5):782–93. </w:t>
      </w:r>
    </w:p>
    <w:p w14:paraId="7B949AC0"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32. </w:t>
      </w:r>
      <w:r w:rsidRPr="000F3163">
        <w:rPr>
          <w:noProof/>
        </w:rPr>
        <w:tab/>
        <w:t xml:space="preserve">McCloskey E V, Beneton M, Charlesworth D, Kayan K, DeTakats D, Dey A, Orgee J, Ashford R, Forster M, Cliffe J, Kersh L, Brazier J, Nichol J, Aropuu S, Jalava T, Kanis J a. Clodronate reduces the incidence of fractures in community-dwelling elderly women unselected for osteoporosis: results of a double-blind, placebo-controlled randomized study. J. Bone Miner. Res. United States; 2007 Jan;22(1):135–41. </w:t>
      </w:r>
    </w:p>
    <w:p w14:paraId="0F01B0B0"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33. </w:t>
      </w:r>
      <w:r w:rsidRPr="000F3163">
        <w:rPr>
          <w:noProof/>
        </w:rPr>
        <w:tab/>
        <w:t xml:space="preserve">Lindner C, Thiagarajah S, Wilkinson JM, Wallis GA, Cootes TF. Fully automatic segmentation of the proximal femur using random forest regression voting. IEEE Trans. Med. Imaging. United States; 2013 Aug;32(8):1462–72. </w:t>
      </w:r>
    </w:p>
    <w:p w14:paraId="4EE40A02"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34. </w:t>
      </w:r>
      <w:r w:rsidRPr="000F3163">
        <w:rPr>
          <w:noProof/>
        </w:rPr>
        <w:tab/>
        <w:t xml:space="preserve">Bookstein FL. Principal Warps: Thin-Plate Splines and the Decomposition of Deformations. IEEE Trans. Pattern Anal. Mach. Intell. 1989;11(6). </w:t>
      </w:r>
    </w:p>
    <w:p w14:paraId="1D60BFCD"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35. </w:t>
      </w:r>
      <w:r w:rsidRPr="000F3163">
        <w:rPr>
          <w:noProof/>
        </w:rPr>
        <w:tab/>
        <w:t xml:space="preserve">Yee TW. Quantile regression via vector generalized additive models. Stat. Med. 2004;23(14):2295–315. </w:t>
      </w:r>
    </w:p>
    <w:p w14:paraId="23AAE37B"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36. </w:t>
      </w:r>
      <w:r w:rsidRPr="000F3163">
        <w:rPr>
          <w:noProof/>
        </w:rPr>
        <w:tab/>
        <w:t xml:space="preserve">Lodder MC, Lems WF, Ader HJ, Marthinsen AE, Van Coeverden SCCM, Lips P, Netelenbos JC, Dijkmans BAC, Roos JC. Reproducibility of bone mineral density measurement in daily practice. Ann. Rheum. Dis. 2004;63(3):285–9. </w:t>
      </w:r>
    </w:p>
    <w:p w14:paraId="6DE5AE83"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37. </w:t>
      </w:r>
      <w:r w:rsidRPr="000F3163">
        <w:rPr>
          <w:noProof/>
        </w:rPr>
        <w:tab/>
        <w:t xml:space="preserve">Saito T, Rehmsmeier M. The precision-recall plot is more informative than the ROC plot when evaluating binary classifiers on imbalanced datasets. PLoS One. 2015;10(3):1–21. </w:t>
      </w:r>
    </w:p>
    <w:p w14:paraId="1F64C6B6"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38. </w:t>
      </w:r>
      <w:r w:rsidRPr="000F3163">
        <w:rPr>
          <w:noProof/>
        </w:rPr>
        <w:tab/>
        <w:t xml:space="preserve">Singh M, Nagrath A, Maini P. Changes in trabecular pattern of the upper end of the femur as an index of osteoporosis. J. Bone Jt. Surg. 1970;52(3):457–67. </w:t>
      </w:r>
    </w:p>
    <w:p w14:paraId="7827F5FA"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39. </w:t>
      </w:r>
      <w:r w:rsidRPr="000F3163">
        <w:rPr>
          <w:noProof/>
        </w:rPr>
        <w:tab/>
        <w:t>Littlejohns TJ, Holliday J, Gibson LM, Garratt S, Oesingmann N, Alfaro-Almagro F, Bell JD, Boultwood C, Collins R, Conroy MC, Crabtree N, Doherty N, Frangi AF, Harvey NC, Leeson P, Miller KL, Neubauer S, Petersen SE, Sellors J, Sheard S, Smith SM, Sudlow CLM, Matthews PM, Allen NE. The UK Biobank imaging enhancement of 100,000 participants: rationale, data collection, management and future directions. Nat. Commun. [Internet]. Springer US; 2020;11(1):1–12. Available from: http://dx.doi.org/10.1038/s41467-020-15948-9</w:t>
      </w:r>
    </w:p>
    <w:p w14:paraId="30146B10"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40. </w:t>
      </w:r>
      <w:r w:rsidRPr="000F3163">
        <w:rPr>
          <w:noProof/>
        </w:rPr>
        <w:tab/>
        <w:t xml:space="preserve">Groenewegen KA, Den Ruijter HM, Pasterkamp G, Polak JF, Bots ML, Peters SAE. Vascular age to determine cardiovascular disease risk: A systematic review of its concepts, definitions, and clinical applications. Eur. J. Prev. Cardiol. 2016;23(3):264–74. </w:t>
      </w:r>
    </w:p>
    <w:p w14:paraId="1A5C0661"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lastRenderedPageBreak/>
        <w:t xml:space="preserve">41. </w:t>
      </w:r>
      <w:r w:rsidRPr="000F3163">
        <w:rPr>
          <w:noProof/>
        </w:rPr>
        <w:tab/>
        <w:t xml:space="preserve">Wang J, Knol MJ, Tiulpin A, Dubost F, De Bruijne M, Vernooij MW, Adams HHH, Ikram MA, Niessen WJ, Roshchupkin G V. Gray matter age prediction as a biomarker for risk of dementia. Proc. Natl. Acad. Sci. U. S. A. 2019;116(42):21213–8. </w:t>
      </w:r>
    </w:p>
    <w:p w14:paraId="576D683E"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42. </w:t>
      </w:r>
      <w:r w:rsidRPr="000F3163">
        <w:rPr>
          <w:noProof/>
        </w:rPr>
        <w:tab/>
        <w:t xml:space="preserve">Cole  a J, Webb L, Cole TJ. Bone age estimation: a comparison of methods. Br. J. Radiol. 1988;61(728):683–6. </w:t>
      </w:r>
    </w:p>
    <w:p w14:paraId="1B44E46C" w14:textId="77777777" w:rsidR="000F3163" w:rsidRPr="000F3163" w:rsidRDefault="000F3163" w:rsidP="000F3163">
      <w:pPr>
        <w:widowControl w:val="0"/>
        <w:autoSpaceDE w:val="0"/>
        <w:autoSpaceDN w:val="0"/>
        <w:adjustRightInd w:val="0"/>
        <w:spacing w:after="120" w:line="240" w:lineRule="auto"/>
        <w:ind w:left="640" w:hanging="640"/>
        <w:rPr>
          <w:noProof/>
        </w:rPr>
      </w:pPr>
      <w:r w:rsidRPr="000F3163">
        <w:rPr>
          <w:noProof/>
        </w:rPr>
        <w:t xml:space="preserve">43. </w:t>
      </w:r>
      <w:r w:rsidRPr="000F3163">
        <w:rPr>
          <w:noProof/>
        </w:rPr>
        <w:tab/>
        <w:t xml:space="preserve">Pietka E, Gertych A, Pospiech S, Cao F, Huang HK, Gilsanz V. Computer-assisted bone age assessment: Image preprocessing and epiphyseal/metaphyseal ROI extraction. IEEE Trans. Med. Imaging. 2001;20(8):715–29. </w:t>
      </w:r>
    </w:p>
    <w:p w14:paraId="041B6672" w14:textId="3CFBCB2B" w:rsidR="00865C5D" w:rsidRDefault="00001405" w:rsidP="000F3163">
      <w:pPr>
        <w:widowControl w:val="0"/>
        <w:autoSpaceDE w:val="0"/>
        <w:autoSpaceDN w:val="0"/>
        <w:adjustRightInd w:val="0"/>
        <w:spacing w:after="120" w:line="240" w:lineRule="auto"/>
        <w:ind w:left="640" w:hanging="640"/>
      </w:pPr>
      <w:r w:rsidRPr="0001438A">
        <w:fldChar w:fldCharType="end"/>
      </w:r>
    </w:p>
    <w:p w14:paraId="48D97BEC" w14:textId="5D43AE59" w:rsidR="00865C5D" w:rsidRDefault="00865C5D">
      <w:pPr>
        <w:spacing w:line="240" w:lineRule="auto"/>
        <w:ind w:firstLine="0"/>
        <w:jc w:val="left"/>
      </w:pPr>
      <w:r>
        <w:br w:type="page"/>
      </w:r>
    </w:p>
    <w:p w14:paraId="5A332E70" w14:textId="50BB73F9" w:rsidR="00001405" w:rsidRDefault="00865C5D" w:rsidP="00865C5D">
      <w:pPr>
        <w:pStyle w:val="Heading1"/>
      </w:pPr>
      <w:r w:rsidRPr="00865C5D">
        <w:lastRenderedPageBreak/>
        <w:t>F</w:t>
      </w:r>
      <w:r>
        <w:t>igure</w:t>
      </w:r>
      <w:r w:rsidRPr="00865C5D">
        <w:t xml:space="preserve"> L</w:t>
      </w:r>
      <w:r>
        <w:t>egends</w:t>
      </w:r>
    </w:p>
    <w:p w14:paraId="3956137A" w14:textId="5B2EB779" w:rsidR="00F50748" w:rsidRDefault="00F50748" w:rsidP="00F50748">
      <w:pPr>
        <w:pStyle w:val="Caption"/>
        <w:spacing w:after="0"/>
        <w:jc w:val="center"/>
        <w:rPr>
          <w:b/>
          <w:bCs/>
          <w:sz w:val="24"/>
          <w:szCs w:val="24"/>
        </w:rPr>
      </w:pPr>
      <w:r>
        <w:rPr>
          <w:b/>
          <w:bCs/>
          <w:noProof/>
          <w:sz w:val="24"/>
          <w:szCs w:val="24"/>
        </w:rPr>
        <w:drawing>
          <wp:inline distT="0" distB="0" distL="0" distR="0" wp14:anchorId="2A418961" wp14:editId="00D66859">
            <wp:extent cx="5727700" cy="1392555"/>
            <wp:effectExtent l="0" t="0" r="0" b="4445"/>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1392555"/>
                    </a:xfrm>
                    <a:prstGeom prst="rect">
                      <a:avLst/>
                    </a:prstGeom>
                  </pic:spPr>
                </pic:pic>
              </a:graphicData>
            </a:graphic>
          </wp:inline>
        </w:drawing>
      </w:r>
    </w:p>
    <w:p w14:paraId="4BE99933" w14:textId="20261096" w:rsidR="00B71D32" w:rsidRDefault="00B71D32" w:rsidP="00B71D32">
      <w:pPr>
        <w:pStyle w:val="Caption"/>
        <w:spacing w:after="240"/>
        <w:rPr>
          <w:sz w:val="24"/>
          <w:szCs w:val="24"/>
        </w:rPr>
      </w:pPr>
      <w:r w:rsidRPr="00B71D32">
        <w:rPr>
          <w:b/>
          <w:bCs/>
          <w:sz w:val="24"/>
          <w:szCs w:val="24"/>
        </w:rPr>
        <w:t>Figure 1.</w:t>
      </w:r>
      <w:r w:rsidRPr="00B71D32">
        <w:rPr>
          <w:sz w:val="24"/>
          <w:szCs w:val="24"/>
        </w:rPr>
        <w:t xml:space="preserve"> Median spatial BMD maps for a population of white European women (n=13,338).</w:t>
      </w:r>
      <w:r w:rsidRPr="00B71D32">
        <w:rPr>
          <w:sz w:val="24"/>
          <w:szCs w:val="24"/>
        </w:rPr>
        <w:fldChar w:fldCharType="begin" w:fldLock="1"/>
      </w:r>
      <w:r w:rsidR="00EB5921">
        <w:rPr>
          <w:sz w:val="24"/>
          <w:szCs w:val="24"/>
        </w:rPr>
        <w:instrText>ADDIN CSL_CITATION {"citationItems":[{"id":"ITEM-1","itemData":{"author":[{"dropping-particle":"","family":"Farzi","given":"M.","non-dropping-particle":"","parse-names":false,"suffix":""},{"dropping-particle":"","family":"Pozo","given":"J. M.","non-dropping-particle":"","parse-names":false,"suffix":""},{"dropping-particle":"","family":"McCloskey","given":"E.","non-dropping-particle":"","parse-names":false,"suffix":""},{"dropping-particle":"","family":"Easte","given":"R.","non-dropping-particle":"","parse-names":false,"suffix":""},{"dropping-particle":"","family":"Harvey","given":"N.","non-dropping-particle":"","parse-names":false,"suffix":""},{"dropping-particle":"","family":"Wilkinson","given":"J. M.","non-dropping-particle":"","parse-names":false,"suffix":""},{"dropping-particle":"","family":"Frangi","given":"A. F.","non-dropping-particle":"","parse-names":false,"suffix":""}],"container-title":"IEEE Transactions on Medical Imaging","id":"ITEM-1","issue":"5","issued":{"date-parts":[["2020"]]},"page":"1359-1368","title":"A Spatio-Temporal Ageing Atlas of the Proximal Femur","type":"article-journal","volume":"39"},"uris":["http://www.mendeley.com/documents/?uuid=76e5220f-e11b-4684-867b-b61479b3adbc"]}],"mendeley":{"formattedCitation":"&lt;sup&gt;(30)&lt;/sup&gt;","plainTextFormattedCitation":"(30)","previouslyFormattedCitation":"&lt;sup&gt;(30)&lt;/sup&gt;"},"properties":{"noteIndex":0},"schema":"https://github.com/citation-style-language/schema/raw/master/csl-citation.json"}</w:instrText>
      </w:r>
      <w:r w:rsidRPr="00B71D32">
        <w:rPr>
          <w:sz w:val="24"/>
          <w:szCs w:val="24"/>
        </w:rPr>
        <w:fldChar w:fldCharType="separate"/>
      </w:r>
      <w:r w:rsidR="009313D1" w:rsidRPr="009313D1">
        <w:rPr>
          <w:noProof/>
          <w:sz w:val="24"/>
          <w:szCs w:val="24"/>
          <w:vertAlign w:val="superscript"/>
        </w:rPr>
        <w:t>(30)</w:t>
      </w:r>
      <w:r w:rsidRPr="00B71D32">
        <w:rPr>
          <w:sz w:val="24"/>
          <w:szCs w:val="24"/>
        </w:rPr>
        <w:fldChar w:fldCharType="end"/>
      </w:r>
      <w:r w:rsidRPr="00B71D32">
        <w:rPr>
          <w:sz w:val="24"/>
          <w:szCs w:val="24"/>
        </w:rPr>
        <w:t xml:space="preserve"> Note that the bone ageing trajectory is a continuum, and the six bone maps shown here at equal intervals of 15 years are for visual purposes.</w:t>
      </w:r>
    </w:p>
    <w:p w14:paraId="6F5701A3" w14:textId="77E6BE6D" w:rsidR="003A4D31" w:rsidRDefault="003A4D31" w:rsidP="003A4D31"/>
    <w:p w14:paraId="6A24514F" w14:textId="0E502B54" w:rsidR="003A4D31" w:rsidRDefault="003A4D31" w:rsidP="003A4D31"/>
    <w:p w14:paraId="6C8FD142" w14:textId="4CA2B038" w:rsidR="00F50748" w:rsidRPr="00F50748" w:rsidRDefault="00F50748" w:rsidP="003A4D31">
      <w:pPr>
        <w:spacing w:line="240" w:lineRule="auto"/>
        <w:ind w:firstLine="0"/>
        <w:jc w:val="center"/>
      </w:pPr>
      <w:r>
        <w:rPr>
          <w:noProof/>
        </w:rPr>
        <w:drawing>
          <wp:inline distT="0" distB="0" distL="0" distR="0" wp14:anchorId="184F2C03" wp14:editId="432F83F2">
            <wp:extent cx="5029200" cy="3594100"/>
            <wp:effectExtent l="0" t="0" r="0" b="0"/>
            <wp:docPr id="3" name="Picture 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9200" cy="3594100"/>
                    </a:xfrm>
                    <a:prstGeom prst="rect">
                      <a:avLst/>
                    </a:prstGeom>
                  </pic:spPr>
                </pic:pic>
              </a:graphicData>
            </a:graphic>
          </wp:inline>
        </w:drawing>
      </w:r>
    </w:p>
    <w:p w14:paraId="29FCB2C1" w14:textId="77777777" w:rsidR="005B3062" w:rsidRDefault="009B1FE0" w:rsidP="005632F5">
      <w:pPr>
        <w:pStyle w:val="Caption"/>
        <w:spacing w:after="240"/>
        <w:rPr>
          <w:sz w:val="24"/>
          <w:szCs w:val="24"/>
        </w:rPr>
      </w:pPr>
      <w:r w:rsidRPr="009B1FE0">
        <w:rPr>
          <w:b/>
          <w:bCs/>
          <w:sz w:val="24"/>
          <w:szCs w:val="24"/>
        </w:rPr>
        <w:t>Figure 2</w:t>
      </w:r>
      <w:r w:rsidRPr="009B1FE0">
        <w:rPr>
          <w:sz w:val="24"/>
          <w:szCs w:val="24"/>
        </w:rPr>
        <w:t>. A visual example of spatial BMD maps to differentiate between fractured and control subjects with similar neck BMD values. Panel (A) shows the bone map for a woman aged 75.8 years with femoral neck BMD of 0.5860 g/cm</w:t>
      </w:r>
      <w:r w:rsidRPr="009B1FE0">
        <w:rPr>
          <w:sz w:val="24"/>
          <w:szCs w:val="24"/>
          <w:vertAlign w:val="superscript"/>
        </w:rPr>
        <w:t>2</w:t>
      </w:r>
      <w:r w:rsidRPr="009B1FE0">
        <w:rPr>
          <w:sz w:val="24"/>
          <w:szCs w:val="24"/>
        </w:rPr>
        <w:t xml:space="preserve"> who experienced a trochanteric fracture following the baseline measurement. Panel (C) shows the bone map for a non-fracture subject with similar age (75.9 years) and femoral neck BMD (0.5900 g/cm</w:t>
      </w:r>
      <w:r w:rsidRPr="009B1FE0">
        <w:rPr>
          <w:sz w:val="24"/>
          <w:szCs w:val="24"/>
          <w:vertAlign w:val="superscript"/>
        </w:rPr>
        <w:t>2</w:t>
      </w:r>
      <w:r w:rsidRPr="009B1FE0">
        <w:rPr>
          <w:sz w:val="24"/>
          <w:szCs w:val="24"/>
        </w:rPr>
        <w:t>). Despite similar age and femoral neck BMD, the widespread trochanteric bone loss, which is not captured by neck BMD, resulted in a trochanteric fracture for the first subject. Panels (B) and (D) show the R</w:t>
      </w:r>
      <w:r w:rsidR="00B01D44">
        <w:rPr>
          <w:sz w:val="24"/>
          <w:szCs w:val="24"/>
        </w:rPr>
        <w:t xml:space="preserve">oot </w:t>
      </w:r>
      <w:r w:rsidRPr="009B1FE0">
        <w:rPr>
          <w:sz w:val="24"/>
          <w:szCs w:val="24"/>
        </w:rPr>
        <w:t>M</w:t>
      </w:r>
      <w:r w:rsidR="00B01D44">
        <w:rPr>
          <w:sz w:val="24"/>
          <w:szCs w:val="24"/>
        </w:rPr>
        <w:t xml:space="preserve">ean </w:t>
      </w:r>
      <w:r w:rsidRPr="009B1FE0">
        <w:rPr>
          <w:sz w:val="24"/>
          <w:szCs w:val="24"/>
        </w:rPr>
        <w:t>S</w:t>
      </w:r>
      <w:r w:rsidR="00B01D44">
        <w:rPr>
          <w:sz w:val="24"/>
          <w:szCs w:val="24"/>
        </w:rPr>
        <w:t xml:space="preserve">quared </w:t>
      </w:r>
      <w:r w:rsidRPr="009B1FE0">
        <w:rPr>
          <w:sz w:val="24"/>
          <w:szCs w:val="24"/>
        </w:rPr>
        <w:t>E</w:t>
      </w:r>
      <w:r w:rsidR="00B01D44">
        <w:rPr>
          <w:sz w:val="24"/>
          <w:szCs w:val="24"/>
        </w:rPr>
        <w:t>rror (RMSE)</w:t>
      </w:r>
      <w:r w:rsidRPr="009B1FE0">
        <w:rPr>
          <w:sz w:val="24"/>
          <w:szCs w:val="24"/>
        </w:rPr>
        <w:t xml:space="preserve"> between the BMD maps in panels (A) and (C) and the median BMD maps in Figure 1, respectively. </w:t>
      </w:r>
      <w:r w:rsidR="004309D1">
        <w:rPr>
          <w:sz w:val="24"/>
          <w:szCs w:val="24"/>
        </w:rPr>
        <w:t>D</w:t>
      </w:r>
      <w:r w:rsidR="0069759D">
        <w:rPr>
          <w:sz w:val="24"/>
          <w:szCs w:val="24"/>
        </w:rPr>
        <w:t>ensitometric b</w:t>
      </w:r>
      <w:r w:rsidRPr="009B1FE0">
        <w:rPr>
          <w:sz w:val="24"/>
          <w:szCs w:val="24"/>
        </w:rPr>
        <w:t>one age</w:t>
      </w:r>
      <w:r w:rsidR="0069759D">
        <w:rPr>
          <w:sz w:val="24"/>
          <w:szCs w:val="24"/>
        </w:rPr>
        <w:t xml:space="preserve"> (</w:t>
      </w:r>
      <w:r w:rsidR="008B7D4C">
        <w:rPr>
          <w:sz w:val="24"/>
          <w:szCs w:val="24"/>
        </w:rPr>
        <w:t>DBA</w:t>
      </w:r>
      <w:r w:rsidR="0069759D">
        <w:rPr>
          <w:sz w:val="24"/>
          <w:szCs w:val="24"/>
        </w:rPr>
        <w:t>)</w:t>
      </w:r>
      <w:r w:rsidRPr="009B1FE0">
        <w:rPr>
          <w:sz w:val="24"/>
          <w:szCs w:val="24"/>
        </w:rPr>
        <w:t xml:space="preserve"> is the age at which the RMSE is minimum. The associated </w:t>
      </w:r>
      <w:r w:rsidR="008B7D4C">
        <w:rPr>
          <w:sz w:val="24"/>
          <w:szCs w:val="24"/>
        </w:rPr>
        <w:t>DBA</w:t>
      </w:r>
      <w:r w:rsidRPr="009B1FE0">
        <w:rPr>
          <w:sz w:val="24"/>
          <w:szCs w:val="24"/>
        </w:rPr>
        <w:t xml:space="preserve"> was 80 and 62 years for the top and bottom subjects, respectively.</w:t>
      </w:r>
    </w:p>
    <w:p w14:paraId="14CF4C3D" w14:textId="602C9929" w:rsidR="009B1FE0" w:rsidRDefault="005B3062" w:rsidP="005B3062">
      <w:pPr>
        <w:pStyle w:val="Caption"/>
        <w:spacing w:after="0"/>
        <w:rPr>
          <w:sz w:val="24"/>
          <w:szCs w:val="24"/>
        </w:rPr>
      </w:pPr>
      <w:r>
        <w:rPr>
          <w:noProof/>
          <w:sz w:val="24"/>
          <w:szCs w:val="24"/>
        </w:rPr>
        <w:lastRenderedPageBreak/>
        <w:drawing>
          <wp:inline distT="0" distB="0" distL="0" distR="0" wp14:anchorId="529FF857" wp14:editId="234D1BB4">
            <wp:extent cx="5727700" cy="2726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7700" cy="2726055"/>
                    </a:xfrm>
                    <a:prstGeom prst="rect">
                      <a:avLst/>
                    </a:prstGeom>
                  </pic:spPr>
                </pic:pic>
              </a:graphicData>
            </a:graphic>
          </wp:inline>
        </w:drawing>
      </w:r>
    </w:p>
    <w:p w14:paraId="55DDB2D1" w14:textId="24E74857" w:rsidR="00B40EC1" w:rsidRDefault="00B40EC1" w:rsidP="00B40EC1">
      <w:pPr>
        <w:pStyle w:val="Caption"/>
        <w:spacing w:after="240"/>
        <w:rPr>
          <w:sz w:val="24"/>
          <w:szCs w:val="24"/>
        </w:rPr>
      </w:pPr>
      <w:r w:rsidRPr="00B40EC1">
        <w:rPr>
          <w:b/>
          <w:bCs/>
          <w:sz w:val="24"/>
          <w:szCs w:val="24"/>
        </w:rPr>
        <w:t>Figure 3</w:t>
      </w:r>
      <w:r w:rsidRPr="00B40EC1">
        <w:rPr>
          <w:sz w:val="24"/>
          <w:szCs w:val="24"/>
        </w:rPr>
        <w:t xml:space="preserve">. The analogy between the T-score, Z-score, and </w:t>
      </w:r>
      <w:r w:rsidR="00600AD6">
        <w:rPr>
          <w:sz w:val="24"/>
          <w:szCs w:val="24"/>
        </w:rPr>
        <w:t xml:space="preserve">densitometric </w:t>
      </w:r>
      <w:r w:rsidRPr="00B40EC1">
        <w:rPr>
          <w:sz w:val="24"/>
          <w:szCs w:val="24"/>
        </w:rPr>
        <w:t>bone age</w:t>
      </w:r>
      <w:r w:rsidR="00600AD6">
        <w:rPr>
          <w:sz w:val="24"/>
          <w:szCs w:val="24"/>
        </w:rPr>
        <w:t xml:space="preserve"> (DBA)</w:t>
      </w:r>
      <w:r w:rsidRPr="00B40EC1">
        <w:rPr>
          <w:sz w:val="24"/>
          <w:szCs w:val="24"/>
        </w:rPr>
        <w:t>. The solid black line shows the average neck BMD; the red dashed lines show one standard deviation (SD). The blue dot represents an individual aged 60 years with neck BMD=0.63 g/cm</w:t>
      </w:r>
      <w:r w:rsidRPr="00B40EC1">
        <w:rPr>
          <w:sz w:val="24"/>
          <w:szCs w:val="24"/>
          <w:vertAlign w:val="superscript"/>
        </w:rPr>
        <w:t>2</w:t>
      </w:r>
      <w:r w:rsidRPr="00B40EC1">
        <w:rPr>
          <w:sz w:val="24"/>
          <w:szCs w:val="24"/>
        </w:rPr>
        <w:t xml:space="preserve">. </w:t>
      </w:r>
      <w:r w:rsidR="002245A3">
        <w:rPr>
          <w:sz w:val="24"/>
          <w:szCs w:val="24"/>
        </w:rPr>
        <w:t>DBA</w:t>
      </w:r>
      <w:r w:rsidRPr="00B40EC1">
        <w:rPr>
          <w:sz w:val="24"/>
          <w:szCs w:val="24"/>
        </w:rPr>
        <w:t xml:space="preserve"> is </w:t>
      </w:r>
      <w:r w:rsidR="00812A30">
        <w:rPr>
          <w:sz w:val="24"/>
          <w:szCs w:val="24"/>
        </w:rPr>
        <w:t>the age at which</w:t>
      </w:r>
      <w:r w:rsidRPr="00B40EC1">
        <w:rPr>
          <w:sz w:val="24"/>
          <w:szCs w:val="24"/>
        </w:rPr>
        <w:t xml:space="preserve"> the measured BMD equals the average BMD, </w:t>
      </w:r>
      <w:proofErr w:type="gramStart"/>
      <w:r w:rsidRPr="00B40EC1">
        <w:rPr>
          <w:sz w:val="24"/>
          <w:szCs w:val="24"/>
        </w:rPr>
        <w:t>i.e.</w:t>
      </w:r>
      <w:proofErr w:type="gramEnd"/>
      <w:r w:rsidRPr="00B40EC1">
        <w:rPr>
          <w:sz w:val="24"/>
          <w:szCs w:val="24"/>
        </w:rPr>
        <w:t xml:space="preserve"> 86.5 years. The BMD distribution is normal for areal neck BMD because of the pixel averaging in the neck region, and the median and mean trajectories overlapped here. When </w:t>
      </w:r>
      <w:r w:rsidR="007C4217">
        <w:rPr>
          <w:sz w:val="24"/>
          <w:szCs w:val="24"/>
        </w:rPr>
        <w:t>DBA</w:t>
      </w:r>
      <w:r w:rsidRPr="00B40EC1">
        <w:rPr>
          <w:sz w:val="24"/>
          <w:szCs w:val="24"/>
        </w:rPr>
        <w:t xml:space="preserve"> is computed based on pixel BMD values, the BMD distribution is no longer normal, and the median trajectory is used instead.</w:t>
      </w:r>
    </w:p>
    <w:p w14:paraId="57CEEB86" w14:textId="382E5D2E" w:rsidR="006E6198" w:rsidRDefault="006E6198" w:rsidP="006E6198"/>
    <w:p w14:paraId="65B97DF5" w14:textId="18220E73" w:rsidR="006E6198" w:rsidRDefault="006E6198" w:rsidP="006E6198"/>
    <w:p w14:paraId="6D912193" w14:textId="73C1EF66" w:rsidR="006E6198" w:rsidRDefault="006E6198" w:rsidP="006E6198"/>
    <w:p w14:paraId="720A0494" w14:textId="055E8A98" w:rsidR="006E6198" w:rsidRDefault="006E6198" w:rsidP="006E6198"/>
    <w:p w14:paraId="16F7A131" w14:textId="77777777" w:rsidR="006E6198" w:rsidRPr="006E6198" w:rsidRDefault="006E6198" w:rsidP="006E6198"/>
    <w:p w14:paraId="1A84BC8D" w14:textId="588BF046" w:rsidR="003A4D31" w:rsidRPr="003A4D31" w:rsidRDefault="001F4F7F" w:rsidP="006E6198">
      <w:pPr>
        <w:spacing w:line="240" w:lineRule="auto"/>
        <w:ind w:firstLine="0"/>
        <w:jc w:val="center"/>
      </w:pPr>
      <w:r>
        <w:rPr>
          <w:noProof/>
        </w:rPr>
        <w:drawing>
          <wp:inline distT="0" distB="0" distL="0" distR="0" wp14:anchorId="0B8D93B6" wp14:editId="2BF55CE7">
            <wp:extent cx="500380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3800" cy="1905000"/>
                    </a:xfrm>
                    <a:prstGeom prst="rect">
                      <a:avLst/>
                    </a:prstGeom>
                  </pic:spPr>
                </pic:pic>
              </a:graphicData>
            </a:graphic>
          </wp:inline>
        </w:drawing>
      </w:r>
    </w:p>
    <w:p w14:paraId="75CB8EEC" w14:textId="187397CB" w:rsidR="00C32551" w:rsidRPr="00C32551" w:rsidRDefault="00C32551" w:rsidP="00C32551">
      <w:pPr>
        <w:pStyle w:val="Caption"/>
        <w:spacing w:after="240"/>
        <w:rPr>
          <w:sz w:val="24"/>
          <w:szCs w:val="24"/>
        </w:rPr>
      </w:pPr>
      <w:r w:rsidRPr="00C32551">
        <w:rPr>
          <w:b/>
          <w:bCs/>
          <w:sz w:val="24"/>
          <w:szCs w:val="24"/>
        </w:rPr>
        <w:t>Figure 4</w:t>
      </w:r>
      <w:r w:rsidRPr="00C32551">
        <w:rPr>
          <w:sz w:val="24"/>
          <w:szCs w:val="24"/>
        </w:rPr>
        <w:t xml:space="preserve">. Bland-Altman plot comparing estimated </w:t>
      </w:r>
      <w:r w:rsidR="00811409">
        <w:rPr>
          <w:sz w:val="24"/>
          <w:szCs w:val="24"/>
        </w:rPr>
        <w:t xml:space="preserve">densitometric </w:t>
      </w:r>
      <w:r w:rsidRPr="00C32551">
        <w:rPr>
          <w:sz w:val="24"/>
          <w:szCs w:val="24"/>
        </w:rPr>
        <w:t>bone age before (</w:t>
      </w:r>
      <m:oMath>
        <m:r>
          <w:rPr>
            <w:rFonts w:ascii="Cambria Math" w:hAnsi="Cambria Math"/>
            <w:sz w:val="24"/>
            <w:szCs w:val="24"/>
          </w:rPr>
          <m:t>b</m:t>
        </m:r>
      </m:oMath>
      <w:r w:rsidRPr="00C32551">
        <w:rPr>
          <w:sz w:val="24"/>
          <w:szCs w:val="24"/>
        </w:rPr>
        <w:t>) and after (</w:t>
      </w:r>
      <m:oMath>
        <m:r>
          <w:rPr>
            <w:rFonts w:ascii="Cambria Math" w:hAnsi="Cambria Math"/>
            <w:sz w:val="24"/>
            <w:szCs w:val="24"/>
          </w:rPr>
          <m:t>b'</m:t>
        </m:r>
      </m:oMath>
      <w:r w:rsidRPr="00C32551">
        <w:rPr>
          <w:sz w:val="24"/>
          <w:szCs w:val="24"/>
        </w:rPr>
        <w:t>) patient repositioning. μ= mean bias, SD= standard deviation. Dashed lines represent the 95% confidence interval (mean±1.96SD). The solid black line represents the overall difference (mean bias, μ).</w:t>
      </w:r>
    </w:p>
    <w:p w14:paraId="683CD012" w14:textId="030B7798" w:rsidR="006E6198" w:rsidRDefault="00287BCF" w:rsidP="00287BCF">
      <w:pPr>
        <w:pStyle w:val="Caption"/>
        <w:spacing w:after="0"/>
        <w:rPr>
          <w:b/>
          <w:bCs/>
          <w:sz w:val="24"/>
          <w:szCs w:val="24"/>
        </w:rPr>
      </w:pPr>
      <w:bookmarkStart w:id="0" w:name="_Ref54222983"/>
      <w:r>
        <w:rPr>
          <w:b/>
          <w:bCs/>
          <w:noProof/>
          <w:sz w:val="24"/>
          <w:szCs w:val="24"/>
        </w:rPr>
        <w:lastRenderedPageBreak/>
        <w:drawing>
          <wp:inline distT="0" distB="0" distL="0" distR="0" wp14:anchorId="69F7AF53" wp14:editId="72C8AF23">
            <wp:extent cx="5727700" cy="1909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7700" cy="1909445"/>
                    </a:xfrm>
                    <a:prstGeom prst="rect">
                      <a:avLst/>
                    </a:prstGeom>
                  </pic:spPr>
                </pic:pic>
              </a:graphicData>
            </a:graphic>
          </wp:inline>
        </w:drawing>
      </w:r>
    </w:p>
    <w:p w14:paraId="4D757B55" w14:textId="70FD3815" w:rsidR="00D5627C" w:rsidRDefault="00D5627C" w:rsidP="00805256">
      <w:pPr>
        <w:pStyle w:val="Caption"/>
        <w:spacing w:after="240"/>
        <w:rPr>
          <w:sz w:val="24"/>
          <w:szCs w:val="24"/>
        </w:rPr>
      </w:pPr>
      <w:r w:rsidRPr="004226D8">
        <w:rPr>
          <w:b/>
          <w:bCs/>
          <w:sz w:val="24"/>
          <w:szCs w:val="24"/>
        </w:rPr>
        <w:t>F</w:t>
      </w:r>
      <w:bookmarkEnd w:id="0"/>
      <w:r w:rsidRPr="004226D8">
        <w:rPr>
          <w:b/>
          <w:bCs/>
          <w:sz w:val="24"/>
          <w:szCs w:val="24"/>
        </w:rPr>
        <w:t>igure 5</w:t>
      </w:r>
      <w:r w:rsidRPr="004226D8">
        <w:rPr>
          <w:sz w:val="24"/>
          <w:szCs w:val="24"/>
        </w:rPr>
        <w:t xml:space="preserve">. </w:t>
      </w:r>
      <w:r w:rsidR="00811409">
        <w:rPr>
          <w:sz w:val="24"/>
          <w:szCs w:val="24"/>
        </w:rPr>
        <w:t>Densitometric b</w:t>
      </w:r>
      <w:r w:rsidRPr="004226D8">
        <w:rPr>
          <w:sz w:val="24"/>
          <w:szCs w:val="24"/>
        </w:rPr>
        <w:t>one age</w:t>
      </w:r>
      <w:r w:rsidR="007F7F5A">
        <w:rPr>
          <w:sz w:val="24"/>
          <w:szCs w:val="24"/>
        </w:rPr>
        <w:t xml:space="preserve"> (</w:t>
      </w:r>
      <w:r w:rsidR="008B7D4C">
        <w:rPr>
          <w:sz w:val="24"/>
          <w:szCs w:val="24"/>
        </w:rPr>
        <w:t>DBA</w:t>
      </w:r>
      <w:r w:rsidR="007F7F5A">
        <w:rPr>
          <w:sz w:val="24"/>
          <w:szCs w:val="24"/>
        </w:rPr>
        <w:t>)</w:t>
      </w:r>
      <w:r w:rsidRPr="004226D8">
        <w:rPr>
          <w:sz w:val="24"/>
          <w:szCs w:val="24"/>
        </w:rPr>
        <w:t xml:space="preserve"> versus chronological age. </w:t>
      </w:r>
      <w:r w:rsidR="003936CE">
        <w:rPr>
          <w:sz w:val="24"/>
          <w:szCs w:val="24"/>
        </w:rPr>
        <w:t>Panel (A)</w:t>
      </w:r>
      <w:r w:rsidR="00986C1B">
        <w:rPr>
          <w:sz w:val="24"/>
          <w:szCs w:val="24"/>
        </w:rPr>
        <w:t xml:space="preserve"> shows</w:t>
      </w:r>
      <w:r w:rsidR="00CF5023">
        <w:rPr>
          <w:sz w:val="24"/>
          <w:szCs w:val="24"/>
        </w:rPr>
        <w:t xml:space="preserve"> the scattered plot for all </w:t>
      </w:r>
      <w:r w:rsidR="00917170">
        <w:rPr>
          <w:sz w:val="24"/>
          <w:szCs w:val="24"/>
        </w:rPr>
        <w:t>cohort subjects.</w:t>
      </w:r>
      <w:r w:rsidR="00986C1B">
        <w:rPr>
          <w:sz w:val="24"/>
          <w:szCs w:val="24"/>
        </w:rPr>
        <w:t xml:space="preserve"> </w:t>
      </w:r>
      <w:r w:rsidRPr="004226D8">
        <w:rPr>
          <w:sz w:val="24"/>
          <w:szCs w:val="24"/>
        </w:rPr>
        <w:t xml:space="preserve">Each green, yellow, or red dot represents one subject from the study cohort categorised by T-score as normal (green), osteopenic (yellow), or osteoporotic (red), respectively. The solid blue line shows the </w:t>
      </w:r>
      <m:oMath>
        <m:r>
          <w:rPr>
            <w:rFonts w:ascii="Cambria Math" w:hAnsi="Cambria Math"/>
            <w:sz w:val="24"/>
            <w:szCs w:val="24"/>
          </w:rPr>
          <m:t>y=x</m:t>
        </m:r>
      </m:oMath>
      <w:r w:rsidRPr="004226D8">
        <w:rPr>
          <w:sz w:val="24"/>
          <w:szCs w:val="24"/>
        </w:rPr>
        <w:t xml:space="preserve"> line of equality or identity, and the dashed black line indicates the median </w:t>
      </w:r>
      <w:r w:rsidR="008B7D4C">
        <w:rPr>
          <w:sz w:val="24"/>
          <w:szCs w:val="24"/>
        </w:rPr>
        <w:t>DBA</w:t>
      </w:r>
      <w:r w:rsidRPr="004226D8">
        <w:rPr>
          <w:sz w:val="24"/>
          <w:szCs w:val="24"/>
        </w:rPr>
        <w:t xml:space="preserve"> as a function of age. The dashed black line almost </w:t>
      </w:r>
      <w:r w:rsidRPr="004226D8">
        <w:rPr>
          <w:color w:val="000000"/>
          <w:sz w:val="24"/>
          <w:szCs w:val="24"/>
        </w:rPr>
        <w:t xml:space="preserve">perfectly </w:t>
      </w:r>
      <w:r w:rsidRPr="004226D8">
        <w:rPr>
          <w:sz w:val="24"/>
          <w:szCs w:val="24"/>
        </w:rPr>
        <w:t xml:space="preserve">follows the blue identity line, demonstrating that </w:t>
      </w:r>
      <w:r w:rsidR="008B7D4C">
        <w:rPr>
          <w:sz w:val="24"/>
          <w:szCs w:val="24"/>
        </w:rPr>
        <w:t>DBA</w:t>
      </w:r>
      <w:r w:rsidRPr="004226D8">
        <w:rPr>
          <w:sz w:val="24"/>
          <w:szCs w:val="24"/>
        </w:rPr>
        <w:t xml:space="preserve"> equals chronological age on average. Deviation of </w:t>
      </w:r>
      <w:r w:rsidR="008B7D4C">
        <w:rPr>
          <w:sz w:val="24"/>
          <w:szCs w:val="24"/>
        </w:rPr>
        <w:t>DBA</w:t>
      </w:r>
      <w:r w:rsidRPr="004226D8">
        <w:rPr>
          <w:sz w:val="24"/>
          <w:szCs w:val="24"/>
        </w:rPr>
        <w:t xml:space="preserve"> from the chronological age is proportionate to the Z-score. The red and green dashed lines show Z-scores </w:t>
      </w:r>
      <m:oMath>
        <m:r>
          <w:rPr>
            <w:rFonts w:ascii="Cambria Math" w:hAnsi="Cambria Math"/>
            <w:sz w:val="24"/>
            <w:szCs w:val="24"/>
          </w:rPr>
          <m:t>±1</m:t>
        </m:r>
      </m:oMath>
      <w:r w:rsidRPr="004226D8">
        <w:rPr>
          <w:sz w:val="24"/>
          <w:szCs w:val="24"/>
        </w:rPr>
        <w:t xml:space="preserve"> and </w:t>
      </w:r>
      <m:oMath>
        <m:r>
          <w:rPr>
            <w:rFonts w:ascii="Cambria Math" w:hAnsi="Cambria Math"/>
            <w:sz w:val="24"/>
            <w:szCs w:val="24"/>
          </w:rPr>
          <m:t>±2</m:t>
        </m:r>
      </m:oMath>
      <w:r w:rsidRPr="004226D8">
        <w:rPr>
          <w:sz w:val="24"/>
          <w:szCs w:val="24"/>
        </w:rPr>
        <w:t>, respectively.</w:t>
      </w:r>
      <w:r w:rsidR="00917170">
        <w:rPr>
          <w:sz w:val="24"/>
          <w:szCs w:val="24"/>
        </w:rPr>
        <w:t xml:space="preserve"> </w:t>
      </w:r>
      <w:r w:rsidR="00805256" w:rsidRPr="00805256">
        <w:rPr>
          <w:sz w:val="24"/>
          <w:szCs w:val="24"/>
        </w:rPr>
        <w:t>Panel (B) shows the distribution of fractured cases in relation to DBA and chronological age. Fractured cases were on average 10 years older in terms of DBA compared to the chronological age. In 72% of fractured cases (150/208), DBA was higher than the chronological age.</w:t>
      </w:r>
    </w:p>
    <w:p w14:paraId="3D5D80D4" w14:textId="4F817DBE" w:rsidR="00287BCF" w:rsidRDefault="00287BCF" w:rsidP="00287BCF"/>
    <w:p w14:paraId="35C1D484" w14:textId="6802AB69" w:rsidR="00287BCF" w:rsidRDefault="00287BCF" w:rsidP="00287BCF"/>
    <w:p w14:paraId="4976C4B8" w14:textId="6C659E0F" w:rsidR="00287BCF" w:rsidRDefault="00287BCF" w:rsidP="00287BCF"/>
    <w:p w14:paraId="116D8FC7" w14:textId="33316F2E" w:rsidR="00287BCF" w:rsidRDefault="00287BCF" w:rsidP="00287BCF"/>
    <w:p w14:paraId="0A82FFCC" w14:textId="77777777" w:rsidR="00287BCF" w:rsidRDefault="00287BCF" w:rsidP="00287BCF"/>
    <w:p w14:paraId="5011059C" w14:textId="3F7EAB22" w:rsidR="00287BCF" w:rsidRPr="00287BCF" w:rsidRDefault="00287BCF" w:rsidP="00287BCF">
      <w:pPr>
        <w:spacing w:line="240" w:lineRule="auto"/>
        <w:ind w:firstLine="0"/>
        <w:jc w:val="center"/>
      </w:pPr>
      <w:r>
        <w:rPr>
          <w:noProof/>
        </w:rPr>
        <w:drawing>
          <wp:inline distT="0" distB="0" distL="0" distR="0" wp14:anchorId="79780B6B" wp14:editId="772C5FD6">
            <wp:extent cx="2146300" cy="2146300"/>
            <wp:effectExtent l="0" t="0" r="0" b="0"/>
            <wp:docPr id="6" name="Picture 6"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tab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46300" cy="2146300"/>
                    </a:xfrm>
                    <a:prstGeom prst="rect">
                      <a:avLst/>
                    </a:prstGeom>
                  </pic:spPr>
                </pic:pic>
              </a:graphicData>
            </a:graphic>
          </wp:inline>
        </w:drawing>
      </w:r>
    </w:p>
    <w:p w14:paraId="3ACFDE64" w14:textId="11D95505" w:rsidR="00476C05" w:rsidRPr="00476C05" w:rsidRDefault="00476C05" w:rsidP="00476C05">
      <w:pPr>
        <w:pStyle w:val="Caption"/>
        <w:spacing w:after="240"/>
        <w:rPr>
          <w:sz w:val="24"/>
          <w:szCs w:val="24"/>
        </w:rPr>
      </w:pPr>
      <w:r w:rsidRPr="00476C05">
        <w:rPr>
          <w:b/>
          <w:bCs/>
          <w:sz w:val="24"/>
          <w:szCs w:val="24"/>
        </w:rPr>
        <w:t>Figure 6</w:t>
      </w:r>
      <w:r w:rsidRPr="00476C05">
        <w:rPr>
          <w:sz w:val="24"/>
          <w:szCs w:val="24"/>
        </w:rPr>
        <w:t>. Confusion matrix to assess the consistency between the</w:t>
      </w:r>
      <w:r w:rsidR="00D229F3">
        <w:rPr>
          <w:sz w:val="24"/>
          <w:szCs w:val="24"/>
        </w:rPr>
        <w:t xml:space="preserve"> densitometric</w:t>
      </w:r>
      <w:r w:rsidRPr="00476C05">
        <w:rPr>
          <w:sz w:val="24"/>
          <w:szCs w:val="24"/>
        </w:rPr>
        <w:t xml:space="preserve"> bone age</w:t>
      </w:r>
      <w:r w:rsidR="00D229F3">
        <w:rPr>
          <w:sz w:val="24"/>
          <w:szCs w:val="24"/>
        </w:rPr>
        <w:t xml:space="preserve"> (</w:t>
      </w:r>
      <w:r w:rsidR="008B7D4C">
        <w:rPr>
          <w:sz w:val="24"/>
          <w:szCs w:val="24"/>
        </w:rPr>
        <w:t>DBA</w:t>
      </w:r>
      <w:r w:rsidR="00D229F3">
        <w:rPr>
          <w:sz w:val="24"/>
          <w:szCs w:val="24"/>
        </w:rPr>
        <w:t>)</w:t>
      </w:r>
      <w:r w:rsidRPr="00476C05">
        <w:rPr>
          <w:sz w:val="24"/>
          <w:szCs w:val="24"/>
        </w:rPr>
        <w:t xml:space="preserve"> and the neck </w:t>
      </w:r>
      <w:proofErr w:type="spellStart"/>
      <w:r w:rsidRPr="00476C05">
        <w:rPr>
          <w:sz w:val="24"/>
          <w:szCs w:val="24"/>
        </w:rPr>
        <w:t>aBMD</w:t>
      </w:r>
      <w:proofErr w:type="spellEnd"/>
      <w:r w:rsidRPr="00476C05">
        <w:rPr>
          <w:sz w:val="24"/>
          <w:szCs w:val="24"/>
        </w:rPr>
        <w:t xml:space="preserve"> T-score. Using the cut-off thresholds of 83.5 and 54.4 years</w:t>
      </w:r>
      <w:r w:rsidR="004D4D5C">
        <w:rPr>
          <w:sz w:val="24"/>
          <w:szCs w:val="24"/>
        </w:rPr>
        <w:t xml:space="preserve"> for </w:t>
      </w:r>
      <w:r w:rsidR="008B7D4C">
        <w:rPr>
          <w:sz w:val="24"/>
          <w:szCs w:val="24"/>
        </w:rPr>
        <w:t>DBA</w:t>
      </w:r>
      <w:r w:rsidRPr="00476C05">
        <w:rPr>
          <w:sz w:val="24"/>
          <w:szCs w:val="24"/>
        </w:rPr>
        <w:t xml:space="preserve">, 80.6% of subjects were categorised in the same group as identified by the neck </w:t>
      </w:r>
      <w:proofErr w:type="spellStart"/>
      <w:r w:rsidRPr="00476C05">
        <w:rPr>
          <w:sz w:val="24"/>
          <w:szCs w:val="24"/>
        </w:rPr>
        <w:t>aBMD</w:t>
      </w:r>
      <w:proofErr w:type="spellEnd"/>
      <w:r w:rsidRPr="00476C05">
        <w:rPr>
          <w:sz w:val="24"/>
          <w:szCs w:val="24"/>
        </w:rPr>
        <w:t xml:space="preserve"> T-score of -2.5 and -1, respectively.</w:t>
      </w:r>
    </w:p>
    <w:p w14:paraId="1CB5657F" w14:textId="38F32A3A" w:rsidR="00287BCF" w:rsidRDefault="00287BCF" w:rsidP="00B20C80">
      <w:pPr>
        <w:pStyle w:val="Caption"/>
        <w:spacing w:after="0"/>
        <w:jc w:val="center"/>
        <w:rPr>
          <w:b/>
          <w:bCs/>
          <w:sz w:val="24"/>
          <w:szCs w:val="24"/>
        </w:rPr>
      </w:pPr>
      <w:r>
        <w:rPr>
          <w:b/>
          <w:bCs/>
          <w:noProof/>
          <w:sz w:val="24"/>
          <w:szCs w:val="24"/>
        </w:rPr>
        <w:lastRenderedPageBreak/>
        <w:drawing>
          <wp:inline distT="0" distB="0" distL="0" distR="0" wp14:anchorId="63A7BDD9" wp14:editId="22CCF779">
            <wp:extent cx="5727700" cy="1989455"/>
            <wp:effectExtent l="0" t="0" r="0" b="4445"/>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7700" cy="1989455"/>
                    </a:xfrm>
                    <a:prstGeom prst="rect">
                      <a:avLst/>
                    </a:prstGeom>
                  </pic:spPr>
                </pic:pic>
              </a:graphicData>
            </a:graphic>
          </wp:inline>
        </w:drawing>
      </w:r>
    </w:p>
    <w:p w14:paraId="1D34E2BE" w14:textId="00C5CE92" w:rsidR="009B1FE0" w:rsidRDefault="009B1FE0" w:rsidP="00556923">
      <w:pPr>
        <w:pStyle w:val="Caption"/>
        <w:spacing w:after="240"/>
        <w:rPr>
          <w:sz w:val="24"/>
          <w:szCs w:val="24"/>
        </w:rPr>
      </w:pPr>
      <w:r w:rsidRPr="009B1FE0">
        <w:rPr>
          <w:b/>
          <w:bCs/>
          <w:sz w:val="24"/>
          <w:szCs w:val="24"/>
        </w:rPr>
        <w:t>Figure 7.</w:t>
      </w:r>
      <w:r w:rsidRPr="009B1FE0">
        <w:rPr>
          <w:sz w:val="24"/>
          <w:szCs w:val="24"/>
        </w:rPr>
        <w:t xml:space="preserve"> The </w:t>
      </w:r>
      <w:r w:rsidR="00F52828" w:rsidRPr="00F52828">
        <w:rPr>
          <w:sz w:val="24"/>
          <w:szCs w:val="24"/>
        </w:rPr>
        <w:t xml:space="preserve">Receiver Operating Characteristics </w:t>
      </w:r>
      <w:r w:rsidR="00F52828">
        <w:rPr>
          <w:sz w:val="24"/>
          <w:szCs w:val="24"/>
        </w:rPr>
        <w:t>(</w:t>
      </w:r>
      <w:r w:rsidRPr="009B1FE0">
        <w:rPr>
          <w:sz w:val="24"/>
          <w:szCs w:val="24"/>
        </w:rPr>
        <w:t>ROC</w:t>
      </w:r>
      <w:r w:rsidR="00F52828">
        <w:rPr>
          <w:sz w:val="24"/>
          <w:szCs w:val="24"/>
        </w:rPr>
        <w:t>)</w:t>
      </w:r>
      <w:r w:rsidRPr="009B1FE0">
        <w:rPr>
          <w:sz w:val="24"/>
          <w:szCs w:val="24"/>
        </w:rPr>
        <w:t xml:space="preserve"> plots for prediction of fragility fractures. The black dashed line shows the performance of a random classifier, with the solid lines representing </w:t>
      </w:r>
      <w:r w:rsidR="0020740A">
        <w:rPr>
          <w:sz w:val="24"/>
          <w:szCs w:val="24"/>
        </w:rPr>
        <w:t xml:space="preserve">densitometric </w:t>
      </w:r>
      <w:r w:rsidRPr="009B1FE0">
        <w:rPr>
          <w:sz w:val="24"/>
          <w:szCs w:val="24"/>
        </w:rPr>
        <w:t xml:space="preserve">bone age (black), </w:t>
      </w:r>
      <w:r w:rsidR="00F52828">
        <w:rPr>
          <w:sz w:val="24"/>
          <w:szCs w:val="24"/>
        </w:rPr>
        <w:t>femoral neck</w:t>
      </w:r>
      <w:r w:rsidR="005B2755">
        <w:rPr>
          <w:sz w:val="24"/>
          <w:szCs w:val="24"/>
        </w:rPr>
        <w:t xml:space="preserve"> </w:t>
      </w:r>
      <w:r w:rsidRPr="009B1FE0">
        <w:rPr>
          <w:sz w:val="24"/>
          <w:szCs w:val="24"/>
        </w:rPr>
        <w:t xml:space="preserve">BMD (red), </w:t>
      </w:r>
      <w:r w:rsidR="005B2755">
        <w:rPr>
          <w:sz w:val="24"/>
          <w:szCs w:val="24"/>
        </w:rPr>
        <w:t>trochanteric B</w:t>
      </w:r>
      <w:r w:rsidRPr="009B1FE0">
        <w:rPr>
          <w:sz w:val="24"/>
          <w:szCs w:val="24"/>
        </w:rPr>
        <w:t xml:space="preserve">MD (blue), and </w:t>
      </w:r>
      <w:r w:rsidR="005B2755">
        <w:rPr>
          <w:sz w:val="24"/>
          <w:szCs w:val="24"/>
        </w:rPr>
        <w:t xml:space="preserve">total hip </w:t>
      </w:r>
      <w:r w:rsidRPr="009B1FE0">
        <w:rPr>
          <w:sz w:val="24"/>
          <w:szCs w:val="24"/>
        </w:rPr>
        <w:t xml:space="preserve">BMD (green). See </w:t>
      </w:r>
      <w:r w:rsidR="005632F5">
        <w:rPr>
          <w:sz w:val="24"/>
          <w:szCs w:val="24"/>
        </w:rPr>
        <w:t xml:space="preserve">Table </w:t>
      </w:r>
      <w:r w:rsidR="00A97E1D">
        <w:rPr>
          <w:sz w:val="24"/>
          <w:szCs w:val="24"/>
        </w:rPr>
        <w:t>2</w:t>
      </w:r>
      <w:r w:rsidR="005632F5">
        <w:rPr>
          <w:sz w:val="24"/>
          <w:szCs w:val="24"/>
        </w:rPr>
        <w:t xml:space="preserve"> </w:t>
      </w:r>
      <w:r w:rsidRPr="009B1FE0">
        <w:rPr>
          <w:sz w:val="24"/>
          <w:szCs w:val="24"/>
        </w:rPr>
        <w:t>for the reported A</w:t>
      </w:r>
      <w:r w:rsidR="005B2755">
        <w:rPr>
          <w:sz w:val="24"/>
          <w:szCs w:val="24"/>
        </w:rPr>
        <w:t>r</w:t>
      </w:r>
      <w:r w:rsidR="00A10EEB">
        <w:rPr>
          <w:sz w:val="24"/>
          <w:szCs w:val="24"/>
        </w:rPr>
        <w:t>e</w:t>
      </w:r>
      <w:r w:rsidR="005B2755">
        <w:rPr>
          <w:sz w:val="24"/>
          <w:szCs w:val="24"/>
        </w:rPr>
        <w:t xml:space="preserve">a </w:t>
      </w:r>
      <w:r w:rsidRPr="009B1FE0">
        <w:rPr>
          <w:sz w:val="24"/>
          <w:szCs w:val="24"/>
        </w:rPr>
        <w:t>U</w:t>
      </w:r>
      <w:r w:rsidR="009D1C62">
        <w:rPr>
          <w:sz w:val="24"/>
          <w:szCs w:val="24"/>
        </w:rPr>
        <w:t xml:space="preserve">nder the </w:t>
      </w:r>
      <w:r w:rsidRPr="009B1FE0">
        <w:rPr>
          <w:sz w:val="24"/>
          <w:szCs w:val="24"/>
        </w:rPr>
        <w:t>C</w:t>
      </w:r>
      <w:r w:rsidR="009D1C62">
        <w:rPr>
          <w:sz w:val="24"/>
          <w:szCs w:val="24"/>
        </w:rPr>
        <w:t>urve (AUC) values</w:t>
      </w:r>
      <w:r w:rsidRPr="009B1FE0">
        <w:rPr>
          <w:sz w:val="24"/>
          <w:szCs w:val="24"/>
        </w:rPr>
        <w:t xml:space="preserve"> for each graph. A higher AUC indicates better performance.</w:t>
      </w:r>
    </w:p>
    <w:p w14:paraId="3F926DBD" w14:textId="632F6676" w:rsidR="00B20C80" w:rsidRDefault="00B20C80" w:rsidP="00B20C80"/>
    <w:p w14:paraId="2C7AB188" w14:textId="79F98120" w:rsidR="00B20C80" w:rsidRDefault="00B20C80" w:rsidP="00B20C80"/>
    <w:p w14:paraId="73DB96D7" w14:textId="4A36BDCD" w:rsidR="00B20C80" w:rsidRDefault="00B20C80" w:rsidP="00B20C80"/>
    <w:p w14:paraId="311C3984" w14:textId="22D740D7" w:rsidR="00B20C80" w:rsidRDefault="00B20C80" w:rsidP="00B20C80"/>
    <w:p w14:paraId="36DF4150" w14:textId="2DD95F4C" w:rsidR="00B20C80" w:rsidRDefault="00B20C80" w:rsidP="00B20C80"/>
    <w:p w14:paraId="0729BA29" w14:textId="66D7584F" w:rsidR="00B20C80" w:rsidRDefault="00B20C80" w:rsidP="00B20C80"/>
    <w:p w14:paraId="6E63CF59" w14:textId="061684D1" w:rsidR="00B20C80" w:rsidRDefault="00B20C80" w:rsidP="00B20C80"/>
    <w:p w14:paraId="28F20697" w14:textId="77777777" w:rsidR="00B20C80" w:rsidRDefault="00B20C80" w:rsidP="00B20C80"/>
    <w:p w14:paraId="6ABD7746" w14:textId="0195B530" w:rsidR="00B20C80" w:rsidRDefault="00B20C80" w:rsidP="00B20C80"/>
    <w:p w14:paraId="6754B678" w14:textId="4E601E8E" w:rsidR="00B20C80" w:rsidRPr="00B20C80" w:rsidRDefault="00B20C80" w:rsidP="00B20C80">
      <w:pPr>
        <w:spacing w:line="240" w:lineRule="auto"/>
        <w:ind w:firstLine="0"/>
        <w:jc w:val="center"/>
      </w:pPr>
      <w:r>
        <w:rPr>
          <w:noProof/>
        </w:rPr>
        <w:drawing>
          <wp:inline distT="0" distB="0" distL="0" distR="0" wp14:anchorId="588117FC" wp14:editId="60A7E60C">
            <wp:extent cx="5727700" cy="1457960"/>
            <wp:effectExtent l="0" t="0" r="0" b="254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7700" cy="1457960"/>
                    </a:xfrm>
                    <a:prstGeom prst="rect">
                      <a:avLst/>
                    </a:prstGeom>
                  </pic:spPr>
                </pic:pic>
              </a:graphicData>
            </a:graphic>
          </wp:inline>
        </w:drawing>
      </w:r>
    </w:p>
    <w:p w14:paraId="3455F080" w14:textId="4EE4E4C4" w:rsidR="00237DFD" w:rsidRPr="00237DFD" w:rsidRDefault="00237DFD" w:rsidP="00237DFD">
      <w:pPr>
        <w:spacing w:after="240" w:line="240" w:lineRule="auto"/>
        <w:ind w:firstLine="0"/>
      </w:pPr>
      <w:r w:rsidRPr="00237DFD">
        <w:rPr>
          <w:b/>
          <w:bCs/>
        </w:rPr>
        <w:t>Figure 8.</w:t>
      </w:r>
      <w:r w:rsidRPr="00237DFD">
        <w:t xml:space="preserve"> The </w:t>
      </w:r>
      <w:r w:rsidR="00EF316A" w:rsidRPr="0001438A">
        <w:t>Precision-Recall</w:t>
      </w:r>
      <w:r w:rsidR="00EF316A">
        <w:t>-</w:t>
      </w:r>
      <w:r w:rsidR="00EF316A" w:rsidRPr="0001438A">
        <w:t>Characteristics</w:t>
      </w:r>
      <w:r w:rsidR="00EF316A" w:rsidRPr="0001438A">
        <w:rPr>
          <w:lang w:val="en-US" w:bidi="fa-IR"/>
        </w:rPr>
        <w:t xml:space="preserve"> </w:t>
      </w:r>
      <w:r w:rsidR="00EF316A">
        <w:rPr>
          <w:lang w:val="en-US" w:bidi="fa-IR"/>
        </w:rPr>
        <w:t>(</w:t>
      </w:r>
      <w:r w:rsidRPr="00237DFD">
        <w:t>PRC</w:t>
      </w:r>
      <w:r w:rsidR="00EF316A">
        <w:t>)</w:t>
      </w:r>
      <w:r w:rsidRPr="00237DFD">
        <w:t xml:space="preserve"> plots for prediction of fragility fractures. The horizontal dashed black line shows the performance for a random classifier where its height equals the proportion of fractured cases in the population, with the solid lines representing </w:t>
      </w:r>
      <w:r w:rsidR="0020740A">
        <w:t xml:space="preserve">densitometric </w:t>
      </w:r>
      <w:r w:rsidRPr="00237DFD">
        <w:t xml:space="preserve">bone age (black), </w:t>
      </w:r>
      <w:r w:rsidR="005D1064">
        <w:t>femoral neck B</w:t>
      </w:r>
      <w:r w:rsidRPr="00237DFD">
        <w:t xml:space="preserve">MD (red), </w:t>
      </w:r>
      <w:r w:rsidR="005D1064">
        <w:t xml:space="preserve">trochanteric </w:t>
      </w:r>
      <w:r w:rsidRPr="00237DFD">
        <w:t xml:space="preserve">BMD (blue), and </w:t>
      </w:r>
      <w:r w:rsidR="000A1FB1">
        <w:t xml:space="preserve">total hip </w:t>
      </w:r>
      <w:r w:rsidRPr="00237DFD">
        <w:t xml:space="preserve">BMD (green). See Table </w:t>
      </w:r>
      <w:r w:rsidR="007C4507">
        <w:t>3</w:t>
      </w:r>
      <w:r w:rsidRPr="00237DFD">
        <w:t xml:space="preserve"> for the reported A</w:t>
      </w:r>
      <w:r w:rsidR="000A1FB1">
        <w:t>r</w:t>
      </w:r>
      <w:r w:rsidR="002D0564">
        <w:t>e</w:t>
      </w:r>
      <w:r w:rsidR="000A1FB1">
        <w:t xml:space="preserve">a </w:t>
      </w:r>
      <w:r w:rsidRPr="00237DFD">
        <w:t>U</w:t>
      </w:r>
      <w:r w:rsidR="000A1FB1">
        <w:t xml:space="preserve">nder the </w:t>
      </w:r>
      <w:r w:rsidRPr="00237DFD">
        <w:t>C</w:t>
      </w:r>
      <w:r w:rsidR="000A1FB1">
        <w:t>urve (AUC</w:t>
      </w:r>
      <w:r w:rsidR="00332FD4">
        <w:t>) values</w:t>
      </w:r>
      <w:r w:rsidRPr="00237DFD">
        <w:t xml:space="preserve"> for each graph. A higher AUC indicates better performance</w:t>
      </w:r>
      <w:r>
        <w:t>.</w:t>
      </w:r>
    </w:p>
    <w:p w14:paraId="08343681" w14:textId="7A50B317" w:rsidR="00B20C80" w:rsidRDefault="0006487B" w:rsidP="0006487B">
      <w:pPr>
        <w:pStyle w:val="Caption"/>
        <w:spacing w:after="0"/>
        <w:jc w:val="center"/>
        <w:rPr>
          <w:b/>
          <w:bCs/>
          <w:sz w:val="24"/>
          <w:szCs w:val="24"/>
        </w:rPr>
      </w:pPr>
      <w:bookmarkStart w:id="1" w:name="_Ref90385577"/>
      <w:r>
        <w:rPr>
          <w:b/>
          <w:bCs/>
          <w:noProof/>
          <w:sz w:val="24"/>
          <w:szCs w:val="24"/>
        </w:rPr>
        <w:lastRenderedPageBreak/>
        <w:drawing>
          <wp:inline distT="0" distB="0" distL="0" distR="0" wp14:anchorId="04F382EE" wp14:editId="2ECAEA85">
            <wp:extent cx="5727700" cy="3781425"/>
            <wp:effectExtent l="0" t="0" r="0" b="3175"/>
            <wp:docPr id="9"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7700" cy="3781425"/>
                    </a:xfrm>
                    <a:prstGeom prst="rect">
                      <a:avLst/>
                    </a:prstGeom>
                  </pic:spPr>
                </pic:pic>
              </a:graphicData>
            </a:graphic>
          </wp:inline>
        </w:drawing>
      </w:r>
    </w:p>
    <w:p w14:paraId="46524AF4" w14:textId="67F39F54" w:rsidR="008F70F8" w:rsidRDefault="00556923">
      <w:pPr>
        <w:pStyle w:val="Caption"/>
        <w:spacing w:after="240"/>
        <w:rPr>
          <w:sz w:val="24"/>
          <w:szCs w:val="24"/>
        </w:rPr>
      </w:pPr>
      <w:r w:rsidRPr="00556923">
        <w:rPr>
          <w:b/>
          <w:bCs/>
          <w:sz w:val="24"/>
          <w:szCs w:val="24"/>
        </w:rPr>
        <w:t>F</w:t>
      </w:r>
      <w:bookmarkEnd w:id="1"/>
      <w:r w:rsidRPr="00556923">
        <w:rPr>
          <w:b/>
          <w:bCs/>
          <w:sz w:val="24"/>
          <w:szCs w:val="24"/>
        </w:rPr>
        <w:t>igure 9</w:t>
      </w:r>
      <w:r w:rsidRPr="00556923">
        <w:rPr>
          <w:sz w:val="24"/>
          <w:szCs w:val="24"/>
        </w:rPr>
        <w:t>.</w:t>
      </w:r>
      <w:r w:rsidRPr="00556923">
        <w:rPr>
          <w:b/>
          <w:bCs/>
          <w:sz w:val="24"/>
          <w:szCs w:val="24"/>
        </w:rPr>
        <w:t xml:space="preserve"> </w:t>
      </w:r>
      <w:r w:rsidRPr="00556923">
        <w:rPr>
          <w:sz w:val="24"/>
          <w:szCs w:val="24"/>
        </w:rPr>
        <w:t xml:space="preserve">Localising fracture-specific patterns using bone-age normalised BMD maps. Panels (a) and (b) show the difference in mean quantile maps between the fracture-free control groups (n=11,691) and neck fractured cases (n=138) and trochanteric fractured cases (n=52), respectively. Panels (c) and (d) show the corresponding statistical significance map using a </w:t>
      </w:r>
      <w:r w:rsidRPr="00556923">
        <w:rPr>
          <w:sz w:val="24"/>
          <w:szCs w:val="24"/>
          <w:lang w:val="en-US" w:bidi="fa-IR"/>
        </w:rPr>
        <w:t>Mann Whitney U test</w:t>
      </w:r>
      <w:r w:rsidRPr="00556923">
        <w:rPr>
          <w:rStyle w:val="Cap"/>
          <w:sz w:val="24"/>
          <w:szCs w:val="24"/>
          <w:lang w:val="en-US"/>
        </w:rPr>
        <w:t xml:space="preserve"> </w:t>
      </w:r>
      <w:r w:rsidRPr="00556923">
        <w:rPr>
          <w:sz w:val="24"/>
          <w:szCs w:val="24"/>
        </w:rPr>
        <w:t>followed by F</w:t>
      </w:r>
      <w:r w:rsidR="00F314C1">
        <w:rPr>
          <w:sz w:val="24"/>
          <w:szCs w:val="24"/>
        </w:rPr>
        <w:t xml:space="preserve">alse </w:t>
      </w:r>
      <w:r w:rsidRPr="00556923">
        <w:rPr>
          <w:sz w:val="24"/>
          <w:szCs w:val="24"/>
        </w:rPr>
        <w:t>D</w:t>
      </w:r>
      <w:r w:rsidR="00F314C1">
        <w:rPr>
          <w:sz w:val="24"/>
          <w:szCs w:val="24"/>
        </w:rPr>
        <w:t xml:space="preserve">iscovery </w:t>
      </w:r>
      <w:r w:rsidRPr="00556923">
        <w:rPr>
          <w:sz w:val="24"/>
          <w:szCs w:val="24"/>
        </w:rPr>
        <w:t>R</w:t>
      </w:r>
      <w:r w:rsidR="00F314C1">
        <w:rPr>
          <w:sz w:val="24"/>
          <w:szCs w:val="24"/>
        </w:rPr>
        <w:t>ate (FDR)</w:t>
      </w:r>
      <w:r w:rsidRPr="00556923">
        <w:rPr>
          <w:sz w:val="24"/>
          <w:szCs w:val="24"/>
        </w:rPr>
        <w:t xml:space="preserve"> analysis. In panel (c), a local pattern of </w:t>
      </w:r>
      <w:r w:rsidR="0033155D">
        <w:rPr>
          <w:sz w:val="24"/>
          <w:szCs w:val="24"/>
        </w:rPr>
        <w:t>BMD deficiency</w:t>
      </w:r>
      <w:r w:rsidRPr="00556923">
        <w:rPr>
          <w:sz w:val="24"/>
          <w:szCs w:val="24"/>
        </w:rPr>
        <w:t xml:space="preserve"> was observed in the same orientation as </w:t>
      </w:r>
      <w:r w:rsidR="00CF6985">
        <w:rPr>
          <w:sz w:val="24"/>
          <w:szCs w:val="24"/>
        </w:rPr>
        <w:t xml:space="preserve">the </w:t>
      </w:r>
      <w:r w:rsidRPr="00556923">
        <w:rPr>
          <w:sz w:val="24"/>
          <w:szCs w:val="24"/>
        </w:rPr>
        <w:t xml:space="preserve">principal tensile </w:t>
      </w:r>
      <w:r w:rsidR="00CF6985">
        <w:rPr>
          <w:sz w:val="24"/>
          <w:szCs w:val="24"/>
        </w:rPr>
        <w:t>trabeculae</w:t>
      </w:r>
      <w:r w:rsidRPr="00556923">
        <w:rPr>
          <w:sz w:val="24"/>
          <w:szCs w:val="24"/>
        </w:rPr>
        <w:t xml:space="preserve"> </w:t>
      </w:r>
      <w:r w:rsidR="001C3A5C">
        <w:rPr>
          <w:sz w:val="24"/>
          <w:szCs w:val="24"/>
        </w:rPr>
        <w:t xml:space="preserve">described </w:t>
      </w:r>
      <w:r w:rsidRPr="00556923">
        <w:rPr>
          <w:sz w:val="24"/>
          <w:szCs w:val="24"/>
        </w:rPr>
        <w:t xml:space="preserve">in </w:t>
      </w:r>
      <w:r w:rsidR="001C3A5C">
        <w:rPr>
          <w:sz w:val="24"/>
          <w:szCs w:val="24"/>
        </w:rPr>
        <w:t>plain</w:t>
      </w:r>
      <w:r w:rsidRPr="00556923">
        <w:rPr>
          <w:sz w:val="24"/>
          <w:szCs w:val="24"/>
        </w:rPr>
        <w:t xml:space="preserve"> radiograph</w:t>
      </w:r>
      <w:r w:rsidR="001C3A5C">
        <w:rPr>
          <w:sz w:val="24"/>
          <w:szCs w:val="24"/>
        </w:rPr>
        <w:t>s of the hip</w:t>
      </w:r>
      <w:r w:rsidRPr="00556923">
        <w:rPr>
          <w:sz w:val="24"/>
          <w:szCs w:val="24"/>
        </w:rPr>
        <w:t>.</w:t>
      </w:r>
      <w:r w:rsidR="000F3163">
        <w:rPr>
          <w:sz w:val="24"/>
          <w:szCs w:val="24"/>
        </w:rPr>
        <w:fldChar w:fldCharType="begin" w:fldLock="1"/>
      </w:r>
      <w:r w:rsidR="000F3163">
        <w:rPr>
          <w:sz w:val="24"/>
          <w:szCs w:val="24"/>
        </w:rPr>
        <w:instrText>ADDIN CSL_CITATION {"citationItems":[{"id":"ITEM-1","itemData":{"author":[{"dropping-particle":"","family":"Singh","given":"Manmohan","non-dropping-particle":"","parse-names":false,"suffix":""},{"dropping-particle":"","family":"Nagrath","given":"A\\_R","non-dropping-particle":"","parse-names":false,"suffix":""},{"dropping-particle":"","family":"Maini","given":"PS","non-dropping-particle":"","parse-names":false,"suffix":""}],"container-title":"The Journal of Bone and Joint Surgery","id":"ITEM-1","issue":"3","issued":{"date-parts":[["1970"]]},"page":"457-467","title":"Changes in trabecular pattern of the upper end of the femur as an index of osteoporosis","type":"article-journal","volume":"52"},"uris":["http://www.mendeley.com/documents/?uuid=0b35ee54-11e1-475b-8629-1108fd995654"]}],"mendeley":{"formattedCitation":"&lt;sup&gt;(38)&lt;/sup&gt;","plainTextFormattedCitation":"(38)"},"properties":{"noteIndex":0},"schema":"https://github.com/citation-style-language/schema/raw/master/csl-citation.json"}</w:instrText>
      </w:r>
      <w:r w:rsidR="000F3163">
        <w:rPr>
          <w:sz w:val="24"/>
          <w:szCs w:val="24"/>
        </w:rPr>
        <w:fldChar w:fldCharType="separate"/>
      </w:r>
      <w:r w:rsidR="000F3163" w:rsidRPr="000F3163">
        <w:rPr>
          <w:noProof/>
          <w:sz w:val="24"/>
          <w:szCs w:val="24"/>
          <w:vertAlign w:val="superscript"/>
        </w:rPr>
        <w:t>(38)</w:t>
      </w:r>
      <w:r w:rsidR="000F3163">
        <w:rPr>
          <w:sz w:val="24"/>
          <w:szCs w:val="24"/>
        </w:rPr>
        <w:fldChar w:fldCharType="end"/>
      </w:r>
      <w:r w:rsidRPr="00556923">
        <w:rPr>
          <w:sz w:val="24"/>
          <w:szCs w:val="24"/>
        </w:rPr>
        <w:t xml:space="preserve"> In panel (d), widespread </w:t>
      </w:r>
      <w:r w:rsidR="00E353C2">
        <w:rPr>
          <w:sz w:val="24"/>
          <w:szCs w:val="24"/>
        </w:rPr>
        <w:t>BMD deficiency</w:t>
      </w:r>
      <w:r w:rsidRPr="00556923">
        <w:rPr>
          <w:sz w:val="24"/>
          <w:szCs w:val="24"/>
        </w:rPr>
        <w:t xml:space="preserve"> was observed in the trochanteric region. Panels (e) and (f) show the PP plot for the FDR analysis. In case of no significant difference, the </w:t>
      </w:r>
      <w:r w:rsidR="000C0C7D">
        <w:rPr>
          <w:sz w:val="24"/>
          <w:szCs w:val="24"/>
        </w:rPr>
        <w:t>solid black</w:t>
      </w:r>
      <w:r w:rsidRPr="00556923">
        <w:rPr>
          <w:sz w:val="24"/>
          <w:szCs w:val="24"/>
        </w:rPr>
        <w:t xml:space="preserve"> </w:t>
      </w:r>
      <w:r w:rsidR="00141FD1">
        <w:rPr>
          <w:sz w:val="24"/>
          <w:szCs w:val="24"/>
        </w:rPr>
        <w:t xml:space="preserve">curve </w:t>
      </w:r>
      <w:r w:rsidRPr="00556923">
        <w:rPr>
          <w:sz w:val="24"/>
          <w:szCs w:val="24"/>
        </w:rPr>
        <w:t xml:space="preserve">should follow the identity </w:t>
      </w:r>
      <w:r w:rsidR="000C0C7D">
        <w:rPr>
          <w:sz w:val="24"/>
          <w:szCs w:val="24"/>
        </w:rPr>
        <w:t>da</w:t>
      </w:r>
      <w:r w:rsidR="00046D62">
        <w:rPr>
          <w:sz w:val="24"/>
          <w:szCs w:val="24"/>
        </w:rPr>
        <w:t xml:space="preserve">shed </w:t>
      </w:r>
      <w:r w:rsidRPr="00556923">
        <w:rPr>
          <w:sz w:val="24"/>
          <w:szCs w:val="24"/>
        </w:rPr>
        <w:t>line.</w:t>
      </w:r>
    </w:p>
    <w:p w14:paraId="76A6BE47" w14:textId="77777777" w:rsidR="008F70F8" w:rsidRDefault="008F70F8">
      <w:pPr>
        <w:spacing w:line="240" w:lineRule="auto"/>
        <w:ind w:firstLine="0"/>
        <w:jc w:val="left"/>
      </w:pPr>
      <w:r>
        <w:br w:type="page"/>
      </w:r>
    </w:p>
    <w:p w14:paraId="0C6741E7" w14:textId="79F8EB46" w:rsidR="00556923" w:rsidRDefault="008F70F8" w:rsidP="008F70F8">
      <w:pPr>
        <w:pStyle w:val="Heading1"/>
      </w:pPr>
      <w:r>
        <w:lastRenderedPageBreak/>
        <w:t>Tables</w:t>
      </w:r>
    </w:p>
    <w:p w14:paraId="4D2FB642" w14:textId="77777777" w:rsidR="0067246E" w:rsidRPr="001A7AAC" w:rsidRDefault="0067246E" w:rsidP="0067246E">
      <w:pPr>
        <w:pStyle w:val="Caption"/>
        <w:jc w:val="center"/>
        <w:rPr>
          <w:smallCaps/>
          <w:sz w:val="22"/>
          <w:szCs w:val="22"/>
        </w:rPr>
      </w:pPr>
      <w:r w:rsidRPr="00893A4E">
        <w:rPr>
          <w:b/>
          <w:bCs/>
          <w:sz w:val="22"/>
          <w:szCs w:val="22"/>
        </w:rPr>
        <w:t>Table 1.</w:t>
      </w:r>
      <w:r w:rsidRPr="00893A4E">
        <w:rPr>
          <w:sz w:val="22"/>
          <w:szCs w:val="22"/>
        </w:rPr>
        <w:t xml:space="preserve"> </w:t>
      </w:r>
      <w:r w:rsidRPr="001A7AAC">
        <w:rPr>
          <w:smallCaps/>
          <w:sz w:val="22"/>
          <w:szCs w:val="22"/>
        </w:rPr>
        <w:t>Characteristics of the Patient Populations Participating in This Study</w:t>
      </w:r>
    </w:p>
    <w:tbl>
      <w:tblPr>
        <w:tblW w:w="0" w:type="auto"/>
        <w:jc w:val="center"/>
        <w:tblCellMar>
          <w:left w:w="0" w:type="dxa"/>
          <w:right w:w="0" w:type="dxa"/>
        </w:tblCellMar>
        <w:tblLook w:val="04A0" w:firstRow="1" w:lastRow="0" w:firstColumn="1" w:lastColumn="0" w:noHBand="0" w:noVBand="1"/>
      </w:tblPr>
      <w:tblGrid>
        <w:gridCol w:w="1873"/>
        <w:gridCol w:w="666"/>
        <w:gridCol w:w="1018"/>
        <w:gridCol w:w="1099"/>
        <w:gridCol w:w="1435"/>
        <w:gridCol w:w="1439"/>
        <w:gridCol w:w="1480"/>
      </w:tblGrid>
      <w:tr w:rsidR="0067246E" w:rsidRPr="0001438A" w14:paraId="1EC59692" w14:textId="77777777" w:rsidTr="003D7B30">
        <w:trPr>
          <w:trHeight w:val="57"/>
          <w:jc w:val="center"/>
        </w:trPr>
        <w:tc>
          <w:tcPr>
            <w:tcW w:w="1873" w:type="dxa"/>
            <w:tcBorders>
              <w:top w:val="single" w:sz="8" w:space="0" w:color="FFFFFF"/>
              <w:left w:val="single" w:sz="8" w:space="0" w:color="FFFFFF"/>
              <w:bottom w:val="single" w:sz="12" w:space="0" w:color="auto"/>
              <w:right w:val="single" w:sz="12" w:space="0" w:color="auto"/>
            </w:tcBorders>
            <w:shd w:val="clear" w:color="auto" w:fill="auto"/>
            <w:tcMar>
              <w:top w:w="15" w:type="dxa"/>
              <w:left w:w="108" w:type="dxa"/>
              <w:bottom w:w="0" w:type="dxa"/>
              <w:right w:w="108" w:type="dxa"/>
            </w:tcMar>
            <w:hideMark/>
          </w:tcPr>
          <w:p w14:paraId="3A6FE2DC" w14:textId="77777777" w:rsidR="0067246E" w:rsidRPr="0001438A" w:rsidRDefault="0067246E" w:rsidP="003D7B30">
            <w:pPr>
              <w:spacing w:line="240" w:lineRule="auto"/>
              <w:ind w:firstLine="0"/>
              <w:jc w:val="left"/>
              <w:rPr>
                <w:rFonts w:eastAsia="Times New Roman"/>
                <w:sz w:val="20"/>
                <w:szCs w:val="20"/>
                <w:lang w:eastAsia="en-GB"/>
              </w:rPr>
            </w:pPr>
            <w:r w:rsidRPr="0001438A">
              <w:rPr>
                <w:rFonts w:eastAsia="Times New Roman"/>
                <w:b/>
                <w:bCs/>
                <w:kern w:val="24"/>
                <w:sz w:val="20"/>
                <w:szCs w:val="20"/>
                <w:lang w:eastAsia="en-GB"/>
              </w:rPr>
              <w:t> </w:t>
            </w:r>
          </w:p>
        </w:tc>
        <w:tc>
          <w:tcPr>
            <w:tcW w:w="666" w:type="dxa"/>
            <w:tcBorders>
              <w:top w:val="single" w:sz="8" w:space="0" w:color="FFFFFF"/>
              <w:left w:val="single" w:sz="12" w:space="0" w:color="auto"/>
              <w:bottom w:val="single" w:sz="12" w:space="0" w:color="auto"/>
              <w:right w:val="single" w:sz="12" w:space="0" w:color="auto"/>
            </w:tcBorders>
            <w:shd w:val="clear" w:color="auto" w:fill="auto"/>
            <w:tcMar>
              <w:top w:w="15" w:type="dxa"/>
              <w:left w:w="108" w:type="dxa"/>
              <w:bottom w:w="0" w:type="dxa"/>
              <w:right w:w="108" w:type="dxa"/>
            </w:tcMar>
            <w:vAlign w:val="center"/>
            <w:hideMark/>
          </w:tcPr>
          <w:p w14:paraId="715EE670" w14:textId="77777777" w:rsidR="0067246E" w:rsidRPr="0001438A" w:rsidRDefault="0067246E" w:rsidP="003D7B30">
            <w:pPr>
              <w:spacing w:line="240" w:lineRule="auto"/>
              <w:ind w:firstLine="0"/>
              <w:jc w:val="center"/>
              <w:rPr>
                <w:rFonts w:eastAsia="Times New Roman"/>
                <w:sz w:val="20"/>
                <w:szCs w:val="20"/>
                <w:lang w:eastAsia="en-GB"/>
              </w:rPr>
            </w:pPr>
            <w:r>
              <w:rPr>
                <w:rFonts w:eastAsia="Times New Roman"/>
                <w:sz w:val="20"/>
                <w:szCs w:val="20"/>
                <w:lang w:eastAsia="en-GB"/>
              </w:rPr>
              <w:t>N</w:t>
            </w:r>
          </w:p>
        </w:tc>
        <w:tc>
          <w:tcPr>
            <w:tcW w:w="1018" w:type="dxa"/>
            <w:tcBorders>
              <w:top w:val="single" w:sz="8" w:space="0" w:color="FFFFFF"/>
              <w:left w:val="single" w:sz="12" w:space="0" w:color="auto"/>
              <w:bottom w:val="single" w:sz="12" w:space="0" w:color="auto"/>
              <w:right w:val="single" w:sz="12" w:space="0" w:color="auto"/>
            </w:tcBorders>
            <w:vAlign w:val="center"/>
          </w:tcPr>
          <w:p w14:paraId="60BB52B1" w14:textId="77777777" w:rsidR="0067246E" w:rsidRDefault="0067246E" w:rsidP="003D7B30">
            <w:pPr>
              <w:spacing w:line="240" w:lineRule="auto"/>
              <w:ind w:firstLine="0"/>
              <w:jc w:val="center"/>
              <w:rPr>
                <w:rFonts w:eastAsia="Times New Roman"/>
                <w:b/>
                <w:bCs/>
                <w:kern w:val="24"/>
                <w:sz w:val="20"/>
                <w:szCs w:val="20"/>
                <w:lang w:eastAsia="en-GB"/>
              </w:rPr>
            </w:pPr>
            <w:r>
              <w:rPr>
                <w:rFonts w:eastAsia="Times New Roman"/>
                <w:b/>
                <w:bCs/>
                <w:kern w:val="24"/>
                <w:sz w:val="20"/>
                <w:szCs w:val="20"/>
                <w:lang w:eastAsia="en-GB"/>
              </w:rPr>
              <w:t>Gender</w:t>
            </w:r>
          </w:p>
        </w:tc>
        <w:tc>
          <w:tcPr>
            <w:tcW w:w="1099" w:type="dxa"/>
            <w:tcBorders>
              <w:top w:val="single" w:sz="8" w:space="0" w:color="FFFFFF"/>
              <w:left w:val="single" w:sz="12" w:space="0" w:color="auto"/>
              <w:bottom w:val="single" w:sz="12" w:space="0" w:color="auto"/>
              <w:right w:val="single" w:sz="12" w:space="0" w:color="auto"/>
            </w:tcBorders>
            <w:shd w:val="clear" w:color="auto" w:fill="auto"/>
            <w:tcMar>
              <w:top w:w="15" w:type="dxa"/>
              <w:left w:w="108" w:type="dxa"/>
              <w:bottom w:w="0" w:type="dxa"/>
              <w:right w:w="108" w:type="dxa"/>
            </w:tcMar>
            <w:vAlign w:val="center"/>
            <w:hideMark/>
          </w:tcPr>
          <w:p w14:paraId="0D6041D2" w14:textId="77777777" w:rsidR="0067246E" w:rsidRDefault="0067246E" w:rsidP="003D7B30">
            <w:pPr>
              <w:spacing w:line="240" w:lineRule="auto"/>
              <w:ind w:firstLine="0"/>
              <w:jc w:val="center"/>
              <w:rPr>
                <w:rFonts w:eastAsia="Times New Roman"/>
                <w:b/>
                <w:bCs/>
                <w:kern w:val="24"/>
                <w:sz w:val="20"/>
                <w:szCs w:val="20"/>
                <w:lang w:eastAsia="en-GB"/>
              </w:rPr>
            </w:pPr>
            <w:r>
              <w:rPr>
                <w:rFonts w:eastAsia="Times New Roman"/>
                <w:b/>
                <w:bCs/>
                <w:kern w:val="24"/>
                <w:sz w:val="20"/>
                <w:szCs w:val="20"/>
                <w:lang w:eastAsia="en-GB"/>
              </w:rPr>
              <w:t>Age Span</w:t>
            </w:r>
          </w:p>
          <w:p w14:paraId="40C9CFE2" w14:textId="77777777" w:rsidR="0067246E" w:rsidRPr="0001438A" w:rsidRDefault="0067246E" w:rsidP="003D7B30">
            <w:pPr>
              <w:spacing w:line="240" w:lineRule="auto"/>
              <w:ind w:firstLine="0"/>
              <w:jc w:val="center"/>
              <w:rPr>
                <w:rFonts w:eastAsia="Times New Roman"/>
                <w:sz w:val="20"/>
                <w:szCs w:val="20"/>
                <w:lang w:eastAsia="en-GB"/>
              </w:rPr>
            </w:pPr>
            <w:r>
              <w:rPr>
                <w:rFonts w:eastAsia="Times New Roman"/>
                <w:b/>
                <w:bCs/>
                <w:kern w:val="24"/>
                <w:sz w:val="20"/>
                <w:szCs w:val="20"/>
                <w:lang w:eastAsia="en-GB"/>
              </w:rPr>
              <w:t>[years]</w:t>
            </w:r>
          </w:p>
        </w:tc>
        <w:tc>
          <w:tcPr>
            <w:tcW w:w="1435" w:type="dxa"/>
            <w:tcBorders>
              <w:top w:val="single" w:sz="8" w:space="0" w:color="FFFFFF"/>
              <w:left w:val="single" w:sz="12" w:space="0" w:color="auto"/>
              <w:bottom w:val="single" w:sz="12" w:space="0" w:color="auto"/>
              <w:right w:val="single" w:sz="12" w:space="0" w:color="auto"/>
            </w:tcBorders>
            <w:vAlign w:val="center"/>
          </w:tcPr>
          <w:p w14:paraId="1938EC97" w14:textId="77777777" w:rsidR="0067246E" w:rsidRPr="0001438A" w:rsidRDefault="0067246E" w:rsidP="003D7B30">
            <w:pPr>
              <w:spacing w:line="240" w:lineRule="auto"/>
              <w:ind w:firstLine="0"/>
              <w:jc w:val="center"/>
              <w:rPr>
                <w:rFonts w:eastAsia="Times New Roman"/>
                <w:b/>
                <w:bCs/>
                <w:kern w:val="24"/>
                <w:sz w:val="20"/>
                <w:szCs w:val="20"/>
                <w:lang w:eastAsia="en-GB"/>
              </w:rPr>
            </w:pPr>
            <w:r>
              <w:rPr>
                <w:rFonts w:eastAsia="Times New Roman"/>
                <w:b/>
                <w:bCs/>
                <w:kern w:val="24"/>
                <w:sz w:val="20"/>
                <w:szCs w:val="20"/>
                <w:lang w:eastAsia="en-GB"/>
              </w:rPr>
              <w:t>Age Mean (SD)</w:t>
            </w:r>
            <w:r>
              <w:rPr>
                <w:rFonts w:eastAsia="Times New Roman"/>
                <w:b/>
                <w:bCs/>
                <w:kern w:val="24"/>
                <w:sz w:val="20"/>
                <w:szCs w:val="20"/>
                <w:lang w:eastAsia="en-GB"/>
              </w:rPr>
              <w:br/>
              <w:t>[years]</w:t>
            </w:r>
          </w:p>
        </w:tc>
        <w:tc>
          <w:tcPr>
            <w:tcW w:w="1439" w:type="dxa"/>
            <w:tcBorders>
              <w:top w:val="single" w:sz="8" w:space="0" w:color="FFFFFF"/>
              <w:left w:val="single" w:sz="12" w:space="0" w:color="auto"/>
              <w:bottom w:val="single" w:sz="12" w:space="0" w:color="auto"/>
              <w:right w:val="single" w:sz="12" w:space="0" w:color="auto"/>
            </w:tcBorders>
            <w:vAlign w:val="center"/>
          </w:tcPr>
          <w:p w14:paraId="37D92E61" w14:textId="77777777" w:rsidR="0067246E" w:rsidRDefault="0067246E" w:rsidP="003D7B30">
            <w:pPr>
              <w:spacing w:line="240" w:lineRule="auto"/>
              <w:ind w:firstLine="0"/>
              <w:jc w:val="center"/>
              <w:rPr>
                <w:rFonts w:eastAsia="Times New Roman"/>
                <w:b/>
                <w:bCs/>
                <w:kern w:val="24"/>
                <w:sz w:val="20"/>
                <w:szCs w:val="20"/>
                <w:lang w:eastAsia="en-GB"/>
              </w:rPr>
            </w:pPr>
            <w:r>
              <w:rPr>
                <w:rFonts w:eastAsia="Times New Roman"/>
                <w:b/>
                <w:bCs/>
                <w:kern w:val="24"/>
                <w:sz w:val="20"/>
                <w:szCs w:val="20"/>
                <w:lang w:eastAsia="en-GB"/>
              </w:rPr>
              <w:t>Body Mass Index</w:t>
            </w:r>
          </w:p>
          <w:p w14:paraId="21D50AB1" w14:textId="77777777" w:rsidR="0067246E" w:rsidRPr="00F45CF1" w:rsidRDefault="0067246E" w:rsidP="003D7B30">
            <w:pPr>
              <w:spacing w:line="240" w:lineRule="auto"/>
              <w:ind w:firstLine="0"/>
              <w:jc w:val="center"/>
              <w:rPr>
                <w:rFonts w:eastAsia="Times New Roman"/>
                <w:b/>
                <w:bCs/>
                <w:kern w:val="24"/>
                <w:sz w:val="20"/>
                <w:szCs w:val="20"/>
                <w:lang w:eastAsia="en-GB"/>
              </w:rPr>
            </w:pPr>
            <w:r>
              <w:rPr>
                <w:rFonts w:eastAsia="Times New Roman"/>
                <w:b/>
                <w:bCs/>
                <w:kern w:val="24"/>
                <w:sz w:val="20"/>
                <w:szCs w:val="20"/>
                <w:lang w:eastAsia="en-GB"/>
              </w:rPr>
              <w:t>[kg/m</w:t>
            </w:r>
            <w:r>
              <w:rPr>
                <w:rFonts w:eastAsia="Times New Roman"/>
                <w:b/>
                <w:bCs/>
                <w:kern w:val="24"/>
                <w:sz w:val="20"/>
                <w:szCs w:val="20"/>
                <w:vertAlign w:val="superscript"/>
                <w:lang w:eastAsia="en-GB"/>
              </w:rPr>
              <w:t>2</w:t>
            </w:r>
            <w:r>
              <w:rPr>
                <w:rFonts w:eastAsia="Times New Roman"/>
                <w:b/>
                <w:bCs/>
                <w:kern w:val="24"/>
                <w:sz w:val="20"/>
                <w:szCs w:val="20"/>
                <w:lang w:eastAsia="en-GB"/>
              </w:rPr>
              <w:t>]</w:t>
            </w:r>
          </w:p>
        </w:tc>
        <w:tc>
          <w:tcPr>
            <w:tcW w:w="1480" w:type="dxa"/>
            <w:tcBorders>
              <w:top w:val="single" w:sz="8" w:space="0" w:color="FFFFFF"/>
              <w:left w:val="single" w:sz="12" w:space="0" w:color="auto"/>
              <w:bottom w:val="single" w:sz="12" w:space="0" w:color="auto"/>
            </w:tcBorders>
            <w:shd w:val="clear" w:color="auto" w:fill="auto"/>
            <w:tcMar>
              <w:top w:w="15" w:type="dxa"/>
              <w:left w:w="108" w:type="dxa"/>
              <w:bottom w:w="0" w:type="dxa"/>
              <w:right w:w="108" w:type="dxa"/>
            </w:tcMar>
            <w:vAlign w:val="center"/>
          </w:tcPr>
          <w:p w14:paraId="0507FEC6" w14:textId="77777777" w:rsidR="0067246E" w:rsidRPr="00B151E5" w:rsidRDefault="0067246E" w:rsidP="003D7B30">
            <w:pPr>
              <w:spacing w:line="240" w:lineRule="auto"/>
              <w:ind w:firstLine="0"/>
              <w:jc w:val="center"/>
              <w:rPr>
                <w:rFonts w:eastAsia="Times New Roman"/>
                <w:b/>
                <w:bCs/>
                <w:sz w:val="20"/>
                <w:szCs w:val="20"/>
                <w:lang w:eastAsia="en-GB"/>
              </w:rPr>
            </w:pPr>
            <w:r w:rsidRPr="00B151E5">
              <w:rPr>
                <w:rFonts w:eastAsia="Times New Roman"/>
                <w:b/>
                <w:bCs/>
                <w:sz w:val="20"/>
                <w:szCs w:val="20"/>
                <w:lang w:eastAsia="en-GB"/>
              </w:rPr>
              <w:t>#</w:t>
            </w:r>
            <w:r>
              <w:rPr>
                <w:rFonts w:eastAsia="Times New Roman"/>
                <w:b/>
                <w:bCs/>
                <w:sz w:val="20"/>
                <w:szCs w:val="20"/>
                <w:lang w:eastAsia="en-GB"/>
              </w:rPr>
              <w:t>Hip F</w:t>
            </w:r>
            <w:r w:rsidRPr="00B151E5">
              <w:rPr>
                <w:rFonts w:eastAsia="Times New Roman"/>
                <w:b/>
                <w:bCs/>
                <w:sz w:val="20"/>
                <w:szCs w:val="20"/>
                <w:lang w:eastAsia="en-GB"/>
              </w:rPr>
              <w:t>ractures</w:t>
            </w:r>
          </w:p>
        </w:tc>
      </w:tr>
      <w:tr w:rsidR="0067246E" w:rsidRPr="0001438A" w14:paraId="354B1822" w14:textId="77777777" w:rsidTr="003D7B30">
        <w:trPr>
          <w:trHeight w:val="454"/>
          <w:jc w:val="center"/>
        </w:trPr>
        <w:tc>
          <w:tcPr>
            <w:tcW w:w="1873" w:type="dxa"/>
            <w:tcBorders>
              <w:top w:val="single" w:sz="8" w:space="0" w:color="FFFFFF"/>
              <w:left w:val="single" w:sz="8" w:space="0" w:color="FFFFFF"/>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1D2E3210" w14:textId="77777777" w:rsidR="0067246E" w:rsidRPr="0001438A" w:rsidRDefault="0067246E" w:rsidP="003D7B30">
            <w:pPr>
              <w:spacing w:line="240" w:lineRule="auto"/>
              <w:ind w:firstLine="0"/>
              <w:jc w:val="left"/>
              <w:rPr>
                <w:rFonts w:eastAsia="Times New Roman"/>
                <w:sz w:val="20"/>
                <w:szCs w:val="20"/>
                <w:lang w:eastAsia="en-GB"/>
              </w:rPr>
            </w:pPr>
            <w:r>
              <w:rPr>
                <w:rFonts w:eastAsia="Times New Roman"/>
                <w:b/>
                <w:bCs/>
                <w:kern w:val="24"/>
                <w:sz w:val="20"/>
                <w:szCs w:val="20"/>
                <w:lang w:eastAsia="en-GB"/>
              </w:rPr>
              <w:t>UK Biobank Study</w:t>
            </w:r>
          </w:p>
        </w:tc>
        <w:tc>
          <w:tcPr>
            <w:tcW w:w="666"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10434D2F" w14:textId="77777777" w:rsidR="0067246E" w:rsidRPr="007856F6" w:rsidRDefault="0067246E" w:rsidP="003D7B30">
            <w:pPr>
              <w:spacing w:line="240" w:lineRule="auto"/>
              <w:ind w:firstLine="0"/>
              <w:jc w:val="center"/>
              <w:rPr>
                <w:rFonts w:eastAsia="Times New Roman"/>
                <w:sz w:val="20"/>
                <w:szCs w:val="20"/>
                <w:lang w:eastAsia="en-GB"/>
              </w:rPr>
            </w:pPr>
            <w:r w:rsidRPr="007856F6">
              <w:rPr>
                <w:kern w:val="24"/>
                <w:sz w:val="20"/>
                <w:szCs w:val="20"/>
                <w:lang w:eastAsia="en-GB"/>
              </w:rPr>
              <w:t>6,918</w:t>
            </w:r>
          </w:p>
        </w:tc>
        <w:tc>
          <w:tcPr>
            <w:tcW w:w="1018"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vAlign w:val="center"/>
          </w:tcPr>
          <w:p w14:paraId="00F4AE7D" w14:textId="77777777" w:rsidR="0067246E" w:rsidRPr="007856F6" w:rsidRDefault="0067246E" w:rsidP="003D7B30">
            <w:pPr>
              <w:spacing w:line="240" w:lineRule="auto"/>
              <w:ind w:firstLine="0"/>
              <w:jc w:val="center"/>
              <w:rPr>
                <w:rFonts w:eastAsia="Times New Roman"/>
                <w:sz w:val="20"/>
                <w:szCs w:val="20"/>
                <w:lang w:eastAsia="en-GB"/>
              </w:rPr>
            </w:pPr>
            <w:r>
              <w:rPr>
                <w:rFonts w:eastAsia="Times New Roman"/>
                <w:sz w:val="20"/>
                <w:szCs w:val="20"/>
                <w:lang w:eastAsia="en-GB"/>
              </w:rPr>
              <w:t>Female</w:t>
            </w:r>
          </w:p>
        </w:tc>
        <w:tc>
          <w:tcPr>
            <w:tcW w:w="1099"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45D69D8B" w14:textId="77777777" w:rsidR="0067246E" w:rsidRPr="007856F6" w:rsidRDefault="0067246E" w:rsidP="003D7B30">
            <w:pPr>
              <w:spacing w:line="240" w:lineRule="auto"/>
              <w:ind w:firstLine="0"/>
              <w:jc w:val="center"/>
              <w:rPr>
                <w:rFonts w:eastAsia="Times New Roman"/>
                <w:sz w:val="20"/>
                <w:szCs w:val="20"/>
                <w:lang w:eastAsia="en-GB"/>
              </w:rPr>
            </w:pPr>
            <w:r w:rsidRPr="007856F6">
              <w:rPr>
                <w:rFonts w:eastAsia="Times New Roman"/>
                <w:sz w:val="20"/>
                <w:szCs w:val="20"/>
                <w:lang w:eastAsia="en-GB"/>
              </w:rPr>
              <w:t>45-80</w:t>
            </w:r>
          </w:p>
        </w:tc>
        <w:tc>
          <w:tcPr>
            <w:tcW w:w="1435"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vAlign w:val="center"/>
          </w:tcPr>
          <w:p w14:paraId="5566B6D0" w14:textId="77777777" w:rsidR="0067246E" w:rsidRPr="007856F6" w:rsidRDefault="0067246E" w:rsidP="003D7B30">
            <w:pPr>
              <w:spacing w:line="240" w:lineRule="auto"/>
              <w:ind w:firstLine="0"/>
              <w:jc w:val="center"/>
              <w:rPr>
                <w:rFonts w:eastAsia="Times New Roman"/>
                <w:kern w:val="24"/>
                <w:sz w:val="20"/>
                <w:szCs w:val="20"/>
                <w:lang w:eastAsia="en-GB"/>
              </w:rPr>
            </w:pPr>
            <w:r w:rsidRPr="007856F6">
              <w:rPr>
                <w:rFonts w:eastAsia="Times New Roman"/>
                <w:kern w:val="24"/>
                <w:sz w:val="20"/>
                <w:szCs w:val="20"/>
                <w:lang w:eastAsia="en-GB"/>
              </w:rPr>
              <w:t>62 (7.3)</w:t>
            </w:r>
          </w:p>
        </w:tc>
        <w:tc>
          <w:tcPr>
            <w:tcW w:w="1439"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vAlign w:val="center"/>
          </w:tcPr>
          <w:p w14:paraId="60801C48" w14:textId="77777777" w:rsidR="0067246E" w:rsidRPr="0001438A" w:rsidRDefault="0067246E" w:rsidP="003D7B30">
            <w:pPr>
              <w:spacing w:line="240" w:lineRule="auto"/>
              <w:ind w:firstLine="0"/>
              <w:jc w:val="center"/>
              <w:rPr>
                <w:rFonts w:eastAsia="Times New Roman"/>
                <w:kern w:val="24"/>
                <w:sz w:val="20"/>
                <w:szCs w:val="20"/>
                <w:lang w:eastAsia="en-GB"/>
              </w:rPr>
            </w:pPr>
            <w:r>
              <w:rPr>
                <w:rFonts w:eastAsia="Times New Roman"/>
                <w:kern w:val="24"/>
                <w:sz w:val="20"/>
                <w:szCs w:val="20"/>
                <w:lang w:eastAsia="en-GB"/>
              </w:rPr>
              <w:t>25.7 (4.7)</w:t>
            </w:r>
          </w:p>
        </w:tc>
        <w:tc>
          <w:tcPr>
            <w:tcW w:w="1480" w:type="dxa"/>
            <w:tcBorders>
              <w:top w:val="single" w:sz="12" w:space="0" w:color="auto"/>
              <w:left w:val="single" w:sz="12" w:space="0" w:color="auto"/>
              <w:bottom w:val="single" w:sz="8" w:space="0" w:color="FFFFFF"/>
            </w:tcBorders>
            <w:shd w:val="clear" w:color="auto" w:fill="D0CECE" w:themeFill="background2" w:themeFillShade="E6"/>
            <w:tcMar>
              <w:top w:w="15" w:type="dxa"/>
              <w:left w:w="108" w:type="dxa"/>
              <w:bottom w:w="0" w:type="dxa"/>
              <w:right w:w="108" w:type="dxa"/>
            </w:tcMar>
            <w:vAlign w:val="center"/>
          </w:tcPr>
          <w:p w14:paraId="2DC9E461" w14:textId="77777777" w:rsidR="0067246E" w:rsidRPr="0001438A" w:rsidRDefault="0067246E" w:rsidP="003D7B30">
            <w:pPr>
              <w:spacing w:line="240" w:lineRule="auto"/>
              <w:ind w:firstLine="0"/>
              <w:jc w:val="center"/>
              <w:rPr>
                <w:rFonts w:eastAsia="Times New Roman"/>
                <w:sz w:val="20"/>
                <w:szCs w:val="20"/>
                <w:lang w:eastAsia="en-GB"/>
              </w:rPr>
            </w:pPr>
            <w:r>
              <w:rPr>
                <w:rFonts w:eastAsia="Times New Roman"/>
                <w:sz w:val="20"/>
                <w:szCs w:val="20"/>
                <w:lang w:eastAsia="en-GB"/>
              </w:rPr>
              <w:t>27</w:t>
            </w:r>
          </w:p>
        </w:tc>
      </w:tr>
      <w:tr w:rsidR="0067246E" w:rsidRPr="0001438A" w14:paraId="2E9FC9C3" w14:textId="77777777" w:rsidTr="003D7B30">
        <w:trPr>
          <w:trHeight w:val="454"/>
          <w:jc w:val="center"/>
        </w:trPr>
        <w:tc>
          <w:tcPr>
            <w:tcW w:w="1873" w:type="dxa"/>
            <w:tcBorders>
              <w:top w:val="single" w:sz="8" w:space="0" w:color="FFFFFF"/>
              <w:left w:val="single" w:sz="8" w:space="0" w:color="FFFFFF"/>
              <w:bottom w:val="single" w:sz="8" w:space="0" w:color="FFFFFF"/>
              <w:right w:val="single" w:sz="12" w:space="0" w:color="auto"/>
            </w:tcBorders>
            <w:shd w:val="clear" w:color="auto" w:fill="auto"/>
            <w:tcMar>
              <w:top w:w="15" w:type="dxa"/>
              <w:left w:w="108" w:type="dxa"/>
              <w:bottom w:w="0" w:type="dxa"/>
              <w:right w:w="108" w:type="dxa"/>
            </w:tcMar>
            <w:vAlign w:val="center"/>
            <w:hideMark/>
          </w:tcPr>
          <w:p w14:paraId="1CE9A15A" w14:textId="77777777" w:rsidR="0067246E" w:rsidRPr="0001438A" w:rsidRDefault="0067246E" w:rsidP="003D7B30">
            <w:pPr>
              <w:spacing w:line="240" w:lineRule="auto"/>
              <w:ind w:firstLine="0"/>
              <w:jc w:val="left"/>
              <w:rPr>
                <w:rFonts w:eastAsia="Times New Roman"/>
                <w:sz w:val="20"/>
                <w:szCs w:val="20"/>
                <w:lang w:eastAsia="en-GB"/>
              </w:rPr>
            </w:pPr>
            <w:r>
              <w:rPr>
                <w:rFonts w:eastAsia="Times New Roman"/>
                <w:b/>
                <w:bCs/>
                <w:kern w:val="24"/>
                <w:sz w:val="20"/>
                <w:szCs w:val="20"/>
                <w:lang w:eastAsia="en-GB"/>
              </w:rPr>
              <w:t>MRC-Hip Study</w:t>
            </w:r>
          </w:p>
        </w:tc>
        <w:tc>
          <w:tcPr>
            <w:tcW w:w="666" w:type="dxa"/>
            <w:tcBorders>
              <w:top w:val="single" w:sz="8" w:space="0" w:color="FFFFFF"/>
              <w:left w:val="single" w:sz="12" w:space="0" w:color="auto"/>
              <w:bottom w:val="single" w:sz="8" w:space="0" w:color="FFFFFF"/>
              <w:right w:val="single" w:sz="12" w:space="0" w:color="auto"/>
            </w:tcBorders>
            <w:shd w:val="clear" w:color="auto" w:fill="auto"/>
            <w:tcMar>
              <w:top w:w="15" w:type="dxa"/>
              <w:left w:w="108" w:type="dxa"/>
              <w:bottom w:w="0" w:type="dxa"/>
              <w:right w:w="108" w:type="dxa"/>
            </w:tcMar>
            <w:vAlign w:val="center"/>
            <w:hideMark/>
          </w:tcPr>
          <w:p w14:paraId="49DFBABC" w14:textId="77777777" w:rsidR="0067246E" w:rsidRPr="007856F6" w:rsidRDefault="0067246E" w:rsidP="003D7B30">
            <w:pPr>
              <w:spacing w:line="240" w:lineRule="auto"/>
              <w:ind w:firstLine="0"/>
              <w:jc w:val="center"/>
              <w:rPr>
                <w:rFonts w:eastAsia="Times New Roman"/>
                <w:sz w:val="20"/>
                <w:szCs w:val="20"/>
                <w:lang w:eastAsia="en-GB"/>
              </w:rPr>
            </w:pPr>
            <w:r w:rsidRPr="007856F6">
              <w:rPr>
                <w:kern w:val="24"/>
                <w:sz w:val="20"/>
                <w:szCs w:val="20"/>
                <w:lang w:eastAsia="en-GB"/>
              </w:rPr>
              <w:t>5,018</w:t>
            </w:r>
          </w:p>
        </w:tc>
        <w:tc>
          <w:tcPr>
            <w:tcW w:w="1018" w:type="dxa"/>
            <w:tcBorders>
              <w:top w:val="single" w:sz="8" w:space="0" w:color="FFFFFF"/>
              <w:left w:val="single" w:sz="12" w:space="0" w:color="auto"/>
              <w:bottom w:val="single" w:sz="8" w:space="0" w:color="FFFFFF"/>
              <w:right w:val="single" w:sz="12" w:space="0" w:color="auto"/>
            </w:tcBorders>
            <w:vAlign w:val="center"/>
          </w:tcPr>
          <w:p w14:paraId="270B8B40" w14:textId="77777777" w:rsidR="0067246E" w:rsidRPr="007856F6" w:rsidRDefault="0067246E" w:rsidP="003D7B30">
            <w:pPr>
              <w:spacing w:line="240" w:lineRule="auto"/>
              <w:ind w:firstLine="0"/>
              <w:jc w:val="center"/>
              <w:rPr>
                <w:kern w:val="24"/>
                <w:sz w:val="20"/>
                <w:szCs w:val="20"/>
                <w:lang w:eastAsia="en-GB"/>
              </w:rPr>
            </w:pPr>
            <w:r>
              <w:rPr>
                <w:kern w:val="24"/>
                <w:sz w:val="20"/>
                <w:szCs w:val="20"/>
                <w:lang w:eastAsia="en-GB"/>
              </w:rPr>
              <w:t>Female</w:t>
            </w:r>
          </w:p>
        </w:tc>
        <w:tc>
          <w:tcPr>
            <w:tcW w:w="1099" w:type="dxa"/>
            <w:tcBorders>
              <w:top w:val="single" w:sz="8" w:space="0" w:color="FFFFFF"/>
              <w:left w:val="single" w:sz="12" w:space="0" w:color="auto"/>
              <w:bottom w:val="single" w:sz="8" w:space="0" w:color="FFFFFF"/>
              <w:right w:val="single" w:sz="12" w:space="0" w:color="auto"/>
            </w:tcBorders>
            <w:shd w:val="clear" w:color="auto" w:fill="auto"/>
            <w:tcMar>
              <w:top w:w="15" w:type="dxa"/>
              <w:left w:w="108" w:type="dxa"/>
              <w:bottom w:w="0" w:type="dxa"/>
              <w:right w:w="108" w:type="dxa"/>
            </w:tcMar>
            <w:vAlign w:val="center"/>
            <w:hideMark/>
          </w:tcPr>
          <w:p w14:paraId="00E9DEA3" w14:textId="77777777" w:rsidR="0067246E" w:rsidRPr="007856F6" w:rsidRDefault="0067246E" w:rsidP="003D7B30">
            <w:pPr>
              <w:spacing w:line="240" w:lineRule="auto"/>
              <w:ind w:firstLine="0"/>
              <w:jc w:val="center"/>
              <w:rPr>
                <w:rFonts w:eastAsia="Times New Roman"/>
                <w:sz w:val="20"/>
                <w:szCs w:val="20"/>
                <w:lang w:eastAsia="en-GB"/>
              </w:rPr>
            </w:pPr>
            <w:r w:rsidRPr="007856F6">
              <w:rPr>
                <w:kern w:val="24"/>
                <w:sz w:val="20"/>
                <w:szCs w:val="20"/>
                <w:lang w:eastAsia="en-GB"/>
              </w:rPr>
              <w:t>75-97</w:t>
            </w:r>
          </w:p>
        </w:tc>
        <w:tc>
          <w:tcPr>
            <w:tcW w:w="1435" w:type="dxa"/>
            <w:tcBorders>
              <w:top w:val="single" w:sz="8" w:space="0" w:color="FFFFFF"/>
              <w:left w:val="single" w:sz="12" w:space="0" w:color="auto"/>
              <w:bottom w:val="single" w:sz="8" w:space="0" w:color="FFFFFF"/>
              <w:right w:val="single" w:sz="12" w:space="0" w:color="auto"/>
            </w:tcBorders>
            <w:shd w:val="clear" w:color="auto" w:fill="auto"/>
            <w:vAlign w:val="center"/>
          </w:tcPr>
          <w:p w14:paraId="270EB229" w14:textId="77777777" w:rsidR="0067246E" w:rsidRPr="007856F6" w:rsidRDefault="0067246E" w:rsidP="003D7B30">
            <w:pPr>
              <w:spacing w:line="240" w:lineRule="auto"/>
              <w:ind w:firstLine="0"/>
              <w:jc w:val="center"/>
              <w:rPr>
                <w:rFonts w:eastAsia="Times New Roman"/>
                <w:kern w:val="24"/>
                <w:sz w:val="20"/>
                <w:szCs w:val="20"/>
                <w:lang w:eastAsia="en-GB"/>
              </w:rPr>
            </w:pPr>
            <w:r w:rsidRPr="007856F6">
              <w:rPr>
                <w:rFonts w:eastAsia="Times New Roman"/>
                <w:kern w:val="24"/>
                <w:sz w:val="20"/>
                <w:szCs w:val="20"/>
                <w:lang w:eastAsia="en-GB"/>
              </w:rPr>
              <w:t>80 (3.9)</w:t>
            </w:r>
          </w:p>
        </w:tc>
        <w:tc>
          <w:tcPr>
            <w:tcW w:w="1439" w:type="dxa"/>
            <w:tcBorders>
              <w:top w:val="single" w:sz="8" w:space="0" w:color="FFFFFF"/>
              <w:left w:val="single" w:sz="12" w:space="0" w:color="auto"/>
              <w:bottom w:val="single" w:sz="8" w:space="0" w:color="FFFFFF"/>
              <w:right w:val="single" w:sz="12" w:space="0" w:color="auto"/>
            </w:tcBorders>
            <w:shd w:val="clear" w:color="auto" w:fill="auto"/>
            <w:vAlign w:val="center"/>
          </w:tcPr>
          <w:p w14:paraId="79D5A968" w14:textId="77777777" w:rsidR="0067246E" w:rsidRPr="0001438A" w:rsidRDefault="0067246E" w:rsidP="003D7B30">
            <w:pPr>
              <w:spacing w:line="240" w:lineRule="auto"/>
              <w:ind w:firstLine="0"/>
              <w:jc w:val="center"/>
              <w:rPr>
                <w:rFonts w:eastAsia="Times New Roman"/>
                <w:kern w:val="24"/>
                <w:sz w:val="20"/>
                <w:szCs w:val="20"/>
                <w:lang w:eastAsia="en-GB"/>
              </w:rPr>
            </w:pPr>
            <w:r>
              <w:rPr>
                <w:rFonts w:eastAsia="Times New Roman"/>
                <w:kern w:val="24"/>
                <w:sz w:val="20"/>
                <w:szCs w:val="20"/>
                <w:lang w:eastAsia="en-GB"/>
              </w:rPr>
              <w:t>26.6 (5.2)</w:t>
            </w:r>
          </w:p>
        </w:tc>
        <w:tc>
          <w:tcPr>
            <w:tcW w:w="1480" w:type="dxa"/>
            <w:tcBorders>
              <w:top w:val="single" w:sz="8" w:space="0" w:color="FFFFFF"/>
              <w:left w:val="single" w:sz="12" w:space="0" w:color="auto"/>
              <w:bottom w:val="single" w:sz="8" w:space="0" w:color="FFFFFF"/>
            </w:tcBorders>
            <w:shd w:val="clear" w:color="auto" w:fill="auto"/>
            <w:tcMar>
              <w:top w:w="15" w:type="dxa"/>
              <w:left w:w="108" w:type="dxa"/>
              <w:bottom w:w="0" w:type="dxa"/>
              <w:right w:w="108" w:type="dxa"/>
            </w:tcMar>
            <w:vAlign w:val="center"/>
          </w:tcPr>
          <w:p w14:paraId="14D0F04F" w14:textId="77777777" w:rsidR="0067246E" w:rsidRPr="0001438A" w:rsidRDefault="0067246E" w:rsidP="003D7B30">
            <w:pPr>
              <w:spacing w:line="240" w:lineRule="auto"/>
              <w:ind w:firstLine="0"/>
              <w:jc w:val="center"/>
              <w:rPr>
                <w:rFonts w:eastAsia="Times New Roman"/>
                <w:sz w:val="20"/>
                <w:szCs w:val="20"/>
                <w:lang w:eastAsia="en-GB"/>
              </w:rPr>
            </w:pPr>
            <w:r>
              <w:rPr>
                <w:rFonts w:eastAsia="Times New Roman"/>
                <w:sz w:val="20"/>
                <w:szCs w:val="20"/>
                <w:lang w:eastAsia="en-GB"/>
              </w:rPr>
              <w:t>181</w:t>
            </w:r>
          </w:p>
        </w:tc>
      </w:tr>
      <w:tr w:rsidR="0067246E" w:rsidRPr="0001438A" w14:paraId="5A415C74" w14:textId="77777777" w:rsidTr="003D7B30">
        <w:trPr>
          <w:trHeight w:val="454"/>
          <w:jc w:val="center"/>
        </w:trPr>
        <w:tc>
          <w:tcPr>
            <w:tcW w:w="1873" w:type="dxa"/>
            <w:tcBorders>
              <w:top w:val="single" w:sz="8" w:space="0" w:color="FFFFFF"/>
              <w:left w:val="single" w:sz="8" w:space="0" w:color="FFFFFF"/>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430C071F" w14:textId="77777777" w:rsidR="0067246E" w:rsidRPr="0001438A" w:rsidRDefault="0067246E" w:rsidP="003D7B30">
            <w:pPr>
              <w:spacing w:line="240" w:lineRule="auto"/>
              <w:ind w:firstLine="0"/>
              <w:jc w:val="left"/>
              <w:rPr>
                <w:rFonts w:eastAsia="Times New Roman"/>
                <w:sz w:val="20"/>
                <w:szCs w:val="20"/>
                <w:lang w:eastAsia="en-GB"/>
              </w:rPr>
            </w:pPr>
            <w:r>
              <w:rPr>
                <w:rFonts w:eastAsia="Times New Roman"/>
                <w:b/>
                <w:bCs/>
                <w:kern w:val="24"/>
                <w:sz w:val="20"/>
                <w:szCs w:val="20"/>
                <w:lang w:eastAsia="en-GB"/>
              </w:rPr>
              <w:t>OPUS study-group1</w:t>
            </w:r>
          </w:p>
        </w:tc>
        <w:tc>
          <w:tcPr>
            <w:tcW w:w="666"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3F79FC77" w14:textId="77777777" w:rsidR="0067246E" w:rsidRPr="007856F6" w:rsidRDefault="0067246E" w:rsidP="003D7B30">
            <w:pPr>
              <w:spacing w:line="240" w:lineRule="auto"/>
              <w:ind w:firstLine="0"/>
              <w:jc w:val="center"/>
              <w:rPr>
                <w:rFonts w:eastAsia="Times New Roman"/>
                <w:sz w:val="20"/>
                <w:szCs w:val="20"/>
                <w:lang w:eastAsia="en-GB"/>
              </w:rPr>
            </w:pPr>
            <w:r w:rsidRPr="007856F6">
              <w:rPr>
                <w:kern w:val="24"/>
                <w:sz w:val="20"/>
                <w:szCs w:val="20"/>
                <w:lang w:eastAsia="en-GB"/>
              </w:rPr>
              <w:t>1,189</w:t>
            </w:r>
          </w:p>
        </w:tc>
        <w:tc>
          <w:tcPr>
            <w:tcW w:w="1018"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vAlign w:val="center"/>
          </w:tcPr>
          <w:p w14:paraId="45D730A8" w14:textId="77777777" w:rsidR="0067246E" w:rsidRPr="007856F6" w:rsidRDefault="0067246E" w:rsidP="003D7B30">
            <w:pPr>
              <w:spacing w:line="240" w:lineRule="auto"/>
              <w:ind w:firstLine="0"/>
              <w:jc w:val="center"/>
              <w:rPr>
                <w:rFonts w:eastAsia="Times New Roman"/>
                <w:sz w:val="20"/>
                <w:szCs w:val="20"/>
                <w:lang w:eastAsia="en-GB"/>
              </w:rPr>
            </w:pPr>
            <w:r>
              <w:rPr>
                <w:rFonts w:eastAsia="Times New Roman"/>
                <w:sz w:val="20"/>
                <w:szCs w:val="20"/>
                <w:lang w:eastAsia="en-GB"/>
              </w:rPr>
              <w:t>Female</w:t>
            </w:r>
          </w:p>
        </w:tc>
        <w:tc>
          <w:tcPr>
            <w:tcW w:w="1099"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6B72652F" w14:textId="77777777" w:rsidR="0067246E" w:rsidRPr="007856F6" w:rsidRDefault="0067246E" w:rsidP="003D7B30">
            <w:pPr>
              <w:spacing w:line="240" w:lineRule="auto"/>
              <w:ind w:firstLine="0"/>
              <w:jc w:val="center"/>
              <w:rPr>
                <w:rFonts w:eastAsia="Times New Roman"/>
                <w:sz w:val="20"/>
                <w:szCs w:val="20"/>
                <w:lang w:eastAsia="en-GB"/>
              </w:rPr>
            </w:pPr>
            <w:r w:rsidRPr="007856F6">
              <w:rPr>
                <w:rFonts w:eastAsia="Times New Roman"/>
                <w:sz w:val="20"/>
                <w:szCs w:val="20"/>
                <w:lang w:eastAsia="en-GB"/>
              </w:rPr>
              <w:t>55-79</w:t>
            </w:r>
          </w:p>
        </w:tc>
        <w:tc>
          <w:tcPr>
            <w:tcW w:w="1435"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vAlign w:val="center"/>
          </w:tcPr>
          <w:p w14:paraId="1EA0B935" w14:textId="77777777" w:rsidR="0067246E" w:rsidRPr="007856F6" w:rsidRDefault="0067246E" w:rsidP="003D7B30">
            <w:pPr>
              <w:spacing w:line="240" w:lineRule="auto"/>
              <w:ind w:firstLine="0"/>
              <w:jc w:val="center"/>
              <w:rPr>
                <w:rFonts w:eastAsia="Times New Roman"/>
                <w:kern w:val="24"/>
                <w:sz w:val="20"/>
                <w:szCs w:val="20"/>
                <w:lang w:eastAsia="en-GB"/>
              </w:rPr>
            </w:pPr>
            <w:r w:rsidRPr="007856F6">
              <w:rPr>
                <w:rFonts w:eastAsia="Times New Roman"/>
                <w:kern w:val="24"/>
                <w:sz w:val="20"/>
                <w:szCs w:val="20"/>
                <w:lang w:eastAsia="en-GB"/>
              </w:rPr>
              <w:t>67 (7.1)</w:t>
            </w:r>
          </w:p>
        </w:tc>
        <w:tc>
          <w:tcPr>
            <w:tcW w:w="1439"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vAlign w:val="center"/>
          </w:tcPr>
          <w:p w14:paraId="16EDE6EB" w14:textId="77777777" w:rsidR="0067246E" w:rsidRPr="0066334E" w:rsidRDefault="0067246E" w:rsidP="003D7B30">
            <w:pPr>
              <w:spacing w:line="240" w:lineRule="auto"/>
              <w:ind w:firstLine="0"/>
              <w:jc w:val="center"/>
              <w:rPr>
                <w:rFonts w:eastAsia="Times New Roman"/>
                <w:kern w:val="24"/>
                <w:sz w:val="20"/>
                <w:szCs w:val="20"/>
                <w:lang w:eastAsia="en-GB"/>
              </w:rPr>
            </w:pPr>
            <w:r>
              <w:rPr>
                <w:rFonts w:eastAsia="Times New Roman"/>
                <w:kern w:val="24"/>
                <w:sz w:val="20"/>
                <w:szCs w:val="20"/>
                <w:lang w:eastAsia="en-GB"/>
              </w:rPr>
              <w:t>26.2 (5.2)</w:t>
            </w:r>
          </w:p>
        </w:tc>
        <w:tc>
          <w:tcPr>
            <w:tcW w:w="1480" w:type="dxa"/>
            <w:tcBorders>
              <w:top w:val="single" w:sz="8" w:space="0" w:color="FFFFFF"/>
              <w:left w:val="single" w:sz="12" w:space="0" w:color="auto"/>
              <w:bottom w:val="single" w:sz="8" w:space="0" w:color="FFFFFF"/>
            </w:tcBorders>
            <w:shd w:val="clear" w:color="auto" w:fill="D0CECE" w:themeFill="background2" w:themeFillShade="E6"/>
            <w:tcMar>
              <w:top w:w="15" w:type="dxa"/>
              <w:left w:w="108" w:type="dxa"/>
              <w:bottom w:w="0" w:type="dxa"/>
              <w:right w:w="108" w:type="dxa"/>
            </w:tcMar>
            <w:vAlign w:val="center"/>
          </w:tcPr>
          <w:p w14:paraId="3FC095D8" w14:textId="77777777" w:rsidR="0067246E" w:rsidRPr="0001438A" w:rsidRDefault="0067246E" w:rsidP="003D7B30">
            <w:pPr>
              <w:spacing w:line="240" w:lineRule="auto"/>
              <w:ind w:firstLine="0"/>
              <w:jc w:val="center"/>
              <w:rPr>
                <w:rFonts w:eastAsia="Times New Roman"/>
                <w:sz w:val="20"/>
                <w:szCs w:val="20"/>
                <w:lang w:eastAsia="en-GB"/>
              </w:rPr>
            </w:pPr>
            <w:r>
              <w:rPr>
                <w:rFonts w:eastAsia="Times New Roman"/>
                <w:sz w:val="20"/>
                <w:szCs w:val="20"/>
                <w:lang w:eastAsia="en-GB"/>
              </w:rPr>
              <w:t>-</w:t>
            </w:r>
          </w:p>
        </w:tc>
      </w:tr>
      <w:tr w:rsidR="0067246E" w:rsidRPr="0001438A" w14:paraId="2FA4470D" w14:textId="77777777" w:rsidTr="003D7B30">
        <w:trPr>
          <w:trHeight w:val="454"/>
          <w:jc w:val="center"/>
        </w:trPr>
        <w:tc>
          <w:tcPr>
            <w:tcW w:w="1873" w:type="dxa"/>
            <w:tcBorders>
              <w:top w:val="single" w:sz="8" w:space="0" w:color="FFFFFF"/>
              <w:left w:val="single" w:sz="8" w:space="0" w:color="FFFFFF"/>
              <w:bottom w:val="single" w:sz="8" w:space="0" w:color="FFFFFF"/>
              <w:right w:val="single" w:sz="12" w:space="0" w:color="auto"/>
            </w:tcBorders>
            <w:shd w:val="clear" w:color="auto" w:fill="auto"/>
            <w:tcMar>
              <w:top w:w="15" w:type="dxa"/>
              <w:left w:w="108" w:type="dxa"/>
              <w:bottom w:w="0" w:type="dxa"/>
              <w:right w:w="108" w:type="dxa"/>
            </w:tcMar>
            <w:vAlign w:val="center"/>
          </w:tcPr>
          <w:p w14:paraId="1884B7F1" w14:textId="77777777" w:rsidR="0067246E" w:rsidRDefault="0067246E" w:rsidP="003D7B30">
            <w:pPr>
              <w:spacing w:line="240" w:lineRule="auto"/>
              <w:ind w:firstLine="0"/>
              <w:jc w:val="left"/>
              <w:rPr>
                <w:rFonts w:eastAsia="Times New Roman"/>
                <w:b/>
                <w:bCs/>
                <w:kern w:val="24"/>
                <w:sz w:val="20"/>
                <w:szCs w:val="20"/>
                <w:lang w:eastAsia="en-GB"/>
              </w:rPr>
            </w:pPr>
            <w:r>
              <w:rPr>
                <w:rFonts w:eastAsia="Times New Roman"/>
                <w:b/>
                <w:bCs/>
                <w:kern w:val="24"/>
                <w:sz w:val="20"/>
                <w:szCs w:val="20"/>
                <w:lang w:eastAsia="en-GB"/>
              </w:rPr>
              <w:t>OPUS study-group2</w:t>
            </w:r>
          </w:p>
        </w:tc>
        <w:tc>
          <w:tcPr>
            <w:tcW w:w="666" w:type="dxa"/>
            <w:tcBorders>
              <w:top w:val="single" w:sz="8" w:space="0" w:color="FFFFFF"/>
              <w:left w:val="single" w:sz="12" w:space="0" w:color="auto"/>
              <w:bottom w:val="single" w:sz="8" w:space="0" w:color="FFFFFF"/>
              <w:right w:val="single" w:sz="12" w:space="0" w:color="auto"/>
            </w:tcBorders>
            <w:shd w:val="clear" w:color="auto" w:fill="auto"/>
            <w:tcMar>
              <w:top w:w="15" w:type="dxa"/>
              <w:left w:w="108" w:type="dxa"/>
              <w:bottom w:w="0" w:type="dxa"/>
              <w:right w:w="108" w:type="dxa"/>
            </w:tcMar>
            <w:vAlign w:val="center"/>
          </w:tcPr>
          <w:p w14:paraId="36915E4F" w14:textId="77777777" w:rsidR="0067246E" w:rsidRPr="007856F6" w:rsidRDefault="0067246E" w:rsidP="003D7B30">
            <w:pPr>
              <w:spacing w:line="240" w:lineRule="auto"/>
              <w:ind w:firstLine="0"/>
              <w:jc w:val="center"/>
              <w:rPr>
                <w:kern w:val="24"/>
                <w:sz w:val="20"/>
                <w:szCs w:val="20"/>
                <w:lang w:eastAsia="en-GB"/>
              </w:rPr>
            </w:pPr>
            <w:r w:rsidRPr="007856F6">
              <w:rPr>
                <w:kern w:val="24"/>
                <w:sz w:val="20"/>
                <w:szCs w:val="20"/>
                <w:lang w:eastAsia="en-GB"/>
              </w:rPr>
              <w:t>213</w:t>
            </w:r>
          </w:p>
        </w:tc>
        <w:tc>
          <w:tcPr>
            <w:tcW w:w="1018" w:type="dxa"/>
            <w:tcBorders>
              <w:top w:val="single" w:sz="8" w:space="0" w:color="FFFFFF"/>
              <w:left w:val="single" w:sz="12" w:space="0" w:color="auto"/>
              <w:bottom w:val="single" w:sz="8" w:space="0" w:color="FFFFFF"/>
              <w:right w:val="single" w:sz="12" w:space="0" w:color="auto"/>
            </w:tcBorders>
            <w:vAlign w:val="center"/>
          </w:tcPr>
          <w:p w14:paraId="01DBDAAA" w14:textId="77777777" w:rsidR="0067246E" w:rsidRPr="007856F6" w:rsidRDefault="0067246E" w:rsidP="003D7B30">
            <w:pPr>
              <w:spacing w:line="240" w:lineRule="auto"/>
              <w:ind w:firstLine="0"/>
              <w:jc w:val="center"/>
              <w:rPr>
                <w:rFonts w:eastAsia="Times New Roman"/>
                <w:kern w:val="24"/>
                <w:sz w:val="20"/>
                <w:szCs w:val="20"/>
                <w:lang w:eastAsia="en-GB"/>
              </w:rPr>
            </w:pPr>
            <w:r>
              <w:rPr>
                <w:rFonts w:eastAsia="Times New Roman"/>
                <w:kern w:val="24"/>
                <w:sz w:val="20"/>
                <w:szCs w:val="20"/>
                <w:lang w:eastAsia="en-GB"/>
              </w:rPr>
              <w:t>Female</w:t>
            </w:r>
          </w:p>
        </w:tc>
        <w:tc>
          <w:tcPr>
            <w:tcW w:w="1099" w:type="dxa"/>
            <w:tcBorders>
              <w:top w:val="single" w:sz="8" w:space="0" w:color="FFFFFF"/>
              <w:left w:val="single" w:sz="12" w:space="0" w:color="auto"/>
              <w:bottom w:val="single" w:sz="8" w:space="0" w:color="FFFFFF"/>
              <w:right w:val="single" w:sz="12" w:space="0" w:color="auto"/>
            </w:tcBorders>
            <w:shd w:val="clear" w:color="auto" w:fill="auto"/>
            <w:tcMar>
              <w:top w:w="15" w:type="dxa"/>
              <w:left w:w="108" w:type="dxa"/>
              <w:bottom w:w="0" w:type="dxa"/>
              <w:right w:w="108" w:type="dxa"/>
            </w:tcMar>
            <w:vAlign w:val="center"/>
          </w:tcPr>
          <w:p w14:paraId="6A6056B1" w14:textId="77777777" w:rsidR="0067246E" w:rsidRPr="007856F6" w:rsidRDefault="0067246E" w:rsidP="003D7B30">
            <w:pPr>
              <w:spacing w:line="240" w:lineRule="auto"/>
              <w:ind w:firstLine="0"/>
              <w:jc w:val="center"/>
              <w:rPr>
                <w:rFonts w:eastAsia="Times New Roman"/>
                <w:kern w:val="24"/>
                <w:sz w:val="20"/>
                <w:szCs w:val="20"/>
                <w:lang w:eastAsia="en-GB"/>
              </w:rPr>
            </w:pPr>
            <w:r w:rsidRPr="007856F6">
              <w:rPr>
                <w:rFonts w:eastAsia="Times New Roman"/>
                <w:kern w:val="24"/>
                <w:sz w:val="20"/>
                <w:szCs w:val="20"/>
                <w:lang w:eastAsia="en-GB"/>
              </w:rPr>
              <w:t>20-39</w:t>
            </w:r>
          </w:p>
        </w:tc>
        <w:tc>
          <w:tcPr>
            <w:tcW w:w="1435" w:type="dxa"/>
            <w:tcBorders>
              <w:top w:val="single" w:sz="8" w:space="0" w:color="FFFFFF"/>
              <w:left w:val="single" w:sz="12" w:space="0" w:color="auto"/>
              <w:bottom w:val="single" w:sz="8" w:space="0" w:color="FFFFFF"/>
              <w:right w:val="single" w:sz="12" w:space="0" w:color="auto"/>
            </w:tcBorders>
            <w:shd w:val="clear" w:color="auto" w:fill="auto"/>
            <w:vAlign w:val="center"/>
          </w:tcPr>
          <w:p w14:paraId="0CEAA138" w14:textId="77777777" w:rsidR="0067246E" w:rsidRPr="007856F6" w:rsidRDefault="0067246E" w:rsidP="003D7B30">
            <w:pPr>
              <w:spacing w:line="240" w:lineRule="auto"/>
              <w:ind w:firstLine="0"/>
              <w:jc w:val="center"/>
              <w:rPr>
                <w:rFonts w:eastAsia="Times New Roman"/>
                <w:kern w:val="24"/>
                <w:sz w:val="20"/>
                <w:szCs w:val="20"/>
                <w:lang w:eastAsia="en-GB"/>
              </w:rPr>
            </w:pPr>
            <w:r w:rsidRPr="007856F6">
              <w:rPr>
                <w:rFonts w:eastAsia="Times New Roman"/>
                <w:kern w:val="24"/>
                <w:sz w:val="20"/>
                <w:szCs w:val="20"/>
                <w:lang w:eastAsia="en-GB"/>
              </w:rPr>
              <w:t>32 (5.3)</w:t>
            </w:r>
          </w:p>
        </w:tc>
        <w:tc>
          <w:tcPr>
            <w:tcW w:w="1439" w:type="dxa"/>
            <w:tcBorders>
              <w:top w:val="single" w:sz="8" w:space="0" w:color="FFFFFF"/>
              <w:left w:val="single" w:sz="12" w:space="0" w:color="auto"/>
              <w:bottom w:val="single" w:sz="8" w:space="0" w:color="FFFFFF"/>
              <w:right w:val="single" w:sz="12" w:space="0" w:color="auto"/>
            </w:tcBorders>
            <w:shd w:val="clear" w:color="auto" w:fill="auto"/>
            <w:vAlign w:val="center"/>
          </w:tcPr>
          <w:p w14:paraId="20378E74" w14:textId="77777777" w:rsidR="0067246E" w:rsidRPr="0066334E" w:rsidRDefault="0067246E" w:rsidP="003D7B30">
            <w:pPr>
              <w:spacing w:line="240" w:lineRule="auto"/>
              <w:ind w:firstLine="0"/>
              <w:jc w:val="center"/>
              <w:rPr>
                <w:rFonts w:eastAsia="Times New Roman"/>
                <w:kern w:val="24"/>
                <w:sz w:val="20"/>
                <w:szCs w:val="20"/>
                <w:lang w:eastAsia="en-GB"/>
              </w:rPr>
            </w:pPr>
            <w:r>
              <w:rPr>
                <w:rFonts w:eastAsia="Times New Roman"/>
                <w:kern w:val="24"/>
                <w:sz w:val="20"/>
                <w:szCs w:val="20"/>
                <w:lang w:eastAsia="en-GB"/>
              </w:rPr>
              <w:t>24.2 (5.0)</w:t>
            </w:r>
          </w:p>
        </w:tc>
        <w:tc>
          <w:tcPr>
            <w:tcW w:w="1480" w:type="dxa"/>
            <w:tcBorders>
              <w:top w:val="single" w:sz="8" w:space="0" w:color="FFFFFF"/>
              <w:left w:val="single" w:sz="12" w:space="0" w:color="auto"/>
              <w:bottom w:val="single" w:sz="8" w:space="0" w:color="FFFFFF"/>
            </w:tcBorders>
            <w:shd w:val="clear" w:color="auto" w:fill="auto"/>
            <w:tcMar>
              <w:top w:w="15" w:type="dxa"/>
              <w:left w:w="108" w:type="dxa"/>
              <w:bottom w:w="0" w:type="dxa"/>
              <w:right w:w="108" w:type="dxa"/>
            </w:tcMar>
            <w:vAlign w:val="center"/>
          </w:tcPr>
          <w:p w14:paraId="0E60B8F5" w14:textId="77777777" w:rsidR="0067246E" w:rsidRPr="0001438A" w:rsidRDefault="0067246E" w:rsidP="003D7B30">
            <w:pPr>
              <w:spacing w:line="240" w:lineRule="auto"/>
              <w:ind w:firstLine="0"/>
              <w:jc w:val="center"/>
              <w:rPr>
                <w:rFonts w:eastAsia="Times New Roman"/>
                <w:sz w:val="20"/>
                <w:szCs w:val="20"/>
                <w:lang w:eastAsia="en-GB"/>
              </w:rPr>
            </w:pPr>
            <w:r>
              <w:rPr>
                <w:rFonts w:eastAsia="Times New Roman"/>
                <w:sz w:val="20"/>
                <w:szCs w:val="20"/>
                <w:lang w:eastAsia="en-GB"/>
              </w:rPr>
              <w:t>-</w:t>
            </w:r>
          </w:p>
        </w:tc>
      </w:tr>
    </w:tbl>
    <w:p w14:paraId="5D66D36A" w14:textId="729A4C59" w:rsidR="008F70F8" w:rsidRDefault="008F70F8" w:rsidP="008F70F8"/>
    <w:p w14:paraId="246FEC64" w14:textId="74CC8E1E" w:rsidR="0067246E" w:rsidRDefault="0067246E" w:rsidP="008F70F8"/>
    <w:p w14:paraId="365F6DB4" w14:textId="77777777" w:rsidR="004412AB" w:rsidRPr="00893A4E" w:rsidRDefault="004412AB" w:rsidP="004412AB">
      <w:pPr>
        <w:pStyle w:val="Caption"/>
        <w:jc w:val="center"/>
        <w:rPr>
          <w:sz w:val="22"/>
          <w:szCs w:val="22"/>
        </w:rPr>
      </w:pPr>
      <w:bookmarkStart w:id="2" w:name="_Ref85034504"/>
      <w:r w:rsidRPr="00893A4E">
        <w:rPr>
          <w:b/>
          <w:bCs/>
          <w:sz w:val="22"/>
          <w:szCs w:val="22"/>
        </w:rPr>
        <w:t xml:space="preserve">Table </w:t>
      </w:r>
      <w:bookmarkEnd w:id="2"/>
      <w:r>
        <w:rPr>
          <w:b/>
          <w:bCs/>
          <w:sz w:val="22"/>
          <w:szCs w:val="22"/>
        </w:rPr>
        <w:t>2</w:t>
      </w:r>
      <w:r w:rsidRPr="00893A4E">
        <w:rPr>
          <w:b/>
          <w:bCs/>
          <w:sz w:val="22"/>
          <w:szCs w:val="22"/>
        </w:rPr>
        <w:t>.</w:t>
      </w:r>
      <w:r w:rsidRPr="00893A4E">
        <w:rPr>
          <w:sz w:val="22"/>
          <w:szCs w:val="22"/>
        </w:rPr>
        <w:t xml:space="preserve"> </w:t>
      </w:r>
      <w:r w:rsidRPr="00893A4E">
        <w:rPr>
          <w:smallCaps/>
          <w:sz w:val="22"/>
          <w:szCs w:val="22"/>
          <w:lang w:val="en-US"/>
        </w:rPr>
        <w:t xml:space="preserve">Area Under the Curve for </w:t>
      </w:r>
      <w:r w:rsidRPr="00893A4E">
        <w:rPr>
          <w:smallCaps/>
          <w:sz w:val="22"/>
          <w:szCs w:val="22"/>
        </w:rPr>
        <w:t>Receiver-Operating-Characteristics</w:t>
      </w:r>
      <w:r w:rsidRPr="00893A4E">
        <w:rPr>
          <w:smallCaps/>
          <w:sz w:val="22"/>
          <w:szCs w:val="22"/>
          <w:lang w:val="en-US"/>
        </w:rPr>
        <w:t xml:space="preserve"> Analysis for the Prediction of Incident Fractures</w:t>
      </w:r>
    </w:p>
    <w:tbl>
      <w:tblPr>
        <w:tblW w:w="11083" w:type="dxa"/>
        <w:jc w:val="center"/>
        <w:tblLayout w:type="fixed"/>
        <w:tblCellMar>
          <w:left w:w="0" w:type="dxa"/>
          <w:right w:w="0" w:type="dxa"/>
        </w:tblCellMar>
        <w:tblLook w:val="04A0" w:firstRow="1" w:lastRow="0" w:firstColumn="1" w:lastColumn="0" w:noHBand="0" w:noVBand="1"/>
      </w:tblPr>
      <w:tblGrid>
        <w:gridCol w:w="2211"/>
        <w:gridCol w:w="1077"/>
        <w:gridCol w:w="1151"/>
        <w:gridCol w:w="1661"/>
        <w:gridCol w:w="1661"/>
        <w:gridCol w:w="1661"/>
        <w:gridCol w:w="1661"/>
      </w:tblGrid>
      <w:tr w:rsidR="004412AB" w:rsidRPr="0001438A" w14:paraId="1062CCCE" w14:textId="77777777" w:rsidTr="003D7B30">
        <w:trPr>
          <w:trHeight w:val="52"/>
          <w:jc w:val="center"/>
        </w:trPr>
        <w:tc>
          <w:tcPr>
            <w:tcW w:w="2211" w:type="dxa"/>
            <w:tcBorders>
              <w:top w:val="single" w:sz="8" w:space="0" w:color="FFFFFF"/>
              <w:left w:val="single" w:sz="8" w:space="0" w:color="FFFFFF"/>
              <w:bottom w:val="single" w:sz="12" w:space="0" w:color="auto"/>
              <w:right w:val="single" w:sz="12" w:space="0" w:color="auto"/>
            </w:tcBorders>
            <w:shd w:val="clear" w:color="auto" w:fill="auto"/>
            <w:tcMar>
              <w:top w:w="15" w:type="dxa"/>
              <w:left w:w="108" w:type="dxa"/>
              <w:bottom w:w="0" w:type="dxa"/>
              <w:right w:w="108" w:type="dxa"/>
            </w:tcMar>
            <w:hideMark/>
          </w:tcPr>
          <w:p w14:paraId="06005DC6" w14:textId="77777777" w:rsidR="004412AB" w:rsidRPr="0001438A" w:rsidRDefault="004412AB" w:rsidP="003D7B30">
            <w:pPr>
              <w:spacing w:line="240" w:lineRule="auto"/>
              <w:ind w:firstLine="0"/>
              <w:jc w:val="left"/>
              <w:rPr>
                <w:rFonts w:eastAsia="Times New Roman"/>
                <w:sz w:val="20"/>
                <w:szCs w:val="20"/>
                <w:lang w:eastAsia="en-GB"/>
              </w:rPr>
            </w:pPr>
            <w:r w:rsidRPr="0001438A">
              <w:rPr>
                <w:rFonts w:eastAsia="Times New Roman"/>
                <w:b/>
                <w:bCs/>
                <w:kern w:val="24"/>
                <w:sz w:val="20"/>
                <w:szCs w:val="20"/>
                <w:lang w:eastAsia="en-GB"/>
              </w:rPr>
              <w:t> </w:t>
            </w:r>
          </w:p>
        </w:tc>
        <w:tc>
          <w:tcPr>
            <w:tcW w:w="1077" w:type="dxa"/>
            <w:tcBorders>
              <w:top w:val="single" w:sz="8" w:space="0" w:color="FFFFFF"/>
              <w:left w:val="single" w:sz="12" w:space="0" w:color="auto"/>
              <w:bottom w:val="single" w:sz="12" w:space="0" w:color="auto"/>
              <w:right w:val="single" w:sz="12" w:space="0" w:color="auto"/>
            </w:tcBorders>
            <w:shd w:val="clear" w:color="auto" w:fill="auto"/>
            <w:tcMar>
              <w:top w:w="15" w:type="dxa"/>
              <w:left w:w="108" w:type="dxa"/>
              <w:bottom w:w="0" w:type="dxa"/>
              <w:right w:w="108" w:type="dxa"/>
            </w:tcMar>
            <w:vAlign w:val="center"/>
            <w:hideMark/>
          </w:tcPr>
          <w:p w14:paraId="571A3511" w14:textId="77777777" w:rsidR="004412AB" w:rsidRPr="0001438A" w:rsidRDefault="004412AB" w:rsidP="003D7B30">
            <w:pPr>
              <w:spacing w:line="240" w:lineRule="auto"/>
              <w:ind w:firstLine="0"/>
              <w:jc w:val="center"/>
              <w:rPr>
                <w:rFonts w:eastAsia="Times New Roman"/>
                <w:sz w:val="20"/>
                <w:szCs w:val="20"/>
                <w:lang w:eastAsia="en-GB"/>
              </w:rPr>
            </w:pPr>
            <w:r w:rsidRPr="0001438A">
              <w:rPr>
                <w:rFonts w:eastAsia="Times New Roman"/>
                <w:b/>
                <w:bCs/>
                <w:kern w:val="24"/>
                <w:sz w:val="20"/>
                <w:szCs w:val="20"/>
                <w:lang w:eastAsia="en-GB"/>
              </w:rPr>
              <w:t>#</w:t>
            </w:r>
            <w:r>
              <w:rPr>
                <w:rFonts w:eastAsia="Times New Roman"/>
                <w:b/>
                <w:bCs/>
                <w:kern w:val="24"/>
                <w:sz w:val="20"/>
                <w:szCs w:val="20"/>
                <w:lang w:eastAsia="en-GB"/>
              </w:rPr>
              <w:t>C</w:t>
            </w:r>
            <w:r w:rsidRPr="0001438A">
              <w:rPr>
                <w:rFonts w:eastAsia="Times New Roman"/>
                <w:b/>
                <w:bCs/>
                <w:kern w:val="24"/>
                <w:sz w:val="20"/>
                <w:szCs w:val="20"/>
                <w:lang w:eastAsia="en-GB"/>
              </w:rPr>
              <w:t>ontrols</w:t>
            </w:r>
          </w:p>
        </w:tc>
        <w:tc>
          <w:tcPr>
            <w:tcW w:w="1151" w:type="dxa"/>
            <w:tcBorders>
              <w:top w:val="single" w:sz="8" w:space="0" w:color="FFFFFF"/>
              <w:left w:val="single" w:sz="12" w:space="0" w:color="auto"/>
              <w:bottom w:val="single" w:sz="12" w:space="0" w:color="auto"/>
              <w:right w:val="single" w:sz="12" w:space="0" w:color="auto"/>
            </w:tcBorders>
            <w:shd w:val="clear" w:color="auto" w:fill="auto"/>
            <w:tcMar>
              <w:top w:w="15" w:type="dxa"/>
              <w:left w:w="108" w:type="dxa"/>
              <w:bottom w:w="0" w:type="dxa"/>
              <w:right w:w="108" w:type="dxa"/>
            </w:tcMar>
            <w:vAlign w:val="center"/>
            <w:hideMark/>
          </w:tcPr>
          <w:p w14:paraId="2372B999" w14:textId="77777777" w:rsidR="004412AB" w:rsidRPr="0001438A" w:rsidRDefault="004412AB" w:rsidP="003D7B30">
            <w:pPr>
              <w:spacing w:line="240" w:lineRule="auto"/>
              <w:ind w:firstLine="0"/>
              <w:jc w:val="center"/>
              <w:rPr>
                <w:rFonts w:eastAsia="Times New Roman"/>
                <w:sz w:val="20"/>
                <w:szCs w:val="20"/>
                <w:lang w:eastAsia="en-GB"/>
              </w:rPr>
            </w:pPr>
            <w:r w:rsidRPr="0001438A">
              <w:rPr>
                <w:rFonts w:eastAsia="Times New Roman"/>
                <w:b/>
                <w:bCs/>
                <w:kern w:val="24"/>
                <w:sz w:val="20"/>
                <w:szCs w:val="20"/>
                <w:lang w:eastAsia="en-GB"/>
              </w:rPr>
              <w:t>#</w:t>
            </w:r>
            <w:r>
              <w:rPr>
                <w:rFonts w:eastAsia="Times New Roman"/>
                <w:b/>
                <w:bCs/>
                <w:kern w:val="24"/>
                <w:sz w:val="20"/>
                <w:szCs w:val="20"/>
                <w:lang w:eastAsia="en-GB"/>
              </w:rPr>
              <w:t>F</w:t>
            </w:r>
            <w:r w:rsidRPr="0001438A">
              <w:rPr>
                <w:rFonts w:eastAsia="Times New Roman"/>
                <w:b/>
                <w:bCs/>
                <w:kern w:val="24"/>
                <w:sz w:val="20"/>
                <w:szCs w:val="20"/>
                <w:lang w:eastAsia="en-GB"/>
              </w:rPr>
              <w:t>ractures</w:t>
            </w:r>
          </w:p>
        </w:tc>
        <w:tc>
          <w:tcPr>
            <w:tcW w:w="1661" w:type="dxa"/>
            <w:tcBorders>
              <w:top w:val="single" w:sz="8" w:space="0" w:color="FFFFFF"/>
              <w:left w:val="single" w:sz="12" w:space="0" w:color="auto"/>
              <w:bottom w:val="single" w:sz="12" w:space="0" w:color="auto"/>
              <w:right w:val="single" w:sz="12" w:space="0" w:color="auto"/>
            </w:tcBorders>
            <w:vAlign w:val="center"/>
          </w:tcPr>
          <w:p w14:paraId="0346F60E" w14:textId="77777777" w:rsidR="004412AB" w:rsidRPr="0001438A" w:rsidRDefault="004412AB" w:rsidP="003D7B30">
            <w:pPr>
              <w:spacing w:line="240" w:lineRule="auto"/>
              <w:ind w:firstLine="0"/>
              <w:jc w:val="center"/>
              <w:rPr>
                <w:rFonts w:eastAsia="Times New Roman"/>
                <w:b/>
                <w:bCs/>
                <w:kern w:val="24"/>
                <w:sz w:val="20"/>
                <w:szCs w:val="20"/>
                <w:lang w:eastAsia="en-GB"/>
              </w:rPr>
            </w:pPr>
            <w:r>
              <w:rPr>
                <w:rFonts w:eastAsia="Times New Roman"/>
                <w:b/>
                <w:bCs/>
                <w:kern w:val="24"/>
                <w:sz w:val="20"/>
                <w:szCs w:val="20"/>
                <w:lang w:eastAsia="en-GB"/>
              </w:rPr>
              <w:t>Densitometric B</w:t>
            </w:r>
            <w:r w:rsidRPr="0001438A">
              <w:rPr>
                <w:rFonts w:eastAsia="Times New Roman"/>
                <w:b/>
                <w:bCs/>
                <w:kern w:val="24"/>
                <w:sz w:val="20"/>
                <w:szCs w:val="20"/>
                <w:lang w:eastAsia="en-GB"/>
              </w:rPr>
              <w:t xml:space="preserve">one </w:t>
            </w:r>
            <w:r>
              <w:rPr>
                <w:rFonts w:eastAsia="Times New Roman"/>
                <w:b/>
                <w:bCs/>
                <w:kern w:val="24"/>
                <w:sz w:val="20"/>
                <w:szCs w:val="20"/>
                <w:lang w:eastAsia="en-GB"/>
              </w:rPr>
              <w:t>A</w:t>
            </w:r>
            <w:r w:rsidRPr="0001438A">
              <w:rPr>
                <w:rFonts w:eastAsia="Times New Roman"/>
                <w:b/>
                <w:bCs/>
                <w:kern w:val="24"/>
                <w:sz w:val="20"/>
                <w:szCs w:val="20"/>
                <w:lang w:eastAsia="en-GB"/>
              </w:rPr>
              <w:t>ge</w:t>
            </w:r>
          </w:p>
        </w:tc>
        <w:tc>
          <w:tcPr>
            <w:tcW w:w="1661" w:type="dxa"/>
            <w:tcBorders>
              <w:top w:val="single" w:sz="8" w:space="0" w:color="FFFFFF"/>
              <w:left w:val="single" w:sz="12" w:space="0" w:color="auto"/>
              <w:bottom w:val="single" w:sz="12" w:space="0" w:color="auto"/>
              <w:right w:val="single" w:sz="12" w:space="0" w:color="auto"/>
            </w:tcBorders>
            <w:vAlign w:val="center"/>
          </w:tcPr>
          <w:p w14:paraId="545A37E6" w14:textId="77777777" w:rsidR="004412AB" w:rsidRPr="0001438A" w:rsidRDefault="004412AB" w:rsidP="003D7B30">
            <w:pPr>
              <w:spacing w:line="240" w:lineRule="auto"/>
              <w:ind w:firstLine="0"/>
              <w:jc w:val="center"/>
              <w:rPr>
                <w:rFonts w:eastAsia="Times New Roman"/>
                <w:b/>
                <w:bCs/>
                <w:kern w:val="24"/>
                <w:sz w:val="20"/>
                <w:szCs w:val="20"/>
                <w:lang w:eastAsia="en-GB"/>
              </w:rPr>
            </w:pPr>
            <w:r>
              <w:rPr>
                <w:rFonts w:eastAsia="Times New Roman"/>
                <w:b/>
                <w:bCs/>
                <w:kern w:val="24"/>
                <w:sz w:val="20"/>
                <w:szCs w:val="20"/>
                <w:lang w:eastAsia="en-GB"/>
              </w:rPr>
              <w:t>Femoral Neck BMD</w:t>
            </w:r>
          </w:p>
        </w:tc>
        <w:tc>
          <w:tcPr>
            <w:tcW w:w="1661" w:type="dxa"/>
            <w:tcBorders>
              <w:top w:val="single" w:sz="8" w:space="0" w:color="FFFFFF"/>
              <w:left w:val="single" w:sz="12" w:space="0" w:color="auto"/>
              <w:bottom w:val="single" w:sz="12" w:space="0" w:color="auto"/>
              <w:right w:val="single" w:sz="4" w:space="0" w:color="auto"/>
            </w:tcBorders>
            <w:shd w:val="clear" w:color="auto" w:fill="auto"/>
            <w:tcMar>
              <w:top w:w="15" w:type="dxa"/>
              <w:left w:w="108" w:type="dxa"/>
              <w:bottom w:w="0" w:type="dxa"/>
              <w:right w:w="108" w:type="dxa"/>
            </w:tcMar>
            <w:vAlign w:val="center"/>
            <w:hideMark/>
          </w:tcPr>
          <w:p w14:paraId="241F50F8" w14:textId="77777777" w:rsidR="004412AB" w:rsidRPr="0001438A" w:rsidRDefault="004412AB" w:rsidP="003D7B30">
            <w:pPr>
              <w:spacing w:line="240" w:lineRule="auto"/>
              <w:ind w:firstLine="0"/>
              <w:jc w:val="center"/>
              <w:rPr>
                <w:rFonts w:eastAsia="Times New Roman"/>
                <w:sz w:val="20"/>
                <w:szCs w:val="20"/>
                <w:lang w:eastAsia="en-GB"/>
              </w:rPr>
            </w:pPr>
            <w:r>
              <w:rPr>
                <w:rFonts w:eastAsia="Times New Roman"/>
                <w:b/>
                <w:bCs/>
                <w:kern w:val="24"/>
                <w:sz w:val="20"/>
                <w:szCs w:val="20"/>
                <w:lang w:eastAsia="en-GB"/>
              </w:rPr>
              <w:t xml:space="preserve">Trochanteric </w:t>
            </w:r>
            <w:r w:rsidRPr="0001438A">
              <w:rPr>
                <w:rFonts w:eastAsia="Times New Roman"/>
                <w:b/>
                <w:bCs/>
                <w:kern w:val="24"/>
                <w:sz w:val="20"/>
                <w:szCs w:val="20"/>
                <w:lang w:eastAsia="en-GB"/>
              </w:rPr>
              <w:t>BMD</w:t>
            </w:r>
          </w:p>
        </w:tc>
        <w:tc>
          <w:tcPr>
            <w:tcW w:w="1661" w:type="dxa"/>
            <w:tcBorders>
              <w:top w:val="single" w:sz="8" w:space="0" w:color="FFFFFF"/>
              <w:left w:val="single" w:sz="4" w:space="0" w:color="auto"/>
              <w:bottom w:val="single" w:sz="12" w:space="0" w:color="auto"/>
            </w:tcBorders>
            <w:vAlign w:val="center"/>
          </w:tcPr>
          <w:p w14:paraId="6071FF7A" w14:textId="77777777" w:rsidR="004412AB" w:rsidRPr="0001438A" w:rsidRDefault="004412AB" w:rsidP="003D7B30">
            <w:pPr>
              <w:spacing w:line="240" w:lineRule="auto"/>
              <w:ind w:firstLine="0"/>
              <w:jc w:val="center"/>
              <w:rPr>
                <w:rFonts w:eastAsia="Times New Roman"/>
                <w:b/>
                <w:bCs/>
                <w:kern w:val="24"/>
                <w:sz w:val="20"/>
                <w:szCs w:val="20"/>
                <w:lang w:eastAsia="en-GB"/>
              </w:rPr>
            </w:pPr>
            <w:r>
              <w:rPr>
                <w:rFonts w:eastAsia="Times New Roman"/>
                <w:b/>
                <w:bCs/>
                <w:kern w:val="24"/>
                <w:sz w:val="20"/>
                <w:szCs w:val="20"/>
                <w:lang w:eastAsia="en-GB"/>
              </w:rPr>
              <w:t>Total Hip</w:t>
            </w:r>
            <w:r>
              <w:rPr>
                <w:rFonts w:eastAsia="Times New Roman"/>
                <w:b/>
                <w:bCs/>
                <w:kern w:val="24"/>
                <w:sz w:val="20"/>
                <w:szCs w:val="20"/>
                <w:lang w:eastAsia="en-GB"/>
              </w:rPr>
              <w:br/>
              <w:t>BMD</w:t>
            </w:r>
          </w:p>
        </w:tc>
      </w:tr>
      <w:tr w:rsidR="004412AB" w:rsidRPr="0001438A" w14:paraId="107BE0AD" w14:textId="77777777" w:rsidTr="003D7B30">
        <w:trPr>
          <w:trHeight w:val="520"/>
          <w:jc w:val="center"/>
        </w:trPr>
        <w:tc>
          <w:tcPr>
            <w:tcW w:w="2211" w:type="dxa"/>
            <w:tcBorders>
              <w:top w:val="single" w:sz="8" w:space="0" w:color="FFFFFF"/>
              <w:left w:val="single" w:sz="8" w:space="0" w:color="FFFFFF"/>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3957BA60" w14:textId="77777777" w:rsidR="004412AB" w:rsidRPr="0001438A" w:rsidRDefault="004412AB" w:rsidP="003D7B30">
            <w:pPr>
              <w:spacing w:line="240" w:lineRule="auto"/>
              <w:ind w:firstLine="0"/>
              <w:jc w:val="left"/>
              <w:rPr>
                <w:rFonts w:eastAsia="Times New Roman"/>
                <w:sz w:val="20"/>
                <w:szCs w:val="20"/>
                <w:lang w:eastAsia="en-GB"/>
              </w:rPr>
            </w:pPr>
            <w:r>
              <w:rPr>
                <w:rFonts w:eastAsia="Times New Roman"/>
                <w:b/>
                <w:bCs/>
                <w:kern w:val="24"/>
                <w:sz w:val="20"/>
                <w:szCs w:val="20"/>
                <w:lang w:eastAsia="en-GB"/>
              </w:rPr>
              <w:t>All cohort</w:t>
            </w:r>
          </w:p>
          <w:p w14:paraId="7595CFE9" w14:textId="77777777" w:rsidR="004412AB" w:rsidRPr="0001438A" w:rsidRDefault="004412AB" w:rsidP="003D7B30">
            <w:pPr>
              <w:spacing w:line="240" w:lineRule="auto"/>
              <w:ind w:firstLine="0"/>
              <w:jc w:val="left"/>
              <w:rPr>
                <w:rFonts w:eastAsia="Times New Roman"/>
                <w:sz w:val="20"/>
                <w:szCs w:val="20"/>
                <w:lang w:eastAsia="en-GB"/>
              </w:rPr>
            </w:pPr>
            <w:r w:rsidRPr="0001438A">
              <w:rPr>
                <w:rFonts w:eastAsia="Times New Roman"/>
                <w:b/>
                <w:bCs/>
                <w:kern w:val="24"/>
                <w:sz w:val="20"/>
                <w:szCs w:val="20"/>
                <w:lang w:eastAsia="en-GB"/>
              </w:rPr>
              <w:t>All fractures</w:t>
            </w:r>
          </w:p>
        </w:tc>
        <w:tc>
          <w:tcPr>
            <w:tcW w:w="1077"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0F561216" w14:textId="77777777" w:rsidR="004412AB" w:rsidRPr="0001438A" w:rsidRDefault="004412AB" w:rsidP="003D7B30">
            <w:pPr>
              <w:spacing w:line="240" w:lineRule="auto"/>
              <w:ind w:firstLine="0"/>
              <w:jc w:val="center"/>
              <w:rPr>
                <w:rFonts w:eastAsia="Times New Roman"/>
                <w:sz w:val="20"/>
                <w:szCs w:val="20"/>
                <w:lang w:eastAsia="en-GB"/>
              </w:rPr>
            </w:pPr>
            <w:r w:rsidRPr="0001438A">
              <w:rPr>
                <w:kern w:val="24"/>
                <w:sz w:val="20"/>
                <w:szCs w:val="20"/>
                <w:lang w:eastAsia="en-GB"/>
              </w:rPr>
              <w:t>11,691</w:t>
            </w:r>
          </w:p>
        </w:tc>
        <w:tc>
          <w:tcPr>
            <w:tcW w:w="1151"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740093F4" w14:textId="77777777" w:rsidR="004412AB" w:rsidRPr="0001438A" w:rsidRDefault="004412AB" w:rsidP="003D7B30">
            <w:pPr>
              <w:spacing w:line="240" w:lineRule="auto"/>
              <w:ind w:firstLine="0"/>
              <w:jc w:val="center"/>
              <w:rPr>
                <w:rFonts w:eastAsia="Times New Roman"/>
                <w:sz w:val="20"/>
                <w:szCs w:val="20"/>
                <w:lang w:eastAsia="en-GB"/>
              </w:rPr>
            </w:pPr>
            <w:r w:rsidRPr="0001438A">
              <w:rPr>
                <w:kern w:val="24"/>
                <w:sz w:val="20"/>
                <w:szCs w:val="20"/>
                <w:lang w:eastAsia="en-GB"/>
              </w:rPr>
              <w:t>208</w:t>
            </w:r>
          </w:p>
        </w:tc>
        <w:tc>
          <w:tcPr>
            <w:tcW w:w="1661"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vAlign w:val="center"/>
          </w:tcPr>
          <w:p w14:paraId="55390029" w14:textId="77777777" w:rsidR="004412AB" w:rsidRPr="0001438A" w:rsidRDefault="004412AB" w:rsidP="003D7B30">
            <w:pPr>
              <w:spacing w:line="240" w:lineRule="auto"/>
              <w:ind w:firstLine="0"/>
              <w:jc w:val="center"/>
              <w:rPr>
                <w:rFonts w:eastAsia="Times New Roman"/>
                <w:sz w:val="20"/>
                <w:szCs w:val="20"/>
                <w:lang w:eastAsia="en-GB"/>
              </w:rPr>
            </w:pPr>
            <w:r w:rsidRPr="0001438A">
              <w:rPr>
                <w:rFonts w:eastAsia="Times New Roman"/>
                <w:b/>
                <w:bCs/>
                <w:kern w:val="24"/>
                <w:sz w:val="20"/>
                <w:szCs w:val="20"/>
                <w:lang w:eastAsia="en-GB"/>
              </w:rPr>
              <w:t>0.79</w:t>
            </w:r>
            <w:r>
              <w:rPr>
                <w:rFonts w:eastAsia="Times New Roman"/>
                <w:b/>
                <w:bCs/>
                <w:kern w:val="24"/>
                <w:sz w:val="20"/>
                <w:szCs w:val="20"/>
                <w:lang w:eastAsia="en-GB"/>
              </w:rPr>
              <w:t>9</w:t>
            </w:r>
          </w:p>
          <w:p w14:paraId="06C7FCF0" w14:textId="77777777" w:rsidR="004412AB" w:rsidRPr="0001438A" w:rsidRDefault="004412AB" w:rsidP="003D7B30">
            <w:pPr>
              <w:spacing w:line="240" w:lineRule="auto"/>
              <w:ind w:firstLine="0"/>
              <w:jc w:val="center"/>
              <w:rPr>
                <w:rFonts w:eastAsia="Times New Roman"/>
                <w:kern w:val="24"/>
                <w:sz w:val="20"/>
                <w:szCs w:val="20"/>
                <w:lang w:eastAsia="en-GB"/>
              </w:rPr>
            </w:pPr>
            <w:r w:rsidRPr="0001438A">
              <w:rPr>
                <w:rFonts w:eastAsia="Times New Roman"/>
                <w:kern w:val="24"/>
                <w:sz w:val="20"/>
                <w:szCs w:val="20"/>
                <w:lang w:eastAsia="en-GB"/>
              </w:rPr>
              <w:t>CI</w:t>
            </w:r>
            <w:proofErr w:type="gramStart"/>
            <w:r w:rsidRPr="0001438A">
              <w:rPr>
                <w:rFonts w:eastAsia="Times New Roman"/>
                <w:kern w:val="24"/>
                <w:sz w:val="20"/>
                <w:szCs w:val="20"/>
                <w:lang w:eastAsia="en-GB"/>
              </w:rPr>
              <w:t>=[</w:t>
            </w:r>
            <w:proofErr w:type="gramEnd"/>
            <w:r w:rsidRPr="0001438A">
              <w:rPr>
                <w:rFonts w:eastAsia="Times New Roman"/>
                <w:kern w:val="24"/>
                <w:sz w:val="20"/>
                <w:szCs w:val="20"/>
                <w:lang w:eastAsia="en-GB"/>
              </w:rPr>
              <w:t>0.76</w:t>
            </w:r>
            <w:r>
              <w:rPr>
                <w:rFonts w:eastAsia="Times New Roman"/>
                <w:kern w:val="24"/>
                <w:sz w:val="20"/>
                <w:szCs w:val="20"/>
                <w:lang w:eastAsia="en-GB"/>
              </w:rPr>
              <w:t>8</w:t>
            </w:r>
            <w:r w:rsidRPr="0001438A">
              <w:rPr>
                <w:rFonts w:eastAsia="Times New Roman"/>
                <w:kern w:val="24"/>
                <w:sz w:val="20"/>
                <w:szCs w:val="20"/>
                <w:lang w:eastAsia="en-GB"/>
              </w:rPr>
              <w:t>-0.824]</w:t>
            </w:r>
          </w:p>
        </w:tc>
        <w:tc>
          <w:tcPr>
            <w:tcW w:w="1661"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vAlign w:val="center"/>
          </w:tcPr>
          <w:p w14:paraId="413F4713" w14:textId="77777777" w:rsidR="004412AB" w:rsidRDefault="004412AB" w:rsidP="003D7B30">
            <w:pPr>
              <w:spacing w:line="240" w:lineRule="auto"/>
              <w:ind w:firstLine="0"/>
              <w:jc w:val="center"/>
              <w:rPr>
                <w:rFonts w:eastAsia="Times New Roman"/>
                <w:kern w:val="24"/>
                <w:sz w:val="20"/>
                <w:szCs w:val="20"/>
                <w:lang w:eastAsia="en-GB"/>
              </w:rPr>
            </w:pPr>
            <w:r>
              <w:rPr>
                <w:rFonts w:eastAsia="Times New Roman"/>
                <w:kern w:val="24"/>
                <w:sz w:val="20"/>
                <w:szCs w:val="20"/>
                <w:lang w:eastAsia="en-GB"/>
              </w:rPr>
              <w:t>0.784</w:t>
            </w:r>
          </w:p>
          <w:p w14:paraId="33966D1C" w14:textId="77777777" w:rsidR="004412AB" w:rsidRPr="0001438A" w:rsidRDefault="004412AB" w:rsidP="003D7B30">
            <w:pPr>
              <w:spacing w:line="240" w:lineRule="auto"/>
              <w:ind w:firstLine="0"/>
              <w:jc w:val="center"/>
              <w:rPr>
                <w:rFonts w:eastAsia="Times New Roman"/>
                <w:kern w:val="24"/>
                <w:sz w:val="20"/>
                <w:szCs w:val="20"/>
                <w:lang w:eastAsia="en-GB"/>
              </w:rPr>
            </w:pPr>
            <w:r>
              <w:rPr>
                <w:rFonts w:eastAsia="Times New Roman"/>
                <w:kern w:val="24"/>
                <w:sz w:val="20"/>
                <w:szCs w:val="20"/>
                <w:lang w:eastAsia="en-GB"/>
              </w:rPr>
              <w:t>CI</w:t>
            </w:r>
            <w:proofErr w:type="gramStart"/>
            <w:r>
              <w:rPr>
                <w:rFonts w:eastAsia="Times New Roman"/>
                <w:kern w:val="24"/>
                <w:sz w:val="20"/>
                <w:szCs w:val="20"/>
                <w:lang w:eastAsia="en-GB"/>
              </w:rPr>
              <w:t>=[</w:t>
            </w:r>
            <w:proofErr w:type="gramEnd"/>
            <w:r>
              <w:rPr>
                <w:rFonts w:eastAsia="Times New Roman"/>
                <w:kern w:val="24"/>
                <w:sz w:val="20"/>
                <w:szCs w:val="20"/>
                <w:lang w:eastAsia="en-GB"/>
              </w:rPr>
              <w:t>0.751-0.815]</w:t>
            </w:r>
          </w:p>
        </w:tc>
        <w:tc>
          <w:tcPr>
            <w:tcW w:w="1661"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2CE49068" w14:textId="77777777" w:rsidR="004412AB" w:rsidRDefault="004412AB" w:rsidP="003D7B30">
            <w:pPr>
              <w:spacing w:line="240" w:lineRule="auto"/>
              <w:ind w:firstLine="0"/>
              <w:jc w:val="center"/>
              <w:rPr>
                <w:rFonts w:eastAsia="Times New Roman"/>
                <w:sz w:val="20"/>
                <w:szCs w:val="20"/>
                <w:lang w:eastAsia="en-GB"/>
              </w:rPr>
            </w:pPr>
            <w:r>
              <w:rPr>
                <w:rFonts w:eastAsia="Times New Roman"/>
                <w:sz w:val="20"/>
                <w:szCs w:val="20"/>
                <w:lang w:eastAsia="en-GB"/>
              </w:rPr>
              <w:t>0.774</w:t>
            </w:r>
          </w:p>
          <w:p w14:paraId="5784B953" w14:textId="77777777" w:rsidR="004412AB" w:rsidRPr="0001438A" w:rsidRDefault="004412AB" w:rsidP="003D7B30">
            <w:pPr>
              <w:spacing w:line="240" w:lineRule="auto"/>
              <w:ind w:firstLine="0"/>
              <w:jc w:val="center"/>
              <w:rPr>
                <w:rFonts w:eastAsia="Times New Roman"/>
                <w:sz w:val="20"/>
                <w:szCs w:val="20"/>
                <w:lang w:eastAsia="en-GB"/>
              </w:rPr>
            </w:pPr>
            <w:r>
              <w:rPr>
                <w:rFonts w:eastAsia="Times New Roman"/>
                <w:sz w:val="20"/>
                <w:szCs w:val="20"/>
                <w:lang w:eastAsia="en-GB"/>
              </w:rPr>
              <w:t>CI</w:t>
            </w:r>
            <w:proofErr w:type="gramStart"/>
            <w:r>
              <w:rPr>
                <w:rFonts w:eastAsia="Times New Roman"/>
                <w:sz w:val="20"/>
                <w:szCs w:val="20"/>
                <w:lang w:eastAsia="en-GB"/>
              </w:rPr>
              <w:t>=[</w:t>
            </w:r>
            <w:proofErr w:type="gramEnd"/>
            <w:r>
              <w:rPr>
                <w:rFonts w:eastAsia="Times New Roman"/>
                <w:sz w:val="20"/>
                <w:szCs w:val="20"/>
                <w:lang w:eastAsia="en-GB"/>
              </w:rPr>
              <w:t>0.742-0.802]</w:t>
            </w:r>
          </w:p>
        </w:tc>
        <w:tc>
          <w:tcPr>
            <w:tcW w:w="1661" w:type="dxa"/>
            <w:tcBorders>
              <w:top w:val="single" w:sz="8" w:space="0" w:color="FFFFFF"/>
              <w:left w:val="single" w:sz="12" w:space="0" w:color="auto"/>
              <w:bottom w:val="single" w:sz="8" w:space="0" w:color="FFFFFF"/>
            </w:tcBorders>
            <w:shd w:val="clear" w:color="auto" w:fill="D0CECE" w:themeFill="background2" w:themeFillShade="E6"/>
            <w:vAlign w:val="center"/>
          </w:tcPr>
          <w:p w14:paraId="19C6934D" w14:textId="77777777" w:rsidR="004412AB" w:rsidRDefault="004412AB" w:rsidP="003D7B30">
            <w:pPr>
              <w:spacing w:line="240" w:lineRule="auto"/>
              <w:ind w:firstLine="0"/>
              <w:jc w:val="center"/>
              <w:rPr>
                <w:rFonts w:eastAsia="Times New Roman"/>
                <w:kern w:val="24"/>
                <w:sz w:val="20"/>
                <w:szCs w:val="20"/>
                <w:lang w:eastAsia="en-GB"/>
              </w:rPr>
            </w:pPr>
            <w:r>
              <w:rPr>
                <w:rFonts w:eastAsia="Times New Roman"/>
                <w:kern w:val="24"/>
                <w:sz w:val="20"/>
                <w:szCs w:val="20"/>
                <w:lang w:eastAsia="en-GB"/>
              </w:rPr>
              <w:t>0.789</w:t>
            </w:r>
          </w:p>
          <w:p w14:paraId="720DA4E5" w14:textId="77777777" w:rsidR="004412AB" w:rsidRPr="0001438A" w:rsidRDefault="004412AB" w:rsidP="003D7B30">
            <w:pPr>
              <w:spacing w:line="240" w:lineRule="auto"/>
              <w:ind w:firstLine="0"/>
              <w:jc w:val="center"/>
              <w:rPr>
                <w:kern w:val="24"/>
                <w:sz w:val="20"/>
                <w:szCs w:val="20"/>
                <w:lang w:eastAsia="en-GB"/>
              </w:rPr>
            </w:pPr>
            <w:r>
              <w:rPr>
                <w:rFonts w:eastAsia="Times New Roman"/>
                <w:kern w:val="24"/>
                <w:sz w:val="20"/>
                <w:szCs w:val="20"/>
                <w:lang w:eastAsia="en-GB"/>
              </w:rPr>
              <w:t>CI</w:t>
            </w:r>
            <w:proofErr w:type="gramStart"/>
            <w:r>
              <w:rPr>
                <w:rFonts w:eastAsia="Times New Roman"/>
                <w:kern w:val="24"/>
                <w:sz w:val="20"/>
                <w:szCs w:val="20"/>
                <w:lang w:eastAsia="en-GB"/>
              </w:rPr>
              <w:t>=[</w:t>
            </w:r>
            <w:proofErr w:type="gramEnd"/>
            <w:r>
              <w:rPr>
                <w:rFonts w:eastAsia="Times New Roman"/>
                <w:kern w:val="24"/>
                <w:sz w:val="20"/>
                <w:szCs w:val="20"/>
                <w:lang w:eastAsia="en-GB"/>
              </w:rPr>
              <w:t>0.756-0.816]</w:t>
            </w:r>
          </w:p>
        </w:tc>
      </w:tr>
      <w:tr w:rsidR="004412AB" w:rsidRPr="0001438A" w14:paraId="02C23A34" w14:textId="77777777" w:rsidTr="003D7B30">
        <w:trPr>
          <w:trHeight w:val="115"/>
          <w:jc w:val="center"/>
        </w:trPr>
        <w:tc>
          <w:tcPr>
            <w:tcW w:w="2211" w:type="dxa"/>
            <w:tcBorders>
              <w:top w:val="single" w:sz="8" w:space="0" w:color="FFFFFF"/>
              <w:left w:val="single" w:sz="8" w:space="0" w:color="FFFFFF"/>
              <w:bottom w:val="single" w:sz="8" w:space="0" w:color="FFFFFF"/>
              <w:right w:val="single" w:sz="12" w:space="0" w:color="auto"/>
            </w:tcBorders>
            <w:shd w:val="clear" w:color="auto" w:fill="auto"/>
            <w:tcMar>
              <w:top w:w="15" w:type="dxa"/>
              <w:left w:w="108" w:type="dxa"/>
              <w:bottom w:w="0" w:type="dxa"/>
              <w:right w:w="108" w:type="dxa"/>
            </w:tcMar>
            <w:vAlign w:val="center"/>
            <w:hideMark/>
          </w:tcPr>
          <w:p w14:paraId="7B670D82" w14:textId="77777777" w:rsidR="004412AB" w:rsidRPr="0001438A" w:rsidRDefault="004412AB" w:rsidP="003D7B30">
            <w:pPr>
              <w:spacing w:line="240" w:lineRule="auto"/>
              <w:ind w:firstLine="0"/>
              <w:jc w:val="left"/>
              <w:rPr>
                <w:rFonts w:eastAsia="Times New Roman"/>
                <w:sz w:val="20"/>
                <w:szCs w:val="20"/>
                <w:lang w:eastAsia="en-GB"/>
              </w:rPr>
            </w:pPr>
            <w:r w:rsidRPr="0001438A">
              <w:rPr>
                <w:rFonts w:eastAsia="Times New Roman"/>
                <w:b/>
                <w:bCs/>
                <w:kern w:val="24"/>
                <w:sz w:val="20"/>
                <w:szCs w:val="20"/>
                <w:lang w:eastAsia="en-GB"/>
              </w:rPr>
              <w:t>All cohort</w:t>
            </w:r>
          </w:p>
          <w:p w14:paraId="3B7E2B10" w14:textId="77777777" w:rsidR="004412AB" w:rsidRPr="0001438A" w:rsidRDefault="004412AB" w:rsidP="003D7B30">
            <w:pPr>
              <w:spacing w:line="240" w:lineRule="auto"/>
              <w:ind w:firstLine="0"/>
              <w:jc w:val="left"/>
              <w:rPr>
                <w:rFonts w:eastAsia="Times New Roman"/>
                <w:sz w:val="20"/>
                <w:szCs w:val="20"/>
                <w:lang w:eastAsia="en-GB"/>
              </w:rPr>
            </w:pPr>
            <w:r w:rsidRPr="0001438A">
              <w:rPr>
                <w:rFonts w:eastAsia="Times New Roman"/>
                <w:b/>
                <w:bCs/>
                <w:kern w:val="24"/>
                <w:sz w:val="20"/>
                <w:szCs w:val="20"/>
                <w:lang w:eastAsia="en-GB"/>
              </w:rPr>
              <w:t>Trochanteric fractures</w:t>
            </w:r>
          </w:p>
        </w:tc>
        <w:tc>
          <w:tcPr>
            <w:tcW w:w="1077" w:type="dxa"/>
            <w:tcBorders>
              <w:top w:val="single" w:sz="8" w:space="0" w:color="FFFFFF"/>
              <w:left w:val="single" w:sz="12" w:space="0" w:color="auto"/>
              <w:bottom w:val="single" w:sz="8" w:space="0" w:color="FFFFFF"/>
              <w:right w:val="single" w:sz="12" w:space="0" w:color="auto"/>
            </w:tcBorders>
            <w:shd w:val="clear" w:color="auto" w:fill="auto"/>
            <w:tcMar>
              <w:top w:w="15" w:type="dxa"/>
              <w:left w:w="108" w:type="dxa"/>
              <w:bottom w:w="0" w:type="dxa"/>
              <w:right w:w="108" w:type="dxa"/>
            </w:tcMar>
            <w:vAlign w:val="center"/>
            <w:hideMark/>
          </w:tcPr>
          <w:p w14:paraId="7246E1F2" w14:textId="77777777" w:rsidR="004412AB" w:rsidRPr="0001438A" w:rsidRDefault="004412AB" w:rsidP="003D7B30">
            <w:pPr>
              <w:spacing w:line="240" w:lineRule="auto"/>
              <w:ind w:firstLine="0"/>
              <w:jc w:val="center"/>
              <w:rPr>
                <w:rFonts w:eastAsia="Times New Roman"/>
                <w:sz w:val="20"/>
                <w:szCs w:val="20"/>
                <w:lang w:eastAsia="en-GB"/>
              </w:rPr>
            </w:pPr>
            <w:r w:rsidRPr="0001438A">
              <w:rPr>
                <w:kern w:val="24"/>
                <w:sz w:val="20"/>
                <w:szCs w:val="20"/>
                <w:lang w:eastAsia="en-GB"/>
              </w:rPr>
              <w:t>11,691</w:t>
            </w:r>
          </w:p>
        </w:tc>
        <w:tc>
          <w:tcPr>
            <w:tcW w:w="1151" w:type="dxa"/>
            <w:tcBorders>
              <w:top w:val="single" w:sz="8" w:space="0" w:color="FFFFFF"/>
              <w:left w:val="single" w:sz="12" w:space="0" w:color="auto"/>
              <w:bottom w:val="single" w:sz="8" w:space="0" w:color="FFFFFF"/>
              <w:right w:val="single" w:sz="12" w:space="0" w:color="auto"/>
            </w:tcBorders>
            <w:shd w:val="clear" w:color="auto" w:fill="auto"/>
            <w:tcMar>
              <w:top w:w="15" w:type="dxa"/>
              <w:left w:w="108" w:type="dxa"/>
              <w:bottom w:w="0" w:type="dxa"/>
              <w:right w:w="108" w:type="dxa"/>
            </w:tcMar>
            <w:vAlign w:val="center"/>
            <w:hideMark/>
          </w:tcPr>
          <w:p w14:paraId="2456F8A7" w14:textId="77777777" w:rsidR="004412AB" w:rsidRPr="0001438A" w:rsidRDefault="004412AB" w:rsidP="003D7B30">
            <w:pPr>
              <w:spacing w:line="240" w:lineRule="auto"/>
              <w:ind w:firstLine="0"/>
              <w:jc w:val="center"/>
              <w:rPr>
                <w:rFonts w:eastAsia="Times New Roman"/>
                <w:sz w:val="20"/>
                <w:szCs w:val="20"/>
                <w:lang w:eastAsia="en-GB"/>
              </w:rPr>
            </w:pPr>
            <w:r w:rsidRPr="0001438A">
              <w:rPr>
                <w:kern w:val="24"/>
                <w:sz w:val="20"/>
                <w:szCs w:val="20"/>
                <w:lang w:eastAsia="en-GB"/>
              </w:rPr>
              <w:t>52</w:t>
            </w:r>
          </w:p>
        </w:tc>
        <w:tc>
          <w:tcPr>
            <w:tcW w:w="1661" w:type="dxa"/>
            <w:tcBorders>
              <w:top w:val="single" w:sz="8" w:space="0" w:color="FFFFFF"/>
              <w:left w:val="single" w:sz="12" w:space="0" w:color="auto"/>
              <w:bottom w:val="single" w:sz="8" w:space="0" w:color="FFFFFF"/>
              <w:right w:val="single" w:sz="12" w:space="0" w:color="auto"/>
            </w:tcBorders>
            <w:shd w:val="clear" w:color="auto" w:fill="auto"/>
            <w:vAlign w:val="center"/>
          </w:tcPr>
          <w:p w14:paraId="378DDC56" w14:textId="77777777" w:rsidR="004412AB" w:rsidRPr="0001438A" w:rsidRDefault="004412AB" w:rsidP="003D7B30">
            <w:pPr>
              <w:spacing w:line="240" w:lineRule="auto"/>
              <w:ind w:firstLine="0"/>
              <w:jc w:val="center"/>
              <w:rPr>
                <w:rFonts w:eastAsia="Times New Roman"/>
                <w:sz w:val="20"/>
                <w:szCs w:val="20"/>
                <w:lang w:eastAsia="en-GB"/>
              </w:rPr>
            </w:pPr>
            <w:r w:rsidRPr="0001438A">
              <w:rPr>
                <w:rFonts w:eastAsia="Times New Roman"/>
                <w:b/>
                <w:bCs/>
                <w:kern w:val="24"/>
                <w:sz w:val="20"/>
                <w:szCs w:val="20"/>
                <w:lang w:eastAsia="en-GB"/>
              </w:rPr>
              <w:t>0.839</w:t>
            </w:r>
          </w:p>
          <w:p w14:paraId="584A9586" w14:textId="77777777" w:rsidR="004412AB" w:rsidRPr="0001438A" w:rsidRDefault="004412AB" w:rsidP="003D7B30">
            <w:pPr>
              <w:spacing w:line="240" w:lineRule="auto"/>
              <w:ind w:firstLine="0"/>
              <w:jc w:val="center"/>
              <w:rPr>
                <w:rFonts w:eastAsia="Times New Roman"/>
                <w:kern w:val="24"/>
                <w:sz w:val="20"/>
                <w:szCs w:val="20"/>
                <w:lang w:eastAsia="en-GB"/>
              </w:rPr>
            </w:pPr>
            <w:r w:rsidRPr="0001438A">
              <w:rPr>
                <w:rFonts w:eastAsia="Times New Roman"/>
                <w:kern w:val="24"/>
                <w:sz w:val="20"/>
                <w:szCs w:val="20"/>
                <w:lang w:eastAsia="en-GB"/>
              </w:rPr>
              <w:t>CI</w:t>
            </w:r>
            <w:proofErr w:type="gramStart"/>
            <w:r w:rsidRPr="0001438A">
              <w:rPr>
                <w:rFonts w:eastAsia="Times New Roman"/>
                <w:kern w:val="24"/>
                <w:sz w:val="20"/>
                <w:szCs w:val="20"/>
                <w:lang w:eastAsia="en-GB"/>
              </w:rPr>
              <w:t>=[</w:t>
            </w:r>
            <w:proofErr w:type="gramEnd"/>
            <w:r w:rsidRPr="0001438A">
              <w:rPr>
                <w:rFonts w:eastAsia="Times New Roman"/>
                <w:kern w:val="24"/>
                <w:sz w:val="20"/>
                <w:szCs w:val="20"/>
                <w:lang w:eastAsia="en-GB"/>
              </w:rPr>
              <w:t>0.79</w:t>
            </w:r>
            <w:r>
              <w:rPr>
                <w:rFonts w:eastAsia="Times New Roman"/>
                <w:kern w:val="24"/>
                <w:sz w:val="20"/>
                <w:szCs w:val="20"/>
                <w:lang w:eastAsia="en-GB"/>
              </w:rPr>
              <w:t>5</w:t>
            </w:r>
            <w:r w:rsidRPr="0001438A">
              <w:rPr>
                <w:rFonts w:eastAsia="Times New Roman"/>
                <w:kern w:val="24"/>
                <w:sz w:val="20"/>
                <w:szCs w:val="20"/>
                <w:lang w:eastAsia="en-GB"/>
              </w:rPr>
              <w:t>-0.8</w:t>
            </w:r>
            <w:r>
              <w:rPr>
                <w:rFonts w:eastAsia="Times New Roman"/>
                <w:kern w:val="24"/>
                <w:sz w:val="20"/>
                <w:szCs w:val="20"/>
                <w:lang w:eastAsia="en-GB"/>
              </w:rPr>
              <w:t>80</w:t>
            </w:r>
            <w:r w:rsidRPr="0001438A">
              <w:rPr>
                <w:rFonts w:eastAsia="Times New Roman"/>
                <w:kern w:val="24"/>
                <w:sz w:val="20"/>
                <w:szCs w:val="20"/>
                <w:lang w:eastAsia="en-GB"/>
              </w:rPr>
              <w:t>]</w:t>
            </w:r>
          </w:p>
        </w:tc>
        <w:tc>
          <w:tcPr>
            <w:tcW w:w="1661" w:type="dxa"/>
            <w:tcBorders>
              <w:top w:val="single" w:sz="8" w:space="0" w:color="FFFFFF"/>
              <w:left w:val="single" w:sz="12" w:space="0" w:color="auto"/>
              <w:bottom w:val="single" w:sz="8" w:space="0" w:color="FFFFFF"/>
              <w:right w:val="single" w:sz="12" w:space="0" w:color="auto"/>
            </w:tcBorders>
            <w:shd w:val="clear" w:color="auto" w:fill="auto"/>
            <w:vAlign w:val="center"/>
          </w:tcPr>
          <w:p w14:paraId="40571E0E" w14:textId="77777777" w:rsidR="004412AB" w:rsidRDefault="004412AB" w:rsidP="003D7B30">
            <w:pPr>
              <w:spacing w:line="240" w:lineRule="auto"/>
              <w:ind w:firstLine="0"/>
              <w:jc w:val="center"/>
              <w:rPr>
                <w:rFonts w:eastAsia="Times New Roman"/>
                <w:kern w:val="24"/>
                <w:sz w:val="20"/>
                <w:szCs w:val="20"/>
                <w:lang w:eastAsia="en-GB"/>
              </w:rPr>
            </w:pPr>
            <w:r>
              <w:rPr>
                <w:rFonts w:eastAsia="Times New Roman"/>
                <w:kern w:val="24"/>
                <w:sz w:val="20"/>
                <w:szCs w:val="20"/>
                <w:lang w:eastAsia="en-GB"/>
              </w:rPr>
              <w:t>0.789</w:t>
            </w:r>
          </w:p>
          <w:p w14:paraId="6928D9E6" w14:textId="77777777" w:rsidR="004412AB" w:rsidRPr="0001438A" w:rsidRDefault="004412AB" w:rsidP="003D7B30">
            <w:pPr>
              <w:spacing w:line="240" w:lineRule="auto"/>
              <w:ind w:firstLine="0"/>
              <w:jc w:val="center"/>
              <w:rPr>
                <w:rFonts w:eastAsia="Times New Roman"/>
                <w:kern w:val="24"/>
                <w:sz w:val="20"/>
                <w:szCs w:val="20"/>
                <w:lang w:eastAsia="en-GB"/>
              </w:rPr>
            </w:pPr>
            <w:r>
              <w:rPr>
                <w:rFonts w:eastAsia="Times New Roman"/>
                <w:kern w:val="24"/>
                <w:sz w:val="20"/>
                <w:szCs w:val="20"/>
                <w:lang w:eastAsia="en-GB"/>
              </w:rPr>
              <w:t>CI</w:t>
            </w:r>
            <w:proofErr w:type="gramStart"/>
            <w:r>
              <w:rPr>
                <w:rFonts w:eastAsia="Times New Roman"/>
                <w:kern w:val="24"/>
                <w:sz w:val="20"/>
                <w:szCs w:val="20"/>
                <w:lang w:eastAsia="en-GB"/>
              </w:rPr>
              <w:t>=[</w:t>
            </w:r>
            <w:proofErr w:type="gramEnd"/>
            <w:r>
              <w:rPr>
                <w:rFonts w:eastAsia="Times New Roman"/>
                <w:kern w:val="24"/>
                <w:sz w:val="20"/>
                <w:szCs w:val="20"/>
                <w:lang w:eastAsia="en-GB"/>
              </w:rPr>
              <w:t>0.722-0.844]</w:t>
            </w:r>
          </w:p>
        </w:tc>
        <w:tc>
          <w:tcPr>
            <w:tcW w:w="1661" w:type="dxa"/>
            <w:tcBorders>
              <w:top w:val="single" w:sz="8" w:space="0" w:color="FFFFFF"/>
              <w:left w:val="single" w:sz="12" w:space="0" w:color="auto"/>
              <w:bottom w:val="single" w:sz="8" w:space="0" w:color="FFFFFF"/>
              <w:right w:val="single" w:sz="12" w:space="0" w:color="auto"/>
            </w:tcBorders>
            <w:shd w:val="clear" w:color="auto" w:fill="auto"/>
            <w:tcMar>
              <w:top w:w="15" w:type="dxa"/>
              <w:left w:w="108" w:type="dxa"/>
              <w:bottom w:w="0" w:type="dxa"/>
              <w:right w:w="108" w:type="dxa"/>
            </w:tcMar>
            <w:vAlign w:val="center"/>
            <w:hideMark/>
          </w:tcPr>
          <w:p w14:paraId="5F3C2C16" w14:textId="77777777" w:rsidR="004412AB" w:rsidRPr="0001438A" w:rsidRDefault="004412AB" w:rsidP="003D7B30">
            <w:pPr>
              <w:spacing w:line="240" w:lineRule="auto"/>
              <w:ind w:firstLine="0"/>
              <w:jc w:val="center"/>
              <w:rPr>
                <w:rFonts w:eastAsia="Times New Roman"/>
                <w:sz w:val="20"/>
                <w:szCs w:val="20"/>
                <w:lang w:eastAsia="en-GB"/>
              </w:rPr>
            </w:pPr>
            <w:r w:rsidRPr="0001438A">
              <w:rPr>
                <w:rFonts w:eastAsia="Times New Roman"/>
                <w:kern w:val="24"/>
                <w:sz w:val="20"/>
                <w:szCs w:val="20"/>
                <w:lang w:eastAsia="en-GB"/>
              </w:rPr>
              <w:t>0.</w:t>
            </w:r>
            <w:r>
              <w:rPr>
                <w:rFonts w:eastAsia="Times New Roman"/>
                <w:kern w:val="24"/>
                <w:sz w:val="20"/>
                <w:szCs w:val="20"/>
                <w:lang w:eastAsia="en-GB"/>
              </w:rPr>
              <w:t>823</w:t>
            </w:r>
          </w:p>
          <w:p w14:paraId="22743889" w14:textId="77777777" w:rsidR="004412AB" w:rsidRPr="0001438A" w:rsidRDefault="004412AB" w:rsidP="003D7B30">
            <w:pPr>
              <w:spacing w:line="240" w:lineRule="auto"/>
              <w:ind w:firstLine="0"/>
              <w:jc w:val="center"/>
              <w:rPr>
                <w:rFonts w:eastAsia="Times New Roman"/>
                <w:sz w:val="20"/>
                <w:szCs w:val="20"/>
                <w:lang w:eastAsia="en-GB"/>
              </w:rPr>
            </w:pPr>
            <w:r w:rsidRPr="0001438A">
              <w:rPr>
                <w:rFonts w:eastAsia="Times New Roman"/>
                <w:kern w:val="24"/>
                <w:sz w:val="20"/>
                <w:szCs w:val="20"/>
                <w:lang w:eastAsia="en-GB"/>
              </w:rPr>
              <w:t>CI</w:t>
            </w:r>
            <w:proofErr w:type="gramStart"/>
            <w:r w:rsidRPr="0001438A">
              <w:rPr>
                <w:rFonts w:eastAsia="Times New Roman"/>
                <w:kern w:val="24"/>
                <w:sz w:val="20"/>
                <w:szCs w:val="20"/>
                <w:lang w:eastAsia="en-GB"/>
              </w:rPr>
              <w:t>=[</w:t>
            </w:r>
            <w:proofErr w:type="gramEnd"/>
            <w:r w:rsidRPr="0001438A">
              <w:rPr>
                <w:rFonts w:eastAsia="Times New Roman"/>
                <w:kern w:val="24"/>
                <w:sz w:val="20"/>
                <w:szCs w:val="20"/>
                <w:lang w:eastAsia="en-GB"/>
              </w:rPr>
              <w:t>0.7</w:t>
            </w:r>
            <w:r>
              <w:rPr>
                <w:rFonts w:eastAsia="Times New Roman"/>
                <w:kern w:val="24"/>
                <w:sz w:val="20"/>
                <w:szCs w:val="20"/>
                <w:lang w:eastAsia="en-GB"/>
              </w:rPr>
              <w:t>71</w:t>
            </w:r>
            <w:r w:rsidRPr="0001438A">
              <w:rPr>
                <w:rFonts w:eastAsia="Times New Roman"/>
                <w:kern w:val="24"/>
                <w:sz w:val="20"/>
                <w:szCs w:val="20"/>
                <w:lang w:eastAsia="en-GB"/>
              </w:rPr>
              <w:t>-0.</w:t>
            </w:r>
            <w:r>
              <w:rPr>
                <w:rFonts w:eastAsia="Times New Roman"/>
                <w:kern w:val="24"/>
                <w:sz w:val="20"/>
                <w:szCs w:val="20"/>
                <w:lang w:eastAsia="en-GB"/>
              </w:rPr>
              <w:t>869</w:t>
            </w:r>
            <w:r w:rsidRPr="0001438A">
              <w:rPr>
                <w:rFonts w:eastAsia="Times New Roman"/>
                <w:kern w:val="24"/>
                <w:sz w:val="20"/>
                <w:szCs w:val="20"/>
                <w:lang w:eastAsia="en-GB"/>
              </w:rPr>
              <w:t>]</w:t>
            </w:r>
          </w:p>
        </w:tc>
        <w:tc>
          <w:tcPr>
            <w:tcW w:w="1661" w:type="dxa"/>
            <w:tcBorders>
              <w:top w:val="single" w:sz="8" w:space="0" w:color="FFFFFF"/>
              <w:left w:val="single" w:sz="12" w:space="0" w:color="auto"/>
              <w:bottom w:val="single" w:sz="8" w:space="0" w:color="FFFFFF"/>
            </w:tcBorders>
            <w:shd w:val="clear" w:color="auto" w:fill="auto"/>
            <w:vAlign w:val="center"/>
          </w:tcPr>
          <w:p w14:paraId="5FA9B2DD" w14:textId="77777777" w:rsidR="004412AB" w:rsidRDefault="004412AB" w:rsidP="003D7B30">
            <w:pPr>
              <w:spacing w:line="240" w:lineRule="auto"/>
              <w:ind w:firstLine="0"/>
              <w:jc w:val="center"/>
              <w:rPr>
                <w:kern w:val="24"/>
                <w:sz w:val="20"/>
                <w:szCs w:val="20"/>
                <w:lang w:eastAsia="en-GB"/>
              </w:rPr>
            </w:pPr>
            <w:r>
              <w:rPr>
                <w:kern w:val="24"/>
                <w:sz w:val="20"/>
                <w:szCs w:val="20"/>
                <w:lang w:eastAsia="en-GB"/>
              </w:rPr>
              <w:t>0.826</w:t>
            </w:r>
          </w:p>
          <w:p w14:paraId="0C3FB2FD" w14:textId="77777777" w:rsidR="004412AB" w:rsidRPr="0001438A" w:rsidRDefault="004412AB" w:rsidP="003D7B30">
            <w:pPr>
              <w:spacing w:line="240" w:lineRule="auto"/>
              <w:ind w:firstLine="0"/>
              <w:jc w:val="center"/>
              <w:rPr>
                <w:kern w:val="24"/>
                <w:sz w:val="20"/>
                <w:szCs w:val="20"/>
                <w:lang w:eastAsia="en-GB"/>
              </w:rPr>
            </w:pPr>
            <w:r>
              <w:rPr>
                <w:kern w:val="24"/>
                <w:sz w:val="20"/>
                <w:szCs w:val="20"/>
                <w:lang w:eastAsia="en-GB"/>
              </w:rPr>
              <w:t>CI</w:t>
            </w:r>
            <w:proofErr w:type="gramStart"/>
            <w:r>
              <w:rPr>
                <w:kern w:val="24"/>
                <w:sz w:val="20"/>
                <w:szCs w:val="20"/>
                <w:lang w:eastAsia="en-GB"/>
              </w:rPr>
              <w:t>=[</w:t>
            </w:r>
            <w:proofErr w:type="gramEnd"/>
            <w:r>
              <w:rPr>
                <w:kern w:val="24"/>
                <w:sz w:val="20"/>
                <w:szCs w:val="20"/>
                <w:lang w:eastAsia="en-GB"/>
              </w:rPr>
              <w:t>0.775-0.872]</w:t>
            </w:r>
          </w:p>
        </w:tc>
      </w:tr>
      <w:tr w:rsidR="004412AB" w:rsidRPr="0001438A" w14:paraId="1D97852F" w14:textId="77777777" w:rsidTr="003D7B30">
        <w:trPr>
          <w:trHeight w:val="520"/>
          <w:jc w:val="center"/>
        </w:trPr>
        <w:tc>
          <w:tcPr>
            <w:tcW w:w="2211" w:type="dxa"/>
            <w:tcBorders>
              <w:top w:val="single" w:sz="8" w:space="0" w:color="FFFFFF"/>
              <w:left w:val="single" w:sz="8" w:space="0" w:color="FFFFFF"/>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703F8965" w14:textId="77777777" w:rsidR="004412AB" w:rsidRPr="0001438A" w:rsidRDefault="004412AB" w:rsidP="003D7B30">
            <w:pPr>
              <w:spacing w:line="240" w:lineRule="auto"/>
              <w:ind w:firstLine="0"/>
              <w:jc w:val="left"/>
              <w:rPr>
                <w:rFonts w:eastAsia="Times New Roman"/>
                <w:sz w:val="20"/>
                <w:szCs w:val="20"/>
                <w:lang w:eastAsia="en-GB"/>
              </w:rPr>
            </w:pPr>
            <w:r w:rsidRPr="0001438A">
              <w:rPr>
                <w:rFonts w:eastAsia="Times New Roman"/>
                <w:b/>
                <w:bCs/>
                <w:kern w:val="24"/>
                <w:sz w:val="20"/>
                <w:szCs w:val="20"/>
                <w:lang w:eastAsia="en-GB"/>
              </w:rPr>
              <w:t>All cohort</w:t>
            </w:r>
          </w:p>
          <w:p w14:paraId="5086E3D9" w14:textId="77777777" w:rsidR="004412AB" w:rsidRPr="0001438A" w:rsidRDefault="004412AB" w:rsidP="003D7B30">
            <w:pPr>
              <w:spacing w:line="240" w:lineRule="auto"/>
              <w:ind w:firstLine="0"/>
              <w:jc w:val="left"/>
              <w:rPr>
                <w:rFonts w:eastAsia="Times New Roman"/>
                <w:sz w:val="20"/>
                <w:szCs w:val="20"/>
                <w:lang w:eastAsia="en-GB"/>
              </w:rPr>
            </w:pPr>
            <w:r w:rsidRPr="0001438A">
              <w:rPr>
                <w:rFonts w:eastAsia="Times New Roman"/>
                <w:b/>
                <w:bCs/>
                <w:kern w:val="24"/>
                <w:sz w:val="20"/>
                <w:szCs w:val="20"/>
                <w:lang w:eastAsia="en-GB"/>
              </w:rPr>
              <w:t>Neck fractures</w:t>
            </w:r>
          </w:p>
        </w:tc>
        <w:tc>
          <w:tcPr>
            <w:tcW w:w="1077"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61DFEBD9" w14:textId="77777777" w:rsidR="004412AB" w:rsidRPr="0001438A" w:rsidRDefault="004412AB" w:rsidP="003D7B30">
            <w:pPr>
              <w:spacing w:line="240" w:lineRule="auto"/>
              <w:ind w:firstLine="0"/>
              <w:jc w:val="center"/>
              <w:rPr>
                <w:rFonts w:eastAsia="Times New Roman"/>
                <w:sz w:val="20"/>
                <w:szCs w:val="20"/>
                <w:lang w:eastAsia="en-GB"/>
              </w:rPr>
            </w:pPr>
            <w:r w:rsidRPr="0001438A">
              <w:rPr>
                <w:kern w:val="24"/>
                <w:sz w:val="20"/>
                <w:szCs w:val="20"/>
                <w:lang w:eastAsia="en-GB"/>
              </w:rPr>
              <w:t>11,691</w:t>
            </w:r>
          </w:p>
        </w:tc>
        <w:tc>
          <w:tcPr>
            <w:tcW w:w="1151"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6667D2E0" w14:textId="77777777" w:rsidR="004412AB" w:rsidRPr="0001438A" w:rsidRDefault="004412AB" w:rsidP="003D7B30">
            <w:pPr>
              <w:spacing w:line="240" w:lineRule="auto"/>
              <w:ind w:firstLine="0"/>
              <w:jc w:val="center"/>
              <w:rPr>
                <w:rFonts w:eastAsia="Times New Roman"/>
                <w:sz w:val="20"/>
                <w:szCs w:val="20"/>
                <w:lang w:eastAsia="en-GB"/>
              </w:rPr>
            </w:pPr>
            <w:r w:rsidRPr="0001438A">
              <w:rPr>
                <w:rFonts w:eastAsia="Times New Roman"/>
                <w:kern w:val="24"/>
                <w:sz w:val="20"/>
                <w:szCs w:val="20"/>
                <w:lang w:eastAsia="en-GB"/>
              </w:rPr>
              <w:t>138</w:t>
            </w:r>
          </w:p>
        </w:tc>
        <w:tc>
          <w:tcPr>
            <w:tcW w:w="1661"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vAlign w:val="center"/>
          </w:tcPr>
          <w:p w14:paraId="3811BC8F" w14:textId="77777777" w:rsidR="004412AB" w:rsidRPr="0001438A" w:rsidRDefault="004412AB" w:rsidP="003D7B30">
            <w:pPr>
              <w:spacing w:line="240" w:lineRule="auto"/>
              <w:ind w:firstLine="0"/>
              <w:jc w:val="center"/>
              <w:rPr>
                <w:rFonts w:eastAsia="Times New Roman"/>
                <w:sz w:val="20"/>
                <w:szCs w:val="20"/>
                <w:lang w:eastAsia="en-GB"/>
              </w:rPr>
            </w:pPr>
            <w:r w:rsidRPr="0001438A">
              <w:rPr>
                <w:rFonts w:eastAsia="Times New Roman"/>
                <w:kern w:val="24"/>
                <w:sz w:val="20"/>
                <w:szCs w:val="20"/>
                <w:lang w:eastAsia="en-GB"/>
              </w:rPr>
              <w:t>0.775</w:t>
            </w:r>
          </w:p>
          <w:p w14:paraId="1B7B83FB" w14:textId="77777777" w:rsidR="004412AB" w:rsidRPr="0001438A" w:rsidRDefault="004412AB" w:rsidP="003D7B30">
            <w:pPr>
              <w:spacing w:line="240" w:lineRule="auto"/>
              <w:ind w:firstLine="0"/>
              <w:jc w:val="center"/>
              <w:rPr>
                <w:rFonts w:eastAsia="Times New Roman"/>
                <w:b/>
                <w:bCs/>
                <w:kern w:val="24"/>
                <w:sz w:val="20"/>
                <w:szCs w:val="20"/>
                <w:lang w:eastAsia="en-GB"/>
              </w:rPr>
            </w:pPr>
            <w:r w:rsidRPr="0001438A">
              <w:rPr>
                <w:rFonts w:eastAsia="Times New Roman"/>
                <w:kern w:val="24"/>
                <w:sz w:val="20"/>
                <w:szCs w:val="20"/>
                <w:lang w:eastAsia="en-GB"/>
              </w:rPr>
              <w:t>CI</w:t>
            </w:r>
            <w:proofErr w:type="gramStart"/>
            <w:r w:rsidRPr="0001438A">
              <w:rPr>
                <w:rFonts w:eastAsia="Times New Roman"/>
                <w:kern w:val="24"/>
                <w:sz w:val="20"/>
                <w:szCs w:val="20"/>
                <w:lang w:eastAsia="en-GB"/>
              </w:rPr>
              <w:t>=[</w:t>
            </w:r>
            <w:proofErr w:type="gramEnd"/>
            <w:r w:rsidRPr="0001438A">
              <w:rPr>
                <w:rFonts w:eastAsia="Times New Roman"/>
                <w:kern w:val="24"/>
                <w:sz w:val="20"/>
                <w:szCs w:val="20"/>
                <w:lang w:eastAsia="en-GB"/>
              </w:rPr>
              <w:t>0.739-0.81</w:t>
            </w:r>
            <w:r>
              <w:rPr>
                <w:rFonts w:eastAsia="Times New Roman"/>
                <w:kern w:val="24"/>
                <w:sz w:val="20"/>
                <w:szCs w:val="20"/>
                <w:lang w:eastAsia="en-GB"/>
              </w:rPr>
              <w:t>1</w:t>
            </w:r>
            <w:r w:rsidRPr="0001438A">
              <w:rPr>
                <w:rFonts w:eastAsia="Times New Roman"/>
                <w:kern w:val="24"/>
                <w:sz w:val="20"/>
                <w:szCs w:val="20"/>
                <w:lang w:eastAsia="en-GB"/>
              </w:rPr>
              <w:t>]</w:t>
            </w:r>
          </w:p>
        </w:tc>
        <w:tc>
          <w:tcPr>
            <w:tcW w:w="1661"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vAlign w:val="center"/>
          </w:tcPr>
          <w:p w14:paraId="6C82F957" w14:textId="77777777" w:rsidR="004412AB" w:rsidRDefault="004412AB" w:rsidP="003D7B30">
            <w:pPr>
              <w:spacing w:line="240" w:lineRule="auto"/>
              <w:ind w:firstLine="0"/>
              <w:jc w:val="center"/>
              <w:rPr>
                <w:rFonts w:eastAsia="Times New Roman"/>
                <w:b/>
                <w:bCs/>
                <w:kern w:val="24"/>
                <w:sz w:val="20"/>
                <w:szCs w:val="20"/>
                <w:lang w:eastAsia="en-GB"/>
              </w:rPr>
            </w:pPr>
            <w:r>
              <w:rPr>
                <w:rFonts w:eastAsia="Times New Roman"/>
                <w:b/>
                <w:bCs/>
                <w:kern w:val="24"/>
                <w:sz w:val="20"/>
                <w:szCs w:val="20"/>
                <w:lang w:eastAsia="en-GB"/>
              </w:rPr>
              <w:t>0.786</w:t>
            </w:r>
          </w:p>
          <w:p w14:paraId="77A4718B" w14:textId="77777777" w:rsidR="004412AB" w:rsidRPr="0066334E" w:rsidRDefault="004412AB" w:rsidP="003D7B30">
            <w:pPr>
              <w:spacing w:line="240" w:lineRule="auto"/>
              <w:ind w:firstLine="0"/>
              <w:jc w:val="center"/>
              <w:rPr>
                <w:rFonts w:eastAsia="Times New Roman"/>
                <w:kern w:val="24"/>
                <w:sz w:val="20"/>
                <w:szCs w:val="20"/>
                <w:lang w:eastAsia="en-GB"/>
              </w:rPr>
            </w:pPr>
            <w:r w:rsidRPr="0066334E">
              <w:rPr>
                <w:rFonts w:eastAsia="Times New Roman"/>
                <w:kern w:val="24"/>
                <w:sz w:val="20"/>
                <w:szCs w:val="20"/>
                <w:lang w:eastAsia="en-GB"/>
              </w:rPr>
              <w:t>CI</w:t>
            </w:r>
            <w:proofErr w:type="gramStart"/>
            <w:r w:rsidRPr="0066334E">
              <w:rPr>
                <w:rFonts w:eastAsia="Times New Roman"/>
                <w:kern w:val="24"/>
                <w:sz w:val="20"/>
                <w:szCs w:val="20"/>
                <w:lang w:eastAsia="en-GB"/>
              </w:rPr>
              <w:t>=[</w:t>
            </w:r>
            <w:proofErr w:type="gramEnd"/>
            <w:r w:rsidRPr="0066334E">
              <w:rPr>
                <w:rFonts w:eastAsia="Times New Roman"/>
                <w:kern w:val="24"/>
                <w:sz w:val="20"/>
                <w:szCs w:val="20"/>
                <w:lang w:eastAsia="en-GB"/>
              </w:rPr>
              <w:t>0.747-0.821]</w:t>
            </w:r>
          </w:p>
        </w:tc>
        <w:tc>
          <w:tcPr>
            <w:tcW w:w="1661"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7AA4D3E9" w14:textId="77777777" w:rsidR="004412AB" w:rsidRPr="003865AE" w:rsidRDefault="004412AB" w:rsidP="003D7B30">
            <w:pPr>
              <w:spacing w:line="240" w:lineRule="auto"/>
              <w:ind w:firstLine="0"/>
              <w:jc w:val="center"/>
              <w:rPr>
                <w:rFonts w:eastAsia="Times New Roman"/>
                <w:sz w:val="20"/>
                <w:szCs w:val="20"/>
                <w:lang w:eastAsia="en-GB"/>
              </w:rPr>
            </w:pPr>
            <w:r w:rsidRPr="003865AE">
              <w:rPr>
                <w:rFonts w:eastAsia="Times New Roman"/>
                <w:kern w:val="24"/>
                <w:sz w:val="20"/>
                <w:szCs w:val="20"/>
                <w:lang w:eastAsia="en-GB"/>
              </w:rPr>
              <w:t>0.746</w:t>
            </w:r>
          </w:p>
          <w:p w14:paraId="20627993" w14:textId="77777777" w:rsidR="004412AB" w:rsidRPr="0001438A" w:rsidRDefault="004412AB" w:rsidP="003D7B30">
            <w:pPr>
              <w:spacing w:line="240" w:lineRule="auto"/>
              <w:ind w:firstLine="0"/>
              <w:jc w:val="center"/>
              <w:rPr>
                <w:rFonts w:eastAsia="Times New Roman"/>
                <w:sz w:val="20"/>
                <w:szCs w:val="20"/>
                <w:lang w:eastAsia="en-GB"/>
              </w:rPr>
            </w:pPr>
            <w:r w:rsidRPr="0001438A">
              <w:rPr>
                <w:rFonts w:eastAsia="Times New Roman"/>
                <w:kern w:val="24"/>
                <w:sz w:val="20"/>
                <w:szCs w:val="20"/>
                <w:lang w:eastAsia="en-GB"/>
              </w:rPr>
              <w:t>CI</w:t>
            </w:r>
            <w:proofErr w:type="gramStart"/>
            <w:r w:rsidRPr="0001438A">
              <w:rPr>
                <w:rFonts w:eastAsia="Times New Roman"/>
                <w:kern w:val="24"/>
                <w:sz w:val="20"/>
                <w:szCs w:val="20"/>
                <w:lang w:eastAsia="en-GB"/>
              </w:rPr>
              <w:t>=[</w:t>
            </w:r>
            <w:proofErr w:type="gramEnd"/>
            <w:r w:rsidRPr="0001438A">
              <w:rPr>
                <w:rFonts w:eastAsia="Times New Roman"/>
                <w:kern w:val="24"/>
                <w:sz w:val="20"/>
                <w:szCs w:val="20"/>
                <w:lang w:eastAsia="en-GB"/>
              </w:rPr>
              <w:t>0.7</w:t>
            </w:r>
            <w:r>
              <w:rPr>
                <w:rFonts w:eastAsia="Times New Roman"/>
                <w:kern w:val="24"/>
                <w:sz w:val="20"/>
                <w:szCs w:val="20"/>
                <w:lang w:eastAsia="en-GB"/>
              </w:rPr>
              <w:t>04</w:t>
            </w:r>
            <w:r w:rsidRPr="0001438A">
              <w:rPr>
                <w:rFonts w:eastAsia="Times New Roman"/>
                <w:kern w:val="24"/>
                <w:sz w:val="20"/>
                <w:szCs w:val="20"/>
                <w:lang w:eastAsia="en-GB"/>
              </w:rPr>
              <w:t>-0.</w:t>
            </w:r>
            <w:r>
              <w:rPr>
                <w:rFonts w:eastAsia="Times New Roman"/>
                <w:kern w:val="24"/>
                <w:sz w:val="20"/>
                <w:szCs w:val="20"/>
                <w:lang w:eastAsia="en-GB"/>
              </w:rPr>
              <w:t>785</w:t>
            </w:r>
            <w:r w:rsidRPr="0001438A">
              <w:rPr>
                <w:rFonts w:eastAsia="Times New Roman"/>
                <w:kern w:val="24"/>
                <w:sz w:val="20"/>
                <w:szCs w:val="20"/>
                <w:lang w:eastAsia="en-GB"/>
              </w:rPr>
              <w:t>]</w:t>
            </w:r>
          </w:p>
        </w:tc>
        <w:tc>
          <w:tcPr>
            <w:tcW w:w="1661" w:type="dxa"/>
            <w:tcBorders>
              <w:top w:val="single" w:sz="8" w:space="0" w:color="FFFFFF"/>
              <w:left w:val="single" w:sz="12" w:space="0" w:color="auto"/>
              <w:bottom w:val="single" w:sz="8" w:space="0" w:color="FFFFFF"/>
            </w:tcBorders>
            <w:shd w:val="clear" w:color="auto" w:fill="D0CECE" w:themeFill="background2" w:themeFillShade="E6"/>
            <w:vAlign w:val="center"/>
          </w:tcPr>
          <w:p w14:paraId="7CDEAD7A" w14:textId="77777777" w:rsidR="004412AB" w:rsidRDefault="004412AB" w:rsidP="003D7B30">
            <w:pPr>
              <w:spacing w:line="240" w:lineRule="auto"/>
              <w:ind w:firstLine="0"/>
              <w:jc w:val="center"/>
              <w:rPr>
                <w:kern w:val="24"/>
                <w:sz w:val="20"/>
                <w:szCs w:val="20"/>
                <w:lang w:eastAsia="en-GB"/>
              </w:rPr>
            </w:pPr>
            <w:r>
              <w:rPr>
                <w:kern w:val="24"/>
                <w:sz w:val="20"/>
                <w:szCs w:val="20"/>
                <w:lang w:eastAsia="en-GB"/>
              </w:rPr>
              <w:t>0.768</w:t>
            </w:r>
          </w:p>
          <w:p w14:paraId="05B2208D" w14:textId="77777777" w:rsidR="004412AB" w:rsidRPr="0001438A" w:rsidRDefault="004412AB" w:rsidP="003D7B30">
            <w:pPr>
              <w:spacing w:line="240" w:lineRule="auto"/>
              <w:ind w:firstLine="0"/>
              <w:jc w:val="center"/>
              <w:rPr>
                <w:kern w:val="24"/>
                <w:sz w:val="20"/>
                <w:szCs w:val="20"/>
                <w:lang w:eastAsia="en-GB"/>
              </w:rPr>
            </w:pPr>
            <w:r>
              <w:rPr>
                <w:kern w:val="24"/>
                <w:sz w:val="20"/>
                <w:szCs w:val="20"/>
                <w:lang w:eastAsia="en-GB"/>
              </w:rPr>
              <w:t>CI</w:t>
            </w:r>
            <w:proofErr w:type="gramStart"/>
            <w:r>
              <w:rPr>
                <w:kern w:val="24"/>
                <w:sz w:val="20"/>
                <w:szCs w:val="20"/>
                <w:lang w:eastAsia="en-GB"/>
              </w:rPr>
              <w:t>=[</w:t>
            </w:r>
            <w:proofErr w:type="gramEnd"/>
            <w:r>
              <w:rPr>
                <w:kern w:val="24"/>
                <w:sz w:val="20"/>
                <w:szCs w:val="20"/>
                <w:lang w:eastAsia="en-GB"/>
              </w:rPr>
              <w:t>0.731-0.805]</w:t>
            </w:r>
          </w:p>
        </w:tc>
      </w:tr>
    </w:tbl>
    <w:p w14:paraId="66751446" w14:textId="6DA530A5" w:rsidR="0067246E" w:rsidRDefault="0067246E" w:rsidP="008F70F8"/>
    <w:p w14:paraId="7548256C" w14:textId="6BD08742" w:rsidR="004412AB" w:rsidRDefault="004412AB" w:rsidP="008F70F8"/>
    <w:p w14:paraId="6D5753E8" w14:textId="77777777" w:rsidR="00670271" w:rsidRDefault="00670271" w:rsidP="00670271">
      <w:pPr>
        <w:spacing w:line="240" w:lineRule="auto"/>
        <w:ind w:firstLine="0"/>
        <w:jc w:val="center"/>
        <w:rPr>
          <w:sz w:val="22"/>
          <w:szCs w:val="22"/>
          <w:lang w:val="en-US"/>
        </w:rPr>
      </w:pPr>
      <w:bookmarkStart w:id="3" w:name="_Ref85034656"/>
      <w:r w:rsidRPr="003547CC">
        <w:rPr>
          <w:b/>
          <w:bCs/>
          <w:sz w:val="22"/>
          <w:szCs w:val="22"/>
        </w:rPr>
        <w:t xml:space="preserve">Table </w:t>
      </w:r>
      <w:bookmarkEnd w:id="3"/>
      <w:r>
        <w:rPr>
          <w:b/>
          <w:bCs/>
          <w:sz w:val="22"/>
          <w:szCs w:val="22"/>
        </w:rPr>
        <w:t>3.</w:t>
      </w:r>
      <w:r w:rsidRPr="003547CC">
        <w:rPr>
          <w:kern w:val="24"/>
          <w:sz w:val="28"/>
          <w:szCs w:val="28"/>
          <w:lang w:val="en-US"/>
        </w:rPr>
        <w:t xml:space="preserve"> </w:t>
      </w:r>
      <w:r w:rsidRPr="006E04E2">
        <w:rPr>
          <w:smallCaps/>
          <w:sz w:val="22"/>
          <w:szCs w:val="22"/>
          <w:lang w:val="en-US"/>
        </w:rPr>
        <w:t>Ar</w:t>
      </w:r>
      <w:r>
        <w:rPr>
          <w:smallCaps/>
          <w:sz w:val="22"/>
          <w:szCs w:val="22"/>
          <w:lang w:val="en-US"/>
        </w:rPr>
        <w:t>e</w:t>
      </w:r>
      <w:r w:rsidRPr="006E04E2">
        <w:rPr>
          <w:smallCaps/>
          <w:sz w:val="22"/>
          <w:szCs w:val="22"/>
          <w:lang w:val="en-US"/>
        </w:rPr>
        <w:t xml:space="preserve">a Under the Curve for </w:t>
      </w:r>
      <w:r w:rsidRPr="006E04E2">
        <w:rPr>
          <w:smallCaps/>
        </w:rPr>
        <w:t>Precision-Recall-Characteristics</w:t>
      </w:r>
      <w:r w:rsidRPr="006E04E2">
        <w:rPr>
          <w:smallCaps/>
          <w:lang w:val="en-US" w:bidi="fa-IR"/>
        </w:rPr>
        <w:t xml:space="preserve"> Analysis</w:t>
      </w:r>
      <w:r w:rsidRPr="006E04E2">
        <w:rPr>
          <w:smallCaps/>
          <w:sz w:val="22"/>
          <w:szCs w:val="22"/>
          <w:lang w:val="en-US"/>
        </w:rPr>
        <w:t xml:space="preserve"> for the Prediction of </w:t>
      </w:r>
      <w:r>
        <w:rPr>
          <w:smallCaps/>
          <w:sz w:val="22"/>
          <w:szCs w:val="22"/>
          <w:lang w:val="en-US"/>
        </w:rPr>
        <w:t>Incident</w:t>
      </w:r>
      <w:r w:rsidRPr="006E04E2">
        <w:rPr>
          <w:smallCaps/>
          <w:sz w:val="22"/>
          <w:szCs w:val="22"/>
          <w:lang w:val="en-US"/>
        </w:rPr>
        <w:t xml:space="preserve"> Fractures</w:t>
      </w:r>
    </w:p>
    <w:p w14:paraId="4A3AEDE2" w14:textId="77777777" w:rsidR="00670271" w:rsidRPr="003547CC" w:rsidRDefault="00670271" w:rsidP="00670271">
      <w:pPr>
        <w:spacing w:line="240" w:lineRule="auto"/>
        <w:ind w:firstLine="0"/>
        <w:jc w:val="center"/>
        <w:rPr>
          <w:sz w:val="22"/>
          <w:szCs w:val="22"/>
        </w:rPr>
      </w:pPr>
    </w:p>
    <w:tbl>
      <w:tblPr>
        <w:tblW w:w="11055" w:type="dxa"/>
        <w:jc w:val="center"/>
        <w:tblCellMar>
          <w:left w:w="0" w:type="dxa"/>
          <w:right w:w="0" w:type="dxa"/>
        </w:tblCellMar>
        <w:tblLook w:val="04A0" w:firstRow="1" w:lastRow="0" w:firstColumn="1" w:lastColumn="0" w:noHBand="0" w:noVBand="1"/>
      </w:tblPr>
      <w:tblGrid>
        <w:gridCol w:w="2183"/>
        <w:gridCol w:w="1062"/>
        <w:gridCol w:w="1149"/>
        <w:gridCol w:w="1663"/>
        <w:gridCol w:w="1663"/>
        <w:gridCol w:w="1672"/>
        <w:gridCol w:w="1663"/>
      </w:tblGrid>
      <w:tr w:rsidR="00670271" w:rsidRPr="0001438A" w14:paraId="0C97A39B" w14:textId="77777777" w:rsidTr="003D7B30">
        <w:trPr>
          <w:trHeight w:val="54"/>
          <w:jc w:val="center"/>
        </w:trPr>
        <w:tc>
          <w:tcPr>
            <w:tcW w:w="2217" w:type="dxa"/>
            <w:tcBorders>
              <w:top w:val="single" w:sz="8" w:space="0" w:color="FFFFFF"/>
              <w:left w:val="single" w:sz="8" w:space="0" w:color="FFFFFF"/>
              <w:bottom w:val="single" w:sz="12" w:space="0" w:color="auto"/>
              <w:right w:val="single" w:sz="12" w:space="0" w:color="auto"/>
            </w:tcBorders>
            <w:shd w:val="clear" w:color="auto" w:fill="auto"/>
            <w:tcMar>
              <w:top w:w="15" w:type="dxa"/>
              <w:left w:w="108" w:type="dxa"/>
              <w:bottom w:w="0" w:type="dxa"/>
              <w:right w:w="108" w:type="dxa"/>
            </w:tcMar>
            <w:vAlign w:val="center"/>
            <w:hideMark/>
          </w:tcPr>
          <w:p w14:paraId="51C4C1A8" w14:textId="77777777" w:rsidR="00670271" w:rsidRPr="00C85C4F" w:rsidRDefault="00670271" w:rsidP="003D7B30">
            <w:pPr>
              <w:spacing w:line="240" w:lineRule="auto"/>
              <w:ind w:firstLine="0"/>
              <w:jc w:val="center"/>
              <w:rPr>
                <w:rFonts w:eastAsia="Times New Roman"/>
                <w:sz w:val="20"/>
                <w:szCs w:val="20"/>
                <w:lang w:eastAsia="en-GB"/>
              </w:rPr>
            </w:pPr>
          </w:p>
        </w:tc>
        <w:tc>
          <w:tcPr>
            <w:tcW w:w="1005" w:type="dxa"/>
            <w:tcBorders>
              <w:top w:val="single" w:sz="8" w:space="0" w:color="FFFFFF"/>
              <w:left w:val="single" w:sz="12" w:space="0" w:color="auto"/>
              <w:bottom w:val="single" w:sz="12" w:space="0" w:color="auto"/>
              <w:right w:val="single" w:sz="12" w:space="0" w:color="auto"/>
            </w:tcBorders>
            <w:shd w:val="clear" w:color="auto" w:fill="auto"/>
            <w:tcMar>
              <w:top w:w="15" w:type="dxa"/>
              <w:left w:w="108" w:type="dxa"/>
              <w:bottom w:w="0" w:type="dxa"/>
              <w:right w:w="108" w:type="dxa"/>
            </w:tcMar>
            <w:vAlign w:val="center"/>
            <w:hideMark/>
          </w:tcPr>
          <w:p w14:paraId="0446199C" w14:textId="77777777" w:rsidR="00670271" w:rsidRPr="00C85C4F" w:rsidRDefault="00670271" w:rsidP="003D7B30">
            <w:pPr>
              <w:spacing w:line="240" w:lineRule="auto"/>
              <w:ind w:firstLine="0"/>
              <w:jc w:val="center"/>
              <w:rPr>
                <w:rFonts w:eastAsia="Times New Roman"/>
                <w:sz w:val="20"/>
                <w:szCs w:val="20"/>
                <w:lang w:eastAsia="en-GB"/>
              </w:rPr>
            </w:pPr>
            <w:r w:rsidRPr="00C85C4F">
              <w:rPr>
                <w:rFonts w:eastAsia="Times New Roman"/>
                <w:b/>
                <w:bCs/>
                <w:kern w:val="24"/>
                <w:sz w:val="20"/>
                <w:szCs w:val="20"/>
                <w:lang w:eastAsia="en-GB"/>
              </w:rPr>
              <w:t>#</w:t>
            </w:r>
            <w:r>
              <w:rPr>
                <w:rFonts w:eastAsia="Times New Roman"/>
                <w:b/>
                <w:bCs/>
                <w:kern w:val="24"/>
                <w:sz w:val="20"/>
                <w:szCs w:val="20"/>
                <w:lang w:eastAsia="en-GB"/>
              </w:rPr>
              <w:t>C</w:t>
            </w:r>
            <w:r w:rsidRPr="00C85C4F">
              <w:rPr>
                <w:rFonts w:eastAsia="Times New Roman"/>
                <w:b/>
                <w:bCs/>
                <w:kern w:val="24"/>
                <w:sz w:val="20"/>
                <w:szCs w:val="20"/>
                <w:lang w:eastAsia="en-GB"/>
              </w:rPr>
              <w:t>ontrols</w:t>
            </w:r>
          </w:p>
        </w:tc>
        <w:tc>
          <w:tcPr>
            <w:tcW w:w="1094" w:type="dxa"/>
            <w:tcBorders>
              <w:top w:val="single" w:sz="8" w:space="0" w:color="FFFFFF"/>
              <w:left w:val="single" w:sz="12" w:space="0" w:color="auto"/>
              <w:bottom w:val="single" w:sz="12" w:space="0" w:color="auto"/>
              <w:right w:val="single" w:sz="12" w:space="0" w:color="auto"/>
            </w:tcBorders>
            <w:shd w:val="clear" w:color="auto" w:fill="auto"/>
            <w:tcMar>
              <w:top w:w="15" w:type="dxa"/>
              <w:left w:w="108" w:type="dxa"/>
              <w:bottom w:w="0" w:type="dxa"/>
              <w:right w:w="108" w:type="dxa"/>
            </w:tcMar>
            <w:vAlign w:val="center"/>
            <w:hideMark/>
          </w:tcPr>
          <w:p w14:paraId="10512568" w14:textId="77777777" w:rsidR="00670271" w:rsidRPr="00C85C4F" w:rsidRDefault="00670271" w:rsidP="003D7B30">
            <w:pPr>
              <w:spacing w:line="240" w:lineRule="auto"/>
              <w:ind w:firstLine="0"/>
              <w:jc w:val="center"/>
              <w:rPr>
                <w:rFonts w:eastAsia="Times New Roman"/>
                <w:sz w:val="20"/>
                <w:szCs w:val="20"/>
                <w:lang w:eastAsia="en-GB"/>
              </w:rPr>
            </w:pPr>
            <w:r w:rsidRPr="00C85C4F">
              <w:rPr>
                <w:rFonts w:eastAsia="Times New Roman"/>
                <w:b/>
                <w:bCs/>
                <w:kern w:val="24"/>
                <w:sz w:val="20"/>
                <w:szCs w:val="20"/>
                <w:lang w:eastAsia="en-GB"/>
              </w:rPr>
              <w:t>#</w:t>
            </w:r>
            <w:r>
              <w:rPr>
                <w:rFonts w:eastAsia="Times New Roman"/>
                <w:b/>
                <w:bCs/>
                <w:kern w:val="24"/>
                <w:sz w:val="20"/>
                <w:szCs w:val="20"/>
                <w:lang w:eastAsia="en-GB"/>
              </w:rPr>
              <w:t>F</w:t>
            </w:r>
            <w:r w:rsidRPr="00C85C4F">
              <w:rPr>
                <w:rFonts w:eastAsia="Times New Roman"/>
                <w:b/>
                <w:bCs/>
                <w:kern w:val="24"/>
                <w:sz w:val="20"/>
                <w:szCs w:val="20"/>
                <w:lang w:eastAsia="en-GB"/>
              </w:rPr>
              <w:t>ractu</w:t>
            </w:r>
            <w:r>
              <w:rPr>
                <w:rFonts w:eastAsia="Times New Roman"/>
                <w:b/>
                <w:bCs/>
                <w:kern w:val="24"/>
                <w:sz w:val="20"/>
                <w:szCs w:val="20"/>
                <w:lang w:eastAsia="en-GB"/>
              </w:rPr>
              <w:t>r</w:t>
            </w:r>
            <w:r w:rsidRPr="00C85C4F">
              <w:rPr>
                <w:rFonts w:eastAsia="Times New Roman"/>
                <w:b/>
                <w:bCs/>
                <w:kern w:val="24"/>
                <w:sz w:val="20"/>
                <w:szCs w:val="20"/>
                <w:lang w:eastAsia="en-GB"/>
              </w:rPr>
              <w:t>es</w:t>
            </w:r>
          </w:p>
        </w:tc>
        <w:tc>
          <w:tcPr>
            <w:tcW w:w="1681" w:type="dxa"/>
            <w:tcBorders>
              <w:top w:val="single" w:sz="8" w:space="0" w:color="FFFFFF"/>
              <w:left w:val="single" w:sz="12" w:space="0" w:color="auto"/>
              <w:bottom w:val="single" w:sz="12" w:space="0" w:color="auto"/>
              <w:right w:val="single" w:sz="12" w:space="0" w:color="auto"/>
            </w:tcBorders>
            <w:vAlign w:val="center"/>
          </w:tcPr>
          <w:p w14:paraId="1414AEF2" w14:textId="77777777" w:rsidR="00670271" w:rsidRPr="00C85C4F" w:rsidRDefault="00670271" w:rsidP="003D7B30">
            <w:pPr>
              <w:spacing w:line="240" w:lineRule="auto"/>
              <w:ind w:firstLine="0"/>
              <w:jc w:val="center"/>
              <w:rPr>
                <w:rFonts w:eastAsia="Times New Roman"/>
                <w:b/>
                <w:bCs/>
                <w:kern w:val="24"/>
                <w:sz w:val="20"/>
                <w:szCs w:val="20"/>
                <w:lang w:eastAsia="en-GB"/>
              </w:rPr>
            </w:pPr>
            <w:r>
              <w:rPr>
                <w:rFonts w:eastAsia="Times New Roman"/>
                <w:b/>
                <w:bCs/>
                <w:kern w:val="24"/>
                <w:sz w:val="20"/>
                <w:szCs w:val="20"/>
                <w:lang w:eastAsia="en-GB"/>
              </w:rPr>
              <w:t>Densitometric B</w:t>
            </w:r>
            <w:r w:rsidRPr="00C85C4F">
              <w:rPr>
                <w:rFonts w:eastAsia="Times New Roman"/>
                <w:b/>
                <w:bCs/>
                <w:kern w:val="24"/>
                <w:sz w:val="20"/>
                <w:szCs w:val="20"/>
                <w:lang w:eastAsia="en-GB"/>
              </w:rPr>
              <w:t xml:space="preserve">one </w:t>
            </w:r>
            <w:r>
              <w:rPr>
                <w:rFonts w:eastAsia="Times New Roman"/>
                <w:b/>
                <w:bCs/>
                <w:kern w:val="24"/>
                <w:sz w:val="20"/>
                <w:szCs w:val="20"/>
                <w:lang w:eastAsia="en-GB"/>
              </w:rPr>
              <w:t>A</w:t>
            </w:r>
            <w:r w:rsidRPr="00C85C4F">
              <w:rPr>
                <w:rFonts w:eastAsia="Times New Roman"/>
                <w:b/>
                <w:bCs/>
                <w:kern w:val="24"/>
                <w:sz w:val="20"/>
                <w:szCs w:val="20"/>
                <w:lang w:eastAsia="en-GB"/>
              </w:rPr>
              <w:t>ge</w:t>
            </w:r>
          </w:p>
        </w:tc>
        <w:tc>
          <w:tcPr>
            <w:tcW w:w="1686" w:type="dxa"/>
            <w:tcBorders>
              <w:top w:val="single" w:sz="8" w:space="0" w:color="FFFFFF"/>
              <w:left w:val="single" w:sz="12" w:space="0" w:color="auto"/>
              <w:bottom w:val="single" w:sz="12" w:space="0" w:color="auto"/>
              <w:right w:val="single" w:sz="12" w:space="0" w:color="auto"/>
            </w:tcBorders>
            <w:shd w:val="clear" w:color="auto" w:fill="auto"/>
            <w:tcMar>
              <w:top w:w="15" w:type="dxa"/>
              <w:left w:w="108" w:type="dxa"/>
              <w:bottom w:w="0" w:type="dxa"/>
              <w:right w:w="108" w:type="dxa"/>
            </w:tcMar>
            <w:vAlign w:val="center"/>
            <w:hideMark/>
          </w:tcPr>
          <w:p w14:paraId="78883B2C" w14:textId="77777777" w:rsidR="00670271" w:rsidRPr="00C85C4F" w:rsidRDefault="00670271" w:rsidP="003D7B30">
            <w:pPr>
              <w:spacing w:line="240" w:lineRule="auto"/>
              <w:ind w:firstLine="0"/>
              <w:jc w:val="center"/>
              <w:rPr>
                <w:rFonts w:eastAsia="Times New Roman"/>
                <w:sz w:val="20"/>
                <w:szCs w:val="20"/>
                <w:lang w:eastAsia="en-GB"/>
              </w:rPr>
            </w:pPr>
            <w:r>
              <w:rPr>
                <w:rFonts w:eastAsia="Times New Roman"/>
                <w:b/>
                <w:bCs/>
                <w:kern w:val="24"/>
                <w:sz w:val="20"/>
                <w:szCs w:val="20"/>
                <w:lang w:eastAsia="en-GB"/>
              </w:rPr>
              <w:t xml:space="preserve">Femoral Neck </w:t>
            </w:r>
            <w:r w:rsidRPr="00C85C4F">
              <w:rPr>
                <w:rFonts w:eastAsia="Times New Roman"/>
                <w:b/>
                <w:bCs/>
                <w:kern w:val="24"/>
                <w:sz w:val="20"/>
                <w:szCs w:val="20"/>
                <w:lang w:eastAsia="en-GB"/>
              </w:rPr>
              <w:t>BMD</w:t>
            </w:r>
          </w:p>
        </w:tc>
        <w:tc>
          <w:tcPr>
            <w:tcW w:w="1686" w:type="dxa"/>
            <w:tcBorders>
              <w:top w:val="single" w:sz="8" w:space="0" w:color="FFFFFF"/>
              <w:left w:val="single" w:sz="12" w:space="0" w:color="auto"/>
              <w:bottom w:val="single" w:sz="12" w:space="0" w:color="auto"/>
              <w:right w:val="single" w:sz="12" w:space="0" w:color="auto"/>
            </w:tcBorders>
            <w:shd w:val="clear" w:color="auto" w:fill="auto"/>
            <w:tcMar>
              <w:top w:w="15" w:type="dxa"/>
              <w:left w:w="108" w:type="dxa"/>
              <w:bottom w:w="0" w:type="dxa"/>
              <w:right w:w="108" w:type="dxa"/>
            </w:tcMar>
            <w:vAlign w:val="center"/>
            <w:hideMark/>
          </w:tcPr>
          <w:p w14:paraId="1D530F35" w14:textId="77777777" w:rsidR="00670271" w:rsidRPr="00C85C4F" w:rsidRDefault="00670271" w:rsidP="003D7B30">
            <w:pPr>
              <w:spacing w:line="240" w:lineRule="auto"/>
              <w:ind w:firstLine="0"/>
              <w:jc w:val="center"/>
              <w:rPr>
                <w:rFonts w:eastAsia="Times New Roman"/>
                <w:sz w:val="20"/>
                <w:szCs w:val="20"/>
                <w:lang w:eastAsia="en-GB"/>
              </w:rPr>
            </w:pPr>
            <w:r>
              <w:rPr>
                <w:rFonts w:eastAsia="Times New Roman"/>
                <w:b/>
                <w:bCs/>
                <w:kern w:val="24"/>
                <w:sz w:val="20"/>
                <w:szCs w:val="20"/>
                <w:lang w:eastAsia="en-GB"/>
              </w:rPr>
              <w:t>Trochanteric BMD</w:t>
            </w:r>
          </w:p>
        </w:tc>
        <w:tc>
          <w:tcPr>
            <w:tcW w:w="1686" w:type="dxa"/>
            <w:tcBorders>
              <w:top w:val="single" w:sz="8" w:space="0" w:color="FFFFFF"/>
              <w:left w:val="single" w:sz="12" w:space="0" w:color="auto"/>
              <w:bottom w:val="single" w:sz="12" w:space="0" w:color="auto"/>
              <w:right w:val="single" w:sz="8" w:space="0" w:color="FFFFFF"/>
            </w:tcBorders>
            <w:shd w:val="clear" w:color="auto" w:fill="auto"/>
            <w:tcMar>
              <w:top w:w="15" w:type="dxa"/>
              <w:left w:w="108" w:type="dxa"/>
              <w:bottom w:w="0" w:type="dxa"/>
              <w:right w:w="108" w:type="dxa"/>
            </w:tcMar>
            <w:vAlign w:val="center"/>
          </w:tcPr>
          <w:p w14:paraId="167B206D" w14:textId="77777777" w:rsidR="00670271" w:rsidRPr="00C85C4F" w:rsidRDefault="00670271" w:rsidP="003D7B30">
            <w:pPr>
              <w:spacing w:line="240" w:lineRule="auto"/>
              <w:ind w:firstLine="0"/>
              <w:jc w:val="center"/>
              <w:rPr>
                <w:rFonts w:eastAsia="Times New Roman"/>
                <w:sz w:val="20"/>
                <w:szCs w:val="20"/>
                <w:lang w:eastAsia="en-GB"/>
              </w:rPr>
            </w:pPr>
            <w:r>
              <w:rPr>
                <w:rFonts w:eastAsia="Times New Roman"/>
                <w:b/>
                <w:bCs/>
                <w:kern w:val="24"/>
                <w:sz w:val="20"/>
                <w:szCs w:val="20"/>
                <w:lang w:eastAsia="en-GB"/>
              </w:rPr>
              <w:t>Total Hip</w:t>
            </w:r>
            <w:r>
              <w:rPr>
                <w:rFonts w:eastAsia="Times New Roman"/>
                <w:b/>
                <w:bCs/>
                <w:kern w:val="24"/>
                <w:sz w:val="20"/>
                <w:szCs w:val="20"/>
                <w:lang w:eastAsia="en-GB"/>
              </w:rPr>
              <w:br/>
              <w:t>B</w:t>
            </w:r>
            <w:r w:rsidRPr="00C85C4F">
              <w:rPr>
                <w:rFonts w:eastAsia="Times New Roman"/>
                <w:b/>
                <w:bCs/>
                <w:kern w:val="24"/>
                <w:sz w:val="20"/>
                <w:szCs w:val="20"/>
                <w:lang w:eastAsia="en-GB"/>
              </w:rPr>
              <w:t>MD</w:t>
            </w:r>
          </w:p>
        </w:tc>
      </w:tr>
      <w:tr w:rsidR="00670271" w:rsidRPr="0001438A" w14:paraId="16FAF460" w14:textId="77777777" w:rsidTr="003D7B30">
        <w:trPr>
          <w:trHeight w:val="64"/>
          <w:jc w:val="center"/>
        </w:trPr>
        <w:tc>
          <w:tcPr>
            <w:tcW w:w="2217" w:type="dxa"/>
            <w:tcBorders>
              <w:top w:val="single" w:sz="12" w:space="0" w:color="auto"/>
              <w:left w:val="single" w:sz="8" w:space="0" w:color="FFFFFF"/>
              <w:bottom w:val="single" w:sz="8" w:space="0" w:color="FFFFFF"/>
              <w:right w:val="single" w:sz="12" w:space="0" w:color="auto"/>
            </w:tcBorders>
            <w:shd w:val="clear" w:color="auto" w:fill="D0CECE" w:themeFill="background2" w:themeFillShade="E6"/>
            <w:tcMar>
              <w:top w:w="15" w:type="dxa"/>
              <w:left w:w="108" w:type="dxa"/>
              <w:bottom w:w="0" w:type="dxa"/>
              <w:right w:w="108" w:type="dxa"/>
            </w:tcMar>
            <w:hideMark/>
          </w:tcPr>
          <w:p w14:paraId="306C3904" w14:textId="77777777" w:rsidR="00670271" w:rsidRPr="00C85C4F" w:rsidRDefault="00670271" w:rsidP="003D7B30">
            <w:pPr>
              <w:spacing w:line="240" w:lineRule="auto"/>
              <w:ind w:firstLine="0"/>
              <w:jc w:val="left"/>
              <w:rPr>
                <w:rFonts w:eastAsia="Times New Roman"/>
                <w:sz w:val="20"/>
                <w:szCs w:val="20"/>
                <w:lang w:eastAsia="en-GB"/>
              </w:rPr>
            </w:pPr>
            <w:r w:rsidRPr="00C85C4F">
              <w:rPr>
                <w:rFonts w:eastAsia="Times New Roman"/>
                <w:b/>
                <w:bCs/>
                <w:kern w:val="24"/>
                <w:sz w:val="20"/>
                <w:szCs w:val="20"/>
                <w:lang w:eastAsia="en-GB"/>
              </w:rPr>
              <w:t>All cohort</w:t>
            </w:r>
            <w:r w:rsidRPr="00C85C4F">
              <w:rPr>
                <w:rFonts w:eastAsia="Times New Roman"/>
                <w:b/>
                <w:bCs/>
                <w:kern w:val="24"/>
                <w:sz w:val="20"/>
                <w:szCs w:val="20"/>
                <w:lang w:eastAsia="en-GB"/>
              </w:rPr>
              <w:br/>
              <w:t>All fractures</w:t>
            </w:r>
          </w:p>
        </w:tc>
        <w:tc>
          <w:tcPr>
            <w:tcW w:w="1005" w:type="dxa"/>
            <w:tcBorders>
              <w:top w:val="single" w:sz="12" w:space="0" w:color="auto"/>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42D421C6" w14:textId="77777777" w:rsidR="00670271" w:rsidRPr="00C85C4F" w:rsidRDefault="00670271" w:rsidP="003D7B30">
            <w:pPr>
              <w:spacing w:line="240" w:lineRule="auto"/>
              <w:ind w:firstLine="0"/>
              <w:jc w:val="center"/>
              <w:rPr>
                <w:rFonts w:eastAsia="Times New Roman"/>
                <w:sz w:val="20"/>
                <w:szCs w:val="20"/>
                <w:lang w:eastAsia="en-GB"/>
              </w:rPr>
            </w:pPr>
            <w:r w:rsidRPr="00C85C4F">
              <w:rPr>
                <w:kern w:val="24"/>
                <w:sz w:val="20"/>
                <w:szCs w:val="20"/>
                <w:lang w:eastAsia="en-GB"/>
              </w:rPr>
              <w:t>11,691</w:t>
            </w:r>
          </w:p>
        </w:tc>
        <w:tc>
          <w:tcPr>
            <w:tcW w:w="1094" w:type="dxa"/>
            <w:tcBorders>
              <w:top w:val="single" w:sz="12" w:space="0" w:color="auto"/>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5F20822B" w14:textId="77777777" w:rsidR="00670271" w:rsidRPr="00C85C4F" w:rsidRDefault="00670271" w:rsidP="003D7B30">
            <w:pPr>
              <w:spacing w:line="240" w:lineRule="auto"/>
              <w:ind w:firstLine="0"/>
              <w:jc w:val="center"/>
              <w:rPr>
                <w:rFonts w:eastAsia="Times New Roman"/>
                <w:sz w:val="20"/>
                <w:szCs w:val="20"/>
                <w:lang w:eastAsia="en-GB"/>
              </w:rPr>
            </w:pPr>
            <w:r w:rsidRPr="00C85C4F">
              <w:rPr>
                <w:kern w:val="24"/>
                <w:sz w:val="20"/>
                <w:szCs w:val="20"/>
                <w:lang w:eastAsia="en-GB"/>
              </w:rPr>
              <w:t>208</w:t>
            </w:r>
          </w:p>
        </w:tc>
        <w:tc>
          <w:tcPr>
            <w:tcW w:w="1681" w:type="dxa"/>
            <w:tcBorders>
              <w:top w:val="single" w:sz="12" w:space="0" w:color="auto"/>
              <w:left w:val="single" w:sz="12" w:space="0" w:color="auto"/>
              <w:bottom w:val="single" w:sz="8" w:space="0" w:color="FFFFFF"/>
              <w:right w:val="single" w:sz="12" w:space="0" w:color="auto"/>
            </w:tcBorders>
            <w:shd w:val="clear" w:color="auto" w:fill="D0CECE" w:themeFill="background2" w:themeFillShade="E6"/>
            <w:vAlign w:val="center"/>
          </w:tcPr>
          <w:p w14:paraId="7D2E9245" w14:textId="77777777" w:rsidR="00670271" w:rsidRPr="00C85C4F" w:rsidRDefault="00670271" w:rsidP="003D7B30">
            <w:pPr>
              <w:spacing w:line="240" w:lineRule="auto"/>
              <w:ind w:firstLine="0"/>
              <w:jc w:val="center"/>
              <w:rPr>
                <w:rFonts w:eastAsia="Times New Roman"/>
                <w:sz w:val="20"/>
                <w:szCs w:val="20"/>
                <w:lang w:eastAsia="en-GB"/>
              </w:rPr>
            </w:pPr>
            <w:r w:rsidRPr="00C85C4F">
              <w:rPr>
                <w:rFonts w:eastAsia="Times New Roman"/>
                <w:b/>
                <w:bCs/>
                <w:kern w:val="24"/>
                <w:sz w:val="20"/>
                <w:szCs w:val="20"/>
                <w:lang w:eastAsia="en-GB"/>
              </w:rPr>
              <w:t>0.07</w:t>
            </w:r>
            <w:r>
              <w:rPr>
                <w:rFonts w:eastAsia="Times New Roman"/>
                <w:b/>
                <w:bCs/>
                <w:kern w:val="24"/>
                <w:sz w:val="20"/>
                <w:szCs w:val="20"/>
                <w:lang w:eastAsia="en-GB"/>
              </w:rPr>
              <w:t>2</w:t>
            </w:r>
          </w:p>
          <w:p w14:paraId="7EAE5B6C" w14:textId="77777777" w:rsidR="00670271" w:rsidRPr="00C85C4F" w:rsidRDefault="00670271" w:rsidP="003D7B30">
            <w:pPr>
              <w:spacing w:line="240" w:lineRule="auto"/>
              <w:ind w:firstLine="0"/>
              <w:jc w:val="center"/>
              <w:rPr>
                <w:rFonts w:eastAsia="Times New Roman"/>
                <w:kern w:val="24"/>
                <w:sz w:val="20"/>
                <w:szCs w:val="20"/>
                <w:lang w:eastAsia="en-GB"/>
              </w:rPr>
            </w:pPr>
            <w:r w:rsidRPr="00C85C4F">
              <w:rPr>
                <w:rFonts w:eastAsia="Times New Roman"/>
                <w:kern w:val="24"/>
                <w:sz w:val="20"/>
                <w:szCs w:val="20"/>
                <w:lang w:eastAsia="en-GB"/>
              </w:rPr>
              <w:t>CI</w:t>
            </w:r>
            <w:proofErr w:type="gramStart"/>
            <w:r w:rsidRPr="00C85C4F">
              <w:rPr>
                <w:rFonts w:eastAsia="Times New Roman"/>
                <w:kern w:val="24"/>
                <w:sz w:val="20"/>
                <w:szCs w:val="20"/>
                <w:lang w:eastAsia="en-GB"/>
              </w:rPr>
              <w:t>=[</w:t>
            </w:r>
            <w:proofErr w:type="gramEnd"/>
            <w:r w:rsidRPr="00C85C4F">
              <w:rPr>
                <w:rFonts w:eastAsia="Times New Roman"/>
                <w:kern w:val="24"/>
                <w:sz w:val="20"/>
                <w:szCs w:val="20"/>
                <w:lang w:eastAsia="en-GB"/>
              </w:rPr>
              <w:t>0.05</w:t>
            </w:r>
            <w:r>
              <w:rPr>
                <w:rFonts w:eastAsia="Times New Roman"/>
                <w:kern w:val="24"/>
                <w:sz w:val="20"/>
                <w:szCs w:val="20"/>
                <w:lang w:eastAsia="en-GB"/>
              </w:rPr>
              <w:t>3</w:t>
            </w:r>
            <w:r w:rsidRPr="00C85C4F">
              <w:rPr>
                <w:rFonts w:eastAsia="Times New Roman"/>
                <w:kern w:val="24"/>
                <w:sz w:val="20"/>
                <w:szCs w:val="20"/>
                <w:lang w:eastAsia="en-GB"/>
              </w:rPr>
              <w:t>-0.09</w:t>
            </w:r>
            <w:r>
              <w:rPr>
                <w:rFonts w:eastAsia="Times New Roman"/>
                <w:kern w:val="24"/>
                <w:sz w:val="20"/>
                <w:szCs w:val="20"/>
                <w:lang w:eastAsia="en-GB"/>
              </w:rPr>
              <w:t>7</w:t>
            </w:r>
            <w:r w:rsidRPr="00C85C4F">
              <w:rPr>
                <w:rFonts w:eastAsia="Times New Roman"/>
                <w:kern w:val="24"/>
                <w:sz w:val="20"/>
                <w:szCs w:val="20"/>
                <w:lang w:eastAsia="en-GB"/>
              </w:rPr>
              <w:t>]</w:t>
            </w:r>
          </w:p>
        </w:tc>
        <w:tc>
          <w:tcPr>
            <w:tcW w:w="1686" w:type="dxa"/>
            <w:tcBorders>
              <w:top w:val="single" w:sz="12" w:space="0" w:color="auto"/>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01F62FE8" w14:textId="77777777" w:rsidR="00670271" w:rsidRPr="00C85C4F" w:rsidRDefault="00670271" w:rsidP="003D7B30">
            <w:pPr>
              <w:spacing w:line="240" w:lineRule="auto"/>
              <w:ind w:firstLine="0"/>
              <w:jc w:val="center"/>
              <w:rPr>
                <w:rFonts w:eastAsia="Times New Roman"/>
                <w:sz w:val="20"/>
                <w:szCs w:val="20"/>
                <w:lang w:eastAsia="en-GB"/>
              </w:rPr>
            </w:pPr>
            <w:r w:rsidRPr="00C85C4F">
              <w:rPr>
                <w:rFonts w:eastAsia="Times New Roman"/>
                <w:kern w:val="24"/>
                <w:sz w:val="20"/>
                <w:szCs w:val="20"/>
                <w:lang w:eastAsia="en-GB"/>
              </w:rPr>
              <w:t>0.070</w:t>
            </w:r>
          </w:p>
          <w:p w14:paraId="5C987986" w14:textId="77777777" w:rsidR="00670271" w:rsidRPr="00C85C4F" w:rsidRDefault="00670271" w:rsidP="003D7B30">
            <w:pPr>
              <w:spacing w:line="240" w:lineRule="auto"/>
              <w:ind w:firstLine="0"/>
              <w:jc w:val="center"/>
              <w:rPr>
                <w:rFonts w:eastAsia="Times New Roman"/>
                <w:sz w:val="20"/>
                <w:szCs w:val="20"/>
                <w:lang w:eastAsia="en-GB"/>
              </w:rPr>
            </w:pPr>
            <w:r w:rsidRPr="00C85C4F">
              <w:rPr>
                <w:rFonts w:eastAsia="Times New Roman"/>
                <w:kern w:val="24"/>
                <w:sz w:val="20"/>
                <w:szCs w:val="20"/>
                <w:lang w:eastAsia="en-GB"/>
              </w:rPr>
              <w:t>CI</w:t>
            </w:r>
            <w:proofErr w:type="gramStart"/>
            <w:r w:rsidRPr="00C85C4F">
              <w:rPr>
                <w:rFonts w:eastAsia="Times New Roman"/>
                <w:kern w:val="24"/>
                <w:sz w:val="20"/>
                <w:szCs w:val="20"/>
                <w:lang w:eastAsia="en-GB"/>
              </w:rPr>
              <w:t>=[</w:t>
            </w:r>
            <w:proofErr w:type="gramEnd"/>
            <w:r w:rsidRPr="00C85C4F">
              <w:rPr>
                <w:rFonts w:eastAsia="Times New Roman"/>
                <w:kern w:val="24"/>
                <w:sz w:val="20"/>
                <w:szCs w:val="20"/>
                <w:lang w:eastAsia="en-GB"/>
              </w:rPr>
              <w:t>0.05</w:t>
            </w:r>
            <w:r>
              <w:rPr>
                <w:rFonts w:eastAsia="Times New Roman"/>
                <w:kern w:val="24"/>
                <w:sz w:val="20"/>
                <w:szCs w:val="20"/>
                <w:lang w:eastAsia="en-GB"/>
              </w:rPr>
              <w:t>3</w:t>
            </w:r>
            <w:r w:rsidRPr="00C85C4F">
              <w:rPr>
                <w:rFonts w:eastAsia="Times New Roman"/>
                <w:kern w:val="24"/>
                <w:sz w:val="20"/>
                <w:szCs w:val="20"/>
                <w:lang w:eastAsia="en-GB"/>
              </w:rPr>
              <w:t>-0.09</w:t>
            </w:r>
            <w:r>
              <w:rPr>
                <w:rFonts w:eastAsia="Times New Roman"/>
                <w:kern w:val="24"/>
                <w:sz w:val="20"/>
                <w:szCs w:val="20"/>
                <w:lang w:eastAsia="en-GB"/>
              </w:rPr>
              <w:t>3</w:t>
            </w:r>
            <w:r w:rsidRPr="00C85C4F">
              <w:rPr>
                <w:rFonts w:eastAsia="Times New Roman"/>
                <w:kern w:val="24"/>
                <w:sz w:val="20"/>
                <w:szCs w:val="20"/>
                <w:lang w:eastAsia="en-GB"/>
              </w:rPr>
              <w:t>]</w:t>
            </w:r>
          </w:p>
        </w:tc>
        <w:tc>
          <w:tcPr>
            <w:tcW w:w="1686" w:type="dxa"/>
            <w:tcBorders>
              <w:top w:val="single" w:sz="12" w:space="0" w:color="auto"/>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tcPr>
          <w:p w14:paraId="607AE3E5" w14:textId="77777777" w:rsidR="00670271" w:rsidRDefault="00670271" w:rsidP="003D7B30">
            <w:pPr>
              <w:spacing w:line="240" w:lineRule="auto"/>
              <w:ind w:firstLine="0"/>
              <w:jc w:val="center"/>
              <w:rPr>
                <w:rFonts w:eastAsia="Times New Roman"/>
                <w:sz w:val="20"/>
                <w:szCs w:val="20"/>
                <w:lang w:eastAsia="en-GB"/>
              </w:rPr>
            </w:pPr>
            <w:r>
              <w:rPr>
                <w:rFonts w:eastAsia="Times New Roman"/>
                <w:sz w:val="20"/>
                <w:szCs w:val="20"/>
                <w:lang w:eastAsia="en-GB"/>
              </w:rPr>
              <w:t>0.063</w:t>
            </w:r>
          </w:p>
          <w:p w14:paraId="6585AD58" w14:textId="77777777" w:rsidR="00670271" w:rsidRPr="00C85C4F" w:rsidRDefault="00670271" w:rsidP="003D7B30">
            <w:pPr>
              <w:spacing w:line="240" w:lineRule="auto"/>
              <w:ind w:firstLine="0"/>
              <w:jc w:val="center"/>
              <w:rPr>
                <w:rFonts w:eastAsia="Times New Roman"/>
                <w:sz w:val="20"/>
                <w:szCs w:val="20"/>
                <w:lang w:eastAsia="en-GB"/>
              </w:rPr>
            </w:pPr>
            <w:r>
              <w:rPr>
                <w:rFonts w:eastAsia="Times New Roman"/>
                <w:sz w:val="20"/>
                <w:szCs w:val="20"/>
                <w:lang w:eastAsia="en-GB"/>
              </w:rPr>
              <w:t>CI</w:t>
            </w:r>
            <w:proofErr w:type="gramStart"/>
            <w:r>
              <w:rPr>
                <w:rFonts w:eastAsia="Times New Roman"/>
                <w:sz w:val="20"/>
                <w:szCs w:val="20"/>
                <w:lang w:eastAsia="en-GB"/>
              </w:rPr>
              <w:t>=[</w:t>
            </w:r>
            <w:proofErr w:type="gramEnd"/>
            <w:r>
              <w:rPr>
                <w:rFonts w:eastAsia="Times New Roman"/>
                <w:sz w:val="20"/>
                <w:szCs w:val="20"/>
                <w:lang w:eastAsia="en-GB"/>
              </w:rPr>
              <w:t>0.046-0.085]</w:t>
            </w:r>
          </w:p>
        </w:tc>
        <w:tc>
          <w:tcPr>
            <w:tcW w:w="1686" w:type="dxa"/>
            <w:tcBorders>
              <w:top w:val="single" w:sz="12" w:space="0" w:color="auto"/>
              <w:left w:val="single" w:sz="12" w:space="0" w:color="auto"/>
              <w:bottom w:val="single" w:sz="8" w:space="0" w:color="FFFFFF"/>
              <w:right w:val="single" w:sz="8" w:space="0" w:color="FFFFFF"/>
            </w:tcBorders>
            <w:shd w:val="clear" w:color="auto" w:fill="D0CECE" w:themeFill="background2" w:themeFillShade="E6"/>
            <w:tcMar>
              <w:top w:w="15" w:type="dxa"/>
              <w:left w:w="108" w:type="dxa"/>
              <w:bottom w:w="0" w:type="dxa"/>
              <w:right w:w="108" w:type="dxa"/>
            </w:tcMar>
            <w:vAlign w:val="center"/>
          </w:tcPr>
          <w:p w14:paraId="5457EB0D" w14:textId="77777777" w:rsidR="00670271" w:rsidRDefault="00670271" w:rsidP="003D7B30">
            <w:pPr>
              <w:spacing w:line="240" w:lineRule="auto"/>
              <w:ind w:firstLine="0"/>
              <w:jc w:val="center"/>
              <w:rPr>
                <w:rFonts w:eastAsia="Times New Roman"/>
                <w:sz w:val="20"/>
                <w:szCs w:val="20"/>
                <w:lang w:eastAsia="en-GB"/>
              </w:rPr>
            </w:pPr>
            <w:r>
              <w:rPr>
                <w:rFonts w:eastAsia="Times New Roman"/>
                <w:sz w:val="20"/>
                <w:szCs w:val="20"/>
                <w:lang w:eastAsia="en-GB"/>
              </w:rPr>
              <w:t>0.069</w:t>
            </w:r>
          </w:p>
          <w:p w14:paraId="4BE122A5" w14:textId="77777777" w:rsidR="00670271" w:rsidRPr="00C85C4F" w:rsidRDefault="00670271" w:rsidP="003D7B30">
            <w:pPr>
              <w:spacing w:line="240" w:lineRule="auto"/>
              <w:ind w:firstLine="0"/>
              <w:jc w:val="center"/>
              <w:rPr>
                <w:rFonts w:eastAsia="Times New Roman"/>
                <w:sz w:val="20"/>
                <w:szCs w:val="20"/>
                <w:lang w:eastAsia="en-GB"/>
              </w:rPr>
            </w:pPr>
            <w:r>
              <w:rPr>
                <w:rFonts w:eastAsia="Times New Roman"/>
                <w:sz w:val="20"/>
                <w:szCs w:val="20"/>
                <w:lang w:eastAsia="en-GB"/>
              </w:rPr>
              <w:t>CI</w:t>
            </w:r>
            <w:proofErr w:type="gramStart"/>
            <w:r>
              <w:rPr>
                <w:rFonts w:eastAsia="Times New Roman"/>
                <w:sz w:val="20"/>
                <w:szCs w:val="20"/>
                <w:lang w:eastAsia="en-GB"/>
              </w:rPr>
              <w:t>=[</w:t>
            </w:r>
            <w:proofErr w:type="gramEnd"/>
            <w:r>
              <w:rPr>
                <w:rFonts w:eastAsia="Times New Roman"/>
                <w:sz w:val="20"/>
                <w:szCs w:val="20"/>
                <w:lang w:eastAsia="en-GB"/>
              </w:rPr>
              <w:t>0.051-0.092]</w:t>
            </w:r>
          </w:p>
        </w:tc>
      </w:tr>
      <w:tr w:rsidR="00670271" w:rsidRPr="0001438A" w14:paraId="6DFE2D05" w14:textId="77777777" w:rsidTr="003D7B30">
        <w:trPr>
          <w:jc w:val="center"/>
        </w:trPr>
        <w:tc>
          <w:tcPr>
            <w:tcW w:w="2217" w:type="dxa"/>
            <w:tcBorders>
              <w:top w:val="single" w:sz="8" w:space="0" w:color="FFFFFF"/>
              <w:left w:val="single" w:sz="8" w:space="0" w:color="FFFFFF"/>
              <w:bottom w:val="single" w:sz="8" w:space="0" w:color="FFFFFF"/>
              <w:right w:val="single" w:sz="12" w:space="0" w:color="auto"/>
            </w:tcBorders>
            <w:shd w:val="clear" w:color="auto" w:fill="auto"/>
            <w:tcMar>
              <w:top w:w="15" w:type="dxa"/>
              <w:left w:w="108" w:type="dxa"/>
              <w:bottom w:w="0" w:type="dxa"/>
              <w:right w:w="108" w:type="dxa"/>
            </w:tcMar>
            <w:hideMark/>
          </w:tcPr>
          <w:p w14:paraId="347DD7F3" w14:textId="77777777" w:rsidR="00670271" w:rsidRPr="00C85C4F" w:rsidRDefault="00670271" w:rsidP="003D7B30">
            <w:pPr>
              <w:spacing w:line="240" w:lineRule="auto"/>
              <w:ind w:firstLine="0"/>
              <w:jc w:val="left"/>
              <w:rPr>
                <w:rFonts w:eastAsia="Times New Roman"/>
                <w:sz w:val="20"/>
                <w:szCs w:val="20"/>
                <w:lang w:eastAsia="en-GB"/>
              </w:rPr>
            </w:pPr>
            <w:r w:rsidRPr="00C85C4F">
              <w:rPr>
                <w:rFonts w:eastAsia="Times New Roman"/>
                <w:b/>
                <w:bCs/>
                <w:kern w:val="24"/>
                <w:sz w:val="20"/>
                <w:szCs w:val="20"/>
                <w:lang w:eastAsia="en-GB"/>
              </w:rPr>
              <w:t>All cohort</w:t>
            </w:r>
          </w:p>
          <w:p w14:paraId="5AD24D48" w14:textId="77777777" w:rsidR="00670271" w:rsidRPr="00C85C4F" w:rsidRDefault="00670271" w:rsidP="003D7B30">
            <w:pPr>
              <w:spacing w:line="240" w:lineRule="auto"/>
              <w:ind w:firstLine="0"/>
              <w:jc w:val="left"/>
              <w:rPr>
                <w:rFonts w:eastAsia="Times New Roman"/>
                <w:sz w:val="20"/>
                <w:szCs w:val="20"/>
                <w:lang w:eastAsia="en-GB"/>
              </w:rPr>
            </w:pPr>
            <w:r w:rsidRPr="00C85C4F">
              <w:rPr>
                <w:rFonts w:eastAsia="Times New Roman"/>
                <w:b/>
                <w:bCs/>
                <w:kern w:val="24"/>
                <w:sz w:val="20"/>
                <w:szCs w:val="20"/>
                <w:lang w:eastAsia="en-GB"/>
              </w:rPr>
              <w:t>Trochanteric fractures</w:t>
            </w:r>
          </w:p>
        </w:tc>
        <w:tc>
          <w:tcPr>
            <w:tcW w:w="1005" w:type="dxa"/>
            <w:tcBorders>
              <w:top w:val="single" w:sz="8" w:space="0" w:color="FFFFFF"/>
              <w:left w:val="single" w:sz="12" w:space="0" w:color="auto"/>
              <w:bottom w:val="single" w:sz="8" w:space="0" w:color="FFFFFF"/>
              <w:right w:val="single" w:sz="12" w:space="0" w:color="auto"/>
            </w:tcBorders>
            <w:shd w:val="clear" w:color="auto" w:fill="auto"/>
            <w:tcMar>
              <w:top w:w="15" w:type="dxa"/>
              <w:left w:w="108" w:type="dxa"/>
              <w:bottom w:w="0" w:type="dxa"/>
              <w:right w:w="108" w:type="dxa"/>
            </w:tcMar>
            <w:vAlign w:val="center"/>
            <w:hideMark/>
          </w:tcPr>
          <w:p w14:paraId="50EBB259" w14:textId="77777777" w:rsidR="00670271" w:rsidRPr="00C85C4F" w:rsidRDefault="00670271" w:rsidP="003D7B30">
            <w:pPr>
              <w:spacing w:line="240" w:lineRule="auto"/>
              <w:ind w:firstLine="0"/>
              <w:jc w:val="center"/>
              <w:rPr>
                <w:rFonts w:eastAsia="Times New Roman"/>
                <w:sz w:val="20"/>
                <w:szCs w:val="20"/>
                <w:lang w:eastAsia="en-GB"/>
              </w:rPr>
            </w:pPr>
            <w:r w:rsidRPr="00C85C4F">
              <w:rPr>
                <w:kern w:val="24"/>
                <w:sz w:val="20"/>
                <w:szCs w:val="20"/>
                <w:lang w:eastAsia="en-GB"/>
              </w:rPr>
              <w:t>11,691</w:t>
            </w:r>
          </w:p>
        </w:tc>
        <w:tc>
          <w:tcPr>
            <w:tcW w:w="1094" w:type="dxa"/>
            <w:tcBorders>
              <w:top w:val="single" w:sz="8" w:space="0" w:color="FFFFFF"/>
              <w:left w:val="single" w:sz="12" w:space="0" w:color="auto"/>
              <w:bottom w:val="single" w:sz="8" w:space="0" w:color="FFFFFF"/>
              <w:right w:val="single" w:sz="12" w:space="0" w:color="auto"/>
            </w:tcBorders>
            <w:shd w:val="clear" w:color="auto" w:fill="auto"/>
            <w:tcMar>
              <w:top w:w="15" w:type="dxa"/>
              <w:left w:w="108" w:type="dxa"/>
              <w:bottom w:w="0" w:type="dxa"/>
              <w:right w:w="108" w:type="dxa"/>
            </w:tcMar>
            <w:vAlign w:val="center"/>
            <w:hideMark/>
          </w:tcPr>
          <w:p w14:paraId="7D25EF73" w14:textId="77777777" w:rsidR="00670271" w:rsidRPr="00C85C4F" w:rsidRDefault="00670271" w:rsidP="003D7B30">
            <w:pPr>
              <w:spacing w:line="240" w:lineRule="auto"/>
              <w:ind w:firstLine="0"/>
              <w:jc w:val="center"/>
              <w:rPr>
                <w:rFonts w:eastAsia="Times New Roman"/>
                <w:sz w:val="20"/>
                <w:szCs w:val="20"/>
                <w:lang w:eastAsia="en-GB"/>
              </w:rPr>
            </w:pPr>
            <w:r w:rsidRPr="00C85C4F">
              <w:rPr>
                <w:kern w:val="24"/>
                <w:sz w:val="20"/>
                <w:szCs w:val="20"/>
                <w:lang w:eastAsia="en-GB"/>
              </w:rPr>
              <w:t>52</w:t>
            </w:r>
          </w:p>
        </w:tc>
        <w:tc>
          <w:tcPr>
            <w:tcW w:w="1681" w:type="dxa"/>
            <w:tcBorders>
              <w:top w:val="single" w:sz="8" w:space="0" w:color="FFFFFF"/>
              <w:left w:val="single" w:sz="12" w:space="0" w:color="auto"/>
              <w:bottom w:val="single" w:sz="8" w:space="0" w:color="FFFFFF"/>
              <w:right w:val="single" w:sz="12" w:space="0" w:color="auto"/>
            </w:tcBorders>
            <w:shd w:val="clear" w:color="auto" w:fill="auto"/>
            <w:vAlign w:val="center"/>
          </w:tcPr>
          <w:p w14:paraId="335FF6EE" w14:textId="77777777" w:rsidR="00670271" w:rsidRPr="00C85C4F" w:rsidRDefault="00670271" w:rsidP="003D7B30">
            <w:pPr>
              <w:spacing w:line="240" w:lineRule="auto"/>
              <w:ind w:firstLine="0"/>
              <w:jc w:val="center"/>
              <w:rPr>
                <w:rFonts w:eastAsia="Times New Roman"/>
                <w:sz w:val="20"/>
                <w:szCs w:val="20"/>
                <w:lang w:eastAsia="en-GB"/>
              </w:rPr>
            </w:pPr>
            <w:r w:rsidRPr="00C85C4F">
              <w:rPr>
                <w:rFonts w:eastAsia="Times New Roman"/>
                <w:b/>
                <w:bCs/>
                <w:kern w:val="24"/>
                <w:sz w:val="20"/>
                <w:szCs w:val="20"/>
                <w:lang w:eastAsia="en-GB"/>
              </w:rPr>
              <w:t>0.02</w:t>
            </w:r>
            <w:r>
              <w:rPr>
                <w:rFonts w:eastAsia="Times New Roman"/>
                <w:b/>
                <w:bCs/>
                <w:kern w:val="24"/>
                <w:sz w:val="20"/>
                <w:szCs w:val="20"/>
                <w:lang w:eastAsia="en-GB"/>
              </w:rPr>
              <w:t>1</w:t>
            </w:r>
          </w:p>
          <w:p w14:paraId="0390CE86" w14:textId="77777777" w:rsidR="00670271" w:rsidRPr="00C85C4F" w:rsidRDefault="00670271" w:rsidP="003D7B30">
            <w:pPr>
              <w:spacing w:line="240" w:lineRule="auto"/>
              <w:ind w:firstLine="0"/>
              <w:jc w:val="center"/>
              <w:rPr>
                <w:rFonts w:eastAsia="Times New Roman"/>
                <w:kern w:val="24"/>
                <w:sz w:val="20"/>
                <w:szCs w:val="20"/>
                <w:lang w:eastAsia="en-GB"/>
              </w:rPr>
            </w:pPr>
            <w:r w:rsidRPr="00C85C4F">
              <w:rPr>
                <w:rFonts w:eastAsia="Times New Roman"/>
                <w:kern w:val="24"/>
                <w:sz w:val="20"/>
                <w:szCs w:val="20"/>
                <w:lang w:eastAsia="en-GB"/>
              </w:rPr>
              <w:t>CI</w:t>
            </w:r>
            <w:proofErr w:type="gramStart"/>
            <w:r w:rsidRPr="00C85C4F">
              <w:rPr>
                <w:rFonts w:eastAsia="Times New Roman"/>
                <w:kern w:val="24"/>
                <w:sz w:val="20"/>
                <w:szCs w:val="20"/>
                <w:lang w:eastAsia="en-GB"/>
              </w:rPr>
              <w:t>=[</w:t>
            </w:r>
            <w:proofErr w:type="gramEnd"/>
            <w:r w:rsidRPr="00C85C4F">
              <w:rPr>
                <w:rFonts w:eastAsia="Times New Roman"/>
                <w:kern w:val="24"/>
                <w:sz w:val="20"/>
                <w:szCs w:val="20"/>
                <w:lang w:eastAsia="en-GB"/>
              </w:rPr>
              <w:t>0.012-0.03</w:t>
            </w:r>
            <w:r>
              <w:rPr>
                <w:rFonts w:eastAsia="Times New Roman"/>
                <w:kern w:val="24"/>
                <w:sz w:val="20"/>
                <w:szCs w:val="20"/>
                <w:lang w:eastAsia="en-GB"/>
              </w:rPr>
              <w:t>7</w:t>
            </w:r>
            <w:r w:rsidRPr="00C85C4F">
              <w:rPr>
                <w:rFonts w:eastAsia="Times New Roman"/>
                <w:kern w:val="24"/>
                <w:sz w:val="20"/>
                <w:szCs w:val="20"/>
                <w:lang w:eastAsia="en-GB"/>
              </w:rPr>
              <w:t>]</w:t>
            </w:r>
          </w:p>
        </w:tc>
        <w:tc>
          <w:tcPr>
            <w:tcW w:w="1686" w:type="dxa"/>
            <w:tcBorders>
              <w:top w:val="single" w:sz="8" w:space="0" w:color="FFFFFF"/>
              <w:left w:val="single" w:sz="12" w:space="0" w:color="auto"/>
              <w:bottom w:val="single" w:sz="8" w:space="0" w:color="FFFFFF"/>
              <w:right w:val="single" w:sz="12" w:space="0" w:color="auto"/>
            </w:tcBorders>
            <w:shd w:val="clear" w:color="auto" w:fill="auto"/>
            <w:tcMar>
              <w:top w:w="15" w:type="dxa"/>
              <w:left w:w="108" w:type="dxa"/>
              <w:bottom w:w="0" w:type="dxa"/>
              <w:right w:w="108" w:type="dxa"/>
            </w:tcMar>
            <w:vAlign w:val="center"/>
            <w:hideMark/>
          </w:tcPr>
          <w:p w14:paraId="654F97C9" w14:textId="77777777" w:rsidR="00670271" w:rsidRPr="00C85C4F" w:rsidRDefault="00670271" w:rsidP="003D7B30">
            <w:pPr>
              <w:spacing w:line="240" w:lineRule="auto"/>
              <w:ind w:firstLine="0"/>
              <w:jc w:val="center"/>
              <w:rPr>
                <w:rFonts w:eastAsia="Times New Roman"/>
                <w:sz w:val="20"/>
                <w:szCs w:val="20"/>
                <w:lang w:eastAsia="en-GB"/>
              </w:rPr>
            </w:pPr>
            <w:r w:rsidRPr="00C85C4F">
              <w:rPr>
                <w:rFonts w:eastAsia="Times New Roman"/>
                <w:kern w:val="24"/>
                <w:sz w:val="20"/>
                <w:szCs w:val="20"/>
                <w:lang w:eastAsia="en-GB"/>
              </w:rPr>
              <w:t>0.01</w:t>
            </w:r>
            <w:r>
              <w:rPr>
                <w:rFonts w:eastAsia="Times New Roman"/>
                <w:kern w:val="24"/>
                <w:sz w:val="20"/>
                <w:szCs w:val="20"/>
                <w:lang w:eastAsia="en-GB"/>
              </w:rPr>
              <w:t>9</w:t>
            </w:r>
          </w:p>
          <w:p w14:paraId="397EE132" w14:textId="77777777" w:rsidR="00670271" w:rsidRPr="00C85C4F" w:rsidRDefault="00670271" w:rsidP="003D7B30">
            <w:pPr>
              <w:spacing w:line="240" w:lineRule="auto"/>
              <w:ind w:firstLine="0"/>
              <w:jc w:val="center"/>
              <w:rPr>
                <w:rFonts w:eastAsia="Times New Roman"/>
                <w:sz w:val="20"/>
                <w:szCs w:val="20"/>
                <w:lang w:eastAsia="en-GB"/>
              </w:rPr>
            </w:pPr>
            <w:r w:rsidRPr="00C85C4F">
              <w:rPr>
                <w:rFonts w:eastAsia="Times New Roman"/>
                <w:kern w:val="24"/>
                <w:sz w:val="20"/>
                <w:szCs w:val="20"/>
                <w:lang w:eastAsia="en-GB"/>
              </w:rPr>
              <w:t>CI</w:t>
            </w:r>
            <w:proofErr w:type="gramStart"/>
            <w:r w:rsidRPr="00C85C4F">
              <w:rPr>
                <w:rFonts w:eastAsia="Times New Roman"/>
                <w:kern w:val="24"/>
                <w:sz w:val="20"/>
                <w:szCs w:val="20"/>
                <w:lang w:eastAsia="en-GB"/>
              </w:rPr>
              <w:t>=[</w:t>
            </w:r>
            <w:proofErr w:type="gramEnd"/>
            <w:r w:rsidRPr="00C85C4F">
              <w:rPr>
                <w:rFonts w:eastAsia="Times New Roman"/>
                <w:kern w:val="24"/>
                <w:sz w:val="20"/>
                <w:szCs w:val="20"/>
                <w:lang w:eastAsia="en-GB"/>
              </w:rPr>
              <w:t>0.010-0.031]</w:t>
            </w:r>
          </w:p>
        </w:tc>
        <w:tc>
          <w:tcPr>
            <w:tcW w:w="1686" w:type="dxa"/>
            <w:tcBorders>
              <w:top w:val="single" w:sz="8" w:space="0" w:color="FFFFFF"/>
              <w:left w:val="single" w:sz="12" w:space="0" w:color="auto"/>
              <w:bottom w:val="single" w:sz="8" w:space="0" w:color="FFFFFF"/>
              <w:right w:val="single" w:sz="12" w:space="0" w:color="auto"/>
            </w:tcBorders>
            <w:shd w:val="clear" w:color="auto" w:fill="auto"/>
            <w:tcMar>
              <w:top w:w="15" w:type="dxa"/>
              <w:left w:w="108" w:type="dxa"/>
              <w:bottom w:w="0" w:type="dxa"/>
              <w:right w:w="108" w:type="dxa"/>
            </w:tcMar>
            <w:vAlign w:val="center"/>
          </w:tcPr>
          <w:p w14:paraId="53921993" w14:textId="77777777" w:rsidR="00670271" w:rsidRDefault="00670271" w:rsidP="003D7B30">
            <w:pPr>
              <w:spacing w:line="240" w:lineRule="auto"/>
              <w:ind w:firstLine="0"/>
              <w:jc w:val="center"/>
              <w:rPr>
                <w:rFonts w:eastAsia="Times New Roman"/>
                <w:sz w:val="20"/>
                <w:szCs w:val="20"/>
                <w:lang w:eastAsia="en-GB"/>
              </w:rPr>
            </w:pPr>
            <w:r>
              <w:rPr>
                <w:rFonts w:eastAsia="Times New Roman"/>
                <w:sz w:val="20"/>
                <w:szCs w:val="20"/>
                <w:lang w:eastAsia="en-GB"/>
              </w:rPr>
              <w:t>0.020</w:t>
            </w:r>
          </w:p>
          <w:p w14:paraId="26EBF126" w14:textId="77777777" w:rsidR="00670271" w:rsidRPr="00C85C4F" w:rsidRDefault="00670271" w:rsidP="003D7B30">
            <w:pPr>
              <w:spacing w:line="240" w:lineRule="auto"/>
              <w:ind w:firstLine="0"/>
              <w:jc w:val="center"/>
              <w:rPr>
                <w:rFonts w:eastAsia="Times New Roman"/>
                <w:sz w:val="20"/>
                <w:szCs w:val="20"/>
                <w:lang w:eastAsia="en-GB"/>
              </w:rPr>
            </w:pPr>
            <w:r>
              <w:rPr>
                <w:rFonts w:eastAsia="Times New Roman"/>
                <w:sz w:val="20"/>
                <w:szCs w:val="20"/>
                <w:lang w:eastAsia="en-GB"/>
              </w:rPr>
              <w:t>CI</w:t>
            </w:r>
            <w:proofErr w:type="gramStart"/>
            <w:r>
              <w:rPr>
                <w:rFonts w:eastAsia="Times New Roman"/>
                <w:sz w:val="20"/>
                <w:szCs w:val="20"/>
                <w:lang w:eastAsia="en-GB"/>
              </w:rPr>
              <w:t>=[</w:t>
            </w:r>
            <w:proofErr w:type="gramEnd"/>
            <w:r>
              <w:rPr>
                <w:rFonts w:eastAsia="Times New Roman"/>
                <w:sz w:val="20"/>
                <w:szCs w:val="20"/>
                <w:lang w:eastAsia="en-GB"/>
              </w:rPr>
              <w:t>0.011-0.039]</w:t>
            </w:r>
          </w:p>
        </w:tc>
        <w:tc>
          <w:tcPr>
            <w:tcW w:w="1686" w:type="dxa"/>
            <w:tcBorders>
              <w:top w:val="single" w:sz="8" w:space="0" w:color="FFFFFF"/>
              <w:left w:val="single" w:sz="12" w:space="0" w:color="auto"/>
              <w:bottom w:val="single" w:sz="8" w:space="0" w:color="FFFFFF"/>
              <w:right w:val="single" w:sz="8" w:space="0" w:color="FFFFFF"/>
            </w:tcBorders>
            <w:shd w:val="clear" w:color="auto" w:fill="auto"/>
            <w:tcMar>
              <w:top w:w="15" w:type="dxa"/>
              <w:left w:w="108" w:type="dxa"/>
              <w:bottom w:w="0" w:type="dxa"/>
              <w:right w:w="108" w:type="dxa"/>
            </w:tcMar>
            <w:vAlign w:val="center"/>
          </w:tcPr>
          <w:p w14:paraId="448F02FD" w14:textId="77777777" w:rsidR="00670271" w:rsidRDefault="00670271" w:rsidP="003D7B30">
            <w:pPr>
              <w:spacing w:line="240" w:lineRule="auto"/>
              <w:ind w:firstLine="0"/>
              <w:jc w:val="center"/>
              <w:rPr>
                <w:rFonts w:eastAsia="Times New Roman"/>
                <w:sz w:val="20"/>
                <w:szCs w:val="20"/>
                <w:lang w:eastAsia="en-GB"/>
              </w:rPr>
            </w:pPr>
            <w:r>
              <w:rPr>
                <w:rFonts w:eastAsia="Times New Roman"/>
                <w:sz w:val="20"/>
                <w:szCs w:val="20"/>
                <w:lang w:eastAsia="en-GB"/>
              </w:rPr>
              <w:t>0.019</w:t>
            </w:r>
          </w:p>
          <w:p w14:paraId="3D7288FD" w14:textId="77777777" w:rsidR="00670271" w:rsidRPr="00C85C4F" w:rsidRDefault="00670271" w:rsidP="003D7B30">
            <w:pPr>
              <w:spacing w:line="240" w:lineRule="auto"/>
              <w:ind w:firstLine="0"/>
              <w:jc w:val="center"/>
              <w:rPr>
                <w:rFonts w:eastAsia="Times New Roman"/>
                <w:sz w:val="20"/>
                <w:szCs w:val="20"/>
                <w:lang w:eastAsia="en-GB"/>
              </w:rPr>
            </w:pPr>
            <w:r>
              <w:rPr>
                <w:rFonts w:eastAsia="Times New Roman"/>
                <w:sz w:val="20"/>
                <w:szCs w:val="20"/>
                <w:lang w:eastAsia="en-GB"/>
              </w:rPr>
              <w:t>[0.011-0.033]</w:t>
            </w:r>
          </w:p>
        </w:tc>
      </w:tr>
      <w:tr w:rsidR="00670271" w:rsidRPr="0001438A" w14:paraId="7DB4EC1F" w14:textId="77777777" w:rsidTr="003D7B30">
        <w:trPr>
          <w:trHeight w:val="79"/>
          <w:jc w:val="center"/>
        </w:trPr>
        <w:tc>
          <w:tcPr>
            <w:tcW w:w="2217" w:type="dxa"/>
            <w:tcBorders>
              <w:top w:val="single" w:sz="8" w:space="0" w:color="FFFFFF"/>
              <w:left w:val="single" w:sz="8" w:space="0" w:color="FFFFFF"/>
              <w:bottom w:val="single" w:sz="8" w:space="0" w:color="FFFFFF"/>
              <w:right w:val="single" w:sz="12" w:space="0" w:color="auto"/>
            </w:tcBorders>
            <w:shd w:val="clear" w:color="auto" w:fill="D0CECE" w:themeFill="background2" w:themeFillShade="E6"/>
            <w:tcMar>
              <w:top w:w="15" w:type="dxa"/>
              <w:left w:w="108" w:type="dxa"/>
              <w:bottom w:w="0" w:type="dxa"/>
              <w:right w:w="108" w:type="dxa"/>
            </w:tcMar>
            <w:hideMark/>
          </w:tcPr>
          <w:p w14:paraId="4B121439" w14:textId="77777777" w:rsidR="00670271" w:rsidRPr="00C85C4F" w:rsidRDefault="00670271" w:rsidP="003D7B30">
            <w:pPr>
              <w:spacing w:line="240" w:lineRule="auto"/>
              <w:ind w:firstLine="0"/>
              <w:jc w:val="left"/>
              <w:rPr>
                <w:rFonts w:eastAsia="Times New Roman"/>
                <w:sz w:val="20"/>
                <w:szCs w:val="20"/>
                <w:lang w:eastAsia="en-GB"/>
              </w:rPr>
            </w:pPr>
            <w:r w:rsidRPr="00C85C4F">
              <w:rPr>
                <w:rFonts w:eastAsia="Times New Roman"/>
                <w:b/>
                <w:bCs/>
                <w:kern w:val="24"/>
                <w:sz w:val="20"/>
                <w:szCs w:val="20"/>
                <w:lang w:eastAsia="en-GB"/>
              </w:rPr>
              <w:t>All cohort</w:t>
            </w:r>
          </w:p>
          <w:p w14:paraId="0F9EAED8" w14:textId="77777777" w:rsidR="00670271" w:rsidRPr="00C85C4F" w:rsidRDefault="00670271" w:rsidP="003D7B30">
            <w:pPr>
              <w:spacing w:line="240" w:lineRule="auto"/>
              <w:ind w:firstLine="0"/>
              <w:jc w:val="left"/>
              <w:rPr>
                <w:rFonts w:eastAsia="Times New Roman"/>
                <w:sz w:val="20"/>
                <w:szCs w:val="20"/>
                <w:lang w:eastAsia="en-GB"/>
              </w:rPr>
            </w:pPr>
            <w:r w:rsidRPr="00C85C4F">
              <w:rPr>
                <w:rFonts w:eastAsia="Times New Roman"/>
                <w:b/>
                <w:bCs/>
                <w:kern w:val="24"/>
                <w:sz w:val="20"/>
                <w:szCs w:val="20"/>
                <w:lang w:eastAsia="en-GB"/>
              </w:rPr>
              <w:t>Neck fractures</w:t>
            </w:r>
          </w:p>
        </w:tc>
        <w:tc>
          <w:tcPr>
            <w:tcW w:w="1005"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55A649AB" w14:textId="77777777" w:rsidR="00670271" w:rsidRPr="00C85C4F" w:rsidRDefault="00670271" w:rsidP="003D7B30">
            <w:pPr>
              <w:spacing w:line="240" w:lineRule="auto"/>
              <w:ind w:firstLine="0"/>
              <w:jc w:val="center"/>
              <w:rPr>
                <w:rFonts w:eastAsia="Times New Roman"/>
                <w:sz w:val="20"/>
                <w:szCs w:val="20"/>
                <w:lang w:eastAsia="en-GB"/>
              </w:rPr>
            </w:pPr>
            <w:r w:rsidRPr="00C85C4F">
              <w:rPr>
                <w:kern w:val="24"/>
                <w:sz w:val="20"/>
                <w:szCs w:val="20"/>
                <w:lang w:eastAsia="en-GB"/>
              </w:rPr>
              <w:t>11,691</w:t>
            </w:r>
          </w:p>
        </w:tc>
        <w:tc>
          <w:tcPr>
            <w:tcW w:w="1094"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6764FD9C" w14:textId="77777777" w:rsidR="00670271" w:rsidRPr="00C85C4F" w:rsidRDefault="00670271" w:rsidP="003D7B30">
            <w:pPr>
              <w:spacing w:line="240" w:lineRule="auto"/>
              <w:ind w:firstLine="0"/>
              <w:jc w:val="center"/>
              <w:rPr>
                <w:rFonts w:eastAsia="Times New Roman"/>
                <w:sz w:val="20"/>
                <w:szCs w:val="20"/>
                <w:lang w:eastAsia="en-GB"/>
              </w:rPr>
            </w:pPr>
            <w:r w:rsidRPr="00C85C4F">
              <w:rPr>
                <w:rFonts w:eastAsia="Times New Roman"/>
                <w:kern w:val="24"/>
                <w:sz w:val="20"/>
                <w:szCs w:val="20"/>
                <w:lang w:eastAsia="en-GB"/>
              </w:rPr>
              <w:t>138</w:t>
            </w:r>
          </w:p>
        </w:tc>
        <w:tc>
          <w:tcPr>
            <w:tcW w:w="1681"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vAlign w:val="center"/>
          </w:tcPr>
          <w:p w14:paraId="2862375E" w14:textId="77777777" w:rsidR="00670271" w:rsidRPr="00C85C4F" w:rsidRDefault="00670271" w:rsidP="003D7B30">
            <w:pPr>
              <w:spacing w:line="240" w:lineRule="auto"/>
              <w:ind w:firstLine="0"/>
              <w:jc w:val="center"/>
              <w:rPr>
                <w:rFonts w:eastAsia="Times New Roman"/>
                <w:sz w:val="20"/>
                <w:szCs w:val="20"/>
                <w:lang w:eastAsia="en-GB"/>
              </w:rPr>
            </w:pPr>
            <w:r w:rsidRPr="00C85C4F">
              <w:rPr>
                <w:rFonts w:eastAsia="Times New Roman"/>
                <w:kern w:val="24"/>
                <w:sz w:val="20"/>
                <w:szCs w:val="20"/>
                <w:lang w:eastAsia="en-GB"/>
              </w:rPr>
              <w:t>0.046</w:t>
            </w:r>
          </w:p>
          <w:p w14:paraId="5AF2E7FD" w14:textId="77777777" w:rsidR="00670271" w:rsidRPr="00C85C4F" w:rsidRDefault="00670271" w:rsidP="003D7B30">
            <w:pPr>
              <w:spacing w:line="240" w:lineRule="auto"/>
              <w:ind w:firstLine="0"/>
              <w:jc w:val="center"/>
              <w:rPr>
                <w:rFonts w:eastAsia="Times New Roman"/>
                <w:b/>
                <w:bCs/>
                <w:kern w:val="24"/>
                <w:sz w:val="20"/>
                <w:szCs w:val="20"/>
                <w:lang w:eastAsia="en-GB"/>
              </w:rPr>
            </w:pPr>
            <w:r w:rsidRPr="00C85C4F">
              <w:rPr>
                <w:rFonts w:eastAsia="Times New Roman"/>
                <w:kern w:val="24"/>
                <w:sz w:val="20"/>
                <w:szCs w:val="20"/>
                <w:lang w:eastAsia="en-GB"/>
              </w:rPr>
              <w:t>CI</w:t>
            </w:r>
            <w:proofErr w:type="gramStart"/>
            <w:r w:rsidRPr="00C85C4F">
              <w:rPr>
                <w:rFonts w:eastAsia="Times New Roman"/>
                <w:kern w:val="24"/>
                <w:sz w:val="20"/>
                <w:szCs w:val="20"/>
                <w:lang w:eastAsia="en-GB"/>
              </w:rPr>
              <w:t>=[</w:t>
            </w:r>
            <w:proofErr w:type="gramEnd"/>
            <w:r w:rsidRPr="00C85C4F">
              <w:rPr>
                <w:rFonts w:eastAsia="Times New Roman"/>
                <w:kern w:val="24"/>
                <w:sz w:val="20"/>
                <w:szCs w:val="20"/>
                <w:lang w:eastAsia="en-GB"/>
              </w:rPr>
              <w:t>0.031-0.066]</w:t>
            </w:r>
          </w:p>
        </w:tc>
        <w:tc>
          <w:tcPr>
            <w:tcW w:w="1686"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hideMark/>
          </w:tcPr>
          <w:p w14:paraId="33BAC2C2" w14:textId="77777777" w:rsidR="00670271" w:rsidRPr="00C85C4F" w:rsidRDefault="00670271" w:rsidP="003D7B30">
            <w:pPr>
              <w:spacing w:line="240" w:lineRule="auto"/>
              <w:ind w:firstLine="0"/>
              <w:jc w:val="center"/>
              <w:rPr>
                <w:rFonts w:eastAsia="Times New Roman"/>
                <w:sz w:val="20"/>
                <w:szCs w:val="20"/>
                <w:lang w:eastAsia="en-GB"/>
              </w:rPr>
            </w:pPr>
            <w:r w:rsidRPr="00C85C4F">
              <w:rPr>
                <w:rFonts w:eastAsia="Times New Roman"/>
                <w:b/>
                <w:bCs/>
                <w:kern w:val="24"/>
                <w:sz w:val="20"/>
                <w:szCs w:val="20"/>
                <w:lang w:eastAsia="en-GB"/>
              </w:rPr>
              <w:t>0.049</w:t>
            </w:r>
          </w:p>
          <w:p w14:paraId="1ECE4AE5" w14:textId="77777777" w:rsidR="00670271" w:rsidRPr="00C85C4F" w:rsidRDefault="00670271" w:rsidP="003D7B30">
            <w:pPr>
              <w:spacing w:line="240" w:lineRule="auto"/>
              <w:ind w:firstLine="0"/>
              <w:jc w:val="center"/>
              <w:rPr>
                <w:rFonts w:eastAsia="Times New Roman"/>
                <w:sz w:val="20"/>
                <w:szCs w:val="20"/>
                <w:lang w:eastAsia="en-GB"/>
              </w:rPr>
            </w:pPr>
            <w:r w:rsidRPr="00C85C4F">
              <w:rPr>
                <w:rFonts w:eastAsia="Times New Roman"/>
                <w:kern w:val="24"/>
                <w:sz w:val="20"/>
                <w:szCs w:val="20"/>
                <w:lang w:eastAsia="en-GB"/>
              </w:rPr>
              <w:t>CI</w:t>
            </w:r>
            <w:proofErr w:type="gramStart"/>
            <w:r w:rsidRPr="00C85C4F">
              <w:rPr>
                <w:rFonts w:eastAsia="Times New Roman"/>
                <w:kern w:val="24"/>
                <w:sz w:val="20"/>
                <w:szCs w:val="20"/>
                <w:lang w:eastAsia="en-GB"/>
              </w:rPr>
              <w:t>=[</w:t>
            </w:r>
            <w:proofErr w:type="gramEnd"/>
            <w:r w:rsidRPr="00C85C4F">
              <w:rPr>
                <w:rFonts w:eastAsia="Times New Roman"/>
                <w:kern w:val="24"/>
                <w:sz w:val="20"/>
                <w:szCs w:val="20"/>
                <w:lang w:eastAsia="en-GB"/>
              </w:rPr>
              <w:t>0.035-0.06</w:t>
            </w:r>
            <w:r>
              <w:rPr>
                <w:rFonts w:eastAsia="Times New Roman"/>
                <w:kern w:val="24"/>
                <w:sz w:val="20"/>
                <w:szCs w:val="20"/>
                <w:lang w:eastAsia="en-GB"/>
              </w:rPr>
              <w:t>8</w:t>
            </w:r>
            <w:r w:rsidRPr="00C85C4F">
              <w:rPr>
                <w:rFonts w:eastAsia="Times New Roman"/>
                <w:kern w:val="24"/>
                <w:sz w:val="20"/>
                <w:szCs w:val="20"/>
                <w:lang w:eastAsia="en-GB"/>
              </w:rPr>
              <w:t>]</w:t>
            </w:r>
          </w:p>
        </w:tc>
        <w:tc>
          <w:tcPr>
            <w:tcW w:w="1686" w:type="dxa"/>
            <w:tcBorders>
              <w:top w:val="single" w:sz="8" w:space="0" w:color="FFFFFF"/>
              <w:left w:val="single" w:sz="12" w:space="0" w:color="auto"/>
              <w:bottom w:val="single" w:sz="8" w:space="0" w:color="FFFFFF"/>
              <w:right w:val="single" w:sz="12" w:space="0" w:color="auto"/>
            </w:tcBorders>
            <w:shd w:val="clear" w:color="auto" w:fill="D0CECE" w:themeFill="background2" w:themeFillShade="E6"/>
            <w:tcMar>
              <w:top w:w="15" w:type="dxa"/>
              <w:left w:w="108" w:type="dxa"/>
              <w:bottom w:w="0" w:type="dxa"/>
              <w:right w:w="108" w:type="dxa"/>
            </w:tcMar>
            <w:vAlign w:val="center"/>
          </w:tcPr>
          <w:p w14:paraId="6B1BF26E" w14:textId="77777777" w:rsidR="00670271" w:rsidRDefault="00670271" w:rsidP="003D7B30">
            <w:pPr>
              <w:spacing w:line="240" w:lineRule="auto"/>
              <w:ind w:firstLine="0"/>
              <w:jc w:val="center"/>
              <w:rPr>
                <w:rFonts w:eastAsia="Times New Roman"/>
                <w:sz w:val="20"/>
                <w:szCs w:val="20"/>
                <w:lang w:eastAsia="en-GB"/>
              </w:rPr>
            </w:pPr>
            <w:r>
              <w:rPr>
                <w:rFonts w:eastAsia="Times New Roman"/>
                <w:sz w:val="20"/>
                <w:szCs w:val="20"/>
                <w:lang w:eastAsia="en-GB"/>
              </w:rPr>
              <w:t>0.036</w:t>
            </w:r>
          </w:p>
          <w:p w14:paraId="2A304B7E" w14:textId="77777777" w:rsidR="00670271" w:rsidRPr="00C85C4F" w:rsidRDefault="00670271" w:rsidP="003D7B30">
            <w:pPr>
              <w:spacing w:line="240" w:lineRule="auto"/>
              <w:ind w:firstLine="0"/>
              <w:jc w:val="center"/>
              <w:rPr>
                <w:rFonts w:eastAsia="Times New Roman"/>
                <w:sz w:val="20"/>
                <w:szCs w:val="20"/>
                <w:lang w:eastAsia="en-GB"/>
              </w:rPr>
            </w:pPr>
            <w:r>
              <w:rPr>
                <w:rFonts w:eastAsia="Times New Roman"/>
                <w:sz w:val="20"/>
                <w:szCs w:val="20"/>
                <w:lang w:eastAsia="en-GB"/>
              </w:rPr>
              <w:t>CI</w:t>
            </w:r>
            <w:proofErr w:type="gramStart"/>
            <w:r>
              <w:rPr>
                <w:rFonts w:eastAsia="Times New Roman"/>
                <w:sz w:val="20"/>
                <w:szCs w:val="20"/>
                <w:lang w:eastAsia="en-GB"/>
              </w:rPr>
              <w:t>=[</w:t>
            </w:r>
            <w:proofErr w:type="gramEnd"/>
            <w:r>
              <w:rPr>
                <w:rFonts w:eastAsia="Times New Roman"/>
                <w:sz w:val="20"/>
                <w:szCs w:val="20"/>
                <w:lang w:eastAsia="en-GB"/>
              </w:rPr>
              <w:t>0.025-0.052]</w:t>
            </w:r>
          </w:p>
        </w:tc>
        <w:tc>
          <w:tcPr>
            <w:tcW w:w="1686" w:type="dxa"/>
            <w:tcBorders>
              <w:top w:val="single" w:sz="8" w:space="0" w:color="FFFFFF"/>
              <w:left w:val="single" w:sz="12" w:space="0" w:color="auto"/>
              <w:bottom w:val="single" w:sz="8" w:space="0" w:color="FFFFFF"/>
              <w:right w:val="single" w:sz="8" w:space="0" w:color="FFFFFF"/>
            </w:tcBorders>
            <w:shd w:val="clear" w:color="auto" w:fill="D0CECE" w:themeFill="background2" w:themeFillShade="E6"/>
            <w:tcMar>
              <w:top w:w="15" w:type="dxa"/>
              <w:left w:w="108" w:type="dxa"/>
              <w:bottom w:w="0" w:type="dxa"/>
              <w:right w:w="108" w:type="dxa"/>
            </w:tcMar>
            <w:vAlign w:val="center"/>
          </w:tcPr>
          <w:p w14:paraId="19CCD90C" w14:textId="77777777" w:rsidR="00670271" w:rsidRDefault="00670271" w:rsidP="003D7B30">
            <w:pPr>
              <w:spacing w:line="240" w:lineRule="auto"/>
              <w:ind w:firstLine="0"/>
              <w:jc w:val="center"/>
              <w:rPr>
                <w:rFonts w:eastAsia="Times New Roman"/>
                <w:sz w:val="20"/>
                <w:szCs w:val="20"/>
                <w:lang w:eastAsia="en-GB"/>
              </w:rPr>
            </w:pPr>
            <w:r>
              <w:rPr>
                <w:rFonts w:eastAsia="Times New Roman"/>
                <w:sz w:val="20"/>
                <w:szCs w:val="20"/>
                <w:lang w:eastAsia="en-GB"/>
              </w:rPr>
              <w:t>0.046</w:t>
            </w:r>
          </w:p>
          <w:p w14:paraId="62AF64A5" w14:textId="77777777" w:rsidR="00670271" w:rsidRPr="00C85C4F" w:rsidRDefault="00670271" w:rsidP="003D7B30">
            <w:pPr>
              <w:spacing w:line="240" w:lineRule="auto"/>
              <w:ind w:firstLine="0"/>
              <w:jc w:val="center"/>
              <w:rPr>
                <w:rFonts w:eastAsia="Times New Roman"/>
                <w:sz w:val="20"/>
                <w:szCs w:val="20"/>
                <w:lang w:eastAsia="en-GB"/>
              </w:rPr>
            </w:pPr>
            <w:r>
              <w:rPr>
                <w:rFonts w:eastAsia="Times New Roman"/>
                <w:sz w:val="20"/>
                <w:szCs w:val="20"/>
                <w:lang w:eastAsia="en-GB"/>
              </w:rPr>
              <w:t>CI</w:t>
            </w:r>
            <w:proofErr w:type="gramStart"/>
            <w:r>
              <w:rPr>
                <w:rFonts w:eastAsia="Times New Roman"/>
                <w:sz w:val="20"/>
                <w:szCs w:val="20"/>
                <w:lang w:eastAsia="en-GB"/>
              </w:rPr>
              <w:t>=[</w:t>
            </w:r>
            <w:proofErr w:type="gramEnd"/>
            <w:r>
              <w:rPr>
                <w:rFonts w:eastAsia="Times New Roman"/>
                <w:sz w:val="20"/>
                <w:szCs w:val="20"/>
                <w:lang w:eastAsia="en-GB"/>
              </w:rPr>
              <w:t>0.031-0.066]</w:t>
            </w:r>
          </w:p>
        </w:tc>
      </w:tr>
    </w:tbl>
    <w:p w14:paraId="39E1E5E3" w14:textId="0738B428" w:rsidR="004412AB" w:rsidRPr="008F70F8" w:rsidRDefault="004412AB" w:rsidP="008F70F8"/>
    <w:sectPr w:rsidR="004412AB" w:rsidRPr="008F70F8" w:rsidSect="00185A05">
      <w:footerReference w:type="default" r:id="rId3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B2813" w14:textId="77777777" w:rsidR="006861B1" w:rsidRDefault="006861B1" w:rsidP="00FC5EC5">
      <w:pPr>
        <w:spacing w:line="240" w:lineRule="auto"/>
      </w:pPr>
      <w:r>
        <w:separator/>
      </w:r>
    </w:p>
  </w:endnote>
  <w:endnote w:type="continuationSeparator" w:id="0">
    <w:p w14:paraId="39468308" w14:textId="77777777" w:rsidR="006861B1" w:rsidRDefault="006861B1" w:rsidP="00FC5EC5">
      <w:pPr>
        <w:spacing w:line="240" w:lineRule="auto"/>
      </w:pPr>
      <w:r>
        <w:continuationSeparator/>
      </w:r>
    </w:p>
  </w:endnote>
  <w:endnote w:type="continuationNotice" w:id="1">
    <w:p w14:paraId="4A95573F" w14:textId="77777777" w:rsidR="006861B1" w:rsidRDefault="006861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 Neue">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735952"/>
      <w:docPartObj>
        <w:docPartGallery w:val="Page Numbers (Bottom of Page)"/>
        <w:docPartUnique/>
      </w:docPartObj>
    </w:sdtPr>
    <w:sdtEndPr>
      <w:rPr>
        <w:noProof/>
      </w:rPr>
    </w:sdtEndPr>
    <w:sdtContent>
      <w:p w14:paraId="3D24D1F3" w14:textId="3B80437C" w:rsidR="00231D50" w:rsidRDefault="00231D50">
        <w:pPr>
          <w:pStyle w:val="Footer"/>
          <w:jc w:val="right"/>
        </w:pPr>
        <w:r>
          <w:fldChar w:fldCharType="begin"/>
        </w:r>
        <w:r>
          <w:instrText xml:space="preserve"> PAGE   \* MERGEFORMAT </w:instrText>
        </w:r>
        <w:r>
          <w:fldChar w:fldCharType="separate"/>
        </w:r>
        <w:r w:rsidR="00313F6D">
          <w:rPr>
            <w:noProof/>
          </w:rPr>
          <w:t>22</w:t>
        </w:r>
        <w:r>
          <w:rPr>
            <w:noProof/>
          </w:rPr>
          <w:fldChar w:fldCharType="end"/>
        </w:r>
      </w:p>
    </w:sdtContent>
  </w:sdt>
  <w:p w14:paraId="43EAFE6D" w14:textId="77777777" w:rsidR="00231D50" w:rsidRDefault="00231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E5AFB" w14:textId="77777777" w:rsidR="006861B1" w:rsidRDefault="006861B1" w:rsidP="00FC5EC5">
      <w:pPr>
        <w:spacing w:line="240" w:lineRule="auto"/>
      </w:pPr>
      <w:r>
        <w:separator/>
      </w:r>
    </w:p>
  </w:footnote>
  <w:footnote w:type="continuationSeparator" w:id="0">
    <w:p w14:paraId="5F6BDCF0" w14:textId="77777777" w:rsidR="006861B1" w:rsidRDefault="006861B1" w:rsidP="00FC5EC5">
      <w:pPr>
        <w:spacing w:line="240" w:lineRule="auto"/>
      </w:pPr>
      <w:r>
        <w:continuationSeparator/>
      </w:r>
    </w:p>
  </w:footnote>
  <w:footnote w:type="continuationNotice" w:id="1">
    <w:p w14:paraId="7088F20F" w14:textId="77777777" w:rsidR="006861B1" w:rsidRDefault="006861B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036C"/>
    <w:multiLevelType w:val="multilevel"/>
    <w:tmpl w:val="E1B2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47013"/>
    <w:multiLevelType w:val="hybridMultilevel"/>
    <w:tmpl w:val="A7061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7977D3"/>
    <w:multiLevelType w:val="hybridMultilevel"/>
    <w:tmpl w:val="EDBCED34"/>
    <w:lvl w:ilvl="0" w:tplc="637CEC3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6965458"/>
    <w:multiLevelType w:val="multilevel"/>
    <w:tmpl w:val="B838F56A"/>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B0A2108"/>
    <w:multiLevelType w:val="hybridMultilevel"/>
    <w:tmpl w:val="B7A0E5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795B40"/>
    <w:multiLevelType w:val="multilevel"/>
    <w:tmpl w:val="DA824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2E0B15"/>
    <w:multiLevelType w:val="multilevel"/>
    <w:tmpl w:val="91A05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F010F6"/>
    <w:multiLevelType w:val="hybridMultilevel"/>
    <w:tmpl w:val="7FE84740"/>
    <w:lvl w:ilvl="0" w:tplc="BEA66D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0112A3"/>
    <w:multiLevelType w:val="multilevel"/>
    <w:tmpl w:val="3F60B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C162B9"/>
    <w:multiLevelType w:val="multilevel"/>
    <w:tmpl w:val="5764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C23DB5"/>
    <w:multiLevelType w:val="multilevel"/>
    <w:tmpl w:val="2F44C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6754DB"/>
    <w:multiLevelType w:val="multilevel"/>
    <w:tmpl w:val="4BE2B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393E57"/>
    <w:multiLevelType w:val="multilevel"/>
    <w:tmpl w:val="AC0A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4E3BC6"/>
    <w:multiLevelType w:val="multilevel"/>
    <w:tmpl w:val="A75E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B90C45"/>
    <w:multiLevelType w:val="multilevel"/>
    <w:tmpl w:val="AFC2469A"/>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F591A37"/>
    <w:multiLevelType w:val="multilevel"/>
    <w:tmpl w:val="B2224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625122"/>
    <w:multiLevelType w:val="hybridMultilevel"/>
    <w:tmpl w:val="747C4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B04F5F"/>
    <w:multiLevelType w:val="multilevel"/>
    <w:tmpl w:val="5AF00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1863C7"/>
    <w:multiLevelType w:val="multilevel"/>
    <w:tmpl w:val="39C0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9F17DF"/>
    <w:multiLevelType w:val="multilevel"/>
    <w:tmpl w:val="FCC6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5C50BE"/>
    <w:multiLevelType w:val="multilevel"/>
    <w:tmpl w:val="B3007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322A5E"/>
    <w:multiLevelType w:val="multilevel"/>
    <w:tmpl w:val="4896F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4C13D2"/>
    <w:multiLevelType w:val="hybridMultilevel"/>
    <w:tmpl w:val="DA602F46"/>
    <w:lvl w:ilvl="0" w:tplc="AEAA3320">
      <w:start w:val="6"/>
      <w:numFmt w:val="bullet"/>
      <w:lvlText w:val=""/>
      <w:lvlJc w:val="left"/>
      <w:pPr>
        <w:ind w:left="1080" w:hanging="360"/>
      </w:pPr>
      <w:rPr>
        <w:rFonts w:ascii="Symbol" w:eastAsia="MS Mincho" w:hAnsi="Symbol" w:cs="Times New Roman"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40E105A"/>
    <w:multiLevelType w:val="hybridMultilevel"/>
    <w:tmpl w:val="ED6CDFAC"/>
    <w:lvl w:ilvl="0" w:tplc="246835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3D4FC4"/>
    <w:multiLevelType w:val="multilevel"/>
    <w:tmpl w:val="9240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847F5F"/>
    <w:multiLevelType w:val="multilevel"/>
    <w:tmpl w:val="4578A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6B3319"/>
    <w:multiLevelType w:val="multilevel"/>
    <w:tmpl w:val="0522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1C0016"/>
    <w:multiLevelType w:val="hybridMultilevel"/>
    <w:tmpl w:val="334A2F2C"/>
    <w:lvl w:ilvl="0" w:tplc="780CFAC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4E683C"/>
    <w:multiLevelType w:val="multilevel"/>
    <w:tmpl w:val="00F2B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AB4415"/>
    <w:multiLevelType w:val="multilevel"/>
    <w:tmpl w:val="25B6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20363C"/>
    <w:multiLevelType w:val="multilevel"/>
    <w:tmpl w:val="CC28A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451EE7"/>
    <w:multiLevelType w:val="multilevel"/>
    <w:tmpl w:val="5ACA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AD2935"/>
    <w:multiLevelType w:val="multilevel"/>
    <w:tmpl w:val="460A4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99691C"/>
    <w:multiLevelType w:val="hybridMultilevel"/>
    <w:tmpl w:val="FB7C6400"/>
    <w:lvl w:ilvl="0" w:tplc="995E4304">
      <w:start w:val="1"/>
      <w:numFmt w:val="upperLetter"/>
      <w:pStyle w:val="Heading3"/>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6CF41438"/>
    <w:multiLevelType w:val="multilevel"/>
    <w:tmpl w:val="DC0E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4B648C"/>
    <w:multiLevelType w:val="hybridMultilevel"/>
    <w:tmpl w:val="D298D24C"/>
    <w:lvl w:ilvl="0" w:tplc="DC4CC9CA">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76557205"/>
    <w:multiLevelType w:val="multilevel"/>
    <w:tmpl w:val="E77E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6B6992"/>
    <w:multiLevelType w:val="multilevel"/>
    <w:tmpl w:val="B144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BB76A2"/>
    <w:multiLevelType w:val="multilevel"/>
    <w:tmpl w:val="E626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D3831D7"/>
    <w:multiLevelType w:val="multilevel"/>
    <w:tmpl w:val="8ECA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1"/>
  </w:num>
  <w:num w:numId="3">
    <w:abstractNumId w:val="16"/>
  </w:num>
  <w:num w:numId="4">
    <w:abstractNumId w:val="7"/>
  </w:num>
  <w:num w:numId="5">
    <w:abstractNumId w:val="23"/>
  </w:num>
  <w:num w:numId="6">
    <w:abstractNumId w:val="38"/>
  </w:num>
  <w:num w:numId="7">
    <w:abstractNumId w:val="31"/>
  </w:num>
  <w:num w:numId="8">
    <w:abstractNumId w:val="8"/>
  </w:num>
  <w:num w:numId="9">
    <w:abstractNumId w:val="0"/>
  </w:num>
  <w:num w:numId="10">
    <w:abstractNumId w:val="32"/>
  </w:num>
  <w:num w:numId="11">
    <w:abstractNumId w:val="30"/>
  </w:num>
  <w:num w:numId="12">
    <w:abstractNumId w:val="20"/>
  </w:num>
  <w:num w:numId="13">
    <w:abstractNumId w:val="9"/>
  </w:num>
  <w:num w:numId="14">
    <w:abstractNumId w:val="28"/>
  </w:num>
  <w:num w:numId="15">
    <w:abstractNumId w:val="26"/>
  </w:num>
  <w:num w:numId="16">
    <w:abstractNumId w:val="12"/>
  </w:num>
  <w:num w:numId="17">
    <w:abstractNumId w:val="25"/>
  </w:num>
  <w:num w:numId="18">
    <w:abstractNumId w:val="13"/>
  </w:num>
  <w:num w:numId="19">
    <w:abstractNumId w:val="17"/>
  </w:num>
  <w:num w:numId="20">
    <w:abstractNumId w:val="37"/>
  </w:num>
  <w:num w:numId="21">
    <w:abstractNumId w:val="5"/>
  </w:num>
  <w:num w:numId="22">
    <w:abstractNumId w:val="29"/>
  </w:num>
  <w:num w:numId="23">
    <w:abstractNumId w:val="15"/>
  </w:num>
  <w:num w:numId="24">
    <w:abstractNumId w:val="34"/>
  </w:num>
  <w:num w:numId="25">
    <w:abstractNumId w:val="36"/>
  </w:num>
  <w:num w:numId="26">
    <w:abstractNumId w:val="11"/>
  </w:num>
  <w:num w:numId="27">
    <w:abstractNumId w:val="18"/>
  </w:num>
  <w:num w:numId="28">
    <w:abstractNumId w:val="21"/>
  </w:num>
  <w:num w:numId="29">
    <w:abstractNumId w:val="24"/>
  </w:num>
  <w:num w:numId="30">
    <w:abstractNumId w:val="10"/>
  </w:num>
  <w:num w:numId="31">
    <w:abstractNumId w:val="39"/>
  </w:num>
  <w:num w:numId="32">
    <w:abstractNumId w:val="6"/>
  </w:num>
  <w:num w:numId="33">
    <w:abstractNumId w:val="35"/>
  </w:num>
  <w:num w:numId="34">
    <w:abstractNumId w:val="14"/>
  </w:num>
  <w:num w:numId="35">
    <w:abstractNumId w:val="33"/>
  </w:num>
  <w:num w:numId="36">
    <w:abstractNumId w:val="33"/>
    <w:lvlOverride w:ilvl="0">
      <w:startOverride w:val="1"/>
    </w:lvlOverride>
  </w:num>
  <w:num w:numId="37">
    <w:abstractNumId w:val="3"/>
  </w:num>
  <w:num w:numId="38">
    <w:abstractNumId w:val="33"/>
    <w:lvlOverride w:ilvl="0">
      <w:startOverride w:val="1"/>
    </w:lvlOverride>
  </w:num>
  <w:num w:numId="39">
    <w:abstractNumId w:val="4"/>
  </w:num>
  <w:num w:numId="40">
    <w:abstractNumId w:val="27"/>
  </w:num>
  <w:num w:numId="41">
    <w:abstractNumId w:val="2"/>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s-ES_tradnl"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2MDAzMjE3M7SwNDFQ0lEKTi0uzszPAykwrgUAvzWISiwAAAA="/>
    <w:docVar w:name="dgnword-docGUID" w:val="{60BB8672-2DCE-4444-AC8D-0D27E3833E18}"/>
    <w:docVar w:name="dgnword-eventsink" w:val="2799312127920"/>
    <w:docVar w:name="EN.InstantFormat" w:val="&lt;ENInstantFormat&gt;&lt;Enabled&gt;1&lt;/Enabled&gt;&lt;ScanUnformatted&gt;1&lt;/ScanUnformatted&gt;&lt;ScanChanges&gt;1&lt;/ScanChanges&gt;&lt;Suspended&gt;0&lt;/Suspended&gt;&lt;/ENInstantFormat&gt;"/>
    <w:docVar w:name="EN.Layout" w:val="&lt;ENLayout&gt;&lt;Style&gt;J Bone Mineral 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0fv0asq9f5afevtp5pzr9r9zv0e529ws2s&quot;&gt;My EndNote Library&lt;record-ids&gt;&lt;item&gt;2796&lt;/item&gt;&lt;item&gt;2866&lt;/item&gt;&lt;item&gt;2963&lt;/item&gt;&lt;item&gt;3327&lt;/item&gt;&lt;item&gt;3345&lt;/item&gt;&lt;item&gt;3393&lt;/item&gt;&lt;item&gt;3619&lt;/item&gt;&lt;item&gt;4064&lt;/item&gt;&lt;item&gt;4066&lt;/item&gt;&lt;item&gt;4067&lt;/item&gt;&lt;item&gt;4069&lt;/item&gt;&lt;item&gt;4071&lt;/item&gt;&lt;item&gt;4072&lt;/item&gt;&lt;item&gt;4073&lt;/item&gt;&lt;item&gt;4074&lt;/item&gt;&lt;item&gt;4075&lt;/item&gt;&lt;item&gt;4076&lt;/item&gt;&lt;item&gt;4080&lt;/item&gt;&lt;item&gt;4081&lt;/item&gt;&lt;item&gt;4082&lt;/item&gt;&lt;item&gt;4083&lt;/item&gt;&lt;item&gt;4084&lt;/item&gt;&lt;item&gt;4085&lt;/item&gt;&lt;item&gt;4086&lt;/item&gt;&lt;item&gt;4087&lt;/item&gt;&lt;/record-ids&gt;&lt;/item&gt;&lt;/Libraries&gt;"/>
  </w:docVars>
  <w:rsids>
    <w:rsidRoot w:val="003F572D"/>
    <w:rsid w:val="000006BE"/>
    <w:rsid w:val="0000090C"/>
    <w:rsid w:val="00001405"/>
    <w:rsid w:val="00002998"/>
    <w:rsid w:val="000031F2"/>
    <w:rsid w:val="00003243"/>
    <w:rsid w:val="00003B81"/>
    <w:rsid w:val="000042DA"/>
    <w:rsid w:val="000046D5"/>
    <w:rsid w:val="000047EF"/>
    <w:rsid w:val="00004989"/>
    <w:rsid w:val="00004A0B"/>
    <w:rsid w:val="00004E18"/>
    <w:rsid w:val="00005298"/>
    <w:rsid w:val="000052BE"/>
    <w:rsid w:val="00005F5B"/>
    <w:rsid w:val="0000718B"/>
    <w:rsid w:val="0000784C"/>
    <w:rsid w:val="00007A26"/>
    <w:rsid w:val="00007E8A"/>
    <w:rsid w:val="00007E91"/>
    <w:rsid w:val="00007FE2"/>
    <w:rsid w:val="000104CE"/>
    <w:rsid w:val="000118B7"/>
    <w:rsid w:val="00011D4A"/>
    <w:rsid w:val="00012A4F"/>
    <w:rsid w:val="00012C98"/>
    <w:rsid w:val="00013EB7"/>
    <w:rsid w:val="00014200"/>
    <w:rsid w:val="0001438A"/>
    <w:rsid w:val="000145AC"/>
    <w:rsid w:val="00014965"/>
    <w:rsid w:val="0001498E"/>
    <w:rsid w:val="0001563D"/>
    <w:rsid w:val="00015AE0"/>
    <w:rsid w:val="000166CF"/>
    <w:rsid w:val="0001672D"/>
    <w:rsid w:val="00021EA7"/>
    <w:rsid w:val="0002211F"/>
    <w:rsid w:val="0002228A"/>
    <w:rsid w:val="00022452"/>
    <w:rsid w:val="000228FB"/>
    <w:rsid w:val="0002467E"/>
    <w:rsid w:val="000246BF"/>
    <w:rsid w:val="000247B6"/>
    <w:rsid w:val="00024B28"/>
    <w:rsid w:val="00024BD4"/>
    <w:rsid w:val="0002512F"/>
    <w:rsid w:val="000251E2"/>
    <w:rsid w:val="000254C8"/>
    <w:rsid w:val="00026988"/>
    <w:rsid w:val="00026F89"/>
    <w:rsid w:val="00027E29"/>
    <w:rsid w:val="0003020C"/>
    <w:rsid w:val="00031729"/>
    <w:rsid w:val="00031ABB"/>
    <w:rsid w:val="000324DD"/>
    <w:rsid w:val="0003498F"/>
    <w:rsid w:val="00034A23"/>
    <w:rsid w:val="000359B8"/>
    <w:rsid w:val="000362C7"/>
    <w:rsid w:val="000363BA"/>
    <w:rsid w:val="0003644F"/>
    <w:rsid w:val="0003759D"/>
    <w:rsid w:val="0004102C"/>
    <w:rsid w:val="00043431"/>
    <w:rsid w:val="0004368C"/>
    <w:rsid w:val="00043847"/>
    <w:rsid w:val="00043ADC"/>
    <w:rsid w:val="00044B9B"/>
    <w:rsid w:val="00044BEF"/>
    <w:rsid w:val="0004546E"/>
    <w:rsid w:val="0004563C"/>
    <w:rsid w:val="00045F16"/>
    <w:rsid w:val="00046058"/>
    <w:rsid w:val="000462FA"/>
    <w:rsid w:val="000466A3"/>
    <w:rsid w:val="00046BC0"/>
    <w:rsid w:val="00046D62"/>
    <w:rsid w:val="000473A5"/>
    <w:rsid w:val="00047BA1"/>
    <w:rsid w:val="00047E1C"/>
    <w:rsid w:val="00050C57"/>
    <w:rsid w:val="00050D98"/>
    <w:rsid w:val="00051751"/>
    <w:rsid w:val="00051797"/>
    <w:rsid w:val="00052128"/>
    <w:rsid w:val="00053536"/>
    <w:rsid w:val="00053569"/>
    <w:rsid w:val="0005399E"/>
    <w:rsid w:val="00054E92"/>
    <w:rsid w:val="000553D7"/>
    <w:rsid w:val="000556D0"/>
    <w:rsid w:val="00056934"/>
    <w:rsid w:val="00060A50"/>
    <w:rsid w:val="00061100"/>
    <w:rsid w:val="0006130E"/>
    <w:rsid w:val="00061654"/>
    <w:rsid w:val="00061E12"/>
    <w:rsid w:val="00062850"/>
    <w:rsid w:val="0006462B"/>
    <w:rsid w:val="0006487B"/>
    <w:rsid w:val="000648DE"/>
    <w:rsid w:val="000652F5"/>
    <w:rsid w:val="00066858"/>
    <w:rsid w:val="00066BE4"/>
    <w:rsid w:val="00066C7D"/>
    <w:rsid w:val="000673EC"/>
    <w:rsid w:val="00070F49"/>
    <w:rsid w:val="00071530"/>
    <w:rsid w:val="0007165C"/>
    <w:rsid w:val="00071D9A"/>
    <w:rsid w:val="00072D35"/>
    <w:rsid w:val="000741B4"/>
    <w:rsid w:val="000747EC"/>
    <w:rsid w:val="00074B3B"/>
    <w:rsid w:val="000756B8"/>
    <w:rsid w:val="000758B6"/>
    <w:rsid w:val="00076065"/>
    <w:rsid w:val="0007673D"/>
    <w:rsid w:val="000768B1"/>
    <w:rsid w:val="0007747F"/>
    <w:rsid w:val="00077653"/>
    <w:rsid w:val="00080710"/>
    <w:rsid w:val="00080AA8"/>
    <w:rsid w:val="00080F78"/>
    <w:rsid w:val="0008129F"/>
    <w:rsid w:val="00081392"/>
    <w:rsid w:val="0008141E"/>
    <w:rsid w:val="00081780"/>
    <w:rsid w:val="00081DD2"/>
    <w:rsid w:val="0008257D"/>
    <w:rsid w:val="0008270F"/>
    <w:rsid w:val="000827C2"/>
    <w:rsid w:val="00082CA9"/>
    <w:rsid w:val="00083A57"/>
    <w:rsid w:val="00084522"/>
    <w:rsid w:val="00084A1C"/>
    <w:rsid w:val="0008534B"/>
    <w:rsid w:val="000857D1"/>
    <w:rsid w:val="00086767"/>
    <w:rsid w:val="000867D5"/>
    <w:rsid w:val="0008732E"/>
    <w:rsid w:val="0009068D"/>
    <w:rsid w:val="00090924"/>
    <w:rsid w:val="00090AF0"/>
    <w:rsid w:val="00090E9A"/>
    <w:rsid w:val="00090F0C"/>
    <w:rsid w:val="00091E45"/>
    <w:rsid w:val="00092043"/>
    <w:rsid w:val="000927C6"/>
    <w:rsid w:val="0009299C"/>
    <w:rsid w:val="00093E07"/>
    <w:rsid w:val="00093F0E"/>
    <w:rsid w:val="0009467F"/>
    <w:rsid w:val="00095756"/>
    <w:rsid w:val="00096417"/>
    <w:rsid w:val="00096580"/>
    <w:rsid w:val="00097780"/>
    <w:rsid w:val="000978B4"/>
    <w:rsid w:val="000A0691"/>
    <w:rsid w:val="000A0B06"/>
    <w:rsid w:val="000A1FB1"/>
    <w:rsid w:val="000A3600"/>
    <w:rsid w:val="000A3746"/>
    <w:rsid w:val="000A3ED8"/>
    <w:rsid w:val="000A588A"/>
    <w:rsid w:val="000A5F84"/>
    <w:rsid w:val="000A5FAC"/>
    <w:rsid w:val="000A65C6"/>
    <w:rsid w:val="000A74C2"/>
    <w:rsid w:val="000B0632"/>
    <w:rsid w:val="000B0AD0"/>
    <w:rsid w:val="000B1F65"/>
    <w:rsid w:val="000B3756"/>
    <w:rsid w:val="000B3DAC"/>
    <w:rsid w:val="000B4390"/>
    <w:rsid w:val="000B551D"/>
    <w:rsid w:val="000B55D5"/>
    <w:rsid w:val="000B56AA"/>
    <w:rsid w:val="000B5AC4"/>
    <w:rsid w:val="000B6888"/>
    <w:rsid w:val="000C0C7D"/>
    <w:rsid w:val="000C0E91"/>
    <w:rsid w:val="000C19E6"/>
    <w:rsid w:val="000C1A83"/>
    <w:rsid w:val="000C24B7"/>
    <w:rsid w:val="000C30C3"/>
    <w:rsid w:val="000C310A"/>
    <w:rsid w:val="000C36D6"/>
    <w:rsid w:val="000C4A2D"/>
    <w:rsid w:val="000C4AE3"/>
    <w:rsid w:val="000C5994"/>
    <w:rsid w:val="000C5ADE"/>
    <w:rsid w:val="000C6072"/>
    <w:rsid w:val="000C653F"/>
    <w:rsid w:val="000C65BB"/>
    <w:rsid w:val="000C70C1"/>
    <w:rsid w:val="000D11EC"/>
    <w:rsid w:val="000D1ACD"/>
    <w:rsid w:val="000D1EBF"/>
    <w:rsid w:val="000D1F20"/>
    <w:rsid w:val="000D2668"/>
    <w:rsid w:val="000D3C11"/>
    <w:rsid w:val="000D4395"/>
    <w:rsid w:val="000D4AE6"/>
    <w:rsid w:val="000D4D69"/>
    <w:rsid w:val="000D62FF"/>
    <w:rsid w:val="000D67B6"/>
    <w:rsid w:val="000D6BD8"/>
    <w:rsid w:val="000D7A20"/>
    <w:rsid w:val="000D7B41"/>
    <w:rsid w:val="000E12D1"/>
    <w:rsid w:val="000E1BDC"/>
    <w:rsid w:val="000E2882"/>
    <w:rsid w:val="000E2A3E"/>
    <w:rsid w:val="000E4205"/>
    <w:rsid w:val="000E464D"/>
    <w:rsid w:val="000E515A"/>
    <w:rsid w:val="000E5C16"/>
    <w:rsid w:val="000E670B"/>
    <w:rsid w:val="000E69EC"/>
    <w:rsid w:val="000E7A7A"/>
    <w:rsid w:val="000F026A"/>
    <w:rsid w:val="000F0907"/>
    <w:rsid w:val="000F0AD3"/>
    <w:rsid w:val="000F1AAF"/>
    <w:rsid w:val="000F22E3"/>
    <w:rsid w:val="000F3004"/>
    <w:rsid w:val="000F3163"/>
    <w:rsid w:val="000F3C31"/>
    <w:rsid w:val="000F467E"/>
    <w:rsid w:val="000F55B0"/>
    <w:rsid w:val="000F6574"/>
    <w:rsid w:val="000F72AB"/>
    <w:rsid w:val="000F75B4"/>
    <w:rsid w:val="001001DB"/>
    <w:rsid w:val="0010028C"/>
    <w:rsid w:val="00100FC1"/>
    <w:rsid w:val="00100FF2"/>
    <w:rsid w:val="00102437"/>
    <w:rsid w:val="001024CC"/>
    <w:rsid w:val="001030C1"/>
    <w:rsid w:val="00103ADB"/>
    <w:rsid w:val="001040D8"/>
    <w:rsid w:val="00104601"/>
    <w:rsid w:val="0010548D"/>
    <w:rsid w:val="001058BF"/>
    <w:rsid w:val="00105C01"/>
    <w:rsid w:val="001067AC"/>
    <w:rsid w:val="00107309"/>
    <w:rsid w:val="00107373"/>
    <w:rsid w:val="001074D2"/>
    <w:rsid w:val="00107520"/>
    <w:rsid w:val="00107EFD"/>
    <w:rsid w:val="0011051D"/>
    <w:rsid w:val="00110701"/>
    <w:rsid w:val="00110972"/>
    <w:rsid w:val="00112879"/>
    <w:rsid w:val="0011295F"/>
    <w:rsid w:val="00112C10"/>
    <w:rsid w:val="00113AA4"/>
    <w:rsid w:val="00116198"/>
    <w:rsid w:val="00116748"/>
    <w:rsid w:val="00116D32"/>
    <w:rsid w:val="0011716F"/>
    <w:rsid w:val="001173A4"/>
    <w:rsid w:val="00117550"/>
    <w:rsid w:val="001177E0"/>
    <w:rsid w:val="00117C81"/>
    <w:rsid w:val="0012044C"/>
    <w:rsid w:val="001208DC"/>
    <w:rsid w:val="00120917"/>
    <w:rsid w:val="00120B48"/>
    <w:rsid w:val="001214F6"/>
    <w:rsid w:val="0012263B"/>
    <w:rsid w:val="001229B1"/>
    <w:rsid w:val="001232DA"/>
    <w:rsid w:val="0012391F"/>
    <w:rsid w:val="00124199"/>
    <w:rsid w:val="00125BC5"/>
    <w:rsid w:val="001261C8"/>
    <w:rsid w:val="00126EBF"/>
    <w:rsid w:val="00130CC5"/>
    <w:rsid w:val="00130DB9"/>
    <w:rsid w:val="00131AD2"/>
    <w:rsid w:val="00132BD3"/>
    <w:rsid w:val="00133452"/>
    <w:rsid w:val="00134A18"/>
    <w:rsid w:val="001351EE"/>
    <w:rsid w:val="00135CDB"/>
    <w:rsid w:val="001363FF"/>
    <w:rsid w:val="0013656D"/>
    <w:rsid w:val="00136793"/>
    <w:rsid w:val="00137060"/>
    <w:rsid w:val="001370CD"/>
    <w:rsid w:val="001404F9"/>
    <w:rsid w:val="00140964"/>
    <w:rsid w:val="00141511"/>
    <w:rsid w:val="00141FD1"/>
    <w:rsid w:val="00142B74"/>
    <w:rsid w:val="001433D5"/>
    <w:rsid w:val="00143966"/>
    <w:rsid w:val="001440A2"/>
    <w:rsid w:val="00145512"/>
    <w:rsid w:val="001457FB"/>
    <w:rsid w:val="00146227"/>
    <w:rsid w:val="00146269"/>
    <w:rsid w:val="00150F30"/>
    <w:rsid w:val="00152385"/>
    <w:rsid w:val="0015249B"/>
    <w:rsid w:val="00152582"/>
    <w:rsid w:val="00152A5C"/>
    <w:rsid w:val="0015361E"/>
    <w:rsid w:val="001542F5"/>
    <w:rsid w:val="001549DE"/>
    <w:rsid w:val="00154ABC"/>
    <w:rsid w:val="00154E43"/>
    <w:rsid w:val="001559B4"/>
    <w:rsid w:val="001560CE"/>
    <w:rsid w:val="0015787D"/>
    <w:rsid w:val="00157EC1"/>
    <w:rsid w:val="00160062"/>
    <w:rsid w:val="00160502"/>
    <w:rsid w:val="00160560"/>
    <w:rsid w:val="00160AE0"/>
    <w:rsid w:val="00160CCF"/>
    <w:rsid w:val="00160D4E"/>
    <w:rsid w:val="00161298"/>
    <w:rsid w:val="00161319"/>
    <w:rsid w:val="00161AD2"/>
    <w:rsid w:val="00162596"/>
    <w:rsid w:val="00162B54"/>
    <w:rsid w:val="00162CFC"/>
    <w:rsid w:val="001630BF"/>
    <w:rsid w:val="001632C8"/>
    <w:rsid w:val="001635FE"/>
    <w:rsid w:val="00163FB4"/>
    <w:rsid w:val="001646FB"/>
    <w:rsid w:val="001647EE"/>
    <w:rsid w:val="00165253"/>
    <w:rsid w:val="00165908"/>
    <w:rsid w:val="00165AD3"/>
    <w:rsid w:val="00165CAE"/>
    <w:rsid w:val="00166097"/>
    <w:rsid w:val="00167188"/>
    <w:rsid w:val="0017060A"/>
    <w:rsid w:val="001707FB"/>
    <w:rsid w:val="00171383"/>
    <w:rsid w:val="00172418"/>
    <w:rsid w:val="001729E8"/>
    <w:rsid w:val="00172AD4"/>
    <w:rsid w:val="00173C61"/>
    <w:rsid w:val="001753CA"/>
    <w:rsid w:val="00175539"/>
    <w:rsid w:val="00176B0E"/>
    <w:rsid w:val="001772D8"/>
    <w:rsid w:val="001773F2"/>
    <w:rsid w:val="001777AC"/>
    <w:rsid w:val="00180C47"/>
    <w:rsid w:val="00180E95"/>
    <w:rsid w:val="0018138D"/>
    <w:rsid w:val="00182374"/>
    <w:rsid w:val="00182427"/>
    <w:rsid w:val="0018260C"/>
    <w:rsid w:val="00183238"/>
    <w:rsid w:val="00183273"/>
    <w:rsid w:val="001837FE"/>
    <w:rsid w:val="00184237"/>
    <w:rsid w:val="0018467E"/>
    <w:rsid w:val="0018531B"/>
    <w:rsid w:val="00185A05"/>
    <w:rsid w:val="00186F0E"/>
    <w:rsid w:val="001871A6"/>
    <w:rsid w:val="00190111"/>
    <w:rsid w:val="00190C61"/>
    <w:rsid w:val="00190C7C"/>
    <w:rsid w:val="00191C3E"/>
    <w:rsid w:val="00191ED6"/>
    <w:rsid w:val="00192F3D"/>
    <w:rsid w:val="00193427"/>
    <w:rsid w:val="0019389A"/>
    <w:rsid w:val="001944F1"/>
    <w:rsid w:val="00194AE7"/>
    <w:rsid w:val="0019513A"/>
    <w:rsid w:val="001957E3"/>
    <w:rsid w:val="00195BD8"/>
    <w:rsid w:val="0019603B"/>
    <w:rsid w:val="001966E7"/>
    <w:rsid w:val="00196AAA"/>
    <w:rsid w:val="00197B1F"/>
    <w:rsid w:val="00197B3B"/>
    <w:rsid w:val="001A11EB"/>
    <w:rsid w:val="001A11F5"/>
    <w:rsid w:val="001A1C02"/>
    <w:rsid w:val="001A1F7E"/>
    <w:rsid w:val="001A3653"/>
    <w:rsid w:val="001A367F"/>
    <w:rsid w:val="001A4C1E"/>
    <w:rsid w:val="001A6C15"/>
    <w:rsid w:val="001A7C34"/>
    <w:rsid w:val="001A7DB9"/>
    <w:rsid w:val="001B10E2"/>
    <w:rsid w:val="001B2D0A"/>
    <w:rsid w:val="001B50A0"/>
    <w:rsid w:val="001B601E"/>
    <w:rsid w:val="001B7175"/>
    <w:rsid w:val="001B75EE"/>
    <w:rsid w:val="001B7B2E"/>
    <w:rsid w:val="001C0061"/>
    <w:rsid w:val="001C0B83"/>
    <w:rsid w:val="001C10D5"/>
    <w:rsid w:val="001C2D3D"/>
    <w:rsid w:val="001C3933"/>
    <w:rsid w:val="001C3A5C"/>
    <w:rsid w:val="001C42AE"/>
    <w:rsid w:val="001C4602"/>
    <w:rsid w:val="001C588D"/>
    <w:rsid w:val="001C6100"/>
    <w:rsid w:val="001D052C"/>
    <w:rsid w:val="001D1907"/>
    <w:rsid w:val="001D1B6C"/>
    <w:rsid w:val="001D1C2C"/>
    <w:rsid w:val="001D4020"/>
    <w:rsid w:val="001D45B7"/>
    <w:rsid w:val="001D4901"/>
    <w:rsid w:val="001D49C9"/>
    <w:rsid w:val="001D58B2"/>
    <w:rsid w:val="001D6896"/>
    <w:rsid w:val="001D7976"/>
    <w:rsid w:val="001E11D3"/>
    <w:rsid w:val="001E1518"/>
    <w:rsid w:val="001E1941"/>
    <w:rsid w:val="001E2033"/>
    <w:rsid w:val="001E229C"/>
    <w:rsid w:val="001E2947"/>
    <w:rsid w:val="001E2B01"/>
    <w:rsid w:val="001E2B4D"/>
    <w:rsid w:val="001E3013"/>
    <w:rsid w:val="001E379F"/>
    <w:rsid w:val="001E49A4"/>
    <w:rsid w:val="001E4ED5"/>
    <w:rsid w:val="001E651B"/>
    <w:rsid w:val="001E67FF"/>
    <w:rsid w:val="001E6F75"/>
    <w:rsid w:val="001F058A"/>
    <w:rsid w:val="001F0DB9"/>
    <w:rsid w:val="001F124C"/>
    <w:rsid w:val="001F21A7"/>
    <w:rsid w:val="001F27E6"/>
    <w:rsid w:val="001F2A55"/>
    <w:rsid w:val="001F35D3"/>
    <w:rsid w:val="001F3777"/>
    <w:rsid w:val="001F4CE1"/>
    <w:rsid w:val="001F4F7F"/>
    <w:rsid w:val="001F58F5"/>
    <w:rsid w:val="001F6163"/>
    <w:rsid w:val="001F6A3F"/>
    <w:rsid w:val="001F6FD3"/>
    <w:rsid w:val="001F72B1"/>
    <w:rsid w:val="001F7590"/>
    <w:rsid w:val="001F786A"/>
    <w:rsid w:val="00200823"/>
    <w:rsid w:val="002008EF"/>
    <w:rsid w:val="0020179A"/>
    <w:rsid w:val="00201BDF"/>
    <w:rsid w:val="002023E0"/>
    <w:rsid w:val="00202909"/>
    <w:rsid w:val="00202C0B"/>
    <w:rsid w:val="00202EE3"/>
    <w:rsid w:val="002045DA"/>
    <w:rsid w:val="00204AFC"/>
    <w:rsid w:val="00205E2C"/>
    <w:rsid w:val="00206F62"/>
    <w:rsid w:val="0020740A"/>
    <w:rsid w:val="00207FAD"/>
    <w:rsid w:val="00210569"/>
    <w:rsid w:val="0021075C"/>
    <w:rsid w:val="002109DB"/>
    <w:rsid w:val="0021152A"/>
    <w:rsid w:val="00211EAC"/>
    <w:rsid w:val="00212287"/>
    <w:rsid w:val="0021286B"/>
    <w:rsid w:val="00212C98"/>
    <w:rsid w:val="00212FCF"/>
    <w:rsid w:val="002130BE"/>
    <w:rsid w:val="00214064"/>
    <w:rsid w:val="00214826"/>
    <w:rsid w:val="00216199"/>
    <w:rsid w:val="002169E8"/>
    <w:rsid w:val="00216FB0"/>
    <w:rsid w:val="00220424"/>
    <w:rsid w:val="00220706"/>
    <w:rsid w:val="00220B36"/>
    <w:rsid w:val="0022169F"/>
    <w:rsid w:val="00221F00"/>
    <w:rsid w:val="00223FDD"/>
    <w:rsid w:val="0022432D"/>
    <w:rsid w:val="00224500"/>
    <w:rsid w:val="002245A3"/>
    <w:rsid w:val="0022691E"/>
    <w:rsid w:val="00226C31"/>
    <w:rsid w:val="0023096B"/>
    <w:rsid w:val="00230B78"/>
    <w:rsid w:val="00230BD6"/>
    <w:rsid w:val="00231D50"/>
    <w:rsid w:val="0023218C"/>
    <w:rsid w:val="00233EEA"/>
    <w:rsid w:val="00234493"/>
    <w:rsid w:val="002351BF"/>
    <w:rsid w:val="00235315"/>
    <w:rsid w:val="00235CA5"/>
    <w:rsid w:val="00235E63"/>
    <w:rsid w:val="002368B1"/>
    <w:rsid w:val="00237BA6"/>
    <w:rsid w:val="00237DFD"/>
    <w:rsid w:val="00241C5C"/>
    <w:rsid w:val="00241CDE"/>
    <w:rsid w:val="00241D9C"/>
    <w:rsid w:val="00242371"/>
    <w:rsid w:val="00242AE3"/>
    <w:rsid w:val="00242D5E"/>
    <w:rsid w:val="002430F4"/>
    <w:rsid w:val="00243273"/>
    <w:rsid w:val="0024399C"/>
    <w:rsid w:val="00245107"/>
    <w:rsid w:val="0024523A"/>
    <w:rsid w:val="002453D5"/>
    <w:rsid w:val="002471DA"/>
    <w:rsid w:val="0024720A"/>
    <w:rsid w:val="002476D6"/>
    <w:rsid w:val="00247A72"/>
    <w:rsid w:val="0025023B"/>
    <w:rsid w:val="00250A23"/>
    <w:rsid w:val="00251D4F"/>
    <w:rsid w:val="00251F0A"/>
    <w:rsid w:val="00253392"/>
    <w:rsid w:val="0025360D"/>
    <w:rsid w:val="0025417E"/>
    <w:rsid w:val="00254398"/>
    <w:rsid w:val="00254882"/>
    <w:rsid w:val="00254CDD"/>
    <w:rsid w:val="0025592B"/>
    <w:rsid w:val="00255D4D"/>
    <w:rsid w:val="00255D5A"/>
    <w:rsid w:val="0025675D"/>
    <w:rsid w:val="002569D0"/>
    <w:rsid w:val="0026003D"/>
    <w:rsid w:val="002606AA"/>
    <w:rsid w:val="00260EA8"/>
    <w:rsid w:val="0026155A"/>
    <w:rsid w:val="00262D4F"/>
    <w:rsid w:val="002639AE"/>
    <w:rsid w:val="002649B3"/>
    <w:rsid w:val="00265C0A"/>
    <w:rsid w:val="00266436"/>
    <w:rsid w:val="00267F32"/>
    <w:rsid w:val="002709AB"/>
    <w:rsid w:val="002724B5"/>
    <w:rsid w:val="00272915"/>
    <w:rsid w:val="00272FB6"/>
    <w:rsid w:val="00272FBD"/>
    <w:rsid w:val="002730FF"/>
    <w:rsid w:val="00273291"/>
    <w:rsid w:val="00273951"/>
    <w:rsid w:val="00274935"/>
    <w:rsid w:val="0027507E"/>
    <w:rsid w:val="002751E4"/>
    <w:rsid w:val="002762EF"/>
    <w:rsid w:val="00276686"/>
    <w:rsid w:val="00277E98"/>
    <w:rsid w:val="00280074"/>
    <w:rsid w:val="002808D3"/>
    <w:rsid w:val="0028154D"/>
    <w:rsid w:val="00281AA7"/>
    <w:rsid w:val="00281B41"/>
    <w:rsid w:val="0028254E"/>
    <w:rsid w:val="0028262A"/>
    <w:rsid w:val="00283582"/>
    <w:rsid w:val="00283D92"/>
    <w:rsid w:val="00284A4D"/>
    <w:rsid w:val="002857CD"/>
    <w:rsid w:val="00285835"/>
    <w:rsid w:val="00285ED8"/>
    <w:rsid w:val="0028679D"/>
    <w:rsid w:val="00286F97"/>
    <w:rsid w:val="00287BCF"/>
    <w:rsid w:val="00287FAA"/>
    <w:rsid w:val="002913A7"/>
    <w:rsid w:val="0029190D"/>
    <w:rsid w:val="002944C0"/>
    <w:rsid w:val="00294EEA"/>
    <w:rsid w:val="002958E6"/>
    <w:rsid w:val="002964DF"/>
    <w:rsid w:val="0029689D"/>
    <w:rsid w:val="0029754F"/>
    <w:rsid w:val="00297D72"/>
    <w:rsid w:val="002A0C58"/>
    <w:rsid w:val="002A1EDA"/>
    <w:rsid w:val="002A2527"/>
    <w:rsid w:val="002A29E7"/>
    <w:rsid w:val="002A3B75"/>
    <w:rsid w:val="002A4CF5"/>
    <w:rsid w:val="002A4EE6"/>
    <w:rsid w:val="002A5719"/>
    <w:rsid w:val="002A7613"/>
    <w:rsid w:val="002B3E45"/>
    <w:rsid w:val="002B41D7"/>
    <w:rsid w:val="002B41ED"/>
    <w:rsid w:val="002B5060"/>
    <w:rsid w:val="002B5241"/>
    <w:rsid w:val="002B6C50"/>
    <w:rsid w:val="002B7502"/>
    <w:rsid w:val="002B75B4"/>
    <w:rsid w:val="002C06D4"/>
    <w:rsid w:val="002C1F19"/>
    <w:rsid w:val="002C212E"/>
    <w:rsid w:val="002C2137"/>
    <w:rsid w:val="002C31D0"/>
    <w:rsid w:val="002C33E2"/>
    <w:rsid w:val="002C45E8"/>
    <w:rsid w:val="002C467A"/>
    <w:rsid w:val="002C4738"/>
    <w:rsid w:val="002C48CE"/>
    <w:rsid w:val="002C58FB"/>
    <w:rsid w:val="002C67D3"/>
    <w:rsid w:val="002C6862"/>
    <w:rsid w:val="002C7098"/>
    <w:rsid w:val="002C724A"/>
    <w:rsid w:val="002C765F"/>
    <w:rsid w:val="002D0564"/>
    <w:rsid w:val="002D0807"/>
    <w:rsid w:val="002D0D93"/>
    <w:rsid w:val="002D115A"/>
    <w:rsid w:val="002D1448"/>
    <w:rsid w:val="002D254A"/>
    <w:rsid w:val="002D2BF5"/>
    <w:rsid w:val="002D2C8B"/>
    <w:rsid w:val="002D31C3"/>
    <w:rsid w:val="002D366C"/>
    <w:rsid w:val="002D45D7"/>
    <w:rsid w:val="002D4F07"/>
    <w:rsid w:val="002D6756"/>
    <w:rsid w:val="002D6AB6"/>
    <w:rsid w:val="002D750D"/>
    <w:rsid w:val="002D789A"/>
    <w:rsid w:val="002D7CB0"/>
    <w:rsid w:val="002E06B5"/>
    <w:rsid w:val="002E0AF6"/>
    <w:rsid w:val="002E0B71"/>
    <w:rsid w:val="002E107B"/>
    <w:rsid w:val="002E1DB8"/>
    <w:rsid w:val="002E24D8"/>
    <w:rsid w:val="002E3E04"/>
    <w:rsid w:val="002E541F"/>
    <w:rsid w:val="002E6639"/>
    <w:rsid w:val="002E765B"/>
    <w:rsid w:val="002F0EBF"/>
    <w:rsid w:val="002F14F2"/>
    <w:rsid w:val="002F166C"/>
    <w:rsid w:val="002F242E"/>
    <w:rsid w:val="002F26F9"/>
    <w:rsid w:val="002F3ABD"/>
    <w:rsid w:val="002F3F26"/>
    <w:rsid w:val="002F4037"/>
    <w:rsid w:val="002F512C"/>
    <w:rsid w:val="002F53D6"/>
    <w:rsid w:val="002F632E"/>
    <w:rsid w:val="002F63E4"/>
    <w:rsid w:val="002F6B70"/>
    <w:rsid w:val="002F72E9"/>
    <w:rsid w:val="00301566"/>
    <w:rsid w:val="0030195D"/>
    <w:rsid w:val="00301C4A"/>
    <w:rsid w:val="00301DAC"/>
    <w:rsid w:val="00302E48"/>
    <w:rsid w:val="00303901"/>
    <w:rsid w:val="00306EB3"/>
    <w:rsid w:val="00307118"/>
    <w:rsid w:val="00307907"/>
    <w:rsid w:val="00307B42"/>
    <w:rsid w:val="00307DC5"/>
    <w:rsid w:val="00310079"/>
    <w:rsid w:val="003106E7"/>
    <w:rsid w:val="00310737"/>
    <w:rsid w:val="00310C18"/>
    <w:rsid w:val="0031100E"/>
    <w:rsid w:val="00312396"/>
    <w:rsid w:val="00312B9A"/>
    <w:rsid w:val="00312BD2"/>
    <w:rsid w:val="00312CB6"/>
    <w:rsid w:val="00312D1E"/>
    <w:rsid w:val="00313F6D"/>
    <w:rsid w:val="00314D19"/>
    <w:rsid w:val="00314FBD"/>
    <w:rsid w:val="0031520D"/>
    <w:rsid w:val="003153CD"/>
    <w:rsid w:val="00315D7E"/>
    <w:rsid w:val="00315FD6"/>
    <w:rsid w:val="0031611D"/>
    <w:rsid w:val="00316277"/>
    <w:rsid w:val="00317574"/>
    <w:rsid w:val="003205F7"/>
    <w:rsid w:val="003209E8"/>
    <w:rsid w:val="00321A2F"/>
    <w:rsid w:val="00322AA8"/>
    <w:rsid w:val="00322D48"/>
    <w:rsid w:val="00323577"/>
    <w:rsid w:val="0032431B"/>
    <w:rsid w:val="003244F9"/>
    <w:rsid w:val="003244FC"/>
    <w:rsid w:val="003247A5"/>
    <w:rsid w:val="00325346"/>
    <w:rsid w:val="00325D38"/>
    <w:rsid w:val="00327ABF"/>
    <w:rsid w:val="0033025B"/>
    <w:rsid w:val="0033108D"/>
    <w:rsid w:val="00331230"/>
    <w:rsid w:val="0033155D"/>
    <w:rsid w:val="00332FD4"/>
    <w:rsid w:val="00334220"/>
    <w:rsid w:val="00334773"/>
    <w:rsid w:val="00334F8B"/>
    <w:rsid w:val="00334FD4"/>
    <w:rsid w:val="00335EF8"/>
    <w:rsid w:val="00336051"/>
    <w:rsid w:val="00336169"/>
    <w:rsid w:val="00336E5B"/>
    <w:rsid w:val="0033728E"/>
    <w:rsid w:val="00337D5C"/>
    <w:rsid w:val="00337EC3"/>
    <w:rsid w:val="00340329"/>
    <w:rsid w:val="00340910"/>
    <w:rsid w:val="003427F1"/>
    <w:rsid w:val="00342DD2"/>
    <w:rsid w:val="00343A34"/>
    <w:rsid w:val="00344073"/>
    <w:rsid w:val="003445C0"/>
    <w:rsid w:val="003457DF"/>
    <w:rsid w:val="00345BCA"/>
    <w:rsid w:val="0034717A"/>
    <w:rsid w:val="003476A9"/>
    <w:rsid w:val="00347756"/>
    <w:rsid w:val="00347C4C"/>
    <w:rsid w:val="003501F1"/>
    <w:rsid w:val="00350318"/>
    <w:rsid w:val="003505A9"/>
    <w:rsid w:val="00351010"/>
    <w:rsid w:val="00351225"/>
    <w:rsid w:val="00352DFA"/>
    <w:rsid w:val="003547CC"/>
    <w:rsid w:val="0035482D"/>
    <w:rsid w:val="00354DED"/>
    <w:rsid w:val="0035621F"/>
    <w:rsid w:val="00356EF1"/>
    <w:rsid w:val="003578C6"/>
    <w:rsid w:val="00357E8B"/>
    <w:rsid w:val="00357FD4"/>
    <w:rsid w:val="003617D2"/>
    <w:rsid w:val="0036198F"/>
    <w:rsid w:val="00361DF2"/>
    <w:rsid w:val="00361E91"/>
    <w:rsid w:val="00362977"/>
    <w:rsid w:val="0036615E"/>
    <w:rsid w:val="003668F1"/>
    <w:rsid w:val="00366EA6"/>
    <w:rsid w:val="003679E2"/>
    <w:rsid w:val="00371373"/>
    <w:rsid w:val="0037152A"/>
    <w:rsid w:val="00371E59"/>
    <w:rsid w:val="003726E4"/>
    <w:rsid w:val="00372964"/>
    <w:rsid w:val="00372F4E"/>
    <w:rsid w:val="003733C0"/>
    <w:rsid w:val="00373C5D"/>
    <w:rsid w:val="00375BC2"/>
    <w:rsid w:val="00376434"/>
    <w:rsid w:val="00377B8D"/>
    <w:rsid w:val="00380EA7"/>
    <w:rsid w:val="00381DEC"/>
    <w:rsid w:val="0038264D"/>
    <w:rsid w:val="00382691"/>
    <w:rsid w:val="00382782"/>
    <w:rsid w:val="00382947"/>
    <w:rsid w:val="00382B56"/>
    <w:rsid w:val="00382C59"/>
    <w:rsid w:val="0038315C"/>
    <w:rsid w:val="00383865"/>
    <w:rsid w:val="00383AA4"/>
    <w:rsid w:val="0038441D"/>
    <w:rsid w:val="00384A7D"/>
    <w:rsid w:val="00385150"/>
    <w:rsid w:val="00385386"/>
    <w:rsid w:val="003877B1"/>
    <w:rsid w:val="00387949"/>
    <w:rsid w:val="00387F97"/>
    <w:rsid w:val="00390303"/>
    <w:rsid w:val="00390926"/>
    <w:rsid w:val="00390C30"/>
    <w:rsid w:val="0039113D"/>
    <w:rsid w:val="00391929"/>
    <w:rsid w:val="00391F06"/>
    <w:rsid w:val="003930B8"/>
    <w:rsid w:val="0039334D"/>
    <w:rsid w:val="003934EC"/>
    <w:rsid w:val="003936CE"/>
    <w:rsid w:val="003938F1"/>
    <w:rsid w:val="00393AA4"/>
    <w:rsid w:val="00394282"/>
    <w:rsid w:val="003942BD"/>
    <w:rsid w:val="003942DD"/>
    <w:rsid w:val="00394EFD"/>
    <w:rsid w:val="00394F45"/>
    <w:rsid w:val="00396580"/>
    <w:rsid w:val="00397D3A"/>
    <w:rsid w:val="003A0589"/>
    <w:rsid w:val="003A10D2"/>
    <w:rsid w:val="003A1535"/>
    <w:rsid w:val="003A17A0"/>
    <w:rsid w:val="003A1E8D"/>
    <w:rsid w:val="003A2016"/>
    <w:rsid w:val="003A312F"/>
    <w:rsid w:val="003A3258"/>
    <w:rsid w:val="003A37F4"/>
    <w:rsid w:val="003A40DE"/>
    <w:rsid w:val="003A4843"/>
    <w:rsid w:val="003A4914"/>
    <w:rsid w:val="003A4D31"/>
    <w:rsid w:val="003A62B7"/>
    <w:rsid w:val="003A64E5"/>
    <w:rsid w:val="003A64FD"/>
    <w:rsid w:val="003B0CEE"/>
    <w:rsid w:val="003B1790"/>
    <w:rsid w:val="003B35A8"/>
    <w:rsid w:val="003B3926"/>
    <w:rsid w:val="003B406F"/>
    <w:rsid w:val="003B4333"/>
    <w:rsid w:val="003B48DB"/>
    <w:rsid w:val="003B4913"/>
    <w:rsid w:val="003B49F4"/>
    <w:rsid w:val="003B54C1"/>
    <w:rsid w:val="003B5E7F"/>
    <w:rsid w:val="003B5F32"/>
    <w:rsid w:val="003B638B"/>
    <w:rsid w:val="003B6DEA"/>
    <w:rsid w:val="003B70C3"/>
    <w:rsid w:val="003B7B55"/>
    <w:rsid w:val="003C00E3"/>
    <w:rsid w:val="003C08CF"/>
    <w:rsid w:val="003C102A"/>
    <w:rsid w:val="003C111B"/>
    <w:rsid w:val="003C1491"/>
    <w:rsid w:val="003C1532"/>
    <w:rsid w:val="003C1895"/>
    <w:rsid w:val="003C1ECE"/>
    <w:rsid w:val="003C2932"/>
    <w:rsid w:val="003C43C1"/>
    <w:rsid w:val="003C45C5"/>
    <w:rsid w:val="003C49C7"/>
    <w:rsid w:val="003C4CC4"/>
    <w:rsid w:val="003C5486"/>
    <w:rsid w:val="003C6040"/>
    <w:rsid w:val="003C612B"/>
    <w:rsid w:val="003C6813"/>
    <w:rsid w:val="003C75D4"/>
    <w:rsid w:val="003C75DC"/>
    <w:rsid w:val="003C7CDC"/>
    <w:rsid w:val="003D35D4"/>
    <w:rsid w:val="003D4265"/>
    <w:rsid w:val="003D449E"/>
    <w:rsid w:val="003D44BF"/>
    <w:rsid w:val="003D4A02"/>
    <w:rsid w:val="003D59E0"/>
    <w:rsid w:val="003D5E3D"/>
    <w:rsid w:val="003D6C72"/>
    <w:rsid w:val="003D6CA5"/>
    <w:rsid w:val="003D70F5"/>
    <w:rsid w:val="003D7913"/>
    <w:rsid w:val="003D7D11"/>
    <w:rsid w:val="003E0711"/>
    <w:rsid w:val="003E0B09"/>
    <w:rsid w:val="003E10E0"/>
    <w:rsid w:val="003E1DD8"/>
    <w:rsid w:val="003E1E55"/>
    <w:rsid w:val="003E2206"/>
    <w:rsid w:val="003E309B"/>
    <w:rsid w:val="003E3CC3"/>
    <w:rsid w:val="003E41BF"/>
    <w:rsid w:val="003E4C39"/>
    <w:rsid w:val="003E52B2"/>
    <w:rsid w:val="003E5DB2"/>
    <w:rsid w:val="003E7B8B"/>
    <w:rsid w:val="003F0AB1"/>
    <w:rsid w:val="003F1D90"/>
    <w:rsid w:val="003F3279"/>
    <w:rsid w:val="003F3778"/>
    <w:rsid w:val="003F3987"/>
    <w:rsid w:val="003F3D98"/>
    <w:rsid w:val="003F498F"/>
    <w:rsid w:val="003F572D"/>
    <w:rsid w:val="003F6209"/>
    <w:rsid w:val="003F6E92"/>
    <w:rsid w:val="003F7CEB"/>
    <w:rsid w:val="00400541"/>
    <w:rsid w:val="00401443"/>
    <w:rsid w:val="00402236"/>
    <w:rsid w:val="0040240E"/>
    <w:rsid w:val="00402FD5"/>
    <w:rsid w:val="004034A3"/>
    <w:rsid w:val="004036A6"/>
    <w:rsid w:val="00403EEE"/>
    <w:rsid w:val="004045B9"/>
    <w:rsid w:val="0040673E"/>
    <w:rsid w:val="00406A32"/>
    <w:rsid w:val="00407D41"/>
    <w:rsid w:val="00411746"/>
    <w:rsid w:val="0041256C"/>
    <w:rsid w:val="00412A22"/>
    <w:rsid w:val="004132FA"/>
    <w:rsid w:val="00415BA7"/>
    <w:rsid w:val="00415FD6"/>
    <w:rsid w:val="004163F3"/>
    <w:rsid w:val="00416B92"/>
    <w:rsid w:val="00417406"/>
    <w:rsid w:val="00417DE3"/>
    <w:rsid w:val="00417E43"/>
    <w:rsid w:val="0042026E"/>
    <w:rsid w:val="00420280"/>
    <w:rsid w:val="0042050D"/>
    <w:rsid w:val="00420978"/>
    <w:rsid w:val="00420CA0"/>
    <w:rsid w:val="0042162A"/>
    <w:rsid w:val="004221F3"/>
    <w:rsid w:val="00422654"/>
    <w:rsid w:val="004226D8"/>
    <w:rsid w:val="00423B03"/>
    <w:rsid w:val="004250A9"/>
    <w:rsid w:val="00425967"/>
    <w:rsid w:val="004269D7"/>
    <w:rsid w:val="004270E9"/>
    <w:rsid w:val="0042728E"/>
    <w:rsid w:val="00427B2A"/>
    <w:rsid w:val="004303C4"/>
    <w:rsid w:val="004309D1"/>
    <w:rsid w:val="00430A30"/>
    <w:rsid w:val="00432191"/>
    <w:rsid w:val="0043240C"/>
    <w:rsid w:val="004340C4"/>
    <w:rsid w:val="004342BC"/>
    <w:rsid w:val="004345D0"/>
    <w:rsid w:val="0043488E"/>
    <w:rsid w:val="004355AB"/>
    <w:rsid w:val="00436443"/>
    <w:rsid w:val="00436A58"/>
    <w:rsid w:val="00436C82"/>
    <w:rsid w:val="00436C94"/>
    <w:rsid w:val="00437FF7"/>
    <w:rsid w:val="00440208"/>
    <w:rsid w:val="004412AB"/>
    <w:rsid w:val="00441328"/>
    <w:rsid w:val="00441D94"/>
    <w:rsid w:val="00441FB8"/>
    <w:rsid w:val="004420D6"/>
    <w:rsid w:val="00442D09"/>
    <w:rsid w:val="00443499"/>
    <w:rsid w:val="00443961"/>
    <w:rsid w:val="00445A72"/>
    <w:rsid w:val="00445E00"/>
    <w:rsid w:val="00446931"/>
    <w:rsid w:val="004469A6"/>
    <w:rsid w:val="004474D4"/>
    <w:rsid w:val="0045082B"/>
    <w:rsid w:val="00450CEB"/>
    <w:rsid w:val="004511D2"/>
    <w:rsid w:val="004515C7"/>
    <w:rsid w:val="004519BE"/>
    <w:rsid w:val="00452101"/>
    <w:rsid w:val="00452971"/>
    <w:rsid w:val="004533A5"/>
    <w:rsid w:val="004555B7"/>
    <w:rsid w:val="00455F9F"/>
    <w:rsid w:val="0045726A"/>
    <w:rsid w:val="004574FD"/>
    <w:rsid w:val="00457917"/>
    <w:rsid w:val="004605BA"/>
    <w:rsid w:val="0046083C"/>
    <w:rsid w:val="00460A36"/>
    <w:rsid w:val="0046135B"/>
    <w:rsid w:val="004614FE"/>
    <w:rsid w:val="00461A0A"/>
    <w:rsid w:val="00461CB5"/>
    <w:rsid w:val="004626DC"/>
    <w:rsid w:val="00462F15"/>
    <w:rsid w:val="00463459"/>
    <w:rsid w:val="004635C7"/>
    <w:rsid w:val="00464829"/>
    <w:rsid w:val="00465883"/>
    <w:rsid w:val="0046616B"/>
    <w:rsid w:val="004661DD"/>
    <w:rsid w:val="004664A0"/>
    <w:rsid w:val="004664E5"/>
    <w:rsid w:val="00466772"/>
    <w:rsid w:val="00467E8B"/>
    <w:rsid w:val="004717AE"/>
    <w:rsid w:val="004726BA"/>
    <w:rsid w:val="0047333C"/>
    <w:rsid w:val="004756EE"/>
    <w:rsid w:val="0047622E"/>
    <w:rsid w:val="00476C05"/>
    <w:rsid w:val="00476FE0"/>
    <w:rsid w:val="004775CC"/>
    <w:rsid w:val="00480452"/>
    <w:rsid w:val="00482CDE"/>
    <w:rsid w:val="00483272"/>
    <w:rsid w:val="004833B2"/>
    <w:rsid w:val="004833F3"/>
    <w:rsid w:val="0048359F"/>
    <w:rsid w:val="004837F4"/>
    <w:rsid w:val="00483CC9"/>
    <w:rsid w:val="00484636"/>
    <w:rsid w:val="00484A4A"/>
    <w:rsid w:val="00485DB4"/>
    <w:rsid w:val="00486009"/>
    <w:rsid w:val="0048636B"/>
    <w:rsid w:val="0048731E"/>
    <w:rsid w:val="004876DE"/>
    <w:rsid w:val="00487C12"/>
    <w:rsid w:val="00487D8F"/>
    <w:rsid w:val="004902C3"/>
    <w:rsid w:val="00491134"/>
    <w:rsid w:val="004913BD"/>
    <w:rsid w:val="00493510"/>
    <w:rsid w:val="004941DF"/>
    <w:rsid w:val="004941EF"/>
    <w:rsid w:val="0049437E"/>
    <w:rsid w:val="004947E7"/>
    <w:rsid w:val="00494968"/>
    <w:rsid w:val="004950A6"/>
    <w:rsid w:val="00495EAD"/>
    <w:rsid w:val="0049673A"/>
    <w:rsid w:val="00496FEC"/>
    <w:rsid w:val="00497363"/>
    <w:rsid w:val="00497894"/>
    <w:rsid w:val="004A0834"/>
    <w:rsid w:val="004A1C3B"/>
    <w:rsid w:val="004A2056"/>
    <w:rsid w:val="004A239F"/>
    <w:rsid w:val="004A252F"/>
    <w:rsid w:val="004A28CF"/>
    <w:rsid w:val="004A2C46"/>
    <w:rsid w:val="004A4235"/>
    <w:rsid w:val="004A5F16"/>
    <w:rsid w:val="004A632F"/>
    <w:rsid w:val="004A7451"/>
    <w:rsid w:val="004A7679"/>
    <w:rsid w:val="004B00BD"/>
    <w:rsid w:val="004B088F"/>
    <w:rsid w:val="004B1454"/>
    <w:rsid w:val="004B14F3"/>
    <w:rsid w:val="004B1504"/>
    <w:rsid w:val="004B208C"/>
    <w:rsid w:val="004B2385"/>
    <w:rsid w:val="004B2FEE"/>
    <w:rsid w:val="004B32EA"/>
    <w:rsid w:val="004B356D"/>
    <w:rsid w:val="004B3B2C"/>
    <w:rsid w:val="004B41D1"/>
    <w:rsid w:val="004B4687"/>
    <w:rsid w:val="004B46CC"/>
    <w:rsid w:val="004B4844"/>
    <w:rsid w:val="004B4F9B"/>
    <w:rsid w:val="004B51BE"/>
    <w:rsid w:val="004B5C5A"/>
    <w:rsid w:val="004B688C"/>
    <w:rsid w:val="004B73B0"/>
    <w:rsid w:val="004B7496"/>
    <w:rsid w:val="004B74D7"/>
    <w:rsid w:val="004B7AFD"/>
    <w:rsid w:val="004C00AD"/>
    <w:rsid w:val="004C0533"/>
    <w:rsid w:val="004C0D11"/>
    <w:rsid w:val="004C12A3"/>
    <w:rsid w:val="004C1AF0"/>
    <w:rsid w:val="004C1E7E"/>
    <w:rsid w:val="004C21D7"/>
    <w:rsid w:val="004C2BD2"/>
    <w:rsid w:val="004C3152"/>
    <w:rsid w:val="004C353C"/>
    <w:rsid w:val="004C3CEC"/>
    <w:rsid w:val="004C420F"/>
    <w:rsid w:val="004C5871"/>
    <w:rsid w:val="004C6DC4"/>
    <w:rsid w:val="004C7159"/>
    <w:rsid w:val="004C7210"/>
    <w:rsid w:val="004C7EAA"/>
    <w:rsid w:val="004D0D11"/>
    <w:rsid w:val="004D1187"/>
    <w:rsid w:val="004D1727"/>
    <w:rsid w:val="004D1899"/>
    <w:rsid w:val="004D1D4E"/>
    <w:rsid w:val="004D28C6"/>
    <w:rsid w:val="004D4D5C"/>
    <w:rsid w:val="004D5172"/>
    <w:rsid w:val="004D5D8A"/>
    <w:rsid w:val="004D65CF"/>
    <w:rsid w:val="004D665B"/>
    <w:rsid w:val="004D7190"/>
    <w:rsid w:val="004D72CF"/>
    <w:rsid w:val="004D7532"/>
    <w:rsid w:val="004D7FAD"/>
    <w:rsid w:val="004E0355"/>
    <w:rsid w:val="004E0D73"/>
    <w:rsid w:val="004E1507"/>
    <w:rsid w:val="004E34A7"/>
    <w:rsid w:val="004E4452"/>
    <w:rsid w:val="004E4F32"/>
    <w:rsid w:val="004E5005"/>
    <w:rsid w:val="004E5E2D"/>
    <w:rsid w:val="004E6788"/>
    <w:rsid w:val="004E6A29"/>
    <w:rsid w:val="004E6ED8"/>
    <w:rsid w:val="004E7159"/>
    <w:rsid w:val="004E78E6"/>
    <w:rsid w:val="004F0151"/>
    <w:rsid w:val="004F0420"/>
    <w:rsid w:val="004F0EF2"/>
    <w:rsid w:val="004F11AB"/>
    <w:rsid w:val="004F16FA"/>
    <w:rsid w:val="004F17CB"/>
    <w:rsid w:val="004F2277"/>
    <w:rsid w:val="004F255F"/>
    <w:rsid w:val="004F256E"/>
    <w:rsid w:val="004F2DDF"/>
    <w:rsid w:val="004F35E7"/>
    <w:rsid w:val="004F38E5"/>
    <w:rsid w:val="004F3AD6"/>
    <w:rsid w:val="004F4398"/>
    <w:rsid w:val="004F4D13"/>
    <w:rsid w:val="004F4D81"/>
    <w:rsid w:val="004F58AE"/>
    <w:rsid w:val="004F6055"/>
    <w:rsid w:val="004F70BC"/>
    <w:rsid w:val="004F70C8"/>
    <w:rsid w:val="004F7F6C"/>
    <w:rsid w:val="00500233"/>
    <w:rsid w:val="00500A8D"/>
    <w:rsid w:val="00501FA0"/>
    <w:rsid w:val="0050217A"/>
    <w:rsid w:val="005021B9"/>
    <w:rsid w:val="00502505"/>
    <w:rsid w:val="00503125"/>
    <w:rsid w:val="005031D0"/>
    <w:rsid w:val="00503722"/>
    <w:rsid w:val="0050404A"/>
    <w:rsid w:val="00507A6B"/>
    <w:rsid w:val="00507CBB"/>
    <w:rsid w:val="00507FEE"/>
    <w:rsid w:val="00510692"/>
    <w:rsid w:val="00511720"/>
    <w:rsid w:val="005132ED"/>
    <w:rsid w:val="00514149"/>
    <w:rsid w:val="00515595"/>
    <w:rsid w:val="00515733"/>
    <w:rsid w:val="00515B61"/>
    <w:rsid w:val="0051605D"/>
    <w:rsid w:val="00516BA3"/>
    <w:rsid w:val="005171B0"/>
    <w:rsid w:val="00517771"/>
    <w:rsid w:val="005178D6"/>
    <w:rsid w:val="0052033C"/>
    <w:rsid w:val="00522502"/>
    <w:rsid w:val="00522793"/>
    <w:rsid w:val="00523379"/>
    <w:rsid w:val="005240BF"/>
    <w:rsid w:val="00524DE3"/>
    <w:rsid w:val="00525818"/>
    <w:rsid w:val="00525946"/>
    <w:rsid w:val="005260DD"/>
    <w:rsid w:val="00526F9F"/>
    <w:rsid w:val="005317A4"/>
    <w:rsid w:val="00531AC7"/>
    <w:rsid w:val="00531FCC"/>
    <w:rsid w:val="0053339E"/>
    <w:rsid w:val="005334CC"/>
    <w:rsid w:val="00533C5D"/>
    <w:rsid w:val="00535A97"/>
    <w:rsid w:val="00536D99"/>
    <w:rsid w:val="00537BB3"/>
    <w:rsid w:val="00537D23"/>
    <w:rsid w:val="00537E4C"/>
    <w:rsid w:val="00540665"/>
    <w:rsid w:val="0054119D"/>
    <w:rsid w:val="00541BC9"/>
    <w:rsid w:val="00541FE3"/>
    <w:rsid w:val="005430D4"/>
    <w:rsid w:val="00543E35"/>
    <w:rsid w:val="00543EF4"/>
    <w:rsid w:val="00544900"/>
    <w:rsid w:val="00544B1E"/>
    <w:rsid w:val="00547127"/>
    <w:rsid w:val="00547F1B"/>
    <w:rsid w:val="00547F6C"/>
    <w:rsid w:val="00550F44"/>
    <w:rsid w:val="00551271"/>
    <w:rsid w:val="0055234E"/>
    <w:rsid w:val="0055261F"/>
    <w:rsid w:val="005534F3"/>
    <w:rsid w:val="005535DB"/>
    <w:rsid w:val="00553F56"/>
    <w:rsid w:val="005542AC"/>
    <w:rsid w:val="005549F5"/>
    <w:rsid w:val="00555177"/>
    <w:rsid w:val="0055522A"/>
    <w:rsid w:val="00555D56"/>
    <w:rsid w:val="00555EAF"/>
    <w:rsid w:val="00556923"/>
    <w:rsid w:val="00556983"/>
    <w:rsid w:val="00556C83"/>
    <w:rsid w:val="005578B0"/>
    <w:rsid w:val="00557CD9"/>
    <w:rsid w:val="00561098"/>
    <w:rsid w:val="005632F5"/>
    <w:rsid w:val="005636C7"/>
    <w:rsid w:val="00563789"/>
    <w:rsid w:val="005646A5"/>
    <w:rsid w:val="0056498C"/>
    <w:rsid w:val="00564A2F"/>
    <w:rsid w:val="00565E8B"/>
    <w:rsid w:val="00566B15"/>
    <w:rsid w:val="00566E77"/>
    <w:rsid w:val="00566F3F"/>
    <w:rsid w:val="005671F8"/>
    <w:rsid w:val="00567BB4"/>
    <w:rsid w:val="005703B4"/>
    <w:rsid w:val="00570A19"/>
    <w:rsid w:val="00571262"/>
    <w:rsid w:val="00572069"/>
    <w:rsid w:val="00572491"/>
    <w:rsid w:val="005738AB"/>
    <w:rsid w:val="00573D40"/>
    <w:rsid w:val="00574BFA"/>
    <w:rsid w:val="0057539A"/>
    <w:rsid w:val="0057583A"/>
    <w:rsid w:val="00576E93"/>
    <w:rsid w:val="00576F9E"/>
    <w:rsid w:val="005776BC"/>
    <w:rsid w:val="005778A4"/>
    <w:rsid w:val="00577AB0"/>
    <w:rsid w:val="005802D5"/>
    <w:rsid w:val="00580B24"/>
    <w:rsid w:val="00581490"/>
    <w:rsid w:val="005815E5"/>
    <w:rsid w:val="00581697"/>
    <w:rsid w:val="00582505"/>
    <w:rsid w:val="00582D82"/>
    <w:rsid w:val="00583F69"/>
    <w:rsid w:val="005849FE"/>
    <w:rsid w:val="005852CD"/>
    <w:rsid w:val="0058567B"/>
    <w:rsid w:val="00585A59"/>
    <w:rsid w:val="00585E84"/>
    <w:rsid w:val="00586525"/>
    <w:rsid w:val="005866C1"/>
    <w:rsid w:val="00587CC9"/>
    <w:rsid w:val="005906E1"/>
    <w:rsid w:val="00591AD0"/>
    <w:rsid w:val="005927C9"/>
    <w:rsid w:val="0059298E"/>
    <w:rsid w:val="005938B1"/>
    <w:rsid w:val="0059397F"/>
    <w:rsid w:val="00593FE6"/>
    <w:rsid w:val="00594561"/>
    <w:rsid w:val="0059484E"/>
    <w:rsid w:val="00594B62"/>
    <w:rsid w:val="0059531A"/>
    <w:rsid w:val="00596839"/>
    <w:rsid w:val="00596F5B"/>
    <w:rsid w:val="00597402"/>
    <w:rsid w:val="005979A4"/>
    <w:rsid w:val="005A18F0"/>
    <w:rsid w:val="005A1DFC"/>
    <w:rsid w:val="005A258F"/>
    <w:rsid w:val="005A3611"/>
    <w:rsid w:val="005A364F"/>
    <w:rsid w:val="005A38AE"/>
    <w:rsid w:val="005A4282"/>
    <w:rsid w:val="005A43F2"/>
    <w:rsid w:val="005A4EF6"/>
    <w:rsid w:val="005A6241"/>
    <w:rsid w:val="005A66E4"/>
    <w:rsid w:val="005A6EBF"/>
    <w:rsid w:val="005A6EC6"/>
    <w:rsid w:val="005A6F9A"/>
    <w:rsid w:val="005A7A09"/>
    <w:rsid w:val="005B00E3"/>
    <w:rsid w:val="005B03DD"/>
    <w:rsid w:val="005B0BA6"/>
    <w:rsid w:val="005B0F64"/>
    <w:rsid w:val="005B22E6"/>
    <w:rsid w:val="005B2755"/>
    <w:rsid w:val="005B289A"/>
    <w:rsid w:val="005B3062"/>
    <w:rsid w:val="005B33CC"/>
    <w:rsid w:val="005B360F"/>
    <w:rsid w:val="005B3701"/>
    <w:rsid w:val="005B376A"/>
    <w:rsid w:val="005B3DDA"/>
    <w:rsid w:val="005B4AFD"/>
    <w:rsid w:val="005B4D6E"/>
    <w:rsid w:val="005B511E"/>
    <w:rsid w:val="005B686C"/>
    <w:rsid w:val="005B7CAC"/>
    <w:rsid w:val="005C007A"/>
    <w:rsid w:val="005C220D"/>
    <w:rsid w:val="005C2E35"/>
    <w:rsid w:val="005C353C"/>
    <w:rsid w:val="005C41C8"/>
    <w:rsid w:val="005C47DA"/>
    <w:rsid w:val="005C47F8"/>
    <w:rsid w:val="005C4BC9"/>
    <w:rsid w:val="005C52B4"/>
    <w:rsid w:val="005C61CF"/>
    <w:rsid w:val="005C6E57"/>
    <w:rsid w:val="005D08B7"/>
    <w:rsid w:val="005D0F90"/>
    <w:rsid w:val="005D1064"/>
    <w:rsid w:val="005D2C09"/>
    <w:rsid w:val="005D4DA2"/>
    <w:rsid w:val="005D5714"/>
    <w:rsid w:val="005D68A1"/>
    <w:rsid w:val="005D7A8A"/>
    <w:rsid w:val="005E0031"/>
    <w:rsid w:val="005E00F3"/>
    <w:rsid w:val="005E10CD"/>
    <w:rsid w:val="005E1215"/>
    <w:rsid w:val="005E156F"/>
    <w:rsid w:val="005E18AF"/>
    <w:rsid w:val="005E20D9"/>
    <w:rsid w:val="005E2DC6"/>
    <w:rsid w:val="005E3106"/>
    <w:rsid w:val="005E3EE9"/>
    <w:rsid w:val="005E3FCB"/>
    <w:rsid w:val="005E4400"/>
    <w:rsid w:val="005E5909"/>
    <w:rsid w:val="005E5DE5"/>
    <w:rsid w:val="005E666A"/>
    <w:rsid w:val="005F0A3B"/>
    <w:rsid w:val="005F0A7D"/>
    <w:rsid w:val="005F1032"/>
    <w:rsid w:val="005F1BFE"/>
    <w:rsid w:val="005F22E3"/>
    <w:rsid w:val="005F33B4"/>
    <w:rsid w:val="005F358E"/>
    <w:rsid w:val="005F3F7C"/>
    <w:rsid w:val="005F4EB7"/>
    <w:rsid w:val="005F6D6F"/>
    <w:rsid w:val="005F77E1"/>
    <w:rsid w:val="005F7855"/>
    <w:rsid w:val="00600AD6"/>
    <w:rsid w:val="00601992"/>
    <w:rsid w:val="0060211F"/>
    <w:rsid w:val="00604514"/>
    <w:rsid w:val="00604920"/>
    <w:rsid w:val="006064CA"/>
    <w:rsid w:val="00606E61"/>
    <w:rsid w:val="00607BEB"/>
    <w:rsid w:val="00610298"/>
    <w:rsid w:val="00610B44"/>
    <w:rsid w:val="00610BF8"/>
    <w:rsid w:val="00611055"/>
    <w:rsid w:val="00611890"/>
    <w:rsid w:val="00611D0D"/>
    <w:rsid w:val="00612118"/>
    <w:rsid w:val="00612B67"/>
    <w:rsid w:val="00613F38"/>
    <w:rsid w:val="00615689"/>
    <w:rsid w:val="00617C96"/>
    <w:rsid w:val="0062015C"/>
    <w:rsid w:val="0062040B"/>
    <w:rsid w:val="0062109A"/>
    <w:rsid w:val="00621939"/>
    <w:rsid w:val="006228AB"/>
    <w:rsid w:val="00622A15"/>
    <w:rsid w:val="006230BC"/>
    <w:rsid w:val="00623774"/>
    <w:rsid w:val="00623AEA"/>
    <w:rsid w:val="00623F1B"/>
    <w:rsid w:val="00624307"/>
    <w:rsid w:val="00624778"/>
    <w:rsid w:val="00624DFC"/>
    <w:rsid w:val="00624E74"/>
    <w:rsid w:val="00625A4A"/>
    <w:rsid w:val="006260E8"/>
    <w:rsid w:val="00630CCC"/>
    <w:rsid w:val="00630FB7"/>
    <w:rsid w:val="0063238B"/>
    <w:rsid w:val="006329D5"/>
    <w:rsid w:val="00632E11"/>
    <w:rsid w:val="0063441B"/>
    <w:rsid w:val="0063442A"/>
    <w:rsid w:val="00634575"/>
    <w:rsid w:val="006349DC"/>
    <w:rsid w:val="00634C0A"/>
    <w:rsid w:val="006358C5"/>
    <w:rsid w:val="00635C21"/>
    <w:rsid w:val="00636D59"/>
    <w:rsid w:val="00636EC5"/>
    <w:rsid w:val="00637C9D"/>
    <w:rsid w:val="00640A81"/>
    <w:rsid w:val="00640B81"/>
    <w:rsid w:val="00642811"/>
    <w:rsid w:val="00643CC3"/>
    <w:rsid w:val="0064462E"/>
    <w:rsid w:val="00644B47"/>
    <w:rsid w:val="00644EB6"/>
    <w:rsid w:val="006474C9"/>
    <w:rsid w:val="0064768E"/>
    <w:rsid w:val="00647942"/>
    <w:rsid w:val="00650007"/>
    <w:rsid w:val="00650CD3"/>
    <w:rsid w:val="00650E54"/>
    <w:rsid w:val="00651064"/>
    <w:rsid w:val="00651BF3"/>
    <w:rsid w:val="00652065"/>
    <w:rsid w:val="006521BA"/>
    <w:rsid w:val="006540AD"/>
    <w:rsid w:val="006540ED"/>
    <w:rsid w:val="00654327"/>
    <w:rsid w:val="00654B24"/>
    <w:rsid w:val="00654DF1"/>
    <w:rsid w:val="006554D8"/>
    <w:rsid w:val="006556DD"/>
    <w:rsid w:val="006569D3"/>
    <w:rsid w:val="00656ED3"/>
    <w:rsid w:val="00657331"/>
    <w:rsid w:val="0066135E"/>
    <w:rsid w:val="00662428"/>
    <w:rsid w:val="006628A0"/>
    <w:rsid w:val="006629FE"/>
    <w:rsid w:val="006636FB"/>
    <w:rsid w:val="00663CF0"/>
    <w:rsid w:val="00663DC1"/>
    <w:rsid w:val="00663E00"/>
    <w:rsid w:val="00664045"/>
    <w:rsid w:val="00664063"/>
    <w:rsid w:val="00664599"/>
    <w:rsid w:val="00664921"/>
    <w:rsid w:val="00664C4F"/>
    <w:rsid w:val="00665431"/>
    <w:rsid w:val="00666453"/>
    <w:rsid w:val="00666FF7"/>
    <w:rsid w:val="0066724E"/>
    <w:rsid w:val="00667550"/>
    <w:rsid w:val="006678D6"/>
    <w:rsid w:val="00667BBA"/>
    <w:rsid w:val="00670271"/>
    <w:rsid w:val="006709D3"/>
    <w:rsid w:val="00670B25"/>
    <w:rsid w:val="0067246E"/>
    <w:rsid w:val="00672E9A"/>
    <w:rsid w:val="00672F4D"/>
    <w:rsid w:val="00673421"/>
    <w:rsid w:val="006746E5"/>
    <w:rsid w:val="006754D7"/>
    <w:rsid w:val="006757EF"/>
    <w:rsid w:val="00675877"/>
    <w:rsid w:val="00675B2D"/>
    <w:rsid w:val="00676D83"/>
    <w:rsid w:val="00677C60"/>
    <w:rsid w:val="00680519"/>
    <w:rsid w:val="00680E74"/>
    <w:rsid w:val="00680F9C"/>
    <w:rsid w:val="006814A3"/>
    <w:rsid w:val="00682446"/>
    <w:rsid w:val="006829BA"/>
    <w:rsid w:val="00682CFD"/>
    <w:rsid w:val="006841FE"/>
    <w:rsid w:val="00685A03"/>
    <w:rsid w:val="00685AD1"/>
    <w:rsid w:val="006861B1"/>
    <w:rsid w:val="006863AB"/>
    <w:rsid w:val="006865E4"/>
    <w:rsid w:val="006910DB"/>
    <w:rsid w:val="0069169D"/>
    <w:rsid w:val="006918DF"/>
    <w:rsid w:val="00693B0D"/>
    <w:rsid w:val="00693DD7"/>
    <w:rsid w:val="0069499F"/>
    <w:rsid w:val="00694A20"/>
    <w:rsid w:val="00695517"/>
    <w:rsid w:val="00695845"/>
    <w:rsid w:val="006959CB"/>
    <w:rsid w:val="00695CA4"/>
    <w:rsid w:val="00695D6C"/>
    <w:rsid w:val="00695DED"/>
    <w:rsid w:val="00695E99"/>
    <w:rsid w:val="0069759D"/>
    <w:rsid w:val="00697D84"/>
    <w:rsid w:val="006A1FF2"/>
    <w:rsid w:val="006A3262"/>
    <w:rsid w:val="006A3645"/>
    <w:rsid w:val="006A4F43"/>
    <w:rsid w:val="006A53B7"/>
    <w:rsid w:val="006A5B7C"/>
    <w:rsid w:val="006A6EE8"/>
    <w:rsid w:val="006B06BB"/>
    <w:rsid w:val="006B07DA"/>
    <w:rsid w:val="006B1364"/>
    <w:rsid w:val="006B1789"/>
    <w:rsid w:val="006B1895"/>
    <w:rsid w:val="006B29A8"/>
    <w:rsid w:val="006B348F"/>
    <w:rsid w:val="006B4510"/>
    <w:rsid w:val="006B4719"/>
    <w:rsid w:val="006B4BE7"/>
    <w:rsid w:val="006B4C75"/>
    <w:rsid w:val="006B54C1"/>
    <w:rsid w:val="006B7168"/>
    <w:rsid w:val="006B7F11"/>
    <w:rsid w:val="006C1100"/>
    <w:rsid w:val="006C119F"/>
    <w:rsid w:val="006C1AB1"/>
    <w:rsid w:val="006C1BBB"/>
    <w:rsid w:val="006C333B"/>
    <w:rsid w:val="006C41BB"/>
    <w:rsid w:val="006C6A88"/>
    <w:rsid w:val="006C7160"/>
    <w:rsid w:val="006C73D4"/>
    <w:rsid w:val="006C78E5"/>
    <w:rsid w:val="006D0C11"/>
    <w:rsid w:val="006D124F"/>
    <w:rsid w:val="006D17AE"/>
    <w:rsid w:val="006D1AD1"/>
    <w:rsid w:val="006D2A99"/>
    <w:rsid w:val="006D302C"/>
    <w:rsid w:val="006D3984"/>
    <w:rsid w:val="006D418C"/>
    <w:rsid w:val="006D4721"/>
    <w:rsid w:val="006D561E"/>
    <w:rsid w:val="006D6759"/>
    <w:rsid w:val="006D7C90"/>
    <w:rsid w:val="006E01A1"/>
    <w:rsid w:val="006E04E2"/>
    <w:rsid w:val="006E0681"/>
    <w:rsid w:val="006E1113"/>
    <w:rsid w:val="006E134A"/>
    <w:rsid w:val="006E1941"/>
    <w:rsid w:val="006E1BDA"/>
    <w:rsid w:val="006E2647"/>
    <w:rsid w:val="006E2A6A"/>
    <w:rsid w:val="006E2C5E"/>
    <w:rsid w:val="006E2FAE"/>
    <w:rsid w:val="006E3BBC"/>
    <w:rsid w:val="006E5076"/>
    <w:rsid w:val="006E55DC"/>
    <w:rsid w:val="006E6198"/>
    <w:rsid w:val="006E64B0"/>
    <w:rsid w:val="006F00D9"/>
    <w:rsid w:val="006F0669"/>
    <w:rsid w:val="006F0CE2"/>
    <w:rsid w:val="006F1162"/>
    <w:rsid w:val="006F13BE"/>
    <w:rsid w:val="006F1A28"/>
    <w:rsid w:val="006F317E"/>
    <w:rsid w:val="006F3385"/>
    <w:rsid w:val="006F5423"/>
    <w:rsid w:val="006F55ED"/>
    <w:rsid w:val="006F5A01"/>
    <w:rsid w:val="006F5D6F"/>
    <w:rsid w:val="006F5F9F"/>
    <w:rsid w:val="006F7857"/>
    <w:rsid w:val="006F7865"/>
    <w:rsid w:val="007006AC"/>
    <w:rsid w:val="00700B03"/>
    <w:rsid w:val="007010D1"/>
    <w:rsid w:val="00701505"/>
    <w:rsid w:val="00702669"/>
    <w:rsid w:val="007035CF"/>
    <w:rsid w:val="007037A8"/>
    <w:rsid w:val="00703FB1"/>
    <w:rsid w:val="0070462B"/>
    <w:rsid w:val="0070462C"/>
    <w:rsid w:val="007051B6"/>
    <w:rsid w:val="0070562A"/>
    <w:rsid w:val="00706057"/>
    <w:rsid w:val="007066F4"/>
    <w:rsid w:val="00706D05"/>
    <w:rsid w:val="0070718E"/>
    <w:rsid w:val="0071052F"/>
    <w:rsid w:val="0071104F"/>
    <w:rsid w:val="007114F0"/>
    <w:rsid w:val="00711AEA"/>
    <w:rsid w:val="00711D92"/>
    <w:rsid w:val="00711DE1"/>
    <w:rsid w:val="007125F0"/>
    <w:rsid w:val="00712698"/>
    <w:rsid w:val="007133C8"/>
    <w:rsid w:val="007153CD"/>
    <w:rsid w:val="007154E3"/>
    <w:rsid w:val="007168F4"/>
    <w:rsid w:val="007172B2"/>
    <w:rsid w:val="00717AF0"/>
    <w:rsid w:val="00720D96"/>
    <w:rsid w:val="00720EFD"/>
    <w:rsid w:val="0072274F"/>
    <w:rsid w:val="00722F87"/>
    <w:rsid w:val="00723B7F"/>
    <w:rsid w:val="00724235"/>
    <w:rsid w:val="00724FBF"/>
    <w:rsid w:val="007250A8"/>
    <w:rsid w:val="00726C33"/>
    <w:rsid w:val="00726E5E"/>
    <w:rsid w:val="00726F0A"/>
    <w:rsid w:val="007271A0"/>
    <w:rsid w:val="00727479"/>
    <w:rsid w:val="00727E7C"/>
    <w:rsid w:val="0073037B"/>
    <w:rsid w:val="00730F85"/>
    <w:rsid w:val="00731331"/>
    <w:rsid w:val="00731A64"/>
    <w:rsid w:val="00732390"/>
    <w:rsid w:val="0073298F"/>
    <w:rsid w:val="0073316F"/>
    <w:rsid w:val="007335E1"/>
    <w:rsid w:val="00733843"/>
    <w:rsid w:val="00734791"/>
    <w:rsid w:val="0073524A"/>
    <w:rsid w:val="0073700C"/>
    <w:rsid w:val="00737253"/>
    <w:rsid w:val="00737332"/>
    <w:rsid w:val="00737684"/>
    <w:rsid w:val="00740044"/>
    <w:rsid w:val="00740CE5"/>
    <w:rsid w:val="00740D90"/>
    <w:rsid w:val="007415F9"/>
    <w:rsid w:val="00741FC6"/>
    <w:rsid w:val="00741FFE"/>
    <w:rsid w:val="007421EF"/>
    <w:rsid w:val="00742701"/>
    <w:rsid w:val="0074360B"/>
    <w:rsid w:val="00743D02"/>
    <w:rsid w:val="00743ECE"/>
    <w:rsid w:val="00743FE3"/>
    <w:rsid w:val="007445B3"/>
    <w:rsid w:val="00745EBF"/>
    <w:rsid w:val="0075033F"/>
    <w:rsid w:val="00750549"/>
    <w:rsid w:val="00750600"/>
    <w:rsid w:val="00752159"/>
    <w:rsid w:val="007521B1"/>
    <w:rsid w:val="0075331A"/>
    <w:rsid w:val="0075425E"/>
    <w:rsid w:val="007547BC"/>
    <w:rsid w:val="00754A2D"/>
    <w:rsid w:val="00754A9E"/>
    <w:rsid w:val="00755139"/>
    <w:rsid w:val="00755B54"/>
    <w:rsid w:val="00755D2B"/>
    <w:rsid w:val="00756729"/>
    <w:rsid w:val="00756C44"/>
    <w:rsid w:val="00757390"/>
    <w:rsid w:val="00757549"/>
    <w:rsid w:val="00757B00"/>
    <w:rsid w:val="00762310"/>
    <w:rsid w:val="0076386E"/>
    <w:rsid w:val="00765ACD"/>
    <w:rsid w:val="007664D7"/>
    <w:rsid w:val="007667E3"/>
    <w:rsid w:val="00766D9F"/>
    <w:rsid w:val="007679DD"/>
    <w:rsid w:val="0077001A"/>
    <w:rsid w:val="00770158"/>
    <w:rsid w:val="00770F91"/>
    <w:rsid w:val="007710E9"/>
    <w:rsid w:val="00773EC6"/>
    <w:rsid w:val="00774778"/>
    <w:rsid w:val="00774F17"/>
    <w:rsid w:val="00775C52"/>
    <w:rsid w:val="007765DF"/>
    <w:rsid w:val="007775BF"/>
    <w:rsid w:val="00777E81"/>
    <w:rsid w:val="0078085F"/>
    <w:rsid w:val="00781668"/>
    <w:rsid w:val="00781684"/>
    <w:rsid w:val="00781689"/>
    <w:rsid w:val="00781BB0"/>
    <w:rsid w:val="00781F21"/>
    <w:rsid w:val="007835FC"/>
    <w:rsid w:val="00783625"/>
    <w:rsid w:val="00783902"/>
    <w:rsid w:val="00783B00"/>
    <w:rsid w:val="0078454A"/>
    <w:rsid w:val="007868C0"/>
    <w:rsid w:val="007870DF"/>
    <w:rsid w:val="00787388"/>
    <w:rsid w:val="00787AA0"/>
    <w:rsid w:val="00790ED3"/>
    <w:rsid w:val="00792D8D"/>
    <w:rsid w:val="007930EA"/>
    <w:rsid w:val="007934AD"/>
    <w:rsid w:val="00795148"/>
    <w:rsid w:val="00796057"/>
    <w:rsid w:val="007975D4"/>
    <w:rsid w:val="007978FB"/>
    <w:rsid w:val="007A04FC"/>
    <w:rsid w:val="007A058C"/>
    <w:rsid w:val="007A094D"/>
    <w:rsid w:val="007A0BFA"/>
    <w:rsid w:val="007A143B"/>
    <w:rsid w:val="007A146A"/>
    <w:rsid w:val="007A263A"/>
    <w:rsid w:val="007A2E98"/>
    <w:rsid w:val="007A3EF5"/>
    <w:rsid w:val="007A427E"/>
    <w:rsid w:val="007A43BD"/>
    <w:rsid w:val="007A4AAB"/>
    <w:rsid w:val="007A616F"/>
    <w:rsid w:val="007A6195"/>
    <w:rsid w:val="007A61FE"/>
    <w:rsid w:val="007A6565"/>
    <w:rsid w:val="007A7CF1"/>
    <w:rsid w:val="007B1307"/>
    <w:rsid w:val="007B2BE6"/>
    <w:rsid w:val="007B37EC"/>
    <w:rsid w:val="007B3B90"/>
    <w:rsid w:val="007B3BD8"/>
    <w:rsid w:val="007B3C5A"/>
    <w:rsid w:val="007B3EF9"/>
    <w:rsid w:val="007B4B6C"/>
    <w:rsid w:val="007B53B5"/>
    <w:rsid w:val="007B5A51"/>
    <w:rsid w:val="007B629C"/>
    <w:rsid w:val="007B7A7B"/>
    <w:rsid w:val="007B7E35"/>
    <w:rsid w:val="007C0934"/>
    <w:rsid w:val="007C1479"/>
    <w:rsid w:val="007C1618"/>
    <w:rsid w:val="007C272E"/>
    <w:rsid w:val="007C27A6"/>
    <w:rsid w:val="007C3D75"/>
    <w:rsid w:val="007C4217"/>
    <w:rsid w:val="007C42AF"/>
    <w:rsid w:val="007C4507"/>
    <w:rsid w:val="007C4866"/>
    <w:rsid w:val="007C488F"/>
    <w:rsid w:val="007C4DE5"/>
    <w:rsid w:val="007C5633"/>
    <w:rsid w:val="007C581E"/>
    <w:rsid w:val="007C5E98"/>
    <w:rsid w:val="007C67FE"/>
    <w:rsid w:val="007C7A55"/>
    <w:rsid w:val="007C7B99"/>
    <w:rsid w:val="007D051E"/>
    <w:rsid w:val="007D0D12"/>
    <w:rsid w:val="007D16D3"/>
    <w:rsid w:val="007D2539"/>
    <w:rsid w:val="007D2865"/>
    <w:rsid w:val="007D3DC3"/>
    <w:rsid w:val="007D4C0E"/>
    <w:rsid w:val="007D50BE"/>
    <w:rsid w:val="007D696A"/>
    <w:rsid w:val="007D71D9"/>
    <w:rsid w:val="007D7256"/>
    <w:rsid w:val="007D72AA"/>
    <w:rsid w:val="007E04DB"/>
    <w:rsid w:val="007E055A"/>
    <w:rsid w:val="007E0D2F"/>
    <w:rsid w:val="007E12F9"/>
    <w:rsid w:val="007E2061"/>
    <w:rsid w:val="007E2315"/>
    <w:rsid w:val="007E2738"/>
    <w:rsid w:val="007E4291"/>
    <w:rsid w:val="007E4B19"/>
    <w:rsid w:val="007E4F2E"/>
    <w:rsid w:val="007E5A93"/>
    <w:rsid w:val="007E67EF"/>
    <w:rsid w:val="007E745E"/>
    <w:rsid w:val="007E7B18"/>
    <w:rsid w:val="007F0213"/>
    <w:rsid w:val="007F041C"/>
    <w:rsid w:val="007F160C"/>
    <w:rsid w:val="007F17EB"/>
    <w:rsid w:val="007F1843"/>
    <w:rsid w:val="007F1A92"/>
    <w:rsid w:val="007F1FF5"/>
    <w:rsid w:val="007F304C"/>
    <w:rsid w:val="007F3D51"/>
    <w:rsid w:val="007F4136"/>
    <w:rsid w:val="007F4617"/>
    <w:rsid w:val="007F4FB6"/>
    <w:rsid w:val="007F6350"/>
    <w:rsid w:val="007F6A5E"/>
    <w:rsid w:val="007F7F5A"/>
    <w:rsid w:val="00800C62"/>
    <w:rsid w:val="008013BA"/>
    <w:rsid w:val="008014B8"/>
    <w:rsid w:val="0080157D"/>
    <w:rsid w:val="00801AF2"/>
    <w:rsid w:val="00801D74"/>
    <w:rsid w:val="0080215F"/>
    <w:rsid w:val="008027CD"/>
    <w:rsid w:val="008029CC"/>
    <w:rsid w:val="00802C59"/>
    <w:rsid w:val="00803566"/>
    <w:rsid w:val="00803866"/>
    <w:rsid w:val="0080399C"/>
    <w:rsid w:val="008046CC"/>
    <w:rsid w:val="00804AAC"/>
    <w:rsid w:val="00805256"/>
    <w:rsid w:val="0080538C"/>
    <w:rsid w:val="00806842"/>
    <w:rsid w:val="008068E1"/>
    <w:rsid w:val="00806C2D"/>
    <w:rsid w:val="00807708"/>
    <w:rsid w:val="00807A17"/>
    <w:rsid w:val="00810283"/>
    <w:rsid w:val="008109D5"/>
    <w:rsid w:val="00810E91"/>
    <w:rsid w:val="0081126D"/>
    <w:rsid w:val="00811409"/>
    <w:rsid w:val="008115E4"/>
    <w:rsid w:val="0081168D"/>
    <w:rsid w:val="00811BEA"/>
    <w:rsid w:val="00812A30"/>
    <w:rsid w:val="00813ED6"/>
    <w:rsid w:val="00815CF2"/>
    <w:rsid w:val="00815E3C"/>
    <w:rsid w:val="00815EDC"/>
    <w:rsid w:val="008164E6"/>
    <w:rsid w:val="008209DD"/>
    <w:rsid w:val="008214AE"/>
    <w:rsid w:val="00821AD5"/>
    <w:rsid w:val="00822195"/>
    <w:rsid w:val="00823E8A"/>
    <w:rsid w:val="00824698"/>
    <w:rsid w:val="00825167"/>
    <w:rsid w:val="00825970"/>
    <w:rsid w:val="00825E51"/>
    <w:rsid w:val="00826429"/>
    <w:rsid w:val="00830074"/>
    <w:rsid w:val="008306D6"/>
    <w:rsid w:val="008308B3"/>
    <w:rsid w:val="008315A8"/>
    <w:rsid w:val="00832623"/>
    <w:rsid w:val="0083265F"/>
    <w:rsid w:val="00833768"/>
    <w:rsid w:val="00834F49"/>
    <w:rsid w:val="008361C7"/>
    <w:rsid w:val="008362B3"/>
    <w:rsid w:val="00836AE7"/>
    <w:rsid w:val="008376C3"/>
    <w:rsid w:val="00837715"/>
    <w:rsid w:val="0084182C"/>
    <w:rsid w:val="0084291E"/>
    <w:rsid w:val="00842BFE"/>
    <w:rsid w:val="0084337A"/>
    <w:rsid w:val="00844888"/>
    <w:rsid w:val="00844BFB"/>
    <w:rsid w:val="00846166"/>
    <w:rsid w:val="0084659E"/>
    <w:rsid w:val="00850B30"/>
    <w:rsid w:val="00850E0C"/>
    <w:rsid w:val="0085113E"/>
    <w:rsid w:val="00851BBF"/>
    <w:rsid w:val="00851CD6"/>
    <w:rsid w:val="008521E4"/>
    <w:rsid w:val="00852642"/>
    <w:rsid w:val="00852710"/>
    <w:rsid w:val="008528E0"/>
    <w:rsid w:val="00853E68"/>
    <w:rsid w:val="0085414B"/>
    <w:rsid w:val="0085423E"/>
    <w:rsid w:val="008545DA"/>
    <w:rsid w:val="008546DA"/>
    <w:rsid w:val="00854CE4"/>
    <w:rsid w:val="00854D29"/>
    <w:rsid w:val="00854F39"/>
    <w:rsid w:val="00855CC3"/>
    <w:rsid w:val="00855F0E"/>
    <w:rsid w:val="00856D1B"/>
    <w:rsid w:val="00857B0A"/>
    <w:rsid w:val="00857E2F"/>
    <w:rsid w:val="008611A5"/>
    <w:rsid w:val="00862162"/>
    <w:rsid w:val="008625EB"/>
    <w:rsid w:val="0086295A"/>
    <w:rsid w:val="00863227"/>
    <w:rsid w:val="008632A2"/>
    <w:rsid w:val="00863A6D"/>
    <w:rsid w:val="008644BC"/>
    <w:rsid w:val="00864FC1"/>
    <w:rsid w:val="008657B3"/>
    <w:rsid w:val="00865AFC"/>
    <w:rsid w:val="00865C5D"/>
    <w:rsid w:val="008669FE"/>
    <w:rsid w:val="008700FE"/>
    <w:rsid w:val="00870D7D"/>
    <w:rsid w:val="00871135"/>
    <w:rsid w:val="008714AE"/>
    <w:rsid w:val="00871586"/>
    <w:rsid w:val="00871B50"/>
    <w:rsid w:val="00871B70"/>
    <w:rsid w:val="00871C5F"/>
    <w:rsid w:val="00873102"/>
    <w:rsid w:val="008732B3"/>
    <w:rsid w:val="008741B9"/>
    <w:rsid w:val="00874AB8"/>
    <w:rsid w:val="00874B07"/>
    <w:rsid w:val="00874E77"/>
    <w:rsid w:val="00875EA4"/>
    <w:rsid w:val="00876F35"/>
    <w:rsid w:val="008804DD"/>
    <w:rsid w:val="00882E4F"/>
    <w:rsid w:val="00882F74"/>
    <w:rsid w:val="008830E0"/>
    <w:rsid w:val="0088320A"/>
    <w:rsid w:val="008837EB"/>
    <w:rsid w:val="00884ACB"/>
    <w:rsid w:val="00884D8A"/>
    <w:rsid w:val="00885134"/>
    <w:rsid w:val="00885397"/>
    <w:rsid w:val="00885EC0"/>
    <w:rsid w:val="008869D5"/>
    <w:rsid w:val="00886C1A"/>
    <w:rsid w:val="00890BDE"/>
    <w:rsid w:val="00890F04"/>
    <w:rsid w:val="0089151D"/>
    <w:rsid w:val="008916A0"/>
    <w:rsid w:val="00892B2C"/>
    <w:rsid w:val="00893A4E"/>
    <w:rsid w:val="00893B6C"/>
    <w:rsid w:val="00893CE3"/>
    <w:rsid w:val="00894568"/>
    <w:rsid w:val="008946DE"/>
    <w:rsid w:val="0089616F"/>
    <w:rsid w:val="0089675E"/>
    <w:rsid w:val="008969CD"/>
    <w:rsid w:val="008A072F"/>
    <w:rsid w:val="008A1D65"/>
    <w:rsid w:val="008A415E"/>
    <w:rsid w:val="008A4CFB"/>
    <w:rsid w:val="008A51FD"/>
    <w:rsid w:val="008A5E04"/>
    <w:rsid w:val="008A620A"/>
    <w:rsid w:val="008A671E"/>
    <w:rsid w:val="008A6F01"/>
    <w:rsid w:val="008A71BD"/>
    <w:rsid w:val="008A7855"/>
    <w:rsid w:val="008A7C2F"/>
    <w:rsid w:val="008B0A80"/>
    <w:rsid w:val="008B11E4"/>
    <w:rsid w:val="008B12F8"/>
    <w:rsid w:val="008B1D98"/>
    <w:rsid w:val="008B1E74"/>
    <w:rsid w:val="008B1FA5"/>
    <w:rsid w:val="008B4911"/>
    <w:rsid w:val="008B53E2"/>
    <w:rsid w:val="008B64C0"/>
    <w:rsid w:val="008B65BC"/>
    <w:rsid w:val="008B66CB"/>
    <w:rsid w:val="008B6708"/>
    <w:rsid w:val="008B7356"/>
    <w:rsid w:val="008B7CC7"/>
    <w:rsid w:val="008B7D4C"/>
    <w:rsid w:val="008B7E5E"/>
    <w:rsid w:val="008B7F9C"/>
    <w:rsid w:val="008C0359"/>
    <w:rsid w:val="008C087F"/>
    <w:rsid w:val="008C1180"/>
    <w:rsid w:val="008C23CD"/>
    <w:rsid w:val="008C264C"/>
    <w:rsid w:val="008C28C5"/>
    <w:rsid w:val="008C4E41"/>
    <w:rsid w:val="008C557A"/>
    <w:rsid w:val="008C58A9"/>
    <w:rsid w:val="008C5A9D"/>
    <w:rsid w:val="008C5FED"/>
    <w:rsid w:val="008C77BC"/>
    <w:rsid w:val="008C7892"/>
    <w:rsid w:val="008C7BD7"/>
    <w:rsid w:val="008C7FC0"/>
    <w:rsid w:val="008D0705"/>
    <w:rsid w:val="008D1462"/>
    <w:rsid w:val="008D1540"/>
    <w:rsid w:val="008D2D60"/>
    <w:rsid w:val="008D2F08"/>
    <w:rsid w:val="008D4C66"/>
    <w:rsid w:val="008D6ED0"/>
    <w:rsid w:val="008D7EE9"/>
    <w:rsid w:val="008E0E12"/>
    <w:rsid w:val="008E1B1F"/>
    <w:rsid w:val="008E21A1"/>
    <w:rsid w:val="008E2236"/>
    <w:rsid w:val="008E2259"/>
    <w:rsid w:val="008E2E07"/>
    <w:rsid w:val="008E4136"/>
    <w:rsid w:val="008E414C"/>
    <w:rsid w:val="008E786B"/>
    <w:rsid w:val="008E7C83"/>
    <w:rsid w:val="008F0566"/>
    <w:rsid w:val="008F08B4"/>
    <w:rsid w:val="008F18A1"/>
    <w:rsid w:val="008F25E6"/>
    <w:rsid w:val="008F2CD5"/>
    <w:rsid w:val="008F2FEC"/>
    <w:rsid w:val="008F33F6"/>
    <w:rsid w:val="008F3524"/>
    <w:rsid w:val="008F3944"/>
    <w:rsid w:val="008F3A2C"/>
    <w:rsid w:val="008F4934"/>
    <w:rsid w:val="008F4FA1"/>
    <w:rsid w:val="008F70F8"/>
    <w:rsid w:val="0090014D"/>
    <w:rsid w:val="0090146A"/>
    <w:rsid w:val="00901B68"/>
    <w:rsid w:val="00901D8B"/>
    <w:rsid w:val="00902258"/>
    <w:rsid w:val="009026DD"/>
    <w:rsid w:val="00904E65"/>
    <w:rsid w:val="00905992"/>
    <w:rsid w:val="009075B1"/>
    <w:rsid w:val="00910248"/>
    <w:rsid w:val="009120A8"/>
    <w:rsid w:val="00912B26"/>
    <w:rsid w:val="009134EA"/>
    <w:rsid w:val="00914F86"/>
    <w:rsid w:val="00915381"/>
    <w:rsid w:val="00915998"/>
    <w:rsid w:val="00917170"/>
    <w:rsid w:val="00920BD6"/>
    <w:rsid w:val="009223C4"/>
    <w:rsid w:val="009230B7"/>
    <w:rsid w:val="00923C40"/>
    <w:rsid w:val="0092666A"/>
    <w:rsid w:val="0092676C"/>
    <w:rsid w:val="00926781"/>
    <w:rsid w:val="00926F14"/>
    <w:rsid w:val="009313D1"/>
    <w:rsid w:val="00931AC5"/>
    <w:rsid w:val="009347F2"/>
    <w:rsid w:val="00934D2D"/>
    <w:rsid w:val="009362E8"/>
    <w:rsid w:val="00936795"/>
    <w:rsid w:val="00936D12"/>
    <w:rsid w:val="00937797"/>
    <w:rsid w:val="00941318"/>
    <w:rsid w:val="0094134F"/>
    <w:rsid w:val="0094151A"/>
    <w:rsid w:val="0094165C"/>
    <w:rsid w:val="00942009"/>
    <w:rsid w:val="00944692"/>
    <w:rsid w:val="00944F01"/>
    <w:rsid w:val="00945AEB"/>
    <w:rsid w:val="0094669D"/>
    <w:rsid w:val="00946A21"/>
    <w:rsid w:val="00946D2C"/>
    <w:rsid w:val="0094712B"/>
    <w:rsid w:val="0094719B"/>
    <w:rsid w:val="009515CB"/>
    <w:rsid w:val="009515F9"/>
    <w:rsid w:val="009516CE"/>
    <w:rsid w:val="00952127"/>
    <w:rsid w:val="0095242B"/>
    <w:rsid w:val="009528EE"/>
    <w:rsid w:val="00952EDB"/>
    <w:rsid w:val="00955733"/>
    <w:rsid w:val="00955E6F"/>
    <w:rsid w:val="00956829"/>
    <w:rsid w:val="00956AF6"/>
    <w:rsid w:val="00956D4F"/>
    <w:rsid w:val="00957098"/>
    <w:rsid w:val="009570D5"/>
    <w:rsid w:val="0095740A"/>
    <w:rsid w:val="00957E4C"/>
    <w:rsid w:val="0096031E"/>
    <w:rsid w:val="009603A4"/>
    <w:rsid w:val="00960631"/>
    <w:rsid w:val="00960969"/>
    <w:rsid w:val="00961CB4"/>
    <w:rsid w:val="009627A8"/>
    <w:rsid w:val="00962E57"/>
    <w:rsid w:val="009634F7"/>
    <w:rsid w:val="0096381F"/>
    <w:rsid w:val="00963901"/>
    <w:rsid w:val="00963AB4"/>
    <w:rsid w:val="00963FC0"/>
    <w:rsid w:val="0096411C"/>
    <w:rsid w:val="009646B9"/>
    <w:rsid w:val="00964730"/>
    <w:rsid w:val="0096484C"/>
    <w:rsid w:val="00964B14"/>
    <w:rsid w:val="00964C0E"/>
    <w:rsid w:val="00964C35"/>
    <w:rsid w:val="00964C71"/>
    <w:rsid w:val="00964CBB"/>
    <w:rsid w:val="00964D0A"/>
    <w:rsid w:val="0096520F"/>
    <w:rsid w:val="00967690"/>
    <w:rsid w:val="00967C35"/>
    <w:rsid w:val="00967F9F"/>
    <w:rsid w:val="00970B25"/>
    <w:rsid w:val="00971479"/>
    <w:rsid w:val="00971C48"/>
    <w:rsid w:val="00971EAA"/>
    <w:rsid w:val="00974ED3"/>
    <w:rsid w:val="00977266"/>
    <w:rsid w:val="00980C6E"/>
    <w:rsid w:val="00980F88"/>
    <w:rsid w:val="00981A6C"/>
    <w:rsid w:val="00981BB5"/>
    <w:rsid w:val="009821B0"/>
    <w:rsid w:val="009839F0"/>
    <w:rsid w:val="00983C2A"/>
    <w:rsid w:val="009843A4"/>
    <w:rsid w:val="009858A1"/>
    <w:rsid w:val="00985ABD"/>
    <w:rsid w:val="009860BB"/>
    <w:rsid w:val="0098622F"/>
    <w:rsid w:val="00986417"/>
    <w:rsid w:val="00986C1B"/>
    <w:rsid w:val="009872E8"/>
    <w:rsid w:val="00987D4D"/>
    <w:rsid w:val="00987DE6"/>
    <w:rsid w:val="00990075"/>
    <w:rsid w:val="0099019D"/>
    <w:rsid w:val="0099083E"/>
    <w:rsid w:val="00991830"/>
    <w:rsid w:val="00991F9A"/>
    <w:rsid w:val="00992D72"/>
    <w:rsid w:val="00993BF4"/>
    <w:rsid w:val="00993C2B"/>
    <w:rsid w:val="009946D8"/>
    <w:rsid w:val="009965FB"/>
    <w:rsid w:val="009966FF"/>
    <w:rsid w:val="00996938"/>
    <w:rsid w:val="00996B01"/>
    <w:rsid w:val="00997A05"/>
    <w:rsid w:val="009A02E9"/>
    <w:rsid w:val="009A06EF"/>
    <w:rsid w:val="009A097C"/>
    <w:rsid w:val="009A1038"/>
    <w:rsid w:val="009A10CF"/>
    <w:rsid w:val="009A2EFD"/>
    <w:rsid w:val="009A2F60"/>
    <w:rsid w:val="009A3EEA"/>
    <w:rsid w:val="009A3FF4"/>
    <w:rsid w:val="009A482E"/>
    <w:rsid w:val="009A504E"/>
    <w:rsid w:val="009A5155"/>
    <w:rsid w:val="009A543D"/>
    <w:rsid w:val="009A5B09"/>
    <w:rsid w:val="009A5DB0"/>
    <w:rsid w:val="009A6531"/>
    <w:rsid w:val="009B00A6"/>
    <w:rsid w:val="009B0478"/>
    <w:rsid w:val="009B1FE0"/>
    <w:rsid w:val="009B23F4"/>
    <w:rsid w:val="009B2692"/>
    <w:rsid w:val="009B2B22"/>
    <w:rsid w:val="009B3009"/>
    <w:rsid w:val="009B35D5"/>
    <w:rsid w:val="009B37C0"/>
    <w:rsid w:val="009B47F6"/>
    <w:rsid w:val="009B4DA6"/>
    <w:rsid w:val="009B5129"/>
    <w:rsid w:val="009B57D1"/>
    <w:rsid w:val="009B6858"/>
    <w:rsid w:val="009B6EF5"/>
    <w:rsid w:val="009B6FB9"/>
    <w:rsid w:val="009B7E16"/>
    <w:rsid w:val="009C13A2"/>
    <w:rsid w:val="009C1411"/>
    <w:rsid w:val="009C1695"/>
    <w:rsid w:val="009C2771"/>
    <w:rsid w:val="009C2E95"/>
    <w:rsid w:val="009C3301"/>
    <w:rsid w:val="009C3AFD"/>
    <w:rsid w:val="009C458E"/>
    <w:rsid w:val="009C46AE"/>
    <w:rsid w:val="009C47F6"/>
    <w:rsid w:val="009C5B78"/>
    <w:rsid w:val="009C62EB"/>
    <w:rsid w:val="009C69AB"/>
    <w:rsid w:val="009C6A39"/>
    <w:rsid w:val="009C6FA7"/>
    <w:rsid w:val="009C73D6"/>
    <w:rsid w:val="009C7F14"/>
    <w:rsid w:val="009D0EF0"/>
    <w:rsid w:val="009D13F5"/>
    <w:rsid w:val="009D18CE"/>
    <w:rsid w:val="009D1C62"/>
    <w:rsid w:val="009D1E30"/>
    <w:rsid w:val="009D1F24"/>
    <w:rsid w:val="009D1F78"/>
    <w:rsid w:val="009D30C4"/>
    <w:rsid w:val="009D37EB"/>
    <w:rsid w:val="009D3B1F"/>
    <w:rsid w:val="009D3DF0"/>
    <w:rsid w:val="009D3E0A"/>
    <w:rsid w:val="009D49D9"/>
    <w:rsid w:val="009D6EB6"/>
    <w:rsid w:val="009E0693"/>
    <w:rsid w:val="009E0DF0"/>
    <w:rsid w:val="009E140E"/>
    <w:rsid w:val="009E193E"/>
    <w:rsid w:val="009E246E"/>
    <w:rsid w:val="009E34F9"/>
    <w:rsid w:val="009E399C"/>
    <w:rsid w:val="009E4CBA"/>
    <w:rsid w:val="009E5B8C"/>
    <w:rsid w:val="009E5C46"/>
    <w:rsid w:val="009E6619"/>
    <w:rsid w:val="009E73F7"/>
    <w:rsid w:val="009F0CF6"/>
    <w:rsid w:val="009F0E6F"/>
    <w:rsid w:val="009F1044"/>
    <w:rsid w:val="009F125F"/>
    <w:rsid w:val="009F20B3"/>
    <w:rsid w:val="009F2551"/>
    <w:rsid w:val="009F2912"/>
    <w:rsid w:val="009F2A74"/>
    <w:rsid w:val="009F37DA"/>
    <w:rsid w:val="009F4D49"/>
    <w:rsid w:val="009F4DE2"/>
    <w:rsid w:val="009F5A98"/>
    <w:rsid w:val="009F5D73"/>
    <w:rsid w:val="009F5F3A"/>
    <w:rsid w:val="009F6446"/>
    <w:rsid w:val="009F668C"/>
    <w:rsid w:val="009F6FD1"/>
    <w:rsid w:val="009F7B17"/>
    <w:rsid w:val="00A002B4"/>
    <w:rsid w:val="00A00934"/>
    <w:rsid w:val="00A00F65"/>
    <w:rsid w:val="00A0176C"/>
    <w:rsid w:val="00A01956"/>
    <w:rsid w:val="00A01C64"/>
    <w:rsid w:val="00A01F0D"/>
    <w:rsid w:val="00A030C4"/>
    <w:rsid w:val="00A03178"/>
    <w:rsid w:val="00A039ED"/>
    <w:rsid w:val="00A0490C"/>
    <w:rsid w:val="00A0638A"/>
    <w:rsid w:val="00A066D8"/>
    <w:rsid w:val="00A06C1B"/>
    <w:rsid w:val="00A07099"/>
    <w:rsid w:val="00A07301"/>
    <w:rsid w:val="00A075DD"/>
    <w:rsid w:val="00A077BA"/>
    <w:rsid w:val="00A07A39"/>
    <w:rsid w:val="00A10EEB"/>
    <w:rsid w:val="00A114D6"/>
    <w:rsid w:val="00A11B88"/>
    <w:rsid w:val="00A123F8"/>
    <w:rsid w:val="00A14958"/>
    <w:rsid w:val="00A14A28"/>
    <w:rsid w:val="00A14DE0"/>
    <w:rsid w:val="00A14E50"/>
    <w:rsid w:val="00A16D57"/>
    <w:rsid w:val="00A179FC"/>
    <w:rsid w:val="00A17C3D"/>
    <w:rsid w:val="00A17CC3"/>
    <w:rsid w:val="00A201F5"/>
    <w:rsid w:val="00A20A4D"/>
    <w:rsid w:val="00A2197D"/>
    <w:rsid w:val="00A21F56"/>
    <w:rsid w:val="00A22634"/>
    <w:rsid w:val="00A22B60"/>
    <w:rsid w:val="00A25127"/>
    <w:rsid w:val="00A252C9"/>
    <w:rsid w:val="00A254C5"/>
    <w:rsid w:val="00A258EC"/>
    <w:rsid w:val="00A25D00"/>
    <w:rsid w:val="00A26FFD"/>
    <w:rsid w:val="00A277EE"/>
    <w:rsid w:val="00A3019B"/>
    <w:rsid w:val="00A30348"/>
    <w:rsid w:val="00A305FD"/>
    <w:rsid w:val="00A30861"/>
    <w:rsid w:val="00A30865"/>
    <w:rsid w:val="00A31341"/>
    <w:rsid w:val="00A315FF"/>
    <w:rsid w:val="00A32019"/>
    <w:rsid w:val="00A32294"/>
    <w:rsid w:val="00A3357E"/>
    <w:rsid w:val="00A33C64"/>
    <w:rsid w:val="00A342B9"/>
    <w:rsid w:val="00A3468B"/>
    <w:rsid w:val="00A3495D"/>
    <w:rsid w:val="00A34AA4"/>
    <w:rsid w:val="00A354F4"/>
    <w:rsid w:val="00A356E3"/>
    <w:rsid w:val="00A35B67"/>
    <w:rsid w:val="00A3623B"/>
    <w:rsid w:val="00A3667A"/>
    <w:rsid w:val="00A36EBA"/>
    <w:rsid w:val="00A37069"/>
    <w:rsid w:val="00A37216"/>
    <w:rsid w:val="00A3729C"/>
    <w:rsid w:val="00A37E69"/>
    <w:rsid w:val="00A401D4"/>
    <w:rsid w:val="00A404BD"/>
    <w:rsid w:val="00A42556"/>
    <w:rsid w:val="00A42697"/>
    <w:rsid w:val="00A42EDB"/>
    <w:rsid w:val="00A4317C"/>
    <w:rsid w:val="00A43B72"/>
    <w:rsid w:val="00A44376"/>
    <w:rsid w:val="00A444B0"/>
    <w:rsid w:val="00A446BE"/>
    <w:rsid w:val="00A45DBB"/>
    <w:rsid w:val="00A46854"/>
    <w:rsid w:val="00A46AEB"/>
    <w:rsid w:val="00A474B3"/>
    <w:rsid w:val="00A50469"/>
    <w:rsid w:val="00A51826"/>
    <w:rsid w:val="00A51832"/>
    <w:rsid w:val="00A528A7"/>
    <w:rsid w:val="00A52F0F"/>
    <w:rsid w:val="00A53191"/>
    <w:rsid w:val="00A5369B"/>
    <w:rsid w:val="00A53F4A"/>
    <w:rsid w:val="00A54616"/>
    <w:rsid w:val="00A54B39"/>
    <w:rsid w:val="00A5560A"/>
    <w:rsid w:val="00A560EB"/>
    <w:rsid w:val="00A5621B"/>
    <w:rsid w:val="00A56425"/>
    <w:rsid w:val="00A565C1"/>
    <w:rsid w:val="00A56D06"/>
    <w:rsid w:val="00A570FD"/>
    <w:rsid w:val="00A6049A"/>
    <w:rsid w:val="00A61832"/>
    <w:rsid w:val="00A62BB6"/>
    <w:rsid w:val="00A63F09"/>
    <w:rsid w:val="00A64948"/>
    <w:rsid w:val="00A65FE2"/>
    <w:rsid w:val="00A6672C"/>
    <w:rsid w:val="00A67F41"/>
    <w:rsid w:val="00A701DF"/>
    <w:rsid w:val="00A706DC"/>
    <w:rsid w:val="00A70EF3"/>
    <w:rsid w:val="00A7201A"/>
    <w:rsid w:val="00A72CCA"/>
    <w:rsid w:val="00A72D7B"/>
    <w:rsid w:val="00A7324D"/>
    <w:rsid w:val="00A73567"/>
    <w:rsid w:val="00A74BEA"/>
    <w:rsid w:val="00A75FE4"/>
    <w:rsid w:val="00A76491"/>
    <w:rsid w:val="00A76879"/>
    <w:rsid w:val="00A76FAE"/>
    <w:rsid w:val="00A770B5"/>
    <w:rsid w:val="00A8029B"/>
    <w:rsid w:val="00A80BAB"/>
    <w:rsid w:val="00A81509"/>
    <w:rsid w:val="00A83873"/>
    <w:rsid w:val="00A83FD9"/>
    <w:rsid w:val="00A8415E"/>
    <w:rsid w:val="00A84696"/>
    <w:rsid w:val="00A846AF"/>
    <w:rsid w:val="00A84F11"/>
    <w:rsid w:val="00A8559F"/>
    <w:rsid w:val="00A85926"/>
    <w:rsid w:val="00A8677F"/>
    <w:rsid w:val="00A87367"/>
    <w:rsid w:val="00A90D99"/>
    <w:rsid w:val="00A922F4"/>
    <w:rsid w:val="00A92675"/>
    <w:rsid w:val="00A932DE"/>
    <w:rsid w:val="00A939F6"/>
    <w:rsid w:val="00A94876"/>
    <w:rsid w:val="00A95A3A"/>
    <w:rsid w:val="00A9646D"/>
    <w:rsid w:val="00A97583"/>
    <w:rsid w:val="00A97CDA"/>
    <w:rsid w:val="00A97E1D"/>
    <w:rsid w:val="00A97FBE"/>
    <w:rsid w:val="00AA11EB"/>
    <w:rsid w:val="00AA180A"/>
    <w:rsid w:val="00AA2913"/>
    <w:rsid w:val="00AA2945"/>
    <w:rsid w:val="00AA384B"/>
    <w:rsid w:val="00AA3A4C"/>
    <w:rsid w:val="00AA3B77"/>
    <w:rsid w:val="00AA3F0C"/>
    <w:rsid w:val="00AA430E"/>
    <w:rsid w:val="00AA4F06"/>
    <w:rsid w:val="00AA554C"/>
    <w:rsid w:val="00AA567C"/>
    <w:rsid w:val="00AA56CE"/>
    <w:rsid w:val="00AA58DF"/>
    <w:rsid w:val="00AA618B"/>
    <w:rsid w:val="00AA6F53"/>
    <w:rsid w:val="00AA703E"/>
    <w:rsid w:val="00AA71D8"/>
    <w:rsid w:val="00AA788C"/>
    <w:rsid w:val="00AA7E23"/>
    <w:rsid w:val="00AB046D"/>
    <w:rsid w:val="00AB0AE0"/>
    <w:rsid w:val="00AB1A79"/>
    <w:rsid w:val="00AB2384"/>
    <w:rsid w:val="00AB2D5D"/>
    <w:rsid w:val="00AB3752"/>
    <w:rsid w:val="00AB3C98"/>
    <w:rsid w:val="00AB4085"/>
    <w:rsid w:val="00AB4978"/>
    <w:rsid w:val="00AB6725"/>
    <w:rsid w:val="00AB682C"/>
    <w:rsid w:val="00AB68CE"/>
    <w:rsid w:val="00AC0B4F"/>
    <w:rsid w:val="00AC3D80"/>
    <w:rsid w:val="00AC4E53"/>
    <w:rsid w:val="00AC585D"/>
    <w:rsid w:val="00AC5EE8"/>
    <w:rsid w:val="00AC6071"/>
    <w:rsid w:val="00AC6A8A"/>
    <w:rsid w:val="00AC75F8"/>
    <w:rsid w:val="00AD1504"/>
    <w:rsid w:val="00AD23C6"/>
    <w:rsid w:val="00AD3F9C"/>
    <w:rsid w:val="00AD426B"/>
    <w:rsid w:val="00AD4E70"/>
    <w:rsid w:val="00AD73DD"/>
    <w:rsid w:val="00AD74B3"/>
    <w:rsid w:val="00AD7867"/>
    <w:rsid w:val="00AD7CDF"/>
    <w:rsid w:val="00AE0D78"/>
    <w:rsid w:val="00AE10E0"/>
    <w:rsid w:val="00AE1A3A"/>
    <w:rsid w:val="00AE2F7B"/>
    <w:rsid w:val="00AE3C9A"/>
    <w:rsid w:val="00AE4673"/>
    <w:rsid w:val="00AE4F19"/>
    <w:rsid w:val="00AE50B6"/>
    <w:rsid w:val="00AE525B"/>
    <w:rsid w:val="00AE666B"/>
    <w:rsid w:val="00AE6B00"/>
    <w:rsid w:val="00AE745E"/>
    <w:rsid w:val="00AE7EB1"/>
    <w:rsid w:val="00AE7EFA"/>
    <w:rsid w:val="00AF02A3"/>
    <w:rsid w:val="00AF0A70"/>
    <w:rsid w:val="00AF166D"/>
    <w:rsid w:val="00AF17F2"/>
    <w:rsid w:val="00AF2DC8"/>
    <w:rsid w:val="00AF2EA1"/>
    <w:rsid w:val="00AF5374"/>
    <w:rsid w:val="00AF57B6"/>
    <w:rsid w:val="00AF5AAF"/>
    <w:rsid w:val="00AF603D"/>
    <w:rsid w:val="00AF6920"/>
    <w:rsid w:val="00AF722B"/>
    <w:rsid w:val="00AF72CE"/>
    <w:rsid w:val="00AF72D4"/>
    <w:rsid w:val="00B00199"/>
    <w:rsid w:val="00B004D1"/>
    <w:rsid w:val="00B00A9D"/>
    <w:rsid w:val="00B01D44"/>
    <w:rsid w:val="00B01E09"/>
    <w:rsid w:val="00B029F6"/>
    <w:rsid w:val="00B032B1"/>
    <w:rsid w:val="00B03DBF"/>
    <w:rsid w:val="00B0447B"/>
    <w:rsid w:val="00B05102"/>
    <w:rsid w:val="00B057F6"/>
    <w:rsid w:val="00B06EB0"/>
    <w:rsid w:val="00B0772A"/>
    <w:rsid w:val="00B07A9F"/>
    <w:rsid w:val="00B07E1F"/>
    <w:rsid w:val="00B10B1B"/>
    <w:rsid w:val="00B10BEA"/>
    <w:rsid w:val="00B12239"/>
    <w:rsid w:val="00B1398D"/>
    <w:rsid w:val="00B13E22"/>
    <w:rsid w:val="00B1409F"/>
    <w:rsid w:val="00B140E5"/>
    <w:rsid w:val="00B14718"/>
    <w:rsid w:val="00B156AD"/>
    <w:rsid w:val="00B16122"/>
    <w:rsid w:val="00B16551"/>
    <w:rsid w:val="00B1670E"/>
    <w:rsid w:val="00B17040"/>
    <w:rsid w:val="00B1751D"/>
    <w:rsid w:val="00B20453"/>
    <w:rsid w:val="00B20C80"/>
    <w:rsid w:val="00B20D5B"/>
    <w:rsid w:val="00B22717"/>
    <w:rsid w:val="00B22BEA"/>
    <w:rsid w:val="00B22CB6"/>
    <w:rsid w:val="00B233B1"/>
    <w:rsid w:val="00B233E7"/>
    <w:rsid w:val="00B238FC"/>
    <w:rsid w:val="00B24C8A"/>
    <w:rsid w:val="00B253B7"/>
    <w:rsid w:val="00B26732"/>
    <w:rsid w:val="00B273FB"/>
    <w:rsid w:val="00B27C85"/>
    <w:rsid w:val="00B30B9B"/>
    <w:rsid w:val="00B31B75"/>
    <w:rsid w:val="00B32CA7"/>
    <w:rsid w:val="00B3349A"/>
    <w:rsid w:val="00B34932"/>
    <w:rsid w:val="00B34D4D"/>
    <w:rsid w:val="00B34EED"/>
    <w:rsid w:val="00B34FF3"/>
    <w:rsid w:val="00B3503B"/>
    <w:rsid w:val="00B3514B"/>
    <w:rsid w:val="00B355D0"/>
    <w:rsid w:val="00B35BAE"/>
    <w:rsid w:val="00B36203"/>
    <w:rsid w:val="00B36694"/>
    <w:rsid w:val="00B367E8"/>
    <w:rsid w:val="00B37817"/>
    <w:rsid w:val="00B37D67"/>
    <w:rsid w:val="00B40001"/>
    <w:rsid w:val="00B40EC1"/>
    <w:rsid w:val="00B41368"/>
    <w:rsid w:val="00B41566"/>
    <w:rsid w:val="00B41770"/>
    <w:rsid w:val="00B421E3"/>
    <w:rsid w:val="00B4224A"/>
    <w:rsid w:val="00B422E8"/>
    <w:rsid w:val="00B43064"/>
    <w:rsid w:val="00B43636"/>
    <w:rsid w:val="00B43A05"/>
    <w:rsid w:val="00B43C70"/>
    <w:rsid w:val="00B43D99"/>
    <w:rsid w:val="00B43E65"/>
    <w:rsid w:val="00B44161"/>
    <w:rsid w:val="00B44550"/>
    <w:rsid w:val="00B445E1"/>
    <w:rsid w:val="00B447D6"/>
    <w:rsid w:val="00B457A2"/>
    <w:rsid w:val="00B46382"/>
    <w:rsid w:val="00B47283"/>
    <w:rsid w:val="00B500E1"/>
    <w:rsid w:val="00B503DA"/>
    <w:rsid w:val="00B50B50"/>
    <w:rsid w:val="00B50BA0"/>
    <w:rsid w:val="00B50C8F"/>
    <w:rsid w:val="00B512C2"/>
    <w:rsid w:val="00B519AF"/>
    <w:rsid w:val="00B51A22"/>
    <w:rsid w:val="00B523BB"/>
    <w:rsid w:val="00B52F29"/>
    <w:rsid w:val="00B538D9"/>
    <w:rsid w:val="00B54984"/>
    <w:rsid w:val="00B54C92"/>
    <w:rsid w:val="00B55478"/>
    <w:rsid w:val="00B55667"/>
    <w:rsid w:val="00B564B5"/>
    <w:rsid w:val="00B56921"/>
    <w:rsid w:val="00B56A37"/>
    <w:rsid w:val="00B57398"/>
    <w:rsid w:val="00B573FB"/>
    <w:rsid w:val="00B5752D"/>
    <w:rsid w:val="00B57737"/>
    <w:rsid w:val="00B60541"/>
    <w:rsid w:val="00B606BA"/>
    <w:rsid w:val="00B60DFD"/>
    <w:rsid w:val="00B61670"/>
    <w:rsid w:val="00B61BD2"/>
    <w:rsid w:val="00B6245E"/>
    <w:rsid w:val="00B627F1"/>
    <w:rsid w:val="00B630B1"/>
    <w:rsid w:val="00B638FE"/>
    <w:rsid w:val="00B63E5A"/>
    <w:rsid w:val="00B64C8B"/>
    <w:rsid w:val="00B65FBC"/>
    <w:rsid w:val="00B664CB"/>
    <w:rsid w:val="00B67754"/>
    <w:rsid w:val="00B7149B"/>
    <w:rsid w:val="00B71AF0"/>
    <w:rsid w:val="00B71D32"/>
    <w:rsid w:val="00B7340D"/>
    <w:rsid w:val="00B7365A"/>
    <w:rsid w:val="00B744DE"/>
    <w:rsid w:val="00B74B0A"/>
    <w:rsid w:val="00B76AA6"/>
    <w:rsid w:val="00B76F94"/>
    <w:rsid w:val="00B77527"/>
    <w:rsid w:val="00B77D19"/>
    <w:rsid w:val="00B800C6"/>
    <w:rsid w:val="00B8119E"/>
    <w:rsid w:val="00B81897"/>
    <w:rsid w:val="00B81D95"/>
    <w:rsid w:val="00B83661"/>
    <w:rsid w:val="00B849A7"/>
    <w:rsid w:val="00B84EF6"/>
    <w:rsid w:val="00B84FE6"/>
    <w:rsid w:val="00B85BDC"/>
    <w:rsid w:val="00B85C5B"/>
    <w:rsid w:val="00B86237"/>
    <w:rsid w:val="00B87CEC"/>
    <w:rsid w:val="00B90119"/>
    <w:rsid w:val="00B90590"/>
    <w:rsid w:val="00B91948"/>
    <w:rsid w:val="00B93861"/>
    <w:rsid w:val="00B97602"/>
    <w:rsid w:val="00B97A01"/>
    <w:rsid w:val="00BA093B"/>
    <w:rsid w:val="00BA1010"/>
    <w:rsid w:val="00BA16AD"/>
    <w:rsid w:val="00BA1B2D"/>
    <w:rsid w:val="00BA2713"/>
    <w:rsid w:val="00BA3CD7"/>
    <w:rsid w:val="00BA4371"/>
    <w:rsid w:val="00BA4706"/>
    <w:rsid w:val="00BA4FC9"/>
    <w:rsid w:val="00BA53D6"/>
    <w:rsid w:val="00BA57B2"/>
    <w:rsid w:val="00BA5A34"/>
    <w:rsid w:val="00BA64BA"/>
    <w:rsid w:val="00BA71D6"/>
    <w:rsid w:val="00BA7BBA"/>
    <w:rsid w:val="00BB16C7"/>
    <w:rsid w:val="00BB1AD7"/>
    <w:rsid w:val="00BB22C6"/>
    <w:rsid w:val="00BB3496"/>
    <w:rsid w:val="00BB5E80"/>
    <w:rsid w:val="00BB6ED3"/>
    <w:rsid w:val="00BB760C"/>
    <w:rsid w:val="00BB7884"/>
    <w:rsid w:val="00BC0521"/>
    <w:rsid w:val="00BC0831"/>
    <w:rsid w:val="00BC0C11"/>
    <w:rsid w:val="00BC1861"/>
    <w:rsid w:val="00BC25D5"/>
    <w:rsid w:val="00BC3ACD"/>
    <w:rsid w:val="00BC3FD9"/>
    <w:rsid w:val="00BC5881"/>
    <w:rsid w:val="00BC6290"/>
    <w:rsid w:val="00BC6A50"/>
    <w:rsid w:val="00BC6D00"/>
    <w:rsid w:val="00BC6E25"/>
    <w:rsid w:val="00BC755F"/>
    <w:rsid w:val="00BC7832"/>
    <w:rsid w:val="00BD0712"/>
    <w:rsid w:val="00BD0E68"/>
    <w:rsid w:val="00BD140B"/>
    <w:rsid w:val="00BD15A5"/>
    <w:rsid w:val="00BD1737"/>
    <w:rsid w:val="00BD2E39"/>
    <w:rsid w:val="00BD34B2"/>
    <w:rsid w:val="00BD3FB7"/>
    <w:rsid w:val="00BD41DE"/>
    <w:rsid w:val="00BD4CAB"/>
    <w:rsid w:val="00BD5C21"/>
    <w:rsid w:val="00BD5D85"/>
    <w:rsid w:val="00BD60AF"/>
    <w:rsid w:val="00BD7675"/>
    <w:rsid w:val="00BD7D99"/>
    <w:rsid w:val="00BE0ED1"/>
    <w:rsid w:val="00BE0F5F"/>
    <w:rsid w:val="00BE25CA"/>
    <w:rsid w:val="00BE2837"/>
    <w:rsid w:val="00BE3C2C"/>
    <w:rsid w:val="00BE40E4"/>
    <w:rsid w:val="00BE42A6"/>
    <w:rsid w:val="00BE475A"/>
    <w:rsid w:val="00BE49F4"/>
    <w:rsid w:val="00BE5182"/>
    <w:rsid w:val="00BE5418"/>
    <w:rsid w:val="00BE7BF1"/>
    <w:rsid w:val="00BF0059"/>
    <w:rsid w:val="00BF0106"/>
    <w:rsid w:val="00BF14C1"/>
    <w:rsid w:val="00BF1503"/>
    <w:rsid w:val="00BF18F5"/>
    <w:rsid w:val="00BF1CF5"/>
    <w:rsid w:val="00BF1FCF"/>
    <w:rsid w:val="00BF27F6"/>
    <w:rsid w:val="00BF2914"/>
    <w:rsid w:val="00BF3453"/>
    <w:rsid w:val="00BF36CD"/>
    <w:rsid w:val="00BF5923"/>
    <w:rsid w:val="00BF5AE8"/>
    <w:rsid w:val="00BF5BA0"/>
    <w:rsid w:val="00BF6385"/>
    <w:rsid w:val="00C01186"/>
    <w:rsid w:val="00C017E7"/>
    <w:rsid w:val="00C020E4"/>
    <w:rsid w:val="00C022E7"/>
    <w:rsid w:val="00C0273F"/>
    <w:rsid w:val="00C02EE2"/>
    <w:rsid w:val="00C037E6"/>
    <w:rsid w:val="00C03D58"/>
    <w:rsid w:val="00C04DAF"/>
    <w:rsid w:val="00C053E6"/>
    <w:rsid w:val="00C06784"/>
    <w:rsid w:val="00C067F0"/>
    <w:rsid w:val="00C068A5"/>
    <w:rsid w:val="00C079E6"/>
    <w:rsid w:val="00C11A45"/>
    <w:rsid w:val="00C11B3D"/>
    <w:rsid w:val="00C12B51"/>
    <w:rsid w:val="00C13204"/>
    <w:rsid w:val="00C14484"/>
    <w:rsid w:val="00C15C31"/>
    <w:rsid w:val="00C15CD5"/>
    <w:rsid w:val="00C15EEE"/>
    <w:rsid w:val="00C1750E"/>
    <w:rsid w:val="00C179EA"/>
    <w:rsid w:val="00C20083"/>
    <w:rsid w:val="00C2094F"/>
    <w:rsid w:val="00C22CED"/>
    <w:rsid w:val="00C23D7E"/>
    <w:rsid w:val="00C23FD6"/>
    <w:rsid w:val="00C249C4"/>
    <w:rsid w:val="00C24F0C"/>
    <w:rsid w:val="00C255F4"/>
    <w:rsid w:val="00C25880"/>
    <w:rsid w:val="00C30121"/>
    <w:rsid w:val="00C30351"/>
    <w:rsid w:val="00C3095B"/>
    <w:rsid w:val="00C30F59"/>
    <w:rsid w:val="00C321E2"/>
    <w:rsid w:val="00C32352"/>
    <w:rsid w:val="00C32551"/>
    <w:rsid w:val="00C32818"/>
    <w:rsid w:val="00C32A40"/>
    <w:rsid w:val="00C32A4E"/>
    <w:rsid w:val="00C33924"/>
    <w:rsid w:val="00C33E58"/>
    <w:rsid w:val="00C35551"/>
    <w:rsid w:val="00C36A47"/>
    <w:rsid w:val="00C36DE3"/>
    <w:rsid w:val="00C373DB"/>
    <w:rsid w:val="00C40050"/>
    <w:rsid w:val="00C40BB1"/>
    <w:rsid w:val="00C420DF"/>
    <w:rsid w:val="00C42D5B"/>
    <w:rsid w:val="00C42D65"/>
    <w:rsid w:val="00C42ED3"/>
    <w:rsid w:val="00C457E3"/>
    <w:rsid w:val="00C458F6"/>
    <w:rsid w:val="00C47476"/>
    <w:rsid w:val="00C4776B"/>
    <w:rsid w:val="00C5044E"/>
    <w:rsid w:val="00C5178B"/>
    <w:rsid w:val="00C5208A"/>
    <w:rsid w:val="00C52ABF"/>
    <w:rsid w:val="00C52B6E"/>
    <w:rsid w:val="00C53512"/>
    <w:rsid w:val="00C54BB3"/>
    <w:rsid w:val="00C56CD9"/>
    <w:rsid w:val="00C56F5A"/>
    <w:rsid w:val="00C60D5F"/>
    <w:rsid w:val="00C61044"/>
    <w:rsid w:val="00C62A50"/>
    <w:rsid w:val="00C62E37"/>
    <w:rsid w:val="00C630AC"/>
    <w:rsid w:val="00C635AA"/>
    <w:rsid w:val="00C63683"/>
    <w:rsid w:val="00C63A3E"/>
    <w:rsid w:val="00C63B57"/>
    <w:rsid w:val="00C63B7C"/>
    <w:rsid w:val="00C654F2"/>
    <w:rsid w:val="00C65BA0"/>
    <w:rsid w:val="00C679AD"/>
    <w:rsid w:val="00C67AE8"/>
    <w:rsid w:val="00C70809"/>
    <w:rsid w:val="00C70B4A"/>
    <w:rsid w:val="00C70DB0"/>
    <w:rsid w:val="00C71028"/>
    <w:rsid w:val="00C7210F"/>
    <w:rsid w:val="00C743C3"/>
    <w:rsid w:val="00C748B1"/>
    <w:rsid w:val="00C74979"/>
    <w:rsid w:val="00C75AAF"/>
    <w:rsid w:val="00C765D9"/>
    <w:rsid w:val="00C802F7"/>
    <w:rsid w:val="00C817A2"/>
    <w:rsid w:val="00C82649"/>
    <w:rsid w:val="00C82753"/>
    <w:rsid w:val="00C83443"/>
    <w:rsid w:val="00C8346F"/>
    <w:rsid w:val="00C84E5C"/>
    <w:rsid w:val="00C85C4F"/>
    <w:rsid w:val="00C8600F"/>
    <w:rsid w:val="00C86EFA"/>
    <w:rsid w:val="00C87264"/>
    <w:rsid w:val="00C8795B"/>
    <w:rsid w:val="00C87E98"/>
    <w:rsid w:val="00C9132B"/>
    <w:rsid w:val="00C91F54"/>
    <w:rsid w:val="00C924F7"/>
    <w:rsid w:val="00C927C1"/>
    <w:rsid w:val="00C92B60"/>
    <w:rsid w:val="00C94086"/>
    <w:rsid w:val="00C94F56"/>
    <w:rsid w:val="00C95DD9"/>
    <w:rsid w:val="00C96A4A"/>
    <w:rsid w:val="00C97592"/>
    <w:rsid w:val="00C97E85"/>
    <w:rsid w:val="00CA008B"/>
    <w:rsid w:val="00CA0800"/>
    <w:rsid w:val="00CA0DF1"/>
    <w:rsid w:val="00CA172C"/>
    <w:rsid w:val="00CA19C4"/>
    <w:rsid w:val="00CA1BE8"/>
    <w:rsid w:val="00CA252E"/>
    <w:rsid w:val="00CA30A8"/>
    <w:rsid w:val="00CA39B8"/>
    <w:rsid w:val="00CA4A08"/>
    <w:rsid w:val="00CA4F5F"/>
    <w:rsid w:val="00CA50DB"/>
    <w:rsid w:val="00CA52D9"/>
    <w:rsid w:val="00CA6039"/>
    <w:rsid w:val="00CA64D7"/>
    <w:rsid w:val="00CA655B"/>
    <w:rsid w:val="00CA7A9E"/>
    <w:rsid w:val="00CB0A0D"/>
    <w:rsid w:val="00CB0DE5"/>
    <w:rsid w:val="00CB10FF"/>
    <w:rsid w:val="00CB1696"/>
    <w:rsid w:val="00CB1AB4"/>
    <w:rsid w:val="00CB2EA9"/>
    <w:rsid w:val="00CB3185"/>
    <w:rsid w:val="00CB4C97"/>
    <w:rsid w:val="00CB5B72"/>
    <w:rsid w:val="00CB62DD"/>
    <w:rsid w:val="00CB754E"/>
    <w:rsid w:val="00CB7616"/>
    <w:rsid w:val="00CC01DF"/>
    <w:rsid w:val="00CC0D50"/>
    <w:rsid w:val="00CC0D76"/>
    <w:rsid w:val="00CC1487"/>
    <w:rsid w:val="00CC2893"/>
    <w:rsid w:val="00CC52AB"/>
    <w:rsid w:val="00CC632A"/>
    <w:rsid w:val="00CC66C1"/>
    <w:rsid w:val="00CC67E9"/>
    <w:rsid w:val="00CC6A51"/>
    <w:rsid w:val="00CC7703"/>
    <w:rsid w:val="00CD0D18"/>
    <w:rsid w:val="00CD142E"/>
    <w:rsid w:val="00CD1D48"/>
    <w:rsid w:val="00CD1E15"/>
    <w:rsid w:val="00CD1E22"/>
    <w:rsid w:val="00CD1E70"/>
    <w:rsid w:val="00CD2438"/>
    <w:rsid w:val="00CD2F3C"/>
    <w:rsid w:val="00CD30FF"/>
    <w:rsid w:val="00CD3D2A"/>
    <w:rsid w:val="00CD431D"/>
    <w:rsid w:val="00CD4EF6"/>
    <w:rsid w:val="00CD6158"/>
    <w:rsid w:val="00CD75A6"/>
    <w:rsid w:val="00CD767D"/>
    <w:rsid w:val="00CD7A3F"/>
    <w:rsid w:val="00CE0405"/>
    <w:rsid w:val="00CE04A3"/>
    <w:rsid w:val="00CE1252"/>
    <w:rsid w:val="00CE14AB"/>
    <w:rsid w:val="00CE22D3"/>
    <w:rsid w:val="00CE322F"/>
    <w:rsid w:val="00CE36C3"/>
    <w:rsid w:val="00CE3D7A"/>
    <w:rsid w:val="00CE3FAF"/>
    <w:rsid w:val="00CE4311"/>
    <w:rsid w:val="00CE46BA"/>
    <w:rsid w:val="00CE5730"/>
    <w:rsid w:val="00CE5A1C"/>
    <w:rsid w:val="00CE63FC"/>
    <w:rsid w:val="00CE6BBD"/>
    <w:rsid w:val="00CE6D57"/>
    <w:rsid w:val="00CE7B5F"/>
    <w:rsid w:val="00CF07F3"/>
    <w:rsid w:val="00CF0FCD"/>
    <w:rsid w:val="00CF2BE6"/>
    <w:rsid w:val="00CF2FDB"/>
    <w:rsid w:val="00CF491E"/>
    <w:rsid w:val="00CF5023"/>
    <w:rsid w:val="00CF553A"/>
    <w:rsid w:val="00CF624D"/>
    <w:rsid w:val="00CF6985"/>
    <w:rsid w:val="00CF6A1E"/>
    <w:rsid w:val="00CF6D6A"/>
    <w:rsid w:val="00CF7AC5"/>
    <w:rsid w:val="00CF7B57"/>
    <w:rsid w:val="00CF7C68"/>
    <w:rsid w:val="00D00755"/>
    <w:rsid w:val="00D00FBF"/>
    <w:rsid w:val="00D015FB"/>
    <w:rsid w:val="00D01B42"/>
    <w:rsid w:val="00D02D94"/>
    <w:rsid w:val="00D03006"/>
    <w:rsid w:val="00D03A73"/>
    <w:rsid w:val="00D03E58"/>
    <w:rsid w:val="00D04E63"/>
    <w:rsid w:val="00D0594C"/>
    <w:rsid w:val="00D05A17"/>
    <w:rsid w:val="00D06188"/>
    <w:rsid w:val="00D066C3"/>
    <w:rsid w:val="00D066F4"/>
    <w:rsid w:val="00D06A5C"/>
    <w:rsid w:val="00D06F6F"/>
    <w:rsid w:val="00D072C6"/>
    <w:rsid w:val="00D07332"/>
    <w:rsid w:val="00D10769"/>
    <w:rsid w:val="00D11035"/>
    <w:rsid w:val="00D115A0"/>
    <w:rsid w:val="00D12126"/>
    <w:rsid w:val="00D12B28"/>
    <w:rsid w:val="00D12B62"/>
    <w:rsid w:val="00D12BB5"/>
    <w:rsid w:val="00D12C4F"/>
    <w:rsid w:val="00D13180"/>
    <w:rsid w:val="00D133F4"/>
    <w:rsid w:val="00D136F7"/>
    <w:rsid w:val="00D152E8"/>
    <w:rsid w:val="00D15F83"/>
    <w:rsid w:val="00D1773B"/>
    <w:rsid w:val="00D204E9"/>
    <w:rsid w:val="00D216A6"/>
    <w:rsid w:val="00D21BCB"/>
    <w:rsid w:val="00D22097"/>
    <w:rsid w:val="00D229F3"/>
    <w:rsid w:val="00D23474"/>
    <w:rsid w:val="00D23599"/>
    <w:rsid w:val="00D26CF7"/>
    <w:rsid w:val="00D271CD"/>
    <w:rsid w:val="00D304E8"/>
    <w:rsid w:val="00D30688"/>
    <w:rsid w:val="00D30F0E"/>
    <w:rsid w:val="00D31A98"/>
    <w:rsid w:val="00D31CC7"/>
    <w:rsid w:val="00D326FB"/>
    <w:rsid w:val="00D33DD9"/>
    <w:rsid w:val="00D340DF"/>
    <w:rsid w:val="00D3429A"/>
    <w:rsid w:val="00D34918"/>
    <w:rsid w:val="00D34A19"/>
    <w:rsid w:val="00D353BF"/>
    <w:rsid w:val="00D364BB"/>
    <w:rsid w:val="00D372F4"/>
    <w:rsid w:val="00D4052D"/>
    <w:rsid w:val="00D408B4"/>
    <w:rsid w:val="00D40931"/>
    <w:rsid w:val="00D40A51"/>
    <w:rsid w:val="00D42056"/>
    <w:rsid w:val="00D42A1D"/>
    <w:rsid w:val="00D430C3"/>
    <w:rsid w:val="00D43184"/>
    <w:rsid w:val="00D43C0C"/>
    <w:rsid w:val="00D449C4"/>
    <w:rsid w:val="00D4551B"/>
    <w:rsid w:val="00D45E44"/>
    <w:rsid w:val="00D46395"/>
    <w:rsid w:val="00D4695C"/>
    <w:rsid w:val="00D47C89"/>
    <w:rsid w:val="00D50486"/>
    <w:rsid w:val="00D51610"/>
    <w:rsid w:val="00D51723"/>
    <w:rsid w:val="00D51DA5"/>
    <w:rsid w:val="00D522E7"/>
    <w:rsid w:val="00D52CE9"/>
    <w:rsid w:val="00D53068"/>
    <w:rsid w:val="00D53117"/>
    <w:rsid w:val="00D5373B"/>
    <w:rsid w:val="00D53A3A"/>
    <w:rsid w:val="00D53AC5"/>
    <w:rsid w:val="00D546CD"/>
    <w:rsid w:val="00D54FE4"/>
    <w:rsid w:val="00D55B60"/>
    <w:rsid w:val="00D55CE3"/>
    <w:rsid w:val="00D55FA9"/>
    <w:rsid w:val="00D5627C"/>
    <w:rsid w:val="00D5728C"/>
    <w:rsid w:val="00D604D1"/>
    <w:rsid w:val="00D623F8"/>
    <w:rsid w:val="00D62EF8"/>
    <w:rsid w:val="00D62F9D"/>
    <w:rsid w:val="00D630E0"/>
    <w:rsid w:val="00D6356F"/>
    <w:rsid w:val="00D63C22"/>
    <w:rsid w:val="00D64242"/>
    <w:rsid w:val="00D6509E"/>
    <w:rsid w:val="00D66292"/>
    <w:rsid w:val="00D66D0C"/>
    <w:rsid w:val="00D67D05"/>
    <w:rsid w:val="00D708D2"/>
    <w:rsid w:val="00D709A9"/>
    <w:rsid w:val="00D70AA7"/>
    <w:rsid w:val="00D71555"/>
    <w:rsid w:val="00D72082"/>
    <w:rsid w:val="00D72C4F"/>
    <w:rsid w:val="00D72DE2"/>
    <w:rsid w:val="00D73231"/>
    <w:rsid w:val="00D73BF9"/>
    <w:rsid w:val="00D7486A"/>
    <w:rsid w:val="00D7668A"/>
    <w:rsid w:val="00D76CD6"/>
    <w:rsid w:val="00D7717D"/>
    <w:rsid w:val="00D77E30"/>
    <w:rsid w:val="00D803C4"/>
    <w:rsid w:val="00D80FEA"/>
    <w:rsid w:val="00D810D7"/>
    <w:rsid w:val="00D81948"/>
    <w:rsid w:val="00D8215C"/>
    <w:rsid w:val="00D8300B"/>
    <w:rsid w:val="00D835F6"/>
    <w:rsid w:val="00D859BA"/>
    <w:rsid w:val="00D85BB9"/>
    <w:rsid w:val="00D86742"/>
    <w:rsid w:val="00D9070D"/>
    <w:rsid w:val="00D910B2"/>
    <w:rsid w:val="00D915EA"/>
    <w:rsid w:val="00D93298"/>
    <w:rsid w:val="00D95114"/>
    <w:rsid w:val="00D95910"/>
    <w:rsid w:val="00D963C5"/>
    <w:rsid w:val="00D96954"/>
    <w:rsid w:val="00D970DA"/>
    <w:rsid w:val="00D9779B"/>
    <w:rsid w:val="00DA08B0"/>
    <w:rsid w:val="00DA18B9"/>
    <w:rsid w:val="00DA1E43"/>
    <w:rsid w:val="00DA2634"/>
    <w:rsid w:val="00DA2CD8"/>
    <w:rsid w:val="00DA5DB4"/>
    <w:rsid w:val="00DA7A73"/>
    <w:rsid w:val="00DA7BDA"/>
    <w:rsid w:val="00DB0565"/>
    <w:rsid w:val="00DB0567"/>
    <w:rsid w:val="00DB0641"/>
    <w:rsid w:val="00DB14AE"/>
    <w:rsid w:val="00DB18B0"/>
    <w:rsid w:val="00DB3593"/>
    <w:rsid w:val="00DB36E8"/>
    <w:rsid w:val="00DB4209"/>
    <w:rsid w:val="00DB42BF"/>
    <w:rsid w:val="00DB63D3"/>
    <w:rsid w:val="00DB704C"/>
    <w:rsid w:val="00DB7420"/>
    <w:rsid w:val="00DB7435"/>
    <w:rsid w:val="00DB7839"/>
    <w:rsid w:val="00DB7B70"/>
    <w:rsid w:val="00DB7CA8"/>
    <w:rsid w:val="00DC0672"/>
    <w:rsid w:val="00DC082F"/>
    <w:rsid w:val="00DC0D8A"/>
    <w:rsid w:val="00DC0E9C"/>
    <w:rsid w:val="00DC1B73"/>
    <w:rsid w:val="00DC2168"/>
    <w:rsid w:val="00DC243F"/>
    <w:rsid w:val="00DC2763"/>
    <w:rsid w:val="00DC3662"/>
    <w:rsid w:val="00DC4466"/>
    <w:rsid w:val="00DC48B5"/>
    <w:rsid w:val="00DC4D8A"/>
    <w:rsid w:val="00DC5630"/>
    <w:rsid w:val="00DC5B8A"/>
    <w:rsid w:val="00DC603F"/>
    <w:rsid w:val="00DC63AD"/>
    <w:rsid w:val="00DC6DBF"/>
    <w:rsid w:val="00DC6DFE"/>
    <w:rsid w:val="00DC6FAB"/>
    <w:rsid w:val="00DC6FCB"/>
    <w:rsid w:val="00DC77E5"/>
    <w:rsid w:val="00DD2766"/>
    <w:rsid w:val="00DD4D27"/>
    <w:rsid w:val="00DD4D36"/>
    <w:rsid w:val="00DD4E37"/>
    <w:rsid w:val="00DD5048"/>
    <w:rsid w:val="00DD70ED"/>
    <w:rsid w:val="00DE0259"/>
    <w:rsid w:val="00DE0989"/>
    <w:rsid w:val="00DE0B7B"/>
    <w:rsid w:val="00DE110B"/>
    <w:rsid w:val="00DE1136"/>
    <w:rsid w:val="00DE1CB6"/>
    <w:rsid w:val="00DE1D38"/>
    <w:rsid w:val="00DE24A5"/>
    <w:rsid w:val="00DE31CA"/>
    <w:rsid w:val="00DE382D"/>
    <w:rsid w:val="00DE3B1B"/>
    <w:rsid w:val="00DE3F8B"/>
    <w:rsid w:val="00DE49CF"/>
    <w:rsid w:val="00DE4A75"/>
    <w:rsid w:val="00DE5188"/>
    <w:rsid w:val="00DE5C52"/>
    <w:rsid w:val="00DE6DB9"/>
    <w:rsid w:val="00DE6E3F"/>
    <w:rsid w:val="00DE6E4C"/>
    <w:rsid w:val="00DE7314"/>
    <w:rsid w:val="00DE7B36"/>
    <w:rsid w:val="00DE7FD2"/>
    <w:rsid w:val="00DF03BC"/>
    <w:rsid w:val="00DF45C1"/>
    <w:rsid w:val="00DF69CD"/>
    <w:rsid w:val="00DF7F24"/>
    <w:rsid w:val="00E0058B"/>
    <w:rsid w:val="00E005E8"/>
    <w:rsid w:val="00E01365"/>
    <w:rsid w:val="00E02237"/>
    <w:rsid w:val="00E02526"/>
    <w:rsid w:val="00E02FB9"/>
    <w:rsid w:val="00E04F0B"/>
    <w:rsid w:val="00E0606D"/>
    <w:rsid w:val="00E0699E"/>
    <w:rsid w:val="00E07061"/>
    <w:rsid w:val="00E07A94"/>
    <w:rsid w:val="00E07B7C"/>
    <w:rsid w:val="00E10866"/>
    <w:rsid w:val="00E12026"/>
    <w:rsid w:val="00E12590"/>
    <w:rsid w:val="00E12CA3"/>
    <w:rsid w:val="00E14347"/>
    <w:rsid w:val="00E1475D"/>
    <w:rsid w:val="00E14826"/>
    <w:rsid w:val="00E150EC"/>
    <w:rsid w:val="00E15518"/>
    <w:rsid w:val="00E15718"/>
    <w:rsid w:val="00E16416"/>
    <w:rsid w:val="00E17251"/>
    <w:rsid w:val="00E17416"/>
    <w:rsid w:val="00E1768E"/>
    <w:rsid w:val="00E17AD2"/>
    <w:rsid w:val="00E207B1"/>
    <w:rsid w:val="00E21070"/>
    <w:rsid w:val="00E21F16"/>
    <w:rsid w:val="00E223E4"/>
    <w:rsid w:val="00E225B8"/>
    <w:rsid w:val="00E22CB4"/>
    <w:rsid w:val="00E25BDB"/>
    <w:rsid w:val="00E263C1"/>
    <w:rsid w:val="00E266D9"/>
    <w:rsid w:val="00E30B4A"/>
    <w:rsid w:val="00E330B6"/>
    <w:rsid w:val="00E33E12"/>
    <w:rsid w:val="00E34FCB"/>
    <w:rsid w:val="00E3515C"/>
    <w:rsid w:val="00E351A3"/>
    <w:rsid w:val="00E353C2"/>
    <w:rsid w:val="00E353FB"/>
    <w:rsid w:val="00E3540D"/>
    <w:rsid w:val="00E35EC0"/>
    <w:rsid w:val="00E35F97"/>
    <w:rsid w:val="00E36615"/>
    <w:rsid w:val="00E367E3"/>
    <w:rsid w:val="00E372AC"/>
    <w:rsid w:val="00E37321"/>
    <w:rsid w:val="00E37B1F"/>
    <w:rsid w:val="00E37CEA"/>
    <w:rsid w:val="00E400AD"/>
    <w:rsid w:val="00E40440"/>
    <w:rsid w:val="00E409EB"/>
    <w:rsid w:val="00E4103A"/>
    <w:rsid w:val="00E41755"/>
    <w:rsid w:val="00E437CC"/>
    <w:rsid w:val="00E4455E"/>
    <w:rsid w:val="00E4476D"/>
    <w:rsid w:val="00E452DA"/>
    <w:rsid w:val="00E45C3F"/>
    <w:rsid w:val="00E46D08"/>
    <w:rsid w:val="00E4701F"/>
    <w:rsid w:val="00E471B2"/>
    <w:rsid w:val="00E471D5"/>
    <w:rsid w:val="00E5066D"/>
    <w:rsid w:val="00E51714"/>
    <w:rsid w:val="00E51BA2"/>
    <w:rsid w:val="00E51CE9"/>
    <w:rsid w:val="00E51E3C"/>
    <w:rsid w:val="00E52B1A"/>
    <w:rsid w:val="00E52D8B"/>
    <w:rsid w:val="00E52F35"/>
    <w:rsid w:val="00E5354F"/>
    <w:rsid w:val="00E53A94"/>
    <w:rsid w:val="00E53A9A"/>
    <w:rsid w:val="00E54128"/>
    <w:rsid w:val="00E54AE0"/>
    <w:rsid w:val="00E5626B"/>
    <w:rsid w:val="00E56701"/>
    <w:rsid w:val="00E56850"/>
    <w:rsid w:val="00E56B60"/>
    <w:rsid w:val="00E600ED"/>
    <w:rsid w:val="00E603A2"/>
    <w:rsid w:val="00E606F1"/>
    <w:rsid w:val="00E608E6"/>
    <w:rsid w:val="00E60C2C"/>
    <w:rsid w:val="00E60D04"/>
    <w:rsid w:val="00E63492"/>
    <w:rsid w:val="00E6364B"/>
    <w:rsid w:val="00E636D2"/>
    <w:rsid w:val="00E65F5E"/>
    <w:rsid w:val="00E66AEE"/>
    <w:rsid w:val="00E66BDA"/>
    <w:rsid w:val="00E70CC5"/>
    <w:rsid w:val="00E711EC"/>
    <w:rsid w:val="00E7130E"/>
    <w:rsid w:val="00E71917"/>
    <w:rsid w:val="00E7271B"/>
    <w:rsid w:val="00E72A54"/>
    <w:rsid w:val="00E73A7A"/>
    <w:rsid w:val="00E73C3E"/>
    <w:rsid w:val="00E73CD9"/>
    <w:rsid w:val="00E745EA"/>
    <w:rsid w:val="00E75189"/>
    <w:rsid w:val="00E76972"/>
    <w:rsid w:val="00E7744B"/>
    <w:rsid w:val="00E776D2"/>
    <w:rsid w:val="00E77D9B"/>
    <w:rsid w:val="00E80C7D"/>
    <w:rsid w:val="00E814F1"/>
    <w:rsid w:val="00E8243B"/>
    <w:rsid w:val="00E82A23"/>
    <w:rsid w:val="00E82E7B"/>
    <w:rsid w:val="00E83A66"/>
    <w:rsid w:val="00E84E2B"/>
    <w:rsid w:val="00E858F2"/>
    <w:rsid w:val="00E85B56"/>
    <w:rsid w:val="00E867C5"/>
    <w:rsid w:val="00E87BA4"/>
    <w:rsid w:val="00E87BF2"/>
    <w:rsid w:val="00E9031B"/>
    <w:rsid w:val="00E912F9"/>
    <w:rsid w:val="00E915F0"/>
    <w:rsid w:val="00E91DEE"/>
    <w:rsid w:val="00E93411"/>
    <w:rsid w:val="00E935FE"/>
    <w:rsid w:val="00E93C73"/>
    <w:rsid w:val="00E93DD6"/>
    <w:rsid w:val="00E952CF"/>
    <w:rsid w:val="00EA0D4F"/>
    <w:rsid w:val="00EA0FE3"/>
    <w:rsid w:val="00EA1545"/>
    <w:rsid w:val="00EA1F1C"/>
    <w:rsid w:val="00EA26A6"/>
    <w:rsid w:val="00EA27B3"/>
    <w:rsid w:val="00EA32E2"/>
    <w:rsid w:val="00EA3529"/>
    <w:rsid w:val="00EA385B"/>
    <w:rsid w:val="00EA5455"/>
    <w:rsid w:val="00EA64A7"/>
    <w:rsid w:val="00EA6ACF"/>
    <w:rsid w:val="00EA7C8F"/>
    <w:rsid w:val="00EB0402"/>
    <w:rsid w:val="00EB0BC9"/>
    <w:rsid w:val="00EB1BE1"/>
    <w:rsid w:val="00EB203E"/>
    <w:rsid w:val="00EB260D"/>
    <w:rsid w:val="00EB4399"/>
    <w:rsid w:val="00EB4788"/>
    <w:rsid w:val="00EB5921"/>
    <w:rsid w:val="00EB65F1"/>
    <w:rsid w:val="00EB673B"/>
    <w:rsid w:val="00EB70F4"/>
    <w:rsid w:val="00EC09A2"/>
    <w:rsid w:val="00EC1171"/>
    <w:rsid w:val="00EC1174"/>
    <w:rsid w:val="00EC12C2"/>
    <w:rsid w:val="00EC2B4C"/>
    <w:rsid w:val="00EC31E9"/>
    <w:rsid w:val="00EC4289"/>
    <w:rsid w:val="00EC59B9"/>
    <w:rsid w:val="00EC5ACD"/>
    <w:rsid w:val="00EC5B58"/>
    <w:rsid w:val="00EC5DAE"/>
    <w:rsid w:val="00EC63BE"/>
    <w:rsid w:val="00EC6759"/>
    <w:rsid w:val="00EC742B"/>
    <w:rsid w:val="00ED0CE0"/>
    <w:rsid w:val="00ED1C05"/>
    <w:rsid w:val="00ED1DC7"/>
    <w:rsid w:val="00ED1EA2"/>
    <w:rsid w:val="00ED2F11"/>
    <w:rsid w:val="00ED56F4"/>
    <w:rsid w:val="00ED5C6F"/>
    <w:rsid w:val="00ED6C24"/>
    <w:rsid w:val="00EE0E38"/>
    <w:rsid w:val="00EE1657"/>
    <w:rsid w:val="00EE1754"/>
    <w:rsid w:val="00EE17DB"/>
    <w:rsid w:val="00EE2273"/>
    <w:rsid w:val="00EE2CF1"/>
    <w:rsid w:val="00EE41BF"/>
    <w:rsid w:val="00EE5E3D"/>
    <w:rsid w:val="00EE5EA5"/>
    <w:rsid w:val="00EE5F05"/>
    <w:rsid w:val="00EE606F"/>
    <w:rsid w:val="00EE62F5"/>
    <w:rsid w:val="00EE7310"/>
    <w:rsid w:val="00EF17EC"/>
    <w:rsid w:val="00EF197B"/>
    <w:rsid w:val="00EF19BE"/>
    <w:rsid w:val="00EF1DB6"/>
    <w:rsid w:val="00EF2361"/>
    <w:rsid w:val="00EF24C4"/>
    <w:rsid w:val="00EF316A"/>
    <w:rsid w:val="00EF53E0"/>
    <w:rsid w:val="00EF56C6"/>
    <w:rsid w:val="00EF5A40"/>
    <w:rsid w:val="00EF6D04"/>
    <w:rsid w:val="00EF72F5"/>
    <w:rsid w:val="00EF7650"/>
    <w:rsid w:val="00F000C6"/>
    <w:rsid w:val="00F009EA"/>
    <w:rsid w:val="00F00EB9"/>
    <w:rsid w:val="00F011B4"/>
    <w:rsid w:val="00F0182B"/>
    <w:rsid w:val="00F019C1"/>
    <w:rsid w:val="00F028E5"/>
    <w:rsid w:val="00F034C9"/>
    <w:rsid w:val="00F039BA"/>
    <w:rsid w:val="00F042A8"/>
    <w:rsid w:val="00F0467F"/>
    <w:rsid w:val="00F05887"/>
    <w:rsid w:val="00F058FE"/>
    <w:rsid w:val="00F05DFF"/>
    <w:rsid w:val="00F06000"/>
    <w:rsid w:val="00F06B0B"/>
    <w:rsid w:val="00F07FAF"/>
    <w:rsid w:val="00F10B6F"/>
    <w:rsid w:val="00F10D9B"/>
    <w:rsid w:val="00F129D3"/>
    <w:rsid w:val="00F12C37"/>
    <w:rsid w:val="00F13310"/>
    <w:rsid w:val="00F13EF1"/>
    <w:rsid w:val="00F14ED6"/>
    <w:rsid w:val="00F15B5B"/>
    <w:rsid w:val="00F16213"/>
    <w:rsid w:val="00F1656D"/>
    <w:rsid w:val="00F178D4"/>
    <w:rsid w:val="00F20EB5"/>
    <w:rsid w:val="00F21AB1"/>
    <w:rsid w:val="00F21C50"/>
    <w:rsid w:val="00F22A4B"/>
    <w:rsid w:val="00F22C5F"/>
    <w:rsid w:val="00F23585"/>
    <w:rsid w:val="00F23BEF"/>
    <w:rsid w:val="00F240BF"/>
    <w:rsid w:val="00F24970"/>
    <w:rsid w:val="00F314C1"/>
    <w:rsid w:val="00F320AB"/>
    <w:rsid w:val="00F353DF"/>
    <w:rsid w:val="00F35C20"/>
    <w:rsid w:val="00F35F0C"/>
    <w:rsid w:val="00F36693"/>
    <w:rsid w:val="00F371ED"/>
    <w:rsid w:val="00F37AF6"/>
    <w:rsid w:val="00F40336"/>
    <w:rsid w:val="00F4058F"/>
    <w:rsid w:val="00F41289"/>
    <w:rsid w:val="00F41310"/>
    <w:rsid w:val="00F4316C"/>
    <w:rsid w:val="00F432B5"/>
    <w:rsid w:val="00F43450"/>
    <w:rsid w:val="00F439E3"/>
    <w:rsid w:val="00F43BF0"/>
    <w:rsid w:val="00F4445B"/>
    <w:rsid w:val="00F44BAA"/>
    <w:rsid w:val="00F44F73"/>
    <w:rsid w:val="00F45502"/>
    <w:rsid w:val="00F458A8"/>
    <w:rsid w:val="00F45A45"/>
    <w:rsid w:val="00F45C0A"/>
    <w:rsid w:val="00F464DD"/>
    <w:rsid w:val="00F46F55"/>
    <w:rsid w:val="00F4705E"/>
    <w:rsid w:val="00F4711F"/>
    <w:rsid w:val="00F47F11"/>
    <w:rsid w:val="00F504B3"/>
    <w:rsid w:val="00F50748"/>
    <w:rsid w:val="00F50F7A"/>
    <w:rsid w:val="00F51218"/>
    <w:rsid w:val="00F516AD"/>
    <w:rsid w:val="00F51962"/>
    <w:rsid w:val="00F51F0B"/>
    <w:rsid w:val="00F52828"/>
    <w:rsid w:val="00F5395C"/>
    <w:rsid w:val="00F541F2"/>
    <w:rsid w:val="00F549D5"/>
    <w:rsid w:val="00F55C6F"/>
    <w:rsid w:val="00F568A2"/>
    <w:rsid w:val="00F56E8C"/>
    <w:rsid w:val="00F60F53"/>
    <w:rsid w:val="00F62818"/>
    <w:rsid w:val="00F62AF3"/>
    <w:rsid w:val="00F63D75"/>
    <w:rsid w:val="00F65D79"/>
    <w:rsid w:val="00F6734A"/>
    <w:rsid w:val="00F70009"/>
    <w:rsid w:val="00F7257A"/>
    <w:rsid w:val="00F728C5"/>
    <w:rsid w:val="00F72A6B"/>
    <w:rsid w:val="00F73FD6"/>
    <w:rsid w:val="00F7468A"/>
    <w:rsid w:val="00F75899"/>
    <w:rsid w:val="00F75CC1"/>
    <w:rsid w:val="00F76C23"/>
    <w:rsid w:val="00F76F52"/>
    <w:rsid w:val="00F80310"/>
    <w:rsid w:val="00F81781"/>
    <w:rsid w:val="00F82343"/>
    <w:rsid w:val="00F8262D"/>
    <w:rsid w:val="00F828CD"/>
    <w:rsid w:val="00F83308"/>
    <w:rsid w:val="00F834B9"/>
    <w:rsid w:val="00F83C6E"/>
    <w:rsid w:val="00F84456"/>
    <w:rsid w:val="00F84F33"/>
    <w:rsid w:val="00F8546E"/>
    <w:rsid w:val="00F855C0"/>
    <w:rsid w:val="00F86E2B"/>
    <w:rsid w:val="00F90AB5"/>
    <w:rsid w:val="00F911C2"/>
    <w:rsid w:val="00F912AC"/>
    <w:rsid w:val="00F91BCC"/>
    <w:rsid w:val="00F91C85"/>
    <w:rsid w:val="00F92179"/>
    <w:rsid w:val="00F93565"/>
    <w:rsid w:val="00F93599"/>
    <w:rsid w:val="00F956F2"/>
    <w:rsid w:val="00F96085"/>
    <w:rsid w:val="00F96C78"/>
    <w:rsid w:val="00F97069"/>
    <w:rsid w:val="00F977AA"/>
    <w:rsid w:val="00F97DD2"/>
    <w:rsid w:val="00FA09C8"/>
    <w:rsid w:val="00FA0E0D"/>
    <w:rsid w:val="00FA0E2B"/>
    <w:rsid w:val="00FA188C"/>
    <w:rsid w:val="00FA1C19"/>
    <w:rsid w:val="00FA1EBF"/>
    <w:rsid w:val="00FA2831"/>
    <w:rsid w:val="00FA2BA0"/>
    <w:rsid w:val="00FA3BFC"/>
    <w:rsid w:val="00FA4B25"/>
    <w:rsid w:val="00FA553C"/>
    <w:rsid w:val="00FA5E66"/>
    <w:rsid w:val="00FA6355"/>
    <w:rsid w:val="00FA6372"/>
    <w:rsid w:val="00FA71BC"/>
    <w:rsid w:val="00FA7945"/>
    <w:rsid w:val="00FB0B1D"/>
    <w:rsid w:val="00FB1BC9"/>
    <w:rsid w:val="00FB1C06"/>
    <w:rsid w:val="00FB2308"/>
    <w:rsid w:val="00FB2A4D"/>
    <w:rsid w:val="00FB2B8D"/>
    <w:rsid w:val="00FB3302"/>
    <w:rsid w:val="00FB37E1"/>
    <w:rsid w:val="00FB39D7"/>
    <w:rsid w:val="00FB413C"/>
    <w:rsid w:val="00FB4DBB"/>
    <w:rsid w:val="00FB501A"/>
    <w:rsid w:val="00FB5429"/>
    <w:rsid w:val="00FB545D"/>
    <w:rsid w:val="00FB59FF"/>
    <w:rsid w:val="00FB5CB2"/>
    <w:rsid w:val="00FB61E5"/>
    <w:rsid w:val="00FB6346"/>
    <w:rsid w:val="00FB6EED"/>
    <w:rsid w:val="00FB6F48"/>
    <w:rsid w:val="00FB7216"/>
    <w:rsid w:val="00FC03A4"/>
    <w:rsid w:val="00FC0564"/>
    <w:rsid w:val="00FC10C8"/>
    <w:rsid w:val="00FC1EE3"/>
    <w:rsid w:val="00FC2FD3"/>
    <w:rsid w:val="00FC3145"/>
    <w:rsid w:val="00FC372B"/>
    <w:rsid w:val="00FC3D2E"/>
    <w:rsid w:val="00FC5B47"/>
    <w:rsid w:val="00FC5EC5"/>
    <w:rsid w:val="00FC675D"/>
    <w:rsid w:val="00FC7EC0"/>
    <w:rsid w:val="00FC7F39"/>
    <w:rsid w:val="00FC7F44"/>
    <w:rsid w:val="00FD3387"/>
    <w:rsid w:val="00FD41F0"/>
    <w:rsid w:val="00FD4435"/>
    <w:rsid w:val="00FD4854"/>
    <w:rsid w:val="00FD5045"/>
    <w:rsid w:val="00FD6D67"/>
    <w:rsid w:val="00FD77C5"/>
    <w:rsid w:val="00FD7B5F"/>
    <w:rsid w:val="00FE1E3E"/>
    <w:rsid w:val="00FE22C0"/>
    <w:rsid w:val="00FE2B05"/>
    <w:rsid w:val="00FE3521"/>
    <w:rsid w:val="00FE3568"/>
    <w:rsid w:val="00FE49B4"/>
    <w:rsid w:val="00FE4B9B"/>
    <w:rsid w:val="00FE619F"/>
    <w:rsid w:val="00FE67D8"/>
    <w:rsid w:val="00FE78F0"/>
    <w:rsid w:val="00FE7E49"/>
    <w:rsid w:val="00FE7EAA"/>
    <w:rsid w:val="00FE7FFB"/>
    <w:rsid w:val="00FF0F1B"/>
    <w:rsid w:val="00FF11E1"/>
    <w:rsid w:val="00FF3816"/>
    <w:rsid w:val="00FF3D84"/>
    <w:rsid w:val="00FF431D"/>
    <w:rsid w:val="00FF4620"/>
    <w:rsid w:val="00FF4E60"/>
    <w:rsid w:val="00FF7901"/>
    <w:rsid w:val="00FF7D59"/>
    <w:rsid w:val="00FF7D7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40DB9"/>
  <w15:chartTrackingRefBased/>
  <w15:docId w15:val="{1D9D3C61-F3C0-4503-A125-0869E5D6F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72D"/>
    <w:pPr>
      <w:spacing w:line="480" w:lineRule="auto"/>
      <w:ind w:firstLine="720"/>
      <w:jc w:val="both"/>
    </w:pPr>
    <w:rPr>
      <w:rFonts w:ascii="Times New Roman" w:hAnsi="Times New Roman" w:cs="Times New Roman"/>
      <w:color w:val="000000" w:themeColor="text1"/>
    </w:rPr>
  </w:style>
  <w:style w:type="paragraph" w:styleId="Heading1">
    <w:name w:val="heading 1"/>
    <w:basedOn w:val="Normal"/>
    <w:next w:val="Normal"/>
    <w:link w:val="Heading1Char"/>
    <w:uiPriority w:val="9"/>
    <w:qFormat/>
    <w:rsid w:val="003F572D"/>
    <w:pPr>
      <w:keepNext/>
      <w:keepLines/>
      <w:spacing w:before="120" w:after="120"/>
      <w:ind w:firstLine="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6349DC"/>
    <w:pPr>
      <w:keepNext/>
      <w:keepLines/>
      <w:spacing w:before="120" w:after="120"/>
      <w:ind w:firstLine="0"/>
      <w:outlineLvl w:val="1"/>
    </w:pPr>
    <w:rPr>
      <w:rFonts w:asciiTheme="majorBidi" w:eastAsiaTheme="majorEastAsia" w:hAnsiTheme="majorBidi" w:cstheme="majorBidi"/>
      <w:b/>
      <w:bCs/>
    </w:rPr>
  </w:style>
  <w:style w:type="paragraph" w:styleId="Heading3">
    <w:name w:val="heading 3"/>
    <w:basedOn w:val="Normal"/>
    <w:next w:val="Normal"/>
    <w:link w:val="Heading3Char"/>
    <w:uiPriority w:val="9"/>
    <w:unhideWhenUsed/>
    <w:qFormat/>
    <w:rsid w:val="00116D32"/>
    <w:pPr>
      <w:keepNext/>
      <w:keepLines/>
      <w:numPr>
        <w:numId w:val="35"/>
      </w:numPr>
      <w:spacing w:before="40"/>
      <w:outlineLvl w:val="2"/>
    </w:pPr>
    <w:rPr>
      <w:rFonts w:asciiTheme="majorBidi" w:eastAsiaTheme="majorEastAsia" w:hAnsiTheme="majorBid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F572D"/>
    <w:rPr>
      <w:sz w:val="16"/>
      <w:szCs w:val="16"/>
    </w:rPr>
  </w:style>
  <w:style w:type="paragraph" w:styleId="CommentText">
    <w:name w:val="annotation text"/>
    <w:basedOn w:val="Normal"/>
    <w:link w:val="CommentTextChar"/>
    <w:uiPriority w:val="99"/>
    <w:unhideWhenUsed/>
    <w:rsid w:val="003F572D"/>
    <w:rPr>
      <w:sz w:val="20"/>
      <w:szCs w:val="20"/>
    </w:rPr>
  </w:style>
  <w:style w:type="character" w:customStyle="1" w:styleId="CommentTextChar">
    <w:name w:val="Comment Text Char"/>
    <w:basedOn w:val="DefaultParagraphFont"/>
    <w:link w:val="CommentText"/>
    <w:uiPriority w:val="99"/>
    <w:rsid w:val="003F572D"/>
    <w:rPr>
      <w:sz w:val="20"/>
      <w:szCs w:val="20"/>
    </w:rPr>
  </w:style>
  <w:style w:type="paragraph" w:styleId="CommentSubject">
    <w:name w:val="annotation subject"/>
    <w:basedOn w:val="CommentText"/>
    <w:next w:val="CommentText"/>
    <w:link w:val="CommentSubjectChar"/>
    <w:uiPriority w:val="99"/>
    <w:semiHidden/>
    <w:unhideWhenUsed/>
    <w:rsid w:val="003F572D"/>
    <w:rPr>
      <w:b/>
      <w:bCs/>
    </w:rPr>
  </w:style>
  <w:style w:type="character" w:customStyle="1" w:styleId="CommentSubjectChar">
    <w:name w:val="Comment Subject Char"/>
    <w:basedOn w:val="CommentTextChar"/>
    <w:link w:val="CommentSubject"/>
    <w:uiPriority w:val="99"/>
    <w:semiHidden/>
    <w:rsid w:val="003F572D"/>
    <w:rPr>
      <w:b/>
      <w:bCs/>
      <w:sz w:val="20"/>
      <w:szCs w:val="20"/>
    </w:rPr>
  </w:style>
  <w:style w:type="paragraph" w:styleId="BalloonText">
    <w:name w:val="Balloon Text"/>
    <w:basedOn w:val="Normal"/>
    <w:link w:val="BalloonTextChar"/>
    <w:uiPriority w:val="99"/>
    <w:semiHidden/>
    <w:unhideWhenUsed/>
    <w:rsid w:val="003F572D"/>
    <w:rPr>
      <w:sz w:val="18"/>
      <w:szCs w:val="18"/>
    </w:rPr>
  </w:style>
  <w:style w:type="character" w:customStyle="1" w:styleId="BalloonTextChar">
    <w:name w:val="Balloon Text Char"/>
    <w:basedOn w:val="DefaultParagraphFont"/>
    <w:link w:val="BalloonText"/>
    <w:uiPriority w:val="99"/>
    <w:semiHidden/>
    <w:rsid w:val="003F572D"/>
    <w:rPr>
      <w:rFonts w:ascii="Times New Roman" w:hAnsi="Times New Roman" w:cs="Times New Roman"/>
      <w:sz w:val="18"/>
      <w:szCs w:val="18"/>
    </w:rPr>
  </w:style>
  <w:style w:type="paragraph" w:styleId="Title">
    <w:name w:val="Title"/>
    <w:basedOn w:val="Normal"/>
    <w:next w:val="Normal"/>
    <w:link w:val="TitleChar"/>
    <w:uiPriority w:val="10"/>
    <w:qFormat/>
    <w:rsid w:val="003F572D"/>
    <w:pPr>
      <w:contextualSpacing/>
      <w:jc w:val="center"/>
    </w:pPr>
    <w:rPr>
      <w:rFonts w:eastAsia="Times New Roman"/>
      <w:spacing w:val="-10"/>
      <w:kern w:val="28"/>
      <w:sz w:val="32"/>
      <w:szCs w:val="32"/>
    </w:rPr>
  </w:style>
  <w:style w:type="character" w:customStyle="1" w:styleId="TitleChar">
    <w:name w:val="Title Char"/>
    <w:basedOn w:val="DefaultParagraphFont"/>
    <w:link w:val="Title"/>
    <w:uiPriority w:val="10"/>
    <w:rsid w:val="003F572D"/>
    <w:rPr>
      <w:rFonts w:ascii="Times New Roman" w:eastAsia="Times New Roman" w:hAnsi="Times New Roman" w:cs="Times New Roman"/>
      <w:spacing w:val="-10"/>
      <w:kern w:val="28"/>
      <w:sz w:val="32"/>
      <w:szCs w:val="32"/>
    </w:rPr>
  </w:style>
  <w:style w:type="character" w:customStyle="1" w:styleId="Heading1Char">
    <w:name w:val="Heading 1 Char"/>
    <w:basedOn w:val="DefaultParagraphFont"/>
    <w:link w:val="Heading1"/>
    <w:uiPriority w:val="9"/>
    <w:rsid w:val="003F572D"/>
    <w:rPr>
      <w:rFonts w:ascii="Times New Roman" w:eastAsiaTheme="majorEastAsia" w:hAnsi="Times New Roman" w:cs="Times New Roman"/>
      <w:b/>
      <w:bCs/>
      <w:color w:val="000000" w:themeColor="text1"/>
      <w:sz w:val="28"/>
      <w:szCs w:val="28"/>
    </w:rPr>
  </w:style>
  <w:style w:type="paragraph" w:styleId="ListParagraph">
    <w:name w:val="List Paragraph"/>
    <w:basedOn w:val="Normal"/>
    <w:uiPriority w:val="34"/>
    <w:qFormat/>
    <w:rsid w:val="003F572D"/>
    <w:pPr>
      <w:ind w:left="720"/>
      <w:contextualSpacing/>
    </w:pPr>
  </w:style>
  <w:style w:type="character" w:customStyle="1" w:styleId="Heading2Char">
    <w:name w:val="Heading 2 Char"/>
    <w:basedOn w:val="DefaultParagraphFont"/>
    <w:link w:val="Heading2"/>
    <w:uiPriority w:val="9"/>
    <w:rsid w:val="006349DC"/>
    <w:rPr>
      <w:rFonts w:asciiTheme="majorBidi" w:eastAsiaTheme="majorEastAsia" w:hAnsiTheme="majorBidi" w:cstheme="majorBidi"/>
      <w:b/>
      <w:bCs/>
      <w:color w:val="000000" w:themeColor="text1"/>
    </w:rPr>
  </w:style>
  <w:style w:type="paragraph" w:styleId="Caption">
    <w:name w:val="caption"/>
    <w:basedOn w:val="Normal"/>
    <w:next w:val="Normal"/>
    <w:uiPriority w:val="35"/>
    <w:unhideWhenUsed/>
    <w:qFormat/>
    <w:rsid w:val="001957E3"/>
    <w:pPr>
      <w:spacing w:after="120" w:line="240" w:lineRule="auto"/>
      <w:ind w:firstLine="0"/>
    </w:pPr>
    <w:rPr>
      <w:sz w:val="20"/>
      <w:szCs w:val="20"/>
    </w:rPr>
  </w:style>
  <w:style w:type="character" w:styleId="PlaceholderText">
    <w:name w:val="Placeholder Text"/>
    <w:basedOn w:val="DefaultParagraphFont"/>
    <w:uiPriority w:val="99"/>
    <w:semiHidden/>
    <w:rsid w:val="00A32294"/>
    <w:rPr>
      <w:color w:val="808080"/>
    </w:rPr>
  </w:style>
  <w:style w:type="table" w:styleId="TableGrid">
    <w:name w:val="Table Grid"/>
    <w:basedOn w:val="TableNormal"/>
    <w:uiPriority w:val="39"/>
    <w:rsid w:val="00A3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626DC"/>
    <w:rPr>
      <w:rFonts w:ascii="Times New Roman" w:hAnsi="Times New Roman" w:cs="Times New Roman"/>
      <w:color w:val="000000" w:themeColor="text1"/>
    </w:rPr>
  </w:style>
  <w:style w:type="paragraph" w:styleId="NormalWeb">
    <w:name w:val="Normal (Web)"/>
    <w:basedOn w:val="Normal"/>
    <w:uiPriority w:val="99"/>
    <w:semiHidden/>
    <w:unhideWhenUsed/>
    <w:rsid w:val="000D1ACD"/>
    <w:pPr>
      <w:spacing w:before="100" w:beforeAutospacing="1" w:after="100" w:afterAutospacing="1" w:line="240" w:lineRule="auto"/>
      <w:ind w:firstLine="0"/>
      <w:jc w:val="left"/>
    </w:pPr>
    <w:rPr>
      <w:rFonts w:eastAsia="Times New Roman"/>
      <w:color w:val="auto"/>
      <w:lang w:eastAsia="en-GB"/>
    </w:rPr>
  </w:style>
  <w:style w:type="character" w:customStyle="1" w:styleId="apple-converted-space">
    <w:name w:val="apple-converted-space"/>
    <w:basedOn w:val="DefaultParagraphFont"/>
    <w:rsid w:val="000D1ACD"/>
  </w:style>
  <w:style w:type="character" w:customStyle="1" w:styleId="mark0o9bj7j4h">
    <w:name w:val="mark0o9bj7j4h"/>
    <w:basedOn w:val="DefaultParagraphFont"/>
    <w:rsid w:val="000D1ACD"/>
  </w:style>
  <w:style w:type="character" w:customStyle="1" w:styleId="Heading3Char">
    <w:name w:val="Heading 3 Char"/>
    <w:basedOn w:val="DefaultParagraphFont"/>
    <w:link w:val="Heading3"/>
    <w:uiPriority w:val="9"/>
    <w:rsid w:val="00116D32"/>
    <w:rPr>
      <w:rFonts w:asciiTheme="majorBidi" w:eastAsiaTheme="majorEastAsia" w:hAnsiTheme="majorBidi" w:cstheme="majorBidi"/>
      <w:b/>
      <w:bCs/>
      <w:color w:val="000000" w:themeColor="text1"/>
    </w:rPr>
  </w:style>
  <w:style w:type="paragraph" w:styleId="Header">
    <w:name w:val="header"/>
    <w:basedOn w:val="Normal"/>
    <w:link w:val="HeaderChar"/>
    <w:uiPriority w:val="99"/>
    <w:unhideWhenUsed/>
    <w:rsid w:val="00FC5EC5"/>
    <w:pPr>
      <w:tabs>
        <w:tab w:val="center" w:pos="4513"/>
        <w:tab w:val="right" w:pos="9026"/>
      </w:tabs>
      <w:spacing w:line="240" w:lineRule="auto"/>
    </w:pPr>
  </w:style>
  <w:style w:type="character" w:customStyle="1" w:styleId="HeaderChar">
    <w:name w:val="Header Char"/>
    <w:basedOn w:val="DefaultParagraphFont"/>
    <w:link w:val="Header"/>
    <w:uiPriority w:val="99"/>
    <w:rsid w:val="00FC5EC5"/>
    <w:rPr>
      <w:rFonts w:ascii="Times New Roman" w:hAnsi="Times New Roman" w:cs="Times New Roman"/>
      <w:color w:val="000000" w:themeColor="text1"/>
    </w:rPr>
  </w:style>
  <w:style w:type="paragraph" w:styleId="Footer">
    <w:name w:val="footer"/>
    <w:basedOn w:val="Normal"/>
    <w:link w:val="FooterChar"/>
    <w:uiPriority w:val="99"/>
    <w:unhideWhenUsed/>
    <w:rsid w:val="00FC5EC5"/>
    <w:pPr>
      <w:tabs>
        <w:tab w:val="center" w:pos="4513"/>
        <w:tab w:val="right" w:pos="9026"/>
      </w:tabs>
      <w:spacing w:line="240" w:lineRule="auto"/>
    </w:pPr>
  </w:style>
  <w:style w:type="character" w:customStyle="1" w:styleId="FooterChar">
    <w:name w:val="Footer Char"/>
    <w:basedOn w:val="DefaultParagraphFont"/>
    <w:link w:val="Footer"/>
    <w:uiPriority w:val="99"/>
    <w:rsid w:val="00FC5EC5"/>
    <w:rPr>
      <w:rFonts w:ascii="Times New Roman" w:hAnsi="Times New Roman" w:cs="Times New Roman"/>
      <w:color w:val="000000" w:themeColor="text1"/>
    </w:rPr>
  </w:style>
  <w:style w:type="paragraph" w:customStyle="1" w:styleId="EndNoteBibliographyTitle">
    <w:name w:val="EndNote Bibliography Title"/>
    <w:basedOn w:val="Normal"/>
    <w:link w:val="EndNoteBibliographyTitleChar"/>
    <w:rsid w:val="00AE7EFA"/>
    <w:pPr>
      <w:jc w:val="center"/>
    </w:pPr>
    <w:rPr>
      <w:noProof/>
      <w:lang w:val="en-US"/>
    </w:rPr>
  </w:style>
  <w:style w:type="character" w:customStyle="1" w:styleId="EndNoteBibliographyTitleChar">
    <w:name w:val="EndNote Bibliography Title Char"/>
    <w:basedOn w:val="DefaultParagraphFont"/>
    <w:link w:val="EndNoteBibliographyTitle"/>
    <w:rsid w:val="00AE7EFA"/>
    <w:rPr>
      <w:rFonts w:ascii="Times New Roman" w:hAnsi="Times New Roman" w:cs="Times New Roman"/>
      <w:noProof/>
      <w:color w:val="000000" w:themeColor="text1"/>
      <w:lang w:val="en-US"/>
    </w:rPr>
  </w:style>
  <w:style w:type="paragraph" w:customStyle="1" w:styleId="EndNoteBibliography">
    <w:name w:val="EndNote Bibliography"/>
    <w:basedOn w:val="Normal"/>
    <w:link w:val="EndNoteBibliographyChar"/>
    <w:rsid w:val="00AE7EFA"/>
    <w:pPr>
      <w:spacing w:line="240" w:lineRule="auto"/>
    </w:pPr>
    <w:rPr>
      <w:noProof/>
      <w:lang w:val="en-US"/>
    </w:rPr>
  </w:style>
  <w:style w:type="character" w:customStyle="1" w:styleId="EndNoteBibliographyChar">
    <w:name w:val="EndNote Bibliography Char"/>
    <w:basedOn w:val="DefaultParagraphFont"/>
    <w:link w:val="EndNoteBibliography"/>
    <w:rsid w:val="00AE7EFA"/>
    <w:rPr>
      <w:rFonts w:ascii="Times New Roman" w:hAnsi="Times New Roman" w:cs="Times New Roman"/>
      <w:noProof/>
      <w:color w:val="000000" w:themeColor="text1"/>
      <w:lang w:val="en-US"/>
    </w:rPr>
  </w:style>
  <w:style w:type="paragraph" w:customStyle="1" w:styleId="Peromissi">
    <w:name w:val="Per omissió"/>
    <w:rsid w:val="00117550"/>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lang w:eastAsia="en-GB"/>
      <w14:textOutline w14:w="0" w14:cap="flat" w14:cmpd="sng" w14:algn="ctr">
        <w14:noFill/>
        <w14:prstDash w14:val="solid"/>
        <w14:bevel/>
      </w14:textOutline>
    </w:rPr>
  </w:style>
  <w:style w:type="character" w:customStyle="1" w:styleId="Cap">
    <w:name w:val="Cap"/>
    <w:rsid w:val="00EC1171"/>
  </w:style>
  <w:style w:type="character" w:customStyle="1" w:styleId="Hyperlink0">
    <w:name w:val="Hyperlink.0"/>
    <w:basedOn w:val="Cap"/>
    <w:rsid w:val="00A5621B"/>
  </w:style>
  <w:style w:type="character" w:styleId="Hyperlink">
    <w:name w:val="Hyperlink"/>
    <w:basedOn w:val="DefaultParagraphFont"/>
    <w:uiPriority w:val="99"/>
    <w:unhideWhenUsed/>
    <w:rsid w:val="00A34AA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1253">
      <w:bodyDiv w:val="1"/>
      <w:marLeft w:val="0"/>
      <w:marRight w:val="0"/>
      <w:marTop w:val="0"/>
      <w:marBottom w:val="0"/>
      <w:divBdr>
        <w:top w:val="none" w:sz="0" w:space="0" w:color="auto"/>
        <w:left w:val="none" w:sz="0" w:space="0" w:color="auto"/>
        <w:bottom w:val="none" w:sz="0" w:space="0" w:color="auto"/>
        <w:right w:val="none" w:sz="0" w:space="0" w:color="auto"/>
      </w:divBdr>
    </w:div>
    <w:div w:id="54545206">
      <w:bodyDiv w:val="1"/>
      <w:marLeft w:val="0"/>
      <w:marRight w:val="0"/>
      <w:marTop w:val="0"/>
      <w:marBottom w:val="0"/>
      <w:divBdr>
        <w:top w:val="none" w:sz="0" w:space="0" w:color="auto"/>
        <w:left w:val="none" w:sz="0" w:space="0" w:color="auto"/>
        <w:bottom w:val="none" w:sz="0" w:space="0" w:color="auto"/>
        <w:right w:val="none" w:sz="0" w:space="0" w:color="auto"/>
      </w:divBdr>
      <w:divsChild>
        <w:div w:id="2033528261">
          <w:marLeft w:val="0"/>
          <w:marRight w:val="0"/>
          <w:marTop w:val="0"/>
          <w:marBottom w:val="0"/>
          <w:divBdr>
            <w:top w:val="none" w:sz="0" w:space="0" w:color="auto"/>
            <w:left w:val="none" w:sz="0" w:space="0" w:color="auto"/>
            <w:bottom w:val="none" w:sz="0" w:space="0" w:color="auto"/>
            <w:right w:val="none" w:sz="0" w:space="0" w:color="auto"/>
          </w:divBdr>
          <w:divsChild>
            <w:div w:id="1432624780">
              <w:marLeft w:val="0"/>
              <w:marRight w:val="0"/>
              <w:marTop w:val="0"/>
              <w:marBottom w:val="0"/>
              <w:divBdr>
                <w:top w:val="none" w:sz="0" w:space="0" w:color="auto"/>
                <w:left w:val="none" w:sz="0" w:space="0" w:color="auto"/>
                <w:bottom w:val="none" w:sz="0" w:space="0" w:color="auto"/>
                <w:right w:val="none" w:sz="0" w:space="0" w:color="auto"/>
              </w:divBdr>
              <w:divsChild>
                <w:div w:id="4635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58052">
      <w:bodyDiv w:val="1"/>
      <w:marLeft w:val="0"/>
      <w:marRight w:val="0"/>
      <w:marTop w:val="0"/>
      <w:marBottom w:val="0"/>
      <w:divBdr>
        <w:top w:val="none" w:sz="0" w:space="0" w:color="auto"/>
        <w:left w:val="none" w:sz="0" w:space="0" w:color="auto"/>
        <w:bottom w:val="none" w:sz="0" w:space="0" w:color="auto"/>
        <w:right w:val="none" w:sz="0" w:space="0" w:color="auto"/>
      </w:divBdr>
      <w:divsChild>
        <w:div w:id="573004700">
          <w:marLeft w:val="0"/>
          <w:marRight w:val="0"/>
          <w:marTop w:val="0"/>
          <w:marBottom w:val="0"/>
          <w:divBdr>
            <w:top w:val="none" w:sz="0" w:space="0" w:color="auto"/>
            <w:left w:val="none" w:sz="0" w:space="0" w:color="auto"/>
            <w:bottom w:val="none" w:sz="0" w:space="0" w:color="auto"/>
            <w:right w:val="none" w:sz="0" w:space="0" w:color="auto"/>
          </w:divBdr>
          <w:divsChild>
            <w:div w:id="570695950">
              <w:marLeft w:val="0"/>
              <w:marRight w:val="0"/>
              <w:marTop w:val="0"/>
              <w:marBottom w:val="0"/>
              <w:divBdr>
                <w:top w:val="none" w:sz="0" w:space="0" w:color="auto"/>
                <w:left w:val="none" w:sz="0" w:space="0" w:color="auto"/>
                <w:bottom w:val="none" w:sz="0" w:space="0" w:color="auto"/>
                <w:right w:val="none" w:sz="0" w:space="0" w:color="auto"/>
              </w:divBdr>
              <w:divsChild>
                <w:div w:id="12816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0350">
      <w:bodyDiv w:val="1"/>
      <w:marLeft w:val="0"/>
      <w:marRight w:val="0"/>
      <w:marTop w:val="0"/>
      <w:marBottom w:val="0"/>
      <w:divBdr>
        <w:top w:val="none" w:sz="0" w:space="0" w:color="auto"/>
        <w:left w:val="none" w:sz="0" w:space="0" w:color="auto"/>
        <w:bottom w:val="none" w:sz="0" w:space="0" w:color="auto"/>
        <w:right w:val="none" w:sz="0" w:space="0" w:color="auto"/>
      </w:divBdr>
      <w:divsChild>
        <w:div w:id="55248156">
          <w:marLeft w:val="0"/>
          <w:marRight w:val="0"/>
          <w:marTop w:val="0"/>
          <w:marBottom w:val="0"/>
          <w:divBdr>
            <w:top w:val="none" w:sz="0" w:space="0" w:color="auto"/>
            <w:left w:val="none" w:sz="0" w:space="0" w:color="auto"/>
            <w:bottom w:val="none" w:sz="0" w:space="0" w:color="auto"/>
            <w:right w:val="none" w:sz="0" w:space="0" w:color="auto"/>
          </w:divBdr>
        </w:div>
        <w:div w:id="133370979">
          <w:marLeft w:val="0"/>
          <w:marRight w:val="0"/>
          <w:marTop w:val="0"/>
          <w:marBottom w:val="0"/>
          <w:divBdr>
            <w:top w:val="none" w:sz="0" w:space="0" w:color="auto"/>
            <w:left w:val="none" w:sz="0" w:space="0" w:color="auto"/>
            <w:bottom w:val="none" w:sz="0" w:space="0" w:color="auto"/>
            <w:right w:val="none" w:sz="0" w:space="0" w:color="auto"/>
          </w:divBdr>
        </w:div>
        <w:div w:id="386227873">
          <w:marLeft w:val="0"/>
          <w:marRight w:val="0"/>
          <w:marTop w:val="0"/>
          <w:marBottom w:val="0"/>
          <w:divBdr>
            <w:top w:val="none" w:sz="0" w:space="0" w:color="auto"/>
            <w:left w:val="none" w:sz="0" w:space="0" w:color="auto"/>
            <w:bottom w:val="none" w:sz="0" w:space="0" w:color="auto"/>
            <w:right w:val="none" w:sz="0" w:space="0" w:color="auto"/>
          </w:divBdr>
        </w:div>
        <w:div w:id="417215814">
          <w:marLeft w:val="0"/>
          <w:marRight w:val="0"/>
          <w:marTop w:val="0"/>
          <w:marBottom w:val="0"/>
          <w:divBdr>
            <w:top w:val="none" w:sz="0" w:space="0" w:color="auto"/>
            <w:left w:val="none" w:sz="0" w:space="0" w:color="auto"/>
            <w:bottom w:val="none" w:sz="0" w:space="0" w:color="auto"/>
            <w:right w:val="none" w:sz="0" w:space="0" w:color="auto"/>
          </w:divBdr>
        </w:div>
        <w:div w:id="668750263">
          <w:marLeft w:val="0"/>
          <w:marRight w:val="0"/>
          <w:marTop w:val="0"/>
          <w:marBottom w:val="0"/>
          <w:divBdr>
            <w:top w:val="none" w:sz="0" w:space="0" w:color="auto"/>
            <w:left w:val="none" w:sz="0" w:space="0" w:color="auto"/>
            <w:bottom w:val="none" w:sz="0" w:space="0" w:color="auto"/>
            <w:right w:val="none" w:sz="0" w:space="0" w:color="auto"/>
          </w:divBdr>
        </w:div>
        <w:div w:id="902566000">
          <w:marLeft w:val="0"/>
          <w:marRight w:val="0"/>
          <w:marTop w:val="0"/>
          <w:marBottom w:val="0"/>
          <w:divBdr>
            <w:top w:val="none" w:sz="0" w:space="0" w:color="auto"/>
            <w:left w:val="none" w:sz="0" w:space="0" w:color="auto"/>
            <w:bottom w:val="none" w:sz="0" w:space="0" w:color="auto"/>
            <w:right w:val="none" w:sz="0" w:space="0" w:color="auto"/>
          </w:divBdr>
        </w:div>
        <w:div w:id="967055736">
          <w:marLeft w:val="0"/>
          <w:marRight w:val="0"/>
          <w:marTop w:val="0"/>
          <w:marBottom w:val="0"/>
          <w:divBdr>
            <w:top w:val="none" w:sz="0" w:space="0" w:color="auto"/>
            <w:left w:val="none" w:sz="0" w:space="0" w:color="auto"/>
            <w:bottom w:val="none" w:sz="0" w:space="0" w:color="auto"/>
            <w:right w:val="none" w:sz="0" w:space="0" w:color="auto"/>
          </w:divBdr>
        </w:div>
        <w:div w:id="1433671585">
          <w:marLeft w:val="0"/>
          <w:marRight w:val="0"/>
          <w:marTop w:val="0"/>
          <w:marBottom w:val="0"/>
          <w:divBdr>
            <w:top w:val="none" w:sz="0" w:space="0" w:color="auto"/>
            <w:left w:val="none" w:sz="0" w:space="0" w:color="auto"/>
            <w:bottom w:val="none" w:sz="0" w:space="0" w:color="auto"/>
            <w:right w:val="none" w:sz="0" w:space="0" w:color="auto"/>
          </w:divBdr>
        </w:div>
        <w:div w:id="1752584651">
          <w:marLeft w:val="0"/>
          <w:marRight w:val="0"/>
          <w:marTop w:val="0"/>
          <w:marBottom w:val="0"/>
          <w:divBdr>
            <w:top w:val="none" w:sz="0" w:space="0" w:color="auto"/>
            <w:left w:val="none" w:sz="0" w:space="0" w:color="auto"/>
            <w:bottom w:val="none" w:sz="0" w:space="0" w:color="auto"/>
            <w:right w:val="none" w:sz="0" w:space="0" w:color="auto"/>
          </w:divBdr>
        </w:div>
        <w:div w:id="2140953091">
          <w:marLeft w:val="0"/>
          <w:marRight w:val="0"/>
          <w:marTop w:val="0"/>
          <w:marBottom w:val="0"/>
          <w:divBdr>
            <w:top w:val="none" w:sz="0" w:space="0" w:color="auto"/>
            <w:left w:val="none" w:sz="0" w:space="0" w:color="auto"/>
            <w:bottom w:val="none" w:sz="0" w:space="0" w:color="auto"/>
            <w:right w:val="none" w:sz="0" w:space="0" w:color="auto"/>
          </w:divBdr>
        </w:div>
      </w:divsChild>
    </w:div>
    <w:div w:id="250703065">
      <w:bodyDiv w:val="1"/>
      <w:marLeft w:val="0"/>
      <w:marRight w:val="0"/>
      <w:marTop w:val="0"/>
      <w:marBottom w:val="0"/>
      <w:divBdr>
        <w:top w:val="none" w:sz="0" w:space="0" w:color="auto"/>
        <w:left w:val="none" w:sz="0" w:space="0" w:color="auto"/>
        <w:bottom w:val="none" w:sz="0" w:space="0" w:color="auto"/>
        <w:right w:val="none" w:sz="0" w:space="0" w:color="auto"/>
      </w:divBdr>
    </w:div>
    <w:div w:id="366296094">
      <w:bodyDiv w:val="1"/>
      <w:marLeft w:val="0"/>
      <w:marRight w:val="0"/>
      <w:marTop w:val="0"/>
      <w:marBottom w:val="0"/>
      <w:divBdr>
        <w:top w:val="none" w:sz="0" w:space="0" w:color="auto"/>
        <w:left w:val="none" w:sz="0" w:space="0" w:color="auto"/>
        <w:bottom w:val="none" w:sz="0" w:space="0" w:color="auto"/>
        <w:right w:val="none" w:sz="0" w:space="0" w:color="auto"/>
      </w:divBdr>
      <w:divsChild>
        <w:div w:id="297027833">
          <w:marLeft w:val="0"/>
          <w:marRight w:val="0"/>
          <w:marTop w:val="0"/>
          <w:marBottom w:val="0"/>
          <w:divBdr>
            <w:top w:val="none" w:sz="0" w:space="0" w:color="auto"/>
            <w:left w:val="none" w:sz="0" w:space="0" w:color="auto"/>
            <w:bottom w:val="none" w:sz="0" w:space="0" w:color="auto"/>
            <w:right w:val="none" w:sz="0" w:space="0" w:color="auto"/>
          </w:divBdr>
          <w:divsChild>
            <w:div w:id="897593911">
              <w:marLeft w:val="0"/>
              <w:marRight w:val="0"/>
              <w:marTop w:val="0"/>
              <w:marBottom w:val="0"/>
              <w:divBdr>
                <w:top w:val="none" w:sz="0" w:space="0" w:color="auto"/>
                <w:left w:val="none" w:sz="0" w:space="0" w:color="auto"/>
                <w:bottom w:val="none" w:sz="0" w:space="0" w:color="auto"/>
                <w:right w:val="none" w:sz="0" w:space="0" w:color="auto"/>
              </w:divBdr>
              <w:divsChild>
                <w:div w:id="132442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10161">
      <w:bodyDiv w:val="1"/>
      <w:marLeft w:val="0"/>
      <w:marRight w:val="0"/>
      <w:marTop w:val="0"/>
      <w:marBottom w:val="0"/>
      <w:divBdr>
        <w:top w:val="none" w:sz="0" w:space="0" w:color="auto"/>
        <w:left w:val="none" w:sz="0" w:space="0" w:color="auto"/>
        <w:bottom w:val="none" w:sz="0" w:space="0" w:color="auto"/>
        <w:right w:val="none" w:sz="0" w:space="0" w:color="auto"/>
      </w:divBdr>
    </w:div>
    <w:div w:id="586421527">
      <w:bodyDiv w:val="1"/>
      <w:marLeft w:val="0"/>
      <w:marRight w:val="0"/>
      <w:marTop w:val="0"/>
      <w:marBottom w:val="0"/>
      <w:divBdr>
        <w:top w:val="none" w:sz="0" w:space="0" w:color="auto"/>
        <w:left w:val="none" w:sz="0" w:space="0" w:color="auto"/>
        <w:bottom w:val="none" w:sz="0" w:space="0" w:color="auto"/>
        <w:right w:val="none" w:sz="0" w:space="0" w:color="auto"/>
      </w:divBdr>
      <w:divsChild>
        <w:div w:id="220405523">
          <w:marLeft w:val="0"/>
          <w:marRight w:val="0"/>
          <w:marTop w:val="0"/>
          <w:marBottom w:val="0"/>
          <w:divBdr>
            <w:top w:val="none" w:sz="0" w:space="0" w:color="auto"/>
            <w:left w:val="none" w:sz="0" w:space="0" w:color="auto"/>
            <w:bottom w:val="none" w:sz="0" w:space="0" w:color="auto"/>
            <w:right w:val="none" w:sz="0" w:space="0" w:color="auto"/>
          </w:divBdr>
          <w:divsChild>
            <w:div w:id="933199688">
              <w:marLeft w:val="0"/>
              <w:marRight w:val="0"/>
              <w:marTop w:val="0"/>
              <w:marBottom w:val="0"/>
              <w:divBdr>
                <w:top w:val="none" w:sz="0" w:space="0" w:color="auto"/>
                <w:left w:val="none" w:sz="0" w:space="0" w:color="auto"/>
                <w:bottom w:val="none" w:sz="0" w:space="0" w:color="auto"/>
                <w:right w:val="none" w:sz="0" w:space="0" w:color="auto"/>
              </w:divBdr>
              <w:divsChild>
                <w:div w:id="3546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40746">
      <w:bodyDiv w:val="1"/>
      <w:marLeft w:val="0"/>
      <w:marRight w:val="0"/>
      <w:marTop w:val="0"/>
      <w:marBottom w:val="0"/>
      <w:divBdr>
        <w:top w:val="none" w:sz="0" w:space="0" w:color="auto"/>
        <w:left w:val="none" w:sz="0" w:space="0" w:color="auto"/>
        <w:bottom w:val="none" w:sz="0" w:space="0" w:color="auto"/>
        <w:right w:val="none" w:sz="0" w:space="0" w:color="auto"/>
      </w:divBdr>
    </w:div>
    <w:div w:id="677930239">
      <w:bodyDiv w:val="1"/>
      <w:marLeft w:val="0"/>
      <w:marRight w:val="0"/>
      <w:marTop w:val="0"/>
      <w:marBottom w:val="0"/>
      <w:divBdr>
        <w:top w:val="none" w:sz="0" w:space="0" w:color="auto"/>
        <w:left w:val="none" w:sz="0" w:space="0" w:color="auto"/>
        <w:bottom w:val="none" w:sz="0" w:space="0" w:color="auto"/>
        <w:right w:val="none" w:sz="0" w:space="0" w:color="auto"/>
      </w:divBdr>
      <w:divsChild>
        <w:div w:id="801459987">
          <w:marLeft w:val="0"/>
          <w:marRight w:val="0"/>
          <w:marTop w:val="0"/>
          <w:marBottom w:val="0"/>
          <w:divBdr>
            <w:top w:val="none" w:sz="0" w:space="0" w:color="auto"/>
            <w:left w:val="none" w:sz="0" w:space="0" w:color="auto"/>
            <w:bottom w:val="none" w:sz="0" w:space="0" w:color="auto"/>
            <w:right w:val="none" w:sz="0" w:space="0" w:color="auto"/>
          </w:divBdr>
          <w:divsChild>
            <w:div w:id="1928532804">
              <w:marLeft w:val="0"/>
              <w:marRight w:val="0"/>
              <w:marTop w:val="0"/>
              <w:marBottom w:val="0"/>
              <w:divBdr>
                <w:top w:val="none" w:sz="0" w:space="0" w:color="auto"/>
                <w:left w:val="none" w:sz="0" w:space="0" w:color="auto"/>
                <w:bottom w:val="none" w:sz="0" w:space="0" w:color="auto"/>
                <w:right w:val="none" w:sz="0" w:space="0" w:color="auto"/>
              </w:divBdr>
              <w:divsChild>
                <w:div w:id="212738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4899">
      <w:bodyDiv w:val="1"/>
      <w:marLeft w:val="0"/>
      <w:marRight w:val="0"/>
      <w:marTop w:val="0"/>
      <w:marBottom w:val="0"/>
      <w:divBdr>
        <w:top w:val="none" w:sz="0" w:space="0" w:color="auto"/>
        <w:left w:val="none" w:sz="0" w:space="0" w:color="auto"/>
        <w:bottom w:val="none" w:sz="0" w:space="0" w:color="auto"/>
        <w:right w:val="none" w:sz="0" w:space="0" w:color="auto"/>
      </w:divBdr>
    </w:div>
    <w:div w:id="841549918">
      <w:bodyDiv w:val="1"/>
      <w:marLeft w:val="0"/>
      <w:marRight w:val="0"/>
      <w:marTop w:val="0"/>
      <w:marBottom w:val="0"/>
      <w:divBdr>
        <w:top w:val="none" w:sz="0" w:space="0" w:color="auto"/>
        <w:left w:val="none" w:sz="0" w:space="0" w:color="auto"/>
        <w:bottom w:val="none" w:sz="0" w:space="0" w:color="auto"/>
        <w:right w:val="none" w:sz="0" w:space="0" w:color="auto"/>
      </w:divBdr>
      <w:divsChild>
        <w:div w:id="433790022">
          <w:marLeft w:val="0"/>
          <w:marRight w:val="0"/>
          <w:marTop w:val="0"/>
          <w:marBottom w:val="0"/>
          <w:divBdr>
            <w:top w:val="none" w:sz="0" w:space="0" w:color="auto"/>
            <w:left w:val="none" w:sz="0" w:space="0" w:color="auto"/>
            <w:bottom w:val="none" w:sz="0" w:space="0" w:color="auto"/>
            <w:right w:val="none" w:sz="0" w:space="0" w:color="auto"/>
          </w:divBdr>
          <w:divsChild>
            <w:div w:id="524177774">
              <w:marLeft w:val="0"/>
              <w:marRight w:val="0"/>
              <w:marTop w:val="0"/>
              <w:marBottom w:val="0"/>
              <w:divBdr>
                <w:top w:val="none" w:sz="0" w:space="0" w:color="auto"/>
                <w:left w:val="none" w:sz="0" w:space="0" w:color="auto"/>
                <w:bottom w:val="none" w:sz="0" w:space="0" w:color="auto"/>
                <w:right w:val="none" w:sz="0" w:space="0" w:color="auto"/>
              </w:divBdr>
              <w:divsChild>
                <w:div w:id="190116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35587">
      <w:bodyDiv w:val="1"/>
      <w:marLeft w:val="0"/>
      <w:marRight w:val="0"/>
      <w:marTop w:val="0"/>
      <w:marBottom w:val="0"/>
      <w:divBdr>
        <w:top w:val="none" w:sz="0" w:space="0" w:color="auto"/>
        <w:left w:val="none" w:sz="0" w:space="0" w:color="auto"/>
        <w:bottom w:val="none" w:sz="0" w:space="0" w:color="auto"/>
        <w:right w:val="none" w:sz="0" w:space="0" w:color="auto"/>
      </w:divBdr>
    </w:div>
    <w:div w:id="910235306">
      <w:bodyDiv w:val="1"/>
      <w:marLeft w:val="0"/>
      <w:marRight w:val="0"/>
      <w:marTop w:val="0"/>
      <w:marBottom w:val="0"/>
      <w:divBdr>
        <w:top w:val="none" w:sz="0" w:space="0" w:color="auto"/>
        <w:left w:val="none" w:sz="0" w:space="0" w:color="auto"/>
        <w:bottom w:val="none" w:sz="0" w:space="0" w:color="auto"/>
        <w:right w:val="none" w:sz="0" w:space="0" w:color="auto"/>
      </w:divBdr>
      <w:divsChild>
        <w:div w:id="88163558">
          <w:marLeft w:val="0"/>
          <w:marRight w:val="0"/>
          <w:marTop w:val="0"/>
          <w:marBottom w:val="0"/>
          <w:divBdr>
            <w:top w:val="none" w:sz="0" w:space="0" w:color="auto"/>
            <w:left w:val="none" w:sz="0" w:space="0" w:color="auto"/>
            <w:bottom w:val="none" w:sz="0" w:space="0" w:color="auto"/>
            <w:right w:val="none" w:sz="0" w:space="0" w:color="auto"/>
          </w:divBdr>
          <w:divsChild>
            <w:div w:id="1890190683">
              <w:marLeft w:val="0"/>
              <w:marRight w:val="0"/>
              <w:marTop w:val="0"/>
              <w:marBottom w:val="0"/>
              <w:divBdr>
                <w:top w:val="none" w:sz="0" w:space="0" w:color="auto"/>
                <w:left w:val="none" w:sz="0" w:space="0" w:color="auto"/>
                <w:bottom w:val="none" w:sz="0" w:space="0" w:color="auto"/>
                <w:right w:val="none" w:sz="0" w:space="0" w:color="auto"/>
              </w:divBdr>
              <w:divsChild>
                <w:div w:id="36598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17277">
      <w:bodyDiv w:val="1"/>
      <w:marLeft w:val="0"/>
      <w:marRight w:val="0"/>
      <w:marTop w:val="0"/>
      <w:marBottom w:val="0"/>
      <w:divBdr>
        <w:top w:val="none" w:sz="0" w:space="0" w:color="auto"/>
        <w:left w:val="none" w:sz="0" w:space="0" w:color="auto"/>
        <w:bottom w:val="none" w:sz="0" w:space="0" w:color="auto"/>
        <w:right w:val="none" w:sz="0" w:space="0" w:color="auto"/>
      </w:divBdr>
    </w:div>
    <w:div w:id="1027486757">
      <w:bodyDiv w:val="1"/>
      <w:marLeft w:val="0"/>
      <w:marRight w:val="0"/>
      <w:marTop w:val="0"/>
      <w:marBottom w:val="0"/>
      <w:divBdr>
        <w:top w:val="none" w:sz="0" w:space="0" w:color="auto"/>
        <w:left w:val="none" w:sz="0" w:space="0" w:color="auto"/>
        <w:bottom w:val="none" w:sz="0" w:space="0" w:color="auto"/>
        <w:right w:val="none" w:sz="0" w:space="0" w:color="auto"/>
      </w:divBdr>
      <w:divsChild>
        <w:div w:id="1542130927">
          <w:marLeft w:val="0"/>
          <w:marRight w:val="0"/>
          <w:marTop w:val="0"/>
          <w:marBottom w:val="0"/>
          <w:divBdr>
            <w:top w:val="none" w:sz="0" w:space="0" w:color="auto"/>
            <w:left w:val="none" w:sz="0" w:space="0" w:color="auto"/>
            <w:bottom w:val="none" w:sz="0" w:space="0" w:color="auto"/>
            <w:right w:val="none" w:sz="0" w:space="0" w:color="auto"/>
          </w:divBdr>
          <w:divsChild>
            <w:div w:id="1139879158">
              <w:marLeft w:val="0"/>
              <w:marRight w:val="0"/>
              <w:marTop w:val="0"/>
              <w:marBottom w:val="0"/>
              <w:divBdr>
                <w:top w:val="none" w:sz="0" w:space="0" w:color="auto"/>
                <w:left w:val="none" w:sz="0" w:space="0" w:color="auto"/>
                <w:bottom w:val="none" w:sz="0" w:space="0" w:color="auto"/>
                <w:right w:val="none" w:sz="0" w:space="0" w:color="auto"/>
              </w:divBdr>
              <w:divsChild>
                <w:div w:id="13098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9447">
      <w:bodyDiv w:val="1"/>
      <w:marLeft w:val="0"/>
      <w:marRight w:val="0"/>
      <w:marTop w:val="0"/>
      <w:marBottom w:val="0"/>
      <w:divBdr>
        <w:top w:val="none" w:sz="0" w:space="0" w:color="auto"/>
        <w:left w:val="none" w:sz="0" w:space="0" w:color="auto"/>
        <w:bottom w:val="none" w:sz="0" w:space="0" w:color="auto"/>
        <w:right w:val="none" w:sz="0" w:space="0" w:color="auto"/>
      </w:divBdr>
    </w:div>
    <w:div w:id="1175656269">
      <w:bodyDiv w:val="1"/>
      <w:marLeft w:val="0"/>
      <w:marRight w:val="0"/>
      <w:marTop w:val="0"/>
      <w:marBottom w:val="0"/>
      <w:divBdr>
        <w:top w:val="none" w:sz="0" w:space="0" w:color="auto"/>
        <w:left w:val="none" w:sz="0" w:space="0" w:color="auto"/>
        <w:bottom w:val="none" w:sz="0" w:space="0" w:color="auto"/>
        <w:right w:val="none" w:sz="0" w:space="0" w:color="auto"/>
      </w:divBdr>
    </w:div>
    <w:div w:id="1199512562">
      <w:bodyDiv w:val="1"/>
      <w:marLeft w:val="0"/>
      <w:marRight w:val="0"/>
      <w:marTop w:val="0"/>
      <w:marBottom w:val="0"/>
      <w:divBdr>
        <w:top w:val="none" w:sz="0" w:space="0" w:color="auto"/>
        <w:left w:val="none" w:sz="0" w:space="0" w:color="auto"/>
        <w:bottom w:val="none" w:sz="0" w:space="0" w:color="auto"/>
        <w:right w:val="none" w:sz="0" w:space="0" w:color="auto"/>
      </w:divBdr>
      <w:divsChild>
        <w:div w:id="1308582627">
          <w:marLeft w:val="0"/>
          <w:marRight w:val="0"/>
          <w:marTop w:val="0"/>
          <w:marBottom w:val="0"/>
          <w:divBdr>
            <w:top w:val="none" w:sz="0" w:space="0" w:color="auto"/>
            <w:left w:val="none" w:sz="0" w:space="0" w:color="auto"/>
            <w:bottom w:val="none" w:sz="0" w:space="0" w:color="auto"/>
            <w:right w:val="none" w:sz="0" w:space="0" w:color="auto"/>
          </w:divBdr>
          <w:divsChild>
            <w:div w:id="1614626462">
              <w:marLeft w:val="0"/>
              <w:marRight w:val="0"/>
              <w:marTop w:val="0"/>
              <w:marBottom w:val="0"/>
              <w:divBdr>
                <w:top w:val="none" w:sz="0" w:space="0" w:color="auto"/>
                <w:left w:val="none" w:sz="0" w:space="0" w:color="auto"/>
                <w:bottom w:val="none" w:sz="0" w:space="0" w:color="auto"/>
                <w:right w:val="none" w:sz="0" w:space="0" w:color="auto"/>
              </w:divBdr>
              <w:divsChild>
                <w:div w:id="12952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190865">
      <w:bodyDiv w:val="1"/>
      <w:marLeft w:val="0"/>
      <w:marRight w:val="0"/>
      <w:marTop w:val="0"/>
      <w:marBottom w:val="0"/>
      <w:divBdr>
        <w:top w:val="none" w:sz="0" w:space="0" w:color="auto"/>
        <w:left w:val="none" w:sz="0" w:space="0" w:color="auto"/>
        <w:bottom w:val="none" w:sz="0" w:space="0" w:color="auto"/>
        <w:right w:val="none" w:sz="0" w:space="0" w:color="auto"/>
      </w:divBdr>
    </w:div>
    <w:div w:id="1311863041">
      <w:bodyDiv w:val="1"/>
      <w:marLeft w:val="0"/>
      <w:marRight w:val="0"/>
      <w:marTop w:val="0"/>
      <w:marBottom w:val="0"/>
      <w:divBdr>
        <w:top w:val="none" w:sz="0" w:space="0" w:color="auto"/>
        <w:left w:val="none" w:sz="0" w:space="0" w:color="auto"/>
        <w:bottom w:val="none" w:sz="0" w:space="0" w:color="auto"/>
        <w:right w:val="none" w:sz="0" w:space="0" w:color="auto"/>
      </w:divBdr>
      <w:divsChild>
        <w:div w:id="44570315">
          <w:marLeft w:val="0"/>
          <w:marRight w:val="0"/>
          <w:marTop w:val="0"/>
          <w:marBottom w:val="0"/>
          <w:divBdr>
            <w:top w:val="none" w:sz="0" w:space="0" w:color="auto"/>
            <w:left w:val="none" w:sz="0" w:space="0" w:color="auto"/>
            <w:bottom w:val="none" w:sz="0" w:space="0" w:color="auto"/>
            <w:right w:val="none" w:sz="0" w:space="0" w:color="auto"/>
          </w:divBdr>
        </w:div>
        <w:div w:id="230697327">
          <w:marLeft w:val="0"/>
          <w:marRight w:val="0"/>
          <w:marTop w:val="0"/>
          <w:marBottom w:val="0"/>
          <w:divBdr>
            <w:top w:val="none" w:sz="0" w:space="0" w:color="auto"/>
            <w:left w:val="none" w:sz="0" w:space="0" w:color="auto"/>
            <w:bottom w:val="none" w:sz="0" w:space="0" w:color="auto"/>
            <w:right w:val="none" w:sz="0" w:space="0" w:color="auto"/>
          </w:divBdr>
        </w:div>
        <w:div w:id="510335063">
          <w:marLeft w:val="0"/>
          <w:marRight w:val="0"/>
          <w:marTop w:val="0"/>
          <w:marBottom w:val="0"/>
          <w:divBdr>
            <w:top w:val="none" w:sz="0" w:space="0" w:color="auto"/>
            <w:left w:val="none" w:sz="0" w:space="0" w:color="auto"/>
            <w:bottom w:val="none" w:sz="0" w:space="0" w:color="auto"/>
            <w:right w:val="none" w:sz="0" w:space="0" w:color="auto"/>
          </w:divBdr>
        </w:div>
        <w:div w:id="559365507">
          <w:marLeft w:val="0"/>
          <w:marRight w:val="0"/>
          <w:marTop w:val="0"/>
          <w:marBottom w:val="0"/>
          <w:divBdr>
            <w:top w:val="none" w:sz="0" w:space="0" w:color="auto"/>
            <w:left w:val="none" w:sz="0" w:space="0" w:color="auto"/>
            <w:bottom w:val="none" w:sz="0" w:space="0" w:color="auto"/>
            <w:right w:val="none" w:sz="0" w:space="0" w:color="auto"/>
          </w:divBdr>
        </w:div>
        <w:div w:id="841285747">
          <w:marLeft w:val="0"/>
          <w:marRight w:val="0"/>
          <w:marTop w:val="0"/>
          <w:marBottom w:val="0"/>
          <w:divBdr>
            <w:top w:val="none" w:sz="0" w:space="0" w:color="auto"/>
            <w:left w:val="none" w:sz="0" w:space="0" w:color="auto"/>
            <w:bottom w:val="none" w:sz="0" w:space="0" w:color="auto"/>
            <w:right w:val="none" w:sz="0" w:space="0" w:color="auto"/>
          </w:divBdr>
        </w:div>
        <w:div w:id="894394581">
          <w:marLeft w:val="0"/>
          <w:marRight w:val="0"/>
          <w:marTop w:val="0"/>
          <w:marBottom w:val="0"/>
          <w:divBdr>
            <w:top w:val="none" w:sz="0" w:space="0" w:color="auto"/>
            <w:left w:val="none" w:sz="0" w:space="0" w:color="auto"/>
            <w:bottom w:val="none" w:sz="0" w:space="0" w:color="auto"/>
            <w:right w:val="none" w:sz="0" w:space="0" w:color="auto"/>
          </w:divBdr>
        </w:div>
        <w:div w:id="1623726696">
          <w:marLeft w:val="0"/>
          <w:marRight w:val="0"/>
          <w:marTop w:val="0"/>
          <w:marBottom w:val="0"/>
          <w:divBdr>
            <w:top w:val="none" w:sz="0" w:space="0" w:color="auto"/>
            <w:left w:val="none" w:sz="0" w:space="0" w:color="auto"/>
            <w:bottom w:val="none" w:sz="0" w:space="0" w:color="auto"/>
            <w:right w:val="none" w:sz="0" w:space="0" w:color="auto"/>
          </w:divBdr>
        </w:div>
        <w:div w:id="1649433780">
          <w:marLeft w:val="0"/>
          <w:marRight w:val="0"/>
          <w:marTop w:val="0"/>
          <w:marBottom w:val="0"/>
          <w:divBdr>
            <w:top w:val="none" w:sz="0" w:space="0" w:color="auto"/>
            <w:left w:val="none" w:sz="0" w:space="0" w:color="auto"/>
            <w:bottom w:val="none" w:sz="0" w:space="0" w:color="auto"/>
            <w:right w:val="none" w:sz="0" w:space="0" w:color="auto"/>
          </w:divBdr>
        </w:div>
        <w:div w:id="1878002086">
          <w:marLeft w:val="0"/>
          <w:marRight w:val="0"/>
          <w:marTop w:val="0"/>
          <w:marBottom w:val="0"/>
          <w:divBdr>
            <w:top w:val="none" w:sz="0" w:space="0" w:color="auto"/>
            <w:left w:val="none" w:sz="0" w:space="0" w:color="auto"/>
            <w:bottom w:val="none" w:sz="0" w:space="0" w:color="auto"/>
            <w:right w:val="none" w:sz="0" w:space="0" w:color="auto"/>
          </w:divBdr>
        </w:div>
        <w:div w:id="2114544469">
          <w:marLeft w:val="0"/>
          <w:marRight w:val="0"/>
          <w:marTop w:val="0"/>
          <w:marBottom w:val="0"/>
          <w:divBdr>
            <w:top w:val="none" w:sz="0" w:space="0" w:color="auto"/>
            <w:left w:val="none" w:sz="0" w:space="0" w:color="auto"/>
            <w:bottom w:val="none" w:sz="0" w:space="0" w:color="auto"/>
            <w:right w:val="none" w:sz="0" w:space="0" w:color="auto"/>
          </w:divBdr>
        </w:div>
      </w:divsChild>
    </w:div>
    <w:div w:id="1326740454">
      <w:bodyDiv w:val="1"/>
      <w:marLeft w:val="0"/>
      <w:marRight w:val="0"/>
      <w:marTop w:val="0"/>
      <w:marBottom w:val="0"/>
      <w:divBdr>
        <w:top w:val="none" w:sz="0" w:space="0" w:color="auto"/>
        <w:left w:val="none" w:sz="0" w:space="0" w:color="auto"/>
        <w:bottom w:val="none" w:sz="0" w:space="0" w:color="auto"/>
        <w:right w:val="none" w:sz="0" w:space="0" w:color="auto"/>
      </w:divBdr>
      <w:divsChild>
        <w:div w:id="54932467">
          <w:marLeft w:val="0"/>
          <w:marRight w:val="0"/>
          <w:marTop w:val="0"/>
          <w:marBottom w:val="0"/>
          <w:divBdr>
            <w:top w:val="none" w:sz="0" w:space="0" w:color="auto"/>
            <w:left w:val="none" w:sz="0" w:space="0" w:color="auto"/>
            <w:bottom w:val="none" w:sz="0" w:space="0" w:color="auto"/>
            <w:right w:val="none" w:sz="0" w:space="0" w:color="auto"/>
          </w:divBdr>
        </w:div>
        <w:div w:id="207452585">
          <w:marLeft w:val="0"/>
          <w:marRight w:val="0"/>
          <w:marTop w:val="0"/>
          <w:marBottom w:val="0"/>
          <w:divBdr>
            <w:top w:val="none" w:sz="0" w:space="0" w:color="auto"/>
            <w:left w:val="none" w:sz="0" w:space="0" w:color="auto"/>
            <w:bottom w:val="none" w:sz="0" w:space="0" w:color="auto"/>
            <w:right w:val="none" w:sz="0" w:space="0" w:color="auto"/>
          </w:divBdr>
        </w:div>
        <w:div w:id="401757163">
          <w:marLeft w:val="0"/>
          <w:marRight w:val="0"/>
          <w:marTop w:val="0"/>
          <w:marBottom w:val="0"/>
          <w:divBdr>
            <w:top w:val="none" w:sz="0" w:space="0" w:color="auto"/>
            <w:left w:val="none" w:sz="0" w:space="0" w:color="auto"/>
            <w:bottom w:val="none" w:sz="0" w:space="0" w:color="auto"/>
            <w:right w:val="none" w:sz="0" w:space="0" w:color="auto"/>
          </w:divBdr>
        </w:div>
        <w:div w:id="873075106">
          <w:marLeft w:val="0"/>
          <w:marRight w:val="0"/>
          <w:marTop w:val="0"/>
          <w:marBottom w:val="0"/>
          <w:divBdr>
            <w:top w:val="none" w:sz="0" w:space="0" w:color="auto"/>
            <w:left w:val="none" w:sz="0" w:space="0" w:color="auto"/>
            <w:bottom w:val="none" w:sz="0" w:space="0" w:color="auto"/>
            <w:right w:val="none" w:sz="0" w:space="0" w:color="auto"/>
          </w:divBdr>
        </w:div>
        <w:div w:id="1089931041">
          <w:marLeft w:val="0"/>
          <w:marRight w:val="0"/>
          <w:marTop w:val="0"/>
          <w:marBottom w:val="0"/>
          <w:divBdr>
            <w:top w:val="none" w:sz="0" w:space="0" w:color="auto"/>
            <w:left w:val="none" w:sz="0" w:space="0" w:color="auto"/>
            <w:bottom w:val="none" w:sz="0" w:space="0" w:color="auto"/>
            <w:right w:val="none" w:sz="0" w:space="0" w:color="auto"/>
          </w:divBdr>
        </w:div>
        <w:div w:id="1180697717">
          <w:marLeft w:val="0"/>
          <w:marRight w:val="0"/>
          <w:marTop w:val="0"/>
          <w:marBottom w:val="0"/>
          <w:divBdr>
            <w:top w:val="none" w:sz="0" w:space="0" w:color="auto"/>
            <w:left w:val="none" w:sz="0" w:space="0" w:color="auto"/>
            <w:bottom w:val="none" w:sz="0" w:space="0" w:color="auto"/>
            <w:right w:val="none" w:sz="0" w:space="0" w:color="auto"/>
          </w:divBdr>
        </w:div>
        <w:div w:id="1215772397">
          <w:marLeft w:val="0"/>
          <w:marRight w:val="0"/>
          <w:marTop w:val="0"/>
          <w:marBottom w:val="0"/>
          <w:divBdr>
            <w:top w:val="none" w:sz="0" w:space="0" w:color="auto"/>
            <w:left w:val="none" w:sz="0" w:space="0" w:color="auto"/>
            <w:bottom w:val="none" w:sz="0" w:space="0" w:color="auto"/>
            <w:right w:val="none" w:sz="0" w:space="0" w:color="auto"/>
          </w:divBdr>
        </w:div>
        <w:div w:id="1667440497">
          <w:marLeft w:val="0"/>
          <w:marRight w:val="0"/>
          <w:marTop w:val="0"/>
          <w:marBottom w:val="0"/>
          <w:divBdr>
            <w:top w:val="none" w:sz="0" w:space="0" w:color="auto"/>
            <w:left w:val="none" w:sz="0" w:space="0" w:color="auto"/>
            <w:bottom w:val="none" w:sz="0" w:space="0" w:color="auto"/>
            <w:right w:val="none" w:sz="0" w:space="0" w:color="auto"/>
          </w:divBdr>
        </w:div>
        <w:div w:id="1885673035">
          <w:marLeft w:val="0"/>
          <w:marRight w:val="0"/>
          <w:marTop w:val="0"/>
          <w:marBottom w:val="0"/>
          <w:divBdr>
            <w:top w:val="none" w:sz="0" w:space="0" w:color="auto"/>
            <w:left w:val="none" w:sz="0" w:space="0" w:color="auto"/>
            <w:bottom w:val="none" w:sz="0" w:space="0" w:color="auto"/>
            <w:right w:val="none" w:sz="0" w:space="0" w:color="auto"/>
          </w:divBdr>
        </w:div>
        <w:div w:id="2003197086">
          <w:marLeft w:val="0"/>
          <w:marRight w:val="0"/>
          <w:marTop w:val="0"/>
          <w:marBottom w:val="0"/>
          <w:divBdr>
            <w:top w:val="none" w:sz="0" w:space="0" w:color="auto"/>
            <w:left w:val="none" w:sz="0" w:space="0" w:color="auto"/>
            <w:bottom w:val="none" w:sz="0" w:space="0" w:color="auto"/>
            <w:right w:val="none" w:sz="0" w:space="0" w:color="auto"/>
          </w:divBdr>
        </w:div>
      </w:divsChild>
    </w:div>
    <w:div w:id="1332677763">
      <w:bodyDiv w:val="1"/>
      <w:marLeft w:val="0"/>
      <w:marRight w:val="0"/>
      <w:marTop w:val="0"/>
      <w:marBottom w:val="0"/>
      <w:divBdr>
        <w:top w:val="none" w:sz="0" w:space="0" w:color="auto"/>
        <w:left w:val="none" w:sz="0" w:space="0" w:color="auto"/>
        <w:bottom w:val="none" w:sz="0" w:space="0" w:color="auto"/>
        <w:right w:val="none" w:sz="0" w:space="0" w:color="auto"/>
      </w:divBdr>
    </w:div>
    <w:div w:id="1549609879">
      <w:bodyDiv w:val="1"/>
      <w:marLeft w:val="0"/>
      <w:marRight w:val="0"/>
      <w:marTop w:val="0"/>
      <w:marBottom w:val="0"/>
      <w:divBdr>
        <w:top w:val="none" w:sz="0" w:space="0" w:color="auto"/>
        <w:left w:val="none" w:sz="0" w:space="0" w:color="auto"/>
        <w:bottom w:val="none" w:sz="0" w:space="0" w:color="auto"/>
        <w:right w:val="none" w:sz="0" w:space="0" w:color="auto"/>
      </w:divBdr>
      <w:divsChild>
        <w:div w:id="221404599">
          <w:marLeft w:val="0"/>
          <w:marRight w:val="0"/>
          <w:marTop w:val="0"/>
          <w:marBottom w:val="0"/>
          <w:divBdr>
            <w:top w:val="none" w:sz="0" w:space="0" w:color="auto"/>
            <w:left w:val="none" w:sz="0" w:space="0" w:color="auto"/>
            <w:bottom w:val="none" w:sz="0" w:space="0" w:color="auto"/>
            <w:right w:val="none" w:sz="0" w:space="0" w:color="auto"/>
          </w:divBdr>
          <w:divsChild>
            <w:div w:id="636495902">
              <w:marLeft w:val="0"/>
              <w:marRight w:val="0"/>
              <w:marTop w:val="0"/>
              <w:marBottom w:val="0"/>
              <w:divBdr>
                <w:top w:val="none" w:sz="0" w:space="0" w:color="auto"/>
                <w:left w:val="none" w:sz="0" w:space="0" w:color="auto"/>
                <w:bottom w:val="none" w:sz="0" w:space="0" w:color="auto"/>
                <w:right w:val="none" w:sz="0" w:space="0" w:color="auto"/>
              </w:divBdr>
              <w:divsChild>
                <w:div w:id="123989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8422">
      <w:bodyDiv w:val="1"/>
      <w:marLeft w:val="0"/>
      <w:marRight w:val="0"/>
      <w:marTop w:val="0"/>
      <w:marBottom w:val="0"/>
      <w:divBdr>
        <w:top w:val="none" w:sz="0" w:space="0" w:color="auto"/>
        <w:left w:val="none" w:sz="0" w:space="0" w:color="auto"/>
        <w:bottom w:val="none" w:sz="0" w:space="0" w:color="auto"/>
        <w:right w:val="none" w:sz="0" w:space="0" w:color="auto"/>
      </w:divBdr>
    </w:div>
    <w:div w:id="1704284502">
      <w:bodyDiv w:val="1"/>
      <w:marLeft w:val="0"/>
      <w:marRight w:val="0"/>
      <w:marTop w:val="0"/>
      <w:marBottom w:val="0"/>
      <w:divBdr>
        <w:top w:val="none" w:sz="0" w:space="0" w:color="auto"/>
        <w:left w:val="none" w:sz="0" w:space="0" w:color="auto"/>
        <w:bottom w:val="none" w:sz="0" w:space="0" w:color="auto"/>
        <w:right w:val="none" w:sz="0" w:space="0" w:color="auto"/>
      </w:divBdr>
    </w:div>
    <w:div w:id="1769236072">
      <w:bodyDiv w:val="1"/>
      <w:marLeft w:val="0"/>
      <w:marRight w:val="0"/>
      <w:marTop w:val="0"/>
      <w:marBottom w:val="0"/>
      <w:divBdr>
        <w:top w:val="none" w:sz="0" w:space="0" w:color="auto"/>
        <w:left w:val="none" w:sz="0" w:space="0" w:color="auto"/>
        <w:bottom w:val="none" w:sz="0" w:space="0" w:color="auto"/>
        <w:right w:val="none" w:sz="0" w:space="0" w:color="auto"/>
      </w:divBdr>
      <w:divsChild>
        <w:div w:id="1153378079">
          <w:marLeft w:val="0"/>
          <w:marRight w:val="0"/>
          <w:marTop w:val="0"/>
          <w:marBottom w:val="0"/>
          <w:divBdr>
            <w:top w:val="none" w:sz="0" w:space="0" w:color="auto"/>
            <w:left w:val="none" w:sz="0" w:space="0" w:color="auto"/>
            <w:bottom w:val="none" w:sz="0" w:space="0" w:color="auto"/>
            <w:right w:val="none" w:sz="0" w:space="0" w:color="auto"/>
          </w:divBdr>
          <w:divsChild>
            <w:div w:id="677149873">
              <w:marLeft w:val="0"/>
              <w:marRight w:val="0"/>
              <w:marTop w:val="0"/>
              <w:marBottom w:val="0"/>
              <w:divBdr>
                <w:top w:val="none" w:sz="0" w:space="0" w:color="auto"/>
                <w:left w:val="none" w:sz="0" w:space="0" w:color="auto"/>
                <w:bottom w:val="none" w:sz="0" w:space="0" w:color="auto"/>
                <w:right w:val="none" w:sz="0" w:space="0" w:color="auto"/>
              </w:divBdr>
              <w:divsChild>
                <w:div w:id="9377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65601">
      <w:bodyDiv w:val="1"/>
      <w:marLeft w:val="0"/>
      <w:marRight w:val="0"/>
      <w:marTop w:val="0"/>
      <w:marBottom w:val="0"/>
      <w:divBdr>
        <w:top w:val="none" w:sz="0" w:space="0" w:color="auto"/>
        <w:left w:val="none" w:sz="0" w:space="0" w:color="auto"/>
        <w:bottom w:val="none" w:sz="0" w:space="0" w:color="auto"/>
        <w:right w:val="none" w:sz="0" w:space="0" w:color="auto"/>
      </w:divBdr>
      <w:divsChild>
        <w:div w:id="39328099">
          <w:marLeft w:val="0"/>
          <w:marRight w:val="0"/>
          <w:marTop w:val="0"/>
          <w:marBottom w:val="0"/>
          <w:divBdr>
            <w:top w:val="none" w:sz="0" w:space="0" w:color="auto"/>
            <w:left w:val="none" w:sz="0" w:space="0" w:color="auto"/>
            <w:bottom w:val="none" w:sz="0" w:space="0" w:color="auto"/>
            <w:right w:val="none" w:sz="0" w:space="0" w:color="auto"/>
          </w:divBdr>
          <w:divsChild>
            <w:div w:id="683364841">
              <w:marLeft w:val="0"/>
              <w:marRight w:val="0"/>
              <w:marTop w:val="0"/>
              <w:marBottom w:val="0"/>
              <w:divBdr>
                <w:top w:val="none" w:sz="0" w:space="0" w:color="auto"/>
                <w:left w:val="none" w:sz="0" w:space="0" w:color="auto"/>
                <w:bottom w:val="none" w:sz="0" w:space="0" w:color="auto"/>
                <w:right w:val="none" w:sz="0" w:space="0" w:color="auto"/>
              </w:divBdr>
              <w:divsChild>
                <w:div w:id="414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40453">
      <w:bodyDiv w:val="1"/>
      <w:marLeft w:val="0"/>
      <w:marRight w:val="0"/>
      <w:marTop w:val="0"/>
      <w:marBottom w:val="0"/>
      <w:divBdr>
        <w:top w:val="none" w:sz="0" w:space="0" w:color="auto"/>
        <w:left w:val="none" w:sz="0" w:space="0" w:color="auto"/>
        <w:bottom w:val="none" w:sz="0" w:space="0" w:color="auto"/>
        <w:right w:val="none" w:sz="0" w:space="0" w:color="auto"/>
      </w:divBdr>
    </w:div>
    <w:div w:id="1941259601">
      <w:bodyDiv w:val="1"/>
      <w:marLeft w:val="0"/>
      <w:marRight w:val="0"/>
      <w:marTop w:val="0"/>
      <w:marBottom w:val="0"/>
      <w:divBdr>
        <w:top w:val="none" w:sz="0" w:space="0" w:color="auto"/>
        <w:left w:val="none" w:sz="0" w:space="0" w:color="auto"/>
        <w:bottom w:val="none" w:sz="0" w:space="0" w:color="auto"/>
        <w:right w:val="none" w:sz="0" w:space="0" w:color="auto"/>
      </w:divBdr>
      <w:divsChild>
        <w:div w:id="188036008">
          <w:marLeft w:val="0"/>
          <w:marRight w:val="0"/>
          <w:marTop w:val="0"/>
          <w:marBottom w:val="0"/>
          <w:divBdr>
            <w:top w:val="none" w:sz="0" w:space="0" w:color="auto"/>
            <w:left w:val="none" w:sz="0" w:space="0" w:color="auto"/>
            <w:bottom w:val="none" w:sz="0" w:space="0" w:color="auto"/>
            <w:right w:val="none" w:sz="0" w:space="0" w:color="auto"/>
          </w:divBdr>
        </w:div>
        <w:div w:id="1201824571">
          <w:marLeft w:val="0"/>
          <w:marRight w:val="0"/>
          <w:marTop w:val="0"/>
          <w:marBottom w:val="0"/>
          <w:divBdr>
            <w:top w:val="none" w:sz="0" w:space="0" w:color="auto"/>
            <w:left w:val="none" w:sz="0" w:space="0" w:color="auto"/>
            <w:bottom w:val="none" w:sz="0" w:space="0" w:color="auto"/>
            <w:right w:val="none" w:sz="0" w:space="0" w:color="auto"/>
          </w:divBdr>
        </w:div>
      </w:divsChild>
    </w:div>
    <w:div w:id="1958757519">
      <w:bodyDiv w:val="1"/>
      <w:marLeft w:val="0"/>
      <w:marRight w:val="0"/>
      <w:marTop w:val="0"/>
      <w:marBottom w:val="0"/>
      <w:divBdr>
        <w:top w:val="none" w:sz="0" w:space="0" w:color="auto"/>
        <w:left w:val="none" w:sz="0" w:space="0" w:color="auto"/>
        <w:bottom w:val="none" w:sz="0" w:space="0" w:color="auto"/>
        <w:right w:val="none" w:sz="0" w:space="0" w:color="auto"/>
      </w:divBdr>
    </w:div>
    <w:div w:id="1995714919">
      <w:bodyDiv w:val="1"/>
      <w:marLeft w:val="0"/>
      <w:marRight w:val="0"/>
      <w:marTop w:val="0"/>
      <w:marBottom w:val="0"/>
      <w:divBdr>
        <w:top w:val="none" w:sz="0" w:space="0" w:color="auto"/>
        <w:left w:val="none" w:sz="0" w:space="0" w:color="auto"/>
        <w:bottom w:val="none" w:sz="0" w:space="0" w:color="auto"/>
        <w:right w:val="none" w:sz="0" w:space="0" w:color="auto"/>
      </w:divBdr>
    </w:div>
    <w:div w:id="206617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wilkinson@sheffield.ac.uk" TargetMode="External"/><Relationship Id="rId39" Type="http://schemas.openxmlformats.org/officeDocument/2006/relationships/footer" Target="footer1.xml"/><Relationship Id="rId3" Type="http://schemas.openxmlformats.org/officeDocument/2006/relationships/styles" Target="styles.xml"/><Relationship Id="rId34" Type="http://schemas.openxmlformats.org/officeDocument/2006/relationships/image" Target="media/image5.tiff"/><Relationship Id="rId7" Type="http://schemas.openxmlformats.org/officeDocument/2006/relationships/endnotes" Target="endnotes.xml"/><Relationship Id="rId33" Type="http://schemas.openxmlformats.org/officeDocument/2006/relationships/image" Target="media/image4.tiff"/><Relationship Id="rId38" Type="http://schemas.openxmlformats.org/officeDocument/2006/relationships/image" Target="media/image9.tiff"/><Relationship Id="rId2" Type="http://schemas.openxmlformats.org/officeDocument/2006/relationships/numbering" Target="numbering.xm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image" Target="media/image3.tiff"/><Relationship Id="rId37" Type="http://schemas.openxmlformats.org/officeDocument/2006/relationships/image" Target="media/image8.tiff"/><Relationship Id="rId40" Type="http://schemas.openxmlformats.org/officeDocument/2006/relationships/fontTable" Target="fontTable.xml"/><Relationship Id="rId5" Type="http://schemas.openxmlformats.org/officeDocument/2006/relationships/webSettings" Target="webSettings.xml"/><Relationship Id="rId36" Type="http://schemas.openxmlformats.org/officeDocument/2006/relationships/image" Target="media/image7.tiff"/><Relationship Id="rId31"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customXml" Target="ink/ink1.xml"/><Relationship Id="rId30" Type="http://schemas.openxmlformats.org/officeDocument/2006/relationships/image" Target="media/image1.tiff"/><Relationship Id="rId35" Type="http://schemas.openxmlformats.org/officeDocument/2006/relationships/image" Target="media/image6.tiff"/></Relationships>
</file>

<file path=word/ink/ink1.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1-10-21T11:52:06.144"/>
    </inkml:context>
    <inkml:brush xml:id="br0">
      <inkml:brushProperty name="width" value="0.07" units="cm"/>
      <inkml:brushProperty name="height" value="0.07" units="cm"/>
      <inkml:brushProperty name="fitToCurve" value="1"/>
    </inkml:brush>
  </inkml:definitions>
  <inkml:trace contextRef="#ctx0" brushRef="#br0">0 0 111 0,'0'0'54'0,"0"0"-10"15,0 0-42-15,0 0-54 16,0 0 37-16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B20902-5CD9-604D-B09F-D9499651E99F}">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57D9D-11E2-4250-9082-4DB1A47DD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24</Pages>
  <Words>33066</Words>
  <Characters>188481</Characters>
  <Application>Microsoft Office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Mohsen Farzi</dc:creator>
  <cp:keywords/>
  <dc:description/>
  <cp:lastModifiedBy>Karen Drake</cp:lastModifiedBy>
  <cp:revision>2</cp:revision>
  <cp:lastPrinted>2021-09-27T07:23:00Z</cp:lastPrinted>
  <dcterms:created xsi:type="dcterms:W3CDTF">2022-06-27T10:46:00Z</dcterms:created>
  <dcterms:modified xsi:type="dcterms:W3CDTF">2022-06-27T10:46:00Z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http://www.zotero.org/styles/ieee-transactions-on-medical-imaging</vt:lpwstr>
  </property>
  <property fmtid="{D5CDD505-2E9C-101B-9397-08002B2CF9AE}" pid="13" name="Mendeley Recent Style Name 5_1">
    <vt:lpwstr>IEEE Transactions on Medical Imaging</vt:lpwstr>
  </property>
  <property fmtid="{D5CDD505-2E9C-101B-9397-08002B2CF9AE}" pid="14" name="Mendeley Recent Style Id 6_1">
    <vt:lpwstr>http://www.zotero.org/styles/journal-of-bone-and-mineral-research</vt:lpwstr>
  </property>
  <property fmtid="{D5CDD505-2E9C-101B-9397-08002B2CF9AE}" pid="15" name="Mendeley Recent Style Name 6_1">
    <vt:lpwstr>Journal of Bone and Mineral Research</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http://www.zotero.org/styles/national-library-of-medicine</vt:lpwstr>
  </property>
  <property fmtid="{D5CDD505-2E9C-101B-9397-08002B2CF9AE}" pid="21" name="Mendeley Recent Style Name 9_1">
    <vt:lpwstr>National Library of Medicine</vt:lpwstr>
  </property>
  <property fmtid="{D5CDD505-2E9C-101B-9397-08002B2CF9AE}" pid="22" name="Mendeley Document_1">
    <vt:lpwstr>True</vt:lpwstr>
  </property>
  <property fmtid="{D5CDD505-2E9C-101B-9397-08002B2CF9AE}" pid="23" name="Mendeley Unique User Id_1">
    <vt:lpwstr>39720256-01fa-3cca-9dbf-be9af3b95004</vt:lpwstr>
  </property>
  <property fmtid="{D5CDD505-2E9C-101B-9397-08002B2CF9AE}" pid="24" name="Mendeley Citation Style_1">
    <vt:lpwstr>http://www.zotero.org/styles/journal-of-bone-and-mineral-research</vt:lpwstr>
  </property>
  <property fmtid="{D5CDD505-2E9C-101B-9397-08002B2CF9AE}" pid="25" name="grammarly_documentId">
    <vt:lpwstr>documentId_4074</vt:lpwstr>
  </property>
  <property fmtid="{D5CDD505-2E9C-101B-9397-08002B2CF9AE}" pid="26" name="grammarly_documentContext">
    <vt:lpwstr>{"goals":[],"domain":"general","emotions":[],"dialect":"british"}</vt:lpwstr>
  </property>
</Properties>
</file>