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546D" w14:textId="4D04591D" w:rsidR="00EC2788" w:rsidRDefault="004E4F63" w:rsidP="00D4590F">
      <w:pPr>
        <w:spacing w:after="0" w:line="360" w:lineRule="auto"/>
        <w:jc w:val="center"/>
        <w:rPr>
          <w:rFonts w:asciiTheme="majorHAnsi" w:eastAsiaTheme="majorEastAsia" w:hAnsiTheme="majorHAnsi" w:cstheme="majorBidi"/>
          <w:b/>
          <w:bCs/>
          <w:color w:val="365F91" w:themeColor="accent1" w:themeShade="BF"/>
          <w:sz w:val="27"/>
          <w:szCs w:val="27"/>
        </w:rPr>
      </w:pPr>
      <w:r>
        <w:rPr>
          <w:rFonts w:asciiTheme="majorHAnsi" w:eastAsiaTheme="majorEastAsia" w:hAnsiTheme="majorHAnsi" w:cstheme="majorBidi"/>
          <w:b/>
          <w:bCs/>
          <w:color w:val="365F91" w:themeColor="accent1" w:themeShade="BF"/>
          <w:sz w:val="27"/>
          <w:szCs w:val="27"/>
        </w:rPr>
        <w:t xml:space="preserve">Effect of </w:t>
      </w:r>
      <w:r w:rsidR="00D8238F" w:rsidRPr="00D4590F">
        <w:rPr>
          <w:rFonts w:asciiTheme="majorHAnsi" w:eastAsiaTheme="majorEastAsia" w:hAnsiTheme="majorHAnsi" w:cstheme="majorBidi"/>
          <w:b/>
          <w:bCs/>
          <w:color w:val="365F91" w:themeColor="accent1" w:themeShade="BF"/>
          <w:sz w:val="27"/>
          <w:szCs w:val="27"/>
        </w:rPr>
        <w:t xml:space="preserve">Transcatheter Aortic Valve Implantation </w:t>
      </w:r>
      <w:r>
        <w:rPr>
          <w:rFonts w:asciiTheme="majorHAnsi" w:eastAsiaTheme="majorEastAsia" w:hAnsiTheme="majorHAnsi" w:cstheme="majorBidi"/>
          <w:b/>
          <w:bCs/>
          <w:color w:val="365F91" w:themeColor="accent1" w:themeShade="BF"/>
          <w:sz w:val="27"/>
          <w:szCs w:val="27"/>
        </w:rPr>
        <w:t>vs Surgical Aortic Valve Replacement on All-Cause</w:t>
      </w:r>
      <w:r w:rsidR="00D8238F" w:rsidRPr="00D4590F">
        <w:rPr>
          <w:rFonts w:asciiTheme="majorHAnsi" w:eastAsiaTheme="majorEastAsia" w:hAnsiTheme="majorHAnsi" w:cstheme="majorBidi"/>
          <w:b/>
          <w:bCs/>
          <w:color w:val="365F91" w:themeColor="accent1" w:themeShade="BF"/>
          <w:sz w:val="27"/>
          <w:szCs w:val="27"/>
        </w:rPr>
        <w:t xml:space="preserve"> </w:t>
      </w:r>
      <w:r>
        <w:rPr>
          <w:rFonts w:asciiTheme="majorHAnsi" w:eastAsiaTheme="majorEastAsia" w:hAnsiTheme="majorHAnsi" w:cstheme="majorBidi"/>
          <w:b/>
          <w:bCs/>
          <w:color w:val="365F91" w:themeColor="accent1" w:themeShade="BF"/>
          <w:sz w:val="27"/>
          <w:szCs w:val="27"/>
        </w:rPr>
        <w:t xml:space="preserve">Mortality in Patients with </w:t>
      </w:r>
      <w:r w:rsidR="00D8238F" w:rsidRPr="00D4590F">
        <w:rPr>
          <w:rFonts w:asciiTheme="majorHAnsi" w:eastAsiaTheme="majorEastAsia" w:hAnsiTheme="majorHAnsi" w:cstheme="majorBidi"/>
          <w:b/>
          <w:bCs/>
          <w:color w:val="365F91" w:themeColor="accent1" w:themeShade="BF"/>
          <w:sz w:val="27"/>
          <w:szCs w:val="27"/>
        </w:rPr>
        <w:t>Aortic</w:t>
      </w:r>
      <w:r>
        <w:rPr>
          <w:rFonts w:asciiTheme="majorHAnsi" w:eastAsiaTheme="majorEastAsia" w:hAnsiTheme="majorHAnsi" w:cstheme="majorBidi"/>
          <w:b/>
          <w:bCs/>
          <w:color w:val="365F91" w:themeColor="accent1" w:themeShade="BF"/>
          <w:sz w:val="27"/>
          <w:szCs w:val="27"/>
        </w:rPr>
        <w:t xml:space="preserve"> </w:t>
      </w:r>
      <w:r w:rsidR="00D8238F" w:rsidRPr="00D4590F">
        <w:rPr>
          <w:rFonts w:asciiTheme="majorHAnsi" w:eastAsiaTheme="majorEastAsia" w:hAnsiTheme="majorHAnsi" w:cstheme="majorBidi"/>
          <w:b/>
          <w:bCs/>
          <w:color w:val="365F91" w:themeColor="accent1" w:themeShade="BF"/>
          <w:sz w:val="27"/>
          <w:szCs w:val="27"/>
        </w:rPr>
        <w:t>Stenosis</w:t>
      </w:r>
      <w:r>
        <w:rPr>
          <w:rFonts w:asciiTheme="majorHAnsi" w:eastAsiaTheme="majorEastAsia" w:hAnsiTheme="majorHAnsi" w:cstheme="majorBidi"/>
          <w:b/>
          <w:bCs/>
          <w:color w:val="365F91" w:themeColor="accent1" w:themeShade="BF"/>
          <w:sz w:val="27"/>
          <w:szCs w:val="27"/>
        </w:rPr>
        <w:t xml:space="preserve">: </w:t>
      </w:r>
      <w:r w:rsidR="00147BCB">
        <w:rPr>
          <w:rFonts w:asciiTheme="majorHAnsi" w:eastAsiaTheme="majorEastAsia" w:hAnsiTheme="majorHAnsi" w:cstheme="majorBidi"/>
          <w:b/>
          <w:bCs/>
          <w:color w:val="365F91" w:themeColor="accent1" w:themeShade="BF"/>
          <w:sz w:val="27"/>
          <w:szCs w:val="27"/>
        </w:rPr>
        <w:t xml:space="preserve">A </w:t>
      </w:r>
      <w:r w:rsidR="002E5F5E">
        <w:rPr>
          <w:rFonts w:asciiTheme="majorHAnsi" w:eastAsiaTheme="majorEastAsia" w:hAnsiTheme="majorHAnsi" w:cstheme="majorBidi"/>
          <w:b/>
          <w:bCs/>
          <w:color w:val="365F91" w:themeColor="accent1" w:themeShade="BF"/>
          <w:sz w:val="27"/>
          <w:szCs w:val="27"/>
        </w:rPr>
        <w:t xml:space="preserve">Randomized </w:t>
      </w:r>
      <w:r w:rsidR="004E4829">
        <w:rPr>
          <w:rFonts w:asciiTheme="majorHAnsi" w:eastAsiaTheme="majorEastAsia" w:hAnsiTheme="majorHAnsi" w:cstheme="majorBidi"/>
          <w:b/>
          <w:bCs/>
          <w:color w:val="365F91" w:themeColor="accent1" w:themeShade="BF"/>
          <w:sz w:val="27"/>
          <w:szCs w:val="27"/>
        </w:rPr>
        <w:t>Clinical T</w:t>
      </w:r>
      <w:r w:rsidR="00370D91">
        <w:rPr>
          <w:rFonts w:asciiTheme="majorHAnsi" w:eastAsiaTheme="majorEastAsia" w:hAnsiTheme="majorHAnsi" w:cstheme="majorBidi"/>
          <w:b/>
          <w:bCs/>
          <w:color w:val="365F91" w:themeColor="accent1" w:themeShade="BF"/>
          <w:sz w:val="27"/>
          <w:szCs w:val="27"/>
        </w:rPr>
        <w:t>rial</w:t>
      </w:r>
    </w:p>
    <w:p w14:paraId="3685C87E" w14:textId="77777777" w:rsidR="00EC2788" w:rsidRDefault="00EC2788" w:rsidP="00D4590F">
      <w:pPr>
        <w:spacing w:after="0" w:line="360" w:lineRule="auto"/>
        <w:jc w:val="center"/>
      </w:pPr>
    </w:p>
    <w:p w14:paraId="45695D05" w14:textId="586BCC9D" w:rsidR="003565C1" w:rsidRDefault="002A7D39" w:rsidP="002B4B1E">
      <w:pPr>
        <w:spacing w:after="0" w:line="360" w:lineRule="auto"/>
        <w:jc w:val="center"/>
        <w:rPr>
          <w:color w:val="000000" w:themeColor="text1"/>
        </w:rPr>
      </w:pPr>
      <w:r w:rsidRPr="002B4B1E">
        <w:rPr>
          <w:b/>
          <w:sz w:val="24"/>
          <w:szCs w:val="24"/>
        </w:rPr>
        <w:t>The</w:t>
      </w:r>
      <w:r w:rsidR="0019232F" w:rsidRPr="002B4B1E">
        <w:rPr>
          <w:b/>
          <w:color w:val="000000" w:themeColor="text1"/>
          <w:sz w:val="24"/>
          <w:szCs w:val="24"/>
        </w:rPr>
        <w:t xml:space="preserve"> UK TAVI Trial Investigators</w:t>
      </w:r>
      <w:r w:rsidR="0019232F" w:rsidRPr="0019232F">
        <w:rPr>
          <w:color w:val="000000" w:themeColor="text1"/>
          <w:vertAlign w:val="superscript"/>
        </w:rPr>
        <w:t>a</w:t>
      </w:r>
    </w:p>
    <w:p w14:paraId="76225B16" w14:textId="77777777" w:rsidR="00CA3019" w:rsidRDefault="00CA3019" w:rsidP="008412C0">
      <w:pPr>
        <w:spacing w:after="0"/>
        <w:rPr>
          <w:b/>
        </w:rPr>
      </w:pPr>
    </w:p>
    <w:p w14:paraId="1F0D45C4" w14:textId="77777777" w:rsidR="00494E3C" w:rsidRDefault="00494E3C" w:rsidP="008865C8">
      <w:pPr>
        <w:spacing w:after="0" w:line="360" w:lineRule="auto"/>
        <w:rPr>
          <w:b/>
        </w:rPr>
      </w:pPr>
    </w:p>
    <w:p w14:paraId="5B3A43E6" w14:textId="77777777" w:rsidR="00494E3C" w:rsidRDefault="00494E3C" w:rsidP="008865C8">
      <w:pPr>
        <w:spacing w:after="0" w:line="360" w:lineRule="auto"/>
        <w:rPr>
          <w:b/>
        </w:rPr>
      </w:pPr>
    </w:p>
    <w:p w14:paraId="654BA445" w14:textId="77777777" w:rsidR="003F5F5C" w:rsidRDefault="003F5F5C" w:rsidP="008865C8">
      <w:pPr>
        <w:spacing w:after="0" w:line="360" w:lineRule="auto"/>
        <w:rPr>
          <w:b/>
        </w:rPr>
      </w:pPr>
    </w:p>
    <w:p w14:paraId="21E9E37A" w14:textId="77777777" w:rsidR="003F5F5C" w:rsidRDefault="003F5F5C" w:rsidP="008865C8">
      <w:pPr>
        <w:spacing w:after="0" w:line="360" w:lineRule="auto"/>
        <w:rPr>
          <w:b/>
        </w:rPr>
      </w:pPr>
    </w:p>
    <w:p w14:paraId="24C89531" w14:textId="77777777" w:rsidR="00494E3C" w:rsidRDefault="00494E3C" w:rsidP="008865C8">
      <w:pPr>
        <w:spacing w:after="0" w:line="360" w:lineRule="auto"/>
        <w:rPr>
          <w:b/>
        </w:rPr>
      </w:pPr>
    </w:p>
    <w:p w14:paraId="3E10326C" w14:textId="72E7A8F7" w:rsidR="00835098" w:rsidRPr="00835098" w:rsidRDefault="00835098" w:rsidP="008865C8">
      <w:pPr>
        <w:spacing w:after="0" w:line="360" w:lineRule="auto"/>
      </w:pPr>
      <w:r>
        <w:rPr>
          <w:b/>
        </w:rPr>
        <w:t>Corresponding Author:</w:t>
      </w:r>
      <w:r>
        <w:rPr>
          <w:b/>
        </w:rPr>
        <w:tab/>
      </w:r>
      <w:r>
        <w:rPr>
          <w:b/>
        </w:rPr>
        <w:tab/>
      </w:r>
      <w:r w:rsidRPr="00835098">
        <w:t>William D. Toff</w:t>
      </w:r>
      <w:r w:rsidR="00151BFF">
        <w:t>, MD</w:t>
      </w:r>
    </w:p>
    <w:p w14:paraId="0E6B26DD" w14:textId="77777777" w:rsidR="00835098" w:rsidRPr="00835098" w:rsidRDefault="00835098" w:rsidP="008865C8">
      <w:pPr>
        <w:spacing w:after="0" w:line="360" w:lineRule="auto"/>
      </w:pPr>
      <w:r w:rsidRPr="00835098">
        <w:tab/>
      </w:r>
      <w:r w:rsidRPr="00835098">
        <w:tab/>
      </w:r>
      <w:r w:rsidRPr="00835098">
        <w:tab/>
      </w:r>
      <w:r w:rsidRPr="00835098">
        <w:tab/>
        <w:t>Professor of Cardiology</w:t>
      </w:r>
    </w:p>
    <w:p w14:paraId="3FBEA6A8" w14:textId="77777777" w:rsidR="00835098" w:rsidRPr="00835098" w:rsidRDefault="00835098" w:rsidP="008865C8">
      <w:pPr>
        <w:spacing w:after="0" w:line="360" w:lineRule="auto"/>
        <w:ind w:left="2160" w:firstLine="720"/>
      </w:pPr>
      <w:r w:rsidRPr="00835098">
        <w:t>Department of Cardiovascular Sciences</w:t>
      </w:r>
    </w:p>
    <w:p w14:paraId="100C419E" w14:textId="77777777" w:rsidR="00835098" w:rsidRPr="00835098" w:rsidRDefault="00835098" w:rsidP="008865C8">
      <w:pPr>
        <w:spacing w:after="0" w:line="360" w:lineRule="auto"/>
      </w:pPr>
      <w:r w:rsidRPr="00835098">
        <w:tab/>
      </w:r>
      <w:r w:rsidRPr="00835098">
        <w:tab/>
      </w:r>
      <w:r w:rsidRPr="00835098">
        <w:tab/>
      </w:r>
      <w:r w:rsidRPr="00835098">
        <w:tab/>
        <w:t>University of Leicester</w:t>
      </w:r>
      <w:r w:rsidR="00156276">
        <w:t xml:space="preserve">, </w:t>
      </w:r>
    </w:p>
    <w:p w14:paraId="413E01EC" w14:textId="77777777" w:rsidR="00835098" w:rsidRPr="00835098" w:rsidRDefault="00835098" w:rsidP="008865C8">
      <w:pPr>
        <w:spacing w:after="0" w:line="360" w:lineRule="auto"/>
        <w:ind w:left="2160" w:firstLine="720"/>
      </w:pPr>
      <w:r w:rsidRPr="00835098">
        <w:t>Clinical Sciences Wing</w:t>
      </w:r>
      <w:r w:rsidR="008412C0">
        <w:t xml:space="preserve">, </w:t>
      </w:r>
      <w:r w:rsidRPr="00835098">
        <w:t>Glenfield Hospital</w:t>
      </w:r>
    </w:p>
    <w:p w14:paraId="60E997D8" w14:textId="3C49F408" w:rsidR="00494E3C" w:rsidRDefault="00835098" w:rsidP="008865C8">
      <w:pPr>
        <w:spacing w:after="0" w:line="360" w:lineRule="auto"/>
        <w:ind w:left="2160" w:firstLine="720"/>
      </w:pPr>
      <w:r w:rsidRPr="00835098">
        <w:t>Groby Road</w:t>
      </w:r>
      <w:r w:rsidR="008412C0">
        <w:t xml:space="preserve">, </w:t>
      </w:r>
      <w:r w:rsidRPr="00835098">
        <w:t>Leicester, LE3 9QP</w:t>
      </w:r>
      <w:r w:rsidR="00156276">
        <w:t xml:space="preserve"> </w:t>
      </w:r>
    </w:p>
    <w:p w14:paraId="7C731BEC" w14:textId="77777777" w:rsidR="00926C53" w:rsidRDefault="00926C53" w:rsidP="008865C8">
      <w:pPr>
        <w:spacing w:after="0" w:line="360" w:lineRule="auto"/>
        <w:ind w:left="2160" w:firstLine="720"/>
      </w:pPr>
      <w:r>
        <w:t>United Kingdom</w:t>
      </w:r>
    </w:p>
    <w:p w14:paraId="67033780" w14:textId="77777777" w:rsidR="001F15D1" w:rsidRDefault="001F15D1" w:rsidP="008865C8">
      <w:pPr>
        <w:spacing w:after="0" w:line="360" w:lineRule="auto"/>
        <w:ind w:left="2160" w:firstLine="720"/>
      </w:pPr>
    </w:p>
    <w:p w14:paraId="017512A1" w14:textId="77777777" w:rsidR="00835098" w:rsidRDefault="00835098" w:rsidP="008865C8">
      <w:pPr>
        <w:spacing w:after="0" w:line="360" w:lineRule="auto"/>
        <w:ind w:left="2160" w:firstLine="720"/>
      </w:pPr>
      <w:r w:rsidRPr="00835098">
        <w:t>Tel: +44 (0)116 250 2500</w:t>
      </w:r>
    </w:p>
    <w:p w14:paraId="3D973929" w14:textId="77777777" w:rsidR="00AE3C62" w:rsidRPr="00835098" w:rsidRDefault="00835098" w:rsidP="008865C8">
      <w:pPr>
        <w:spacing w:after="0" w:line="360" w:lineRule="auto"/>
        <w:ind w:left="2160" w:firstLine="720"/>
      </w:pPr>
      <w:r w:rsidRPr="00835098">
        <w:t xml:space="preserve">E-mail: </w:t>
      </w:r>
      <w:hyperlink r:id="rId8" w:history="1">
        <w:r w:rsidR="00AE3C62" w:rsidRPr="00EB50D7">
          <w:rPr>
            <w:rStyle w:val="Hyperlink"/>
          </w:rPr>
          <w:t>w.toff@le.ac.uk</w:t>
        </w:r>
      </w:hyperlink>
    </w:p>
    <w:p w14:paraId="4B183F05" w14:textId="77777777" w:rsidR="00494E3C" w:rsidRDefault="00494E3C" w:rsidP="002B4B1E">
      <w:pPr>
        <w:spacing w:line="360" w:lineRule="auto"/>
        <w:jc w:val="both"/>
        <w:rPr>
          <w:b/>
        </w:rPr>
      </w:pPr>
    </w:p>
    <w:p w14:paraId="7C367E73" w14:textId="77777777" w:rsidR="00494E3C" w:rsidRDefault="00494E3C" w:rsidP="008865C8">
      <w:pPr>
        <w:spacing w:line="360" w:lineRule="auto"/>
        <w:ind w:left="142" w:hanging="142"/>
        <w:jc w:val="both"/>
        <w:rPr>
          <w:b/>
        </w:rPr>
      </w:pPr>
    </w:p>
    <w:p w14:paraId="519E0799" w14:textId="36564322" w:rsidR="00156276" w:rsidRPr="002B4B1E" w:rsidRDefault="00156276" w:rsidP="008865C8">
      <w:pPr>
        <w:spacing w:line="360" w:lineRule="auto"/>
        <w:ind w:left="142" w:hanging="142"/>
        <w:jc w:val="both"/>
      </w:pPr>
      <w:r w:rsidRPr="00CE6E56">
        <w:rPr>
          <w:b/>
        </w:rPr>
        <w:t>Date of Revision:</w:t>
      </w:r>
      <w:r w:rsidRPr="00CE6E56">
        <w:tab/>
      </w:r>
      <w:r w:rsidR="00D03137">
        <w:rPr>
          <w:color w:val="000000" w:themeColor="text1"/>
        </w:rPr>
        <w:t xml:space="preserve">March </w:t>
      </w:r>
      <w:r w:rsidR="00701EFB">
        <w:rPr>
          <w:color w:val="000000" w:themeColor="text1"/>
        </w:rPr>
        <w:t>25</w:t>
      </w:r>
      <w:r w:rsidR="00D86920" w:rsidRPr="00CE6E56">
        <w:rPr>
          <w:color w:val="000000" w:themeColor="text1"/>
        </w:rPr>
        <w:t>,</w:t>
      </w:r>
      <w:r w:rsidRPr="00CE6E56">
        <w:rPr>
          <w:color w:val="000000" w:themeColor="text1"/>
        </w:rPr>
        <w:t xml:space="preserve"> 2022</w:t>
      </w:r>
      <w:r w:rsidRPr="00156276">
        <w:tab/>
      </w:r>
    </w:p>
    <w:p w14:paraId="3696624F" w14:textId="209AFBF9" w:rsidR="00F25D7D" w:rsidRPr="0019232F" w:rsidRDefault="0019232F" w:rsidP="008865C8">
      <w:pPr>
        <w:spacing w:line="360" w:lineRule="auto"/>
        <w:ind w:left="142" w:hanging="142"/>
        <w:jc w:val="both"/>
        <w:rPr>
          <w:b/>
        </w:rPr>
      </w:pPr>
      <w:r w:rsidRPr="00CE6E56">
        <w:rPr>
          <w:b/>
        </w:rPr>
        <w:t xml:space="preserve">Word </w:t>
      </w:r>
      <w:r w:rsidR="00156276" w:rsidRPr="00CE6E56">
        <w:rPr>
          <w:b/>
        </w:rPr>
        <w:t>C</w:t>
      </w:r>
      <w:r w:rsidRPr="00CE6E56">
        <w:rPr>
          <w:b/>
        </w:rPr>
        <w:t>ount:</w:t>
      </w:r>
      <w:r w:rsidR="00156276" w:rsidRPr="00CE6E56">
        <w:tab/>
      </w:r>
      <w:r w:rsidR="00156276" w:rsidRPr="00CE6E56">
        <w:tab/>
      </w:r>
      <w:r w:rsidR="00CE6E56">
        <w:rPr>
          <w:color w:val="000000" w:themeColor="text1"/>
        </w:rPr>
        <w:t>3,</w:t>
      </w:r>
      <w:r w:rsidR="00701EFB">
        <w:rPr>
          <w:color w:val="000000" w:themeColor="text1"/>
        </w:rPr>
        <w:t>730</w:t>
      </w:r>
    </w:p>
    <w:p w14:paraId="1998B07E" w14:textId="77777777" w:rsidR="0019232F" w:rsidRDefault="0019232F" w:rsidP="008865C8">
      <w:pPr>
        <w:spacing w:line="360" w:lineRule="auto"/>
        <w:ind w:left="142" w:hanging="142"/>
        <w:jc w:val="both"/>
      </w:pPr>
    </w:p>
    <w:p w14:paraId="11B7A2B3" w14:textId="56654FAA" w:rsidR="00964CF4" w:rsidRDefault="0019232F" w:rsidP="008865C8">
      <w:pPr>
        <w:spacing w:line="360" w:lineRule="auto"/>
        <w:ind w:left="142" w:hanging="142"/>
        <w:jc w:val="both"/>
      </w:pPr>
      <w:r w:rsidRPr="0019232F">
        <w:rPr>
          <w:vertAlign w:val="superscript"/>
        </w:rPr>
        <w:t xml:space="preserve">a </w:t>
      </w:r>
      <w:r w:rsidR="002A7D39">
        <w:t xml:space="preserve">Details of the authorship group are provided in the acknowledgements and a </w:t>
      </w:r>
      <w:r w:rsidR="00CA3019" w:rsidRPr="00CA3019">
        <w:t xml:space="preserve">complete list of the UK TAVI </w:t>
      </w:r>
      <w:r>
        <w:t xml:space="preserve">Trial </w:t>
      </w:r>
      <w:r w:rsidR="00CA3019" w:rsidRPr="00CA3019">
        <w:t xml:space="preserve">Investigators </w:t>
      </w:r>
      <w:r w:rsidR="001325CE">
        <w:t>appears</w:t>
      </w:r>
      <w:r w:rsidR="00CA3019" w:rsidRPr="00CA3019">
        <w:t xml:space="preserve"> in </w:t>
      </w:r>
      <w:r w:rsidR="009C79D1">
        <w:t>Supplement 3</w:t>
      </w:r>
      <w:r w:rsidR="00CA3019" w:rsidRPr="00CA3019">
        <w:t>.</w:t>
      </w:r>
      <w:r w:rsidR="00964CF4">
        <w:br w:type="page"/>
      </w:r>
    </w:p>
    <w:p w14:paraId="301E0833" w14:textId="77777777" w:rsidR="00147BCB" w:rsidRPr="00893959" w:rsidRDefault="00147BCB" w:rsidP="002B4B1E">
      <w:pPr>
        <w:pStyle w:val="Heading1"/>
        <w:spacing w:line="480" w:lineRule="auto"/>
        <w:jc w:val="center"/>
      </w:pPr>
      <w:r w:rsidRPr="00893959">
        <w:lastRenderedPageBreak/>
        <w:t>KEY POINTS</w:t>
      </w:r>
    </w:p>
    <w:p w14:paraId="0B2D5271" w14:textId="77777777" w:rsidR="00147BCB" w:rsidRDefault="00147BCB" w:rsidP="002B4B1E">
      <w:pPr>
        <w:spacing w:line="480" w:lineRule="auto"/>
        <w:rPr>
          <w:rFonts w:asciiTheme="majorHAnsi" w:eastAsiaTheme="majorEastAsia" w:hAnsiTheme="majorHAnsi" w:cstheme="majorBidi"/>
          <w:color w:val="365F91" w:themeColor="accent1" w:themeShade="BF"/>
        </w:rPr>
      </w:pPr>
    </w:p>
    <w:p w14:paraId="64C063B8" w14:textId="77777777" w:rsidR="00147BCB" w:rsidRDefault="00147BCB">
      <w:pPr>
        <w:pStyle w:val="Heading2"/>
        <w:spacing w:before="0" w:line="480" w:lineRule="auto"/>
      </w:pPr>
      <w:r>
        <w:t>Question:</w:t>
      </w:r>
    </w:p>
    <w:p w14:paraId="43BE87E9" w14:textId="6BEF52BB" w:rsidR="00147BCB" w:rsidRPr="00893959" w:rsidRDefault="00FA5385">
      <w:pPr>
        <w:spacing w:after="0" w:line="480" w:lineRule="auto"/>
        <w:rPr>
          <w:rFonts w:eastAsiaTheme="majorEastAsia" w:cstheme="majorBidi"/>
          <w:color w:val="000000" w:themeColor="text1"/>
        </w:rPr>
      </w:pPr>
      <w:r w:rsidRPr="00893959">
        <w:rPr>
          <w:rFonts w:eastAsiaTheme="majorEastAsia" w:cstheme="majorBidi"/>
          <w:color w:val="000000" w:themeColor="text1"/>
        </w:rPr>
        <w:t xml:space="preserve">Is </w:t>
      </w:r>
      <w:r w:rsidR="00991BF8">
        <w:rPr>
          <w:rFonts w:eastAsiaTheme="majorEastAsia" w:cstheme="majorBidi"/>
          <w:color w:val="000000" w:themeColor="text1"/>
        </w:rPr>
        <w:t>transcatheter aortic valve implantation (</w:t>
      </w:r>
      <w:r w:rsidRPr="00893959">
        <w:rPr>
          <w:rFonts w:eastAsiaTheme="majorEastAsia" w:cstheme="majorBidi"/>
          <w:color w:val="000000" w:themeColor="text1"/>
        </w:rPr>
        <w:t>TAVI</w:t>
      </w:r>
      <w:r w:rsidR="00991BF8">
        <w:rPr>
          <w:rFonts w:eastAsiaTheme="majorEastAsia" w:cstheme="majorBidi"/>
          <w:color w:val="000000" w:themeColor="text1"/>
        </w:rPr>
        <w:t>)</w:t>
      </w:r>
      <w:r w:rsidRPr="00893959">
        <w:rPr>
          <w:rFonts w:eastAsiaTheme="majorEastAsia" w:cstheme="majorBidi"/>
          <w:color w:val="000000" w:themeColor="text1"/>
        </w:rPr>
        <w:t xml:space="preserve"> noninferior to surgical aortic valve replacement in patients </w:t>
      </w:r>
      <w:r w:rsidR="005F6330">
        <w:rPr>
          <w:rFonts w:eastAsiaTheme="majorEastAsia" w:cstheme="majorBidi"/>
          <w:color w:val="000000" w:themeColor="text1"/>
        </w:rPr>
        <w:t xml:space="preserve">aged 70 years or older </w:t>
      </w:r>
      <w:r w:rsidRPr="00893959">
        <w:rPr>
          <w:rFonts w:eastAsiaTheme="majorEastAsia" w:cstheme="majorBidi"/>
          <w:color w:val="000000" w:themeColor="text1"/>
        </w:rPr>
        <w:t>with severe symptomatic aortic stenosis at moderately increased operative risk?</w:t>
      </w:r>
    </w:p>
    <w:p w14:paraId="7F70D3C0" w14:textId="77777777" w:rsidR="002C778E" w:rsidRDefault="002C778E">
      <w:pPr>
        <w:spacing w:after="0" w:line="480" w:lineRule="auto"/>
        <w:rPr>
          <w:rFonts w:asciiTheme="majorHAnsi" w:eastAsiaTheme="majorEastAsia" w:hAnsiTheme="majorHAnsi" w:cstheme="majorBidi"/>
          <w:color w:val="365F91" w:themeColor="accent1" w:themeShade="BF"/>
        </w:rPr>
      </w:pPr>
    </w:p>
    <w:p w14:paraId="26787259" w14:textId="77777777" w:rsidR="00147BCB" w:rsidRDefault="00147BCB">
      <w:pPr>
        <w:pStyle w:val="Heading2"/>
        <w:spacing w:before="0" w:line="480" w:lineRule="auto"/>
      </w:pPr>
      <w:r>
        <w:t>Findings:</w:t>
      </w:r>
    </w:p>
    <w:p w14:paraId="75C79513" w14:textId="460407FE" w:rsidR="00147BCB" w:rsidRPr="00893959" w:rsidRDefault="00FA5385">
      <w:pPr>
        <w:spacing w:after="0" w:line="480" w:lineRule="auto"/>
        <w:rPr>
          <w:rFonts w:eastAsiaTheme="majorEastAsia" w:cstheme="majorBidi"/>
          <w:color w:val="000000" w:themeColor="text1"/>
        </w:rPr>
      </w:pPr>
      <w:r w:rsidRPr="00893959">
        <w:rPr>
          <w:rFonts w:eastAsiaTheme="majorEastAsia" w:cstheme="majorBidi"/>
          <w:color w:val="000000" w:themeColor="text1"/>
        </w:rPr>
        <w:t xml:space="preserve">In this </w:t>
      </w:r>
      <w:r w:rsidR="002E5F5E">
        <w:rPr>
          <w:rFonts w:eastAsiaTheme="majorEastAsia" w:cstheme="majorBidi"/>
          <w:color w:val="000000" w:themeColor="text1"/>
        </w:rPr>
        <w:t>randomized</w:t>
      </w:r>
      <w:r w:rsidR="005F6330">
        <w:rPr>
          <w:rFonts w:eastAsiaTheme="majorEastAsia" w:cstheme="majorBidi"/>
          <w:color w:val="000000" w:themeColor="text1"/>
        </w:rPr>
        <w:t xml:space="preserve"> clinical</w:t>
      </w:r>
      <w:r w:rsidR="002E5F5E" w:rsidRPr="00893959">
        <w:rPr>
          <w:rFonts w:eastAsiaTheme="majorEastAsia" w:cstheme="majorBidi"/>
          <w:color w:val="000000" w:themeColor="text1"/>
        </w:rPr>
        <w:t xml:space="preserve"> </w:t>
      </w:r>
      <w:r w:rsidRPr="00893959">
        <w:rPr>
          <w:rFonts w:eastAsiaTheme="majorEastAsia" w:cstheme="majorBidi"/>
          <w:color w:val="000000" w:themeColor="text1"/>
        </w:rPr>
        <w:t xml:space="preserve">trial that included 913 patients at </w:t>
      </w:r>
      <w:r w:rsidR="00991BF8">
        <w:rPr>
          <w:rFonts w:eastAsiaTheme="majorEastAsia" w:cstheme="majorBidi"/>
          <w:color w:val="000000" w:themeColor="text1"/>
        </w:rPr>
        <w:t>moderately i</w:t>
      </w:r>
      <w:r w:rsidRPr="00893959">
        <w:rPr>
          <w:rFonts w:eastAsiaTheme="majorEastAsia" w:cstheme="majorBidi"/>
          <w:color w:val="000000" w:themeColor="text1"/>
        </w:rPr>
        <w:t xml:space="preserve">ncreased </w:t>
      </w:r>
      <w:r w:rsidR="00991BF8">
        <w:rPr>
          <w:rFonts w:eastAsiaTheme="majorEastAsia" w:cstheme="majorBidi"/>
          <w:color w:val="000000" w:themeColor="text1"/>
        </w:rPr>
        <w:t xml:space="preserve">operative </w:t>
      </w:r>
      <w:r w:rsidRPr="00893959">
        <w:rPr>
          <w:rFonts w:eastAsiaTheme="majorEastAsia" w:cstheme="majorBidi"/>
          <w:color w:val="000000" w:themeColor="text1"/>
        </w:rPr>
        <w:t xml:space="preserve">risk due to age or co-morbidity, </w:t>
      </w:r>
      <w:r w:rsidR="00991BF8">
        <w:rPr>
          <w:rFonts w:eastAsiaTheme="majorEastAsia" w:cstheme="majorBidi"/>
          <w:color w:val="000000" w:themeColor="text1"/>
        </w:rPr>
        <w:t>all-cause mortality</w:t>
      </w:r>
      <w:r w:rsidRPr="00893959">
        <w:rPr>
          <w:rFonts w:eastAsiaTheme="majorEastAsia" w:cstheme="majorBidi"/>
          <w:color w:val="000000" w:themeColor="text1"/>
        </w:rPr>
        <w:t xml:space="preserve"> at one year </w:t>
      </w:r>
      <w:r w:rsidR="00991BF8">
        <w:rPr>
          <w:rFonts w:eastAsiaTheme="majorEastAsia" w:cstheme="majorBidi"/>
          <w:color w:val="000000" w:themeColor="text1"/>
        </w:rPr>
        <w:t>was 4.4%</w:t>
      </w:r>
      <w:r w:rsidRPr="00893959">
        <w:rPr>
          <w:rFonts w:eastAsiaTheme="majorEastAsia" w:cstheme="majorBidi"/>
          <w:color w:val="000000" w:themeColor="text1"/>
        </w:rPr>
        <w:t xml:space="preserve"> with TAVI </w:t>
      </w:r>
      <w:r w:rsidR="002C778E" w:rsidRPr="00893959">
        <w:rPr>
          <w:rFonts w:eastAsiaTheme="majorEastAsia" w:cstheme="majorBidi"/>
          <w:i/>
          <w:color w:val="000000" w:themeColor="text1"/>
        </w:rPr>
        <w:t>vs</w:t>
      </w:r>
      <w:r w:rsidR="002C778E" w:rsidRPr="00893959">
        <w:rPr>
          <w:rFonts w:eastAsiaTheme="majorEastAsia" w:cstheme="majorBidi"/>
          <w:color w:val="000000" w:themeColor="text1"/>
        </w:rPr>
        <w:t xml:space="preserve"> </w:t>
      </w:r>
      <w:r w:rsidR="00991BF8">
        <w:rPr>
          <w:rFonts w:eastAsiaTheme="majorEastAsia" w:cstheme="majorBidi"/>
          <w:color w:val="000000" w:themeColor="text1"/>
        </w:rPr>
        <w:t xml:space="preserve">6.6% with </w:t>
      </w:r>
      <w:r w:rsidRPr="00893959">
        <w:rPr>
          <w:rFonts w:eastAsiaTheme="majorEastAsia" w:cstheme="majorBidi"/>
          <w:color w:val="000000" w:themeColor="text1"/>
        </w:rPr>
        <w:t>surgery</w:t>
      </w:r>
      <w:r w:rsidR="00492DC6">
        <w:rPr>
          <w:rFonts w:eastAsiaTheme="majorEastAsia" w:cstheme="majorBidi"/>
          <w:color w:val="000000" w:themeColor="text1"/>
        </w:rPr>
        <w:t>, a difference that met the prespecified noninferiority margin of 5%.</w:t>
      </w:r>
    </w:p>
    <w:p w14:paraId="04AEE474" w14:textId="77777777" w:rsidR="002C778E" w:rsidRDefault="002C778E">
      <w:pPr>
        <w:spacing w:after="0" w:line="480" w:lineRule="auto"/>
        <w:rPr>
          <w:rFonts w:asciiTheme="majorHAnsi" w:eastAsiaTheme="majorEastAsia" w:hAnsiTheme="majorHAnsi" w:cstheme="majorBidi"/>
          <w:color w:val="365F91" w:themeColor="accent1" w:themeShade="BF"/>
        </w:rPr>
      </w:pPr>
    </w:p>
    <w:p w14:paraId="447EF501" w14:textId="77777777" w:rsidR="00147BCB" w:rsidRDefault="00147BCB">
      <w:pPr>
        <w:pStyle w:val="Heading2"/>
        <w:spacing w:before="0" w:line="480" w:lineRule="auto"/>
      </w:pPr>
      <w:r>
        <w:t>Meaning:</w:t>
      </w:r>
    </w:p>
    <w:p w14:paraId="558A1069" w14:textId="41610A0B" w:rsidR="00147BCB" w:rsidRPr="00893959" w:rsidRDefault="00991BF8">
      <w:pPr>
        <w:spacing w:after="0" w:line="480" w:lineRule="auto"/>
        <w:rPr>
          <w:rFonts w:eastAsiaTheme="majorEastAsia" w:cstheme="majorBidi"/>
          <w:color w:val="000000" w:themeColor="text1"/>
        </w:rPr>
      </w:pPr>
      <w:r>
        <w:rPr>
          <w:rFonts w:eastAsiaTheme="majorEastAsia" w:cstheme="majorBidi"/>
          <w:color w:val="000000" w:themeColor="text1"/>
        </w:rPr>
        <w:t>Among</w:t>
      </w:r>
      <w:r w:rsidRPr="00893959">
        <w:rPr>
          <w:rFonts w:eastAsiaTheme="majorEastAsia" w:cstheme="majorBidi"/>
          <w:color w:val="000000" w:themeColor="text1"/>
        </w:rPr>
        <w:t xml:space="preserve"> </w:t>
      </w:r>
      <w:r w:rsidR="00FA5385" w:rsidRPr="00893959">
        <w:rPr>
          <w:rFonts w:eastAsiaTheme="majorEastAsia" w:cstheme="majorBidi"/>
          <w:color w:val="000000" w:themeColor="text1"/>
        </w:rPr>
        <w:t xml:space="preserve">patients aged 70 years or older with severe symptomatic aortic stenosis at moderately increased operative risk, </w:t>
      </w:r>
      <w:r w:rsidR="002C778E" w:rsidRPr="00893959">
        <w:rPr>
          <w:rFonts w:eastAsiaTheme="majorEastAsia" w:cstheme="majorBidi"/>
          <w:color w:val="000000" w:themeColor="text1"/>
        </w:rPr>
        <w:t xml:space="preserve">treatment with TAVI </w:t>
      </w:r>
      <w:r w:rsidR="00930337">
        <w:rPr>
          <w:rFonts w:eastAsiaTheme="majorEastAsia" w:cstheme="majorBidi"/>
          <w:color w:val="000000" w:themeColor="text1"/>
        </w:rPr>
        <w:t>was</w:t>
      </w:r>
      <w:r w:rsidR="00930337" w:rsidRPr="00893959">
        <w:rPr>
          <w:rFonts w:eastAsiaTheme="majorEastAsia" w:cstheme="majorBidi"/>
          <w:color w:val="000000" w:themeColor="text1"/>
        </w:rPr>
        <w:t xml:space="preserve"> </w:t>
      </w:r>
      <w:r w:rsidR="002C778E" w:rsidRPr="00893959">
        <w:rPr>
          <w:rFonts w:eastAsiaTheme="majorEastAsia" w:cstheme="majorBidi"/>
          <w:color w:val="000000" w:themeColor="text1"/>
        </w:rPr>
        <w:t>no</w:t>
      </w:r>
      <w:r w:rsidR="005F6330">
        <w:rPr>
          <w:rFonts w:eastAsiaTheme="majorEastAsia" w:cstheme="majorBidi"/>
          <w:color w:val="000000" w:themeColor="text1"/>
        </w:rPr>
        <w:t>n</w:t>
      </w:r>
      <w:r w:rsidR="00FA5385" w:rsidRPr="00893959">
        <w:rPr>
          <w:rFonts w:eastAsiaTheme="majorEastAsia" w:cstheme="majorBidi"/>
          <w:color w:val="000000" w:themeColor="text1"/>
        </w:rPr>
        <w:t>inferior to surgery in respect of all-cause mortality at one year.</w:t>
      </w:r>
    </w:p>
    <w:p w14:paraId="2CA47F50" w14:textId="77777777" w:rsidR="00147BCB" w:rsidRDefault="00147BCB" w:rsidP="002B4B1E">
      <w:pPr>
        <w:spacing w:line="480" w:lineRule="auto"/>
        <w:rPr>
          <w:rFonts w:asciiTheme="majorHAnsi" w:eastAsiaTheme="majorEastAsia" w:hAnsiTheme="majorHAnsi" w:cstheme="majorBidi"/>
          <w:b/>
          <w:bCs/>
          <w:color w:val="365F91" w:themeColor="accent1" w:themeShade="BF"/>
          <w:sz w:val="27"/>
          <w:szCs w:val="27"/>
        </w:rPr>
      </w:pPr>
      <w:r>
        <w:rPr>
          <w:sz w:val="27"/>
          <w:szCs w:val="27"/>
        </w:rPr>
        <w:br w:type="page"/>
      </w:r>
    </w:p>
    <w:p w14:paraId="3DB4DA82" w14:textId="77777777" w:rsidR="00CA6468" w:rsidRPr="00D4590F" w:rsidRDefault="00147BCB" w:rsidP="002B4B1E">
      <w:pPr>
        <w:pStyle w:val="Heading1"/>
        <w:spacing w:line="480" w:lineRule="auto"/>
        <w:jc w:val="center"/>
        <w:rPr>
          <w:sz w:val="27"/>
          <w:szCs w:val="27"/>
        </w:rPr>
      </w:pPr>
      <w:r>
        <w:rPr>
          <w:sz w:val="27"/>
          <w:szCs w:val="27"/>
        </w:rPr>
        <w:lastRenderedPageBreak/>
        <w:t>ABSTRACT</w:t>
      </w:r>
    </w:p>
    <w:p w14:paraId="5E85FE0E" w14:textId="77777777" w:rsidR="00AF26A4" w:rsidRDefault="00CF358D">
      <w:pPr>
        <w:pStyle w:val="Heading2"/>
        <w:spacing w:before="0" w:line="480" w:lineRule="auto"/>
      </w:pPr>
      <w:r>
        <w:t>Importance:</w:t>
      </w:r>
    </w:p>
    <w:p w14:paraId="55705027" w14:textId="77777777" w:rsidR="00AF26A4" w:rsidRDefault="00AF26A4">
      <w:pPr>
        <w:spacing w:after="0" w:line="480" w:lineRule="auto"/>
      </w:pPr>
      <w:r>
        <w:t>Transcatheter aortic valve implantation</w:t>
      </w:r>
      <w:r w:rsidR="00C779E0">
        <w:t xml:space="preserve"> (TAVI)</w:t>
      </w:r>
      <w:r>
        <w:t xml:space="preserve"> is a less invasive alternative to surgical aortic valve replacement and the treatment of choice for patients at high operative risk. </w:t>
      </w:r>
      <w:r w:rsidR="00291CBE">
        <w:t>I</w:t>
      </w:r>
      <w:r>
        <w:t xml:space="preserve">ts </w:t>
      </w:r>
      <w:r w:rsidR="00291CBE">
        <w:t xml:space="preserve">role </w:t>
      </w:r>
      <w:r>
        <w:t>in patients at lower risk</w:t>
      </w:r>
      <w:r w:rsidR="00291CBE">
        <w:t xml:space="preserve"> is unclear</w:t>
      </w:r>
      <w:r>
        <w:t>.</w:t>
      </w:r>
      <w:r w:rsidR="003F367B">
        <w:t xml:space="preserve"> </w:t>
      </w:r>
    </w:p>
    <w:p w14:paraId="50BFC5AE" w14:textId="77777777" w:rsidR="00CF358D" w:rsidRDefault="00CF358D">
      <w:pPr>
        <w:pStyle w:val="Heading2"/>
        <w:spacing w:before="0" w:line="480" w:lineRule="auto"/>
      </w:pPr>
      <w:r>
        <w:t>Objective:</w:t>
      </w:r>
    </w:p>
    <w:p w14:paraId="680F720F" w14:textId="3DB3DD07" w:rsidR="00CF358D" w:rsidRDefault="009F41FC">
      <w:pPr>
        <w:spacing w:after="0" w:line="480" w:lineRule="auto"/>
      </w:pPr>
      <w:r>
        <w:t xml:space="preserve">To determine whether </w:t>
      </w:r>
      <w:r w:rsidR="00C779E0">
        <w:t>TAVI</w:t>
      </w:r>
      <w:r>
        <w:t xml:space="preserve"> is noninferior to </w:t>
      </w:r>
      <w:r w:rsidR="00EF7A6E">
        <w:t>surgery</w:t>
      </w:r>
      <w:r>
        <w:t xml:space="preserve"> in patients at moderately increased operative risk.</w:t>
      </w:r>
    </w:p>
    <w:p w14:paraId="33979F16" w14:textId="77777777" w:rsidR="00AF26A4" w:rsidRDefault="00CF358D">
      <w:pPr>
        <w:pStyle w:val="Heading2"/>
        <w:spacing w:before="0" w:line="480" w:lineRule="auto"/>
      </w:pPr>
      <w:r>
        <w:t>Design</w:t>
      </w:r>
      <w:r w:rsidR="009E61FB">
        <w:t>, Setting and Participants</w:t>
      </w:r>
      <w:r>
        <w:t>:</w:t>
      </w:r>
    </w:p>
    <w:p w14:paraId="5789CECD" w14:textId="7552CFFC" w:rsidR="00CF358D" w:rsidRDefault="005F6330">
      <w:pPr>
        <w:spacing w:after="0" w:line="480" w:lineRule="auto"/>
      </w:pPr>
      <w:r>
        <w:t xml:space="preserve">In this </w:t>
      </w:r>
      <w:r w:rsidR="00A377DB">
        <w:t>randomized</w:t>
      </w:r>
      <w:r w:rsidR="003F367B">
        <w:t xml:space="preserve"> </w:t>
      </w:r>
      <w:r>
        <w:t xml:space="preserve">clinical </w:t>
      </w:r>
      <w:r w:rsidR="003F367B">
        <w:t xml:space="preserve">trial </w:t>
      </w:r>
      <w:r w:rsidR="0042599F">
        <w:t>conducted in</w:t>
      </w:r>
      <w:r w:rsidR="009F41FC">
        <w:t xml:space="preserve"> 34 </w:t>
      </w:r>
      <w:r w:rsidR="002E3885">
        <w:t xml:space="preserve">UK </w:t>
      </w:r>
      <w:r w:rsidR="006A5FC3">
        <w:t>centers</w:t>
      </w:r>
      <w:r>
        <w:t>, 913 p</w:t>
      </w:r>
      <w:r w:rsidR="0018158D">
        <w:t>atients</w:t>
      </w:r>
      <w:r w:rsidR="009F41FC">
        <w:t xml:space="preserve"> aged </w:t>
      </w:r>
      <w:r w:rsidR="007F3AE6">
        <w:rPr>
          <w:rFonts w:cstheme="minorHAnsi"/>
        </w:rPr>
        <w:t>≥</w:t>
      </w:r>
      <w:r w:rsidR="009F41FC">
        <w:t xml:space="preserve">70 years with severe symptomatic aortic stenosis at </w:t>
      </w:r>
      <w:r w:rsidR="00991BF8">
        <w:t xml:space="preserve">moderately </w:t>
      </w:r>
      <w:r w:rsidR="009F41FC">
        <w:t xml:space="preserve">increased </w:t>
      </w:r>
      <w:r w:rsidR="00991BF8">
        <w:t xml:space="preserve">operative </w:t>
      </w:r>
      <w:r w:rsidR="009F41FC">
        <w:t>risk due to age or co-morbidity</w:t>
      </w:r>
      <w:r w:rsidR="0018158D">
        <w:t xml:space="preserve"> were enrolled between April 2014 and April 2018, and followed to April 2019. </w:t>
      </w:r>
    </w:p>
    <w:p w14:paraId="5CCF73C6" w14:textId="77777777" w:rsidR="00CF358D" w:rsidRDefault="00CF358D">
      <w:pPr>
        <w:pStyle w:val="Heading2"/>
        <w:spacing w:before="0" w:line="480" w:lineRule="auto"/>
      </w:pPr>
      <w:r>
        <w:t>Interventions:</w:t>
      </w:r>
    </w:p>
    <w:p w14:paraId="1D9962F3" w14:textId="35758BBE" w:rsidR="00CF358D" w:rsidRDefault="00C779E0">
      <w:pPr>
        <w:spacing w:after="0" w:line="480" w:lineRule="auto"/>
      </w:pPr>
      <w:r>
        <w:t>TAVI</w:t>
      </w:r>
      <w:r w:rsidR="009F41FC">
        <w:t xml:space="preserve"> using any </w:t>
      </w:r>
      <w:r w:rsidR="00D9582D">
        <w:t>valve with a CE mark</w:t>
      </w:r>
      <w:r w:rsidR="009F41FC">
        <w:t xml:space="preserve"> </w:t>
      </w:r>
      <w:r w:rsidR="00D9582D">
        <w:t>(</w:t>
      </w:r>
      <w:r w:rsidR="00D65AA5">
        <w:t>indicating</w:t>
      </w:r>
      <w:r w:rsidR="00D9582D">
        <w:t xml:space="preserve"> </w:t>
      </w:r>
      <w:r w:rsidR="00D65AA5">
        <w:t>conformity</w:t>
      </w:r>
      <w:r w:rsidR="00D9582D">
        <w:t xml:space="preserve"> of the valve with all </w:t>
      </w:r>
      <w:r w:rsidR="00D65AA5">
        <w:t>legal and safety</w:t>
      </w:r>
      <w:r w:rsidR="00D9582D">
        <w:t xml:space="preserve"> requirements for sale throughout the European Economic Area) </w:t>
      </w:r>
      <w:r w:rsidR="00D842CE">
        <w:t xml:space="preserve">and </w:t>
      </w:r>
      <w:r w:rsidR="00D9582D">
        <w:t xml:space="preserve">any </w:t>
      </w:r>
      <w:r w:rsidR="00D842CE">
        <w:t xml:space="preserve">access route </w:t>
      </w:r>
      <w:r w:rsidR="001E380F">
        <w:t>(n=</w:t>
      </w:r>
      <w:r w:rsidR="0042599F">
        <w:t xml:space="preserve">458) </w:t>
      </w:r>
      <w:r w:rsidR="009F41FC">
        <w:t>or surgical aortic valve replacement</w:t>
      </w:r>
      <w:r w:rsidR="001E380F">
        <w:t xml:space="preserve"> (n=</w:t>
      </w:r>
      <w:r w:rsidR="0042599F">
        <w:t>455)</w:t>
      </w:r>
      <w:r w:rsidR="009F41FC">
        <w:t>.</w:t>
      </w:r>
    </w:p>
    <w:p w14:paraId="2075CCF6" w14:textId="245F91C6" w:rsidR="00CF358D" w:rsidRDefault="00CF358D">
      <w:pPr>
        <w:pStyle w:val="Heading2"/>
        <w:spacing w:before="0" w:line="480" w:lineRule="auto"/>
      </w:pPr>
      <w:r>
        <w:t xml:space="preserve">Main </w:t>
      </w:r>
      <w:r w:rsidR="00B91442">
        <w:t>O</w:t>
      </w:r>
      <w:r>
        <w:t>utcomes and Measures:</w:t>
      </w:r>
    </w:p>
    <w:p w14:paraId="6244B42F" w14:textId="797EC44C" w:rsidR="0042599F" w:rsidRDefault="0042599F">
      <w:pPr>
        <w:spacing w:after="0" w:line="480" w:lineRule="auto"/>
      </w:pPr>
      <w:r>
        <w:t xml:space="preserve">The primary end-point was all-cause mortality at one year. The primary hypothesis was that TAVI </w:t>
      </w:r>
      <w:r w:rsidR="003B09A1">
        <w:t xml:space="preserve">was </w:t>
      </w:r>
      <w:r>
        <w:t>noninferior to surgery</w:t>
      </w:r>
      <w:r w:rsidR="00572A4D">
        <w:t xml:space="preserve">, with a noninferiority margin for the upper limit of the </w:t>
      </w:r>
      <w:r w:rsidR="00681D9F">
        <w:t>one</w:t>
      </w:r>
      <w:r w:rsidR="00572A4D">
        <w:t xml:space="preserve">-sided </w:t>
      </w:r>
      <w:r w:rsidR="00681D9F">
        <w:t>97.5%</w:t>
      </w:r>
      <w:r w:rsidR="00572A4D">
        <w:t xml:space="preserve"> confidence interval for the absolute difference in mortality between the groups of 5%.</w:t>
      </w:r>
      <w:r>
        <w:t xml:space="preserve"> </w:t>
      </w:r>
      <w:r w:rsidR="00F17757">
        <w:t xml:space="preserve">There were </w:t>
      </w:r>
      <w:r w:rsidR="00865FAB">
        <w:t>3</w:t>
      </w:r>
      <w:r w:rsidR="008F6AFE">
        <w:t>6</w:t>
      </w:r>
      <w:r w:rsidR="00F17757">
        <w:t xml:space="preserve"> s</w:t>
      </w:r>
      <w:r w:rsidR="00B91442">
        <w:t>econdary outcomes</w:t>
      </w:r>
      <w:r w:rsidR="004D48BE">
        <w:t xml:space="preserve"> (</w:t>
      </w:r>
      <w:r w:rsidR="007F3AE6">
        <w:t>3</w:t>
      </w:r>
      <w:r w:rsidR="008F6AFE">
        <w:t>0</w:t>
      </w:r>
      <w:r w:rsidR="007F3AE6">
        <w:t xml:space="preserve"> reported herein</w:t>
      </w:r>
      <w:r w:rsidR="004D48BE">
        <w:t>)</w:t>
      </w:r>
      <w:r w:rsidR="00F17757">
        <w:t>,</w:t>
      </w:r>
      <w:r w:rsidR="007E0A4D">
        <w:t xml:space="preserve"> </w:t>
      </w:r>
      <w:r w:rsidR="00F17757">
        <w:t xml:space="preserve">including </w:t>
      </w:r>
      <w:r w:rsidR="00B91442">
        <w:t xml:space="preserve">duration of </w:t>
      </w:r>
      <w:r w:rsidR="00763FDC">
        <w:t>hospital stay</w:t>
      </w:r>
      <w:r w:rsidR="00F677D9">
        <w:t>, major bleeding, vascular complications, conduction disturbance requiring pacemaker implantation and aortic regurgitation.</w:t>
      </w:r>
    </w:p>
    <w:p w14:paraId="00C15F79" w14:textId="77777777" w:rsidR="00AF26A4" w:rsidRDefault="00CF358D">
      <w:pPr>
        <w:pStyle w:val="Heading2"/>
        <w:spacing w:before="0" w:line="480" w:lineRule="auto"/>
      </w:pPr>
      <w:r>
        <w:lastRenderedPageBreak/>
        <w:t>Results:</w:t>
      </w:r>
    </w:p>
    <w:p w14:paraId="157843C1" w14:textId="69790DF1" w:rsidR="00AF26A4" w:rsidRPr="000D4ADF" w:rsidRDefault="002E5F5E">
      <w:pPr>
        <w:spacing w:after="0" w:line="480" w:lineRule="auto"/>
      </w:pPr>
      <w:r>
        <w:t xml:space="preserve">Among </w:t>
      </w:r>
      <w:r w:rsidR="001E380F">
        <w:t xml:space="preserve">913 patients </w:t>
      </w:r>
      <w:r w:rsidR="00A377DB">
        <w:t>randomized</w:t>
      </w:r>
      <w:r>
        <w:t xml:space="preserve"> (</w:t>
      </w:r>
      <w:r w:rsidR="002F13ED">
        <w:t>median</w:t>
      </w:r>
      <w:r>
        <w:t xml:space="preserve"> </w:t>
      </w:r>
      <w:r w:rsidR="001132FB">
        <w:t xml:space="preserve">(IQR) </w:t>
      </w:r>
      <w:r>
        <w:t>age, 81</w:t>
      </w:r>
      <w:r w:rsidR="001132FB">
        <w:t xml:space="preserve"> (78, 84)</w:t>
      </w:r>
      <w:r w:rsidR="005F6330">
        <w:t xml:space="preserve"> years</w:t>
      </w:r>
      <w:r>
        <w:t xml:space="preserve">; 424 (46%) female; median </w:t>
      </w:r>
      <w:r w:rsidR="00527BF1">
        <w:t xml:space="preserve">(IQR) </w:t>
      </w:r>
      <w:r w:rsidRPr="002E5F5E">
        <w:t>So</w:t>
      </w:r>
      <w:r>
        <w:t xml:space="preserve">ciety of Thoracic Surgeons risk </w:t>
      </w:r>
      <w:r w:rsidRPr="002E5F5E">
        <w:t>score</w:t>
      </w:r>
      <w:r>
        <w:t>,</w:t>
      </w:r>
      <w:r w:rsidRPr="002E5F5E">
        <w:t xml:space="preserve"> 2.6</w:t>
      </w:r>
      <w:r w:rsidR="00527BF1">
        <w:t xml:space="preserve"> (2.0, 3.4)</w:t>
      </w:r>
      <w:r>
        <w:t xml:space="preserve">), 912 </w:t>
      </w:r>
      <w:r w:rsidR="005F6330">
        <w:t>(</w:t>
      </w:r>
      <w:r w:rsidR="005776AD">
        <w:t>99.9%</w:t>
      </w:r>
      <w:r w:rsidR="005F6330">
        <w:t xml:space="preserve">) </w:t>
      </w:r>
      <w:r>
        <w:t>completed follow-up</w:t>
      </w:r>
      <w:r w:rsidR="00702A05">
        <w:t xml:space="preserve"> and were included in the non-inferiority analysis</w:t>
      </w:r>
      <w:r>
        <w:t xml:space="preserve">. </w:t>
      </w:r>
      <w:r w:rsidR="00AF26A4">
        <w:t xml:space="preserve">At one year, </w:t>
      </w:r>
      <w:r w:rsidR="00DB65F8">
        <w:t xml:space="preserve">there were 21 deaths (4.6%) in the </w:t>
      </w:r>
      <w:r w:rsidR="00C779E0">
        <w:t>TAVI</w:t>
      </w:r>
      <w:r w:rsidR="00DB65F8">
        <w:t xml:space="preserve"> group</w:t>
      </w:r>
      <w:r w:rsidR="00AF26A4">
        <w:t xml:space="preserve"> and </w:t>
      </w:r>
      <w:r w:rsidR="00DB65F8">
        <w:t>30 (6.6%) in the surgery group</w:t>
      </w:r>
      <w:r w:rsidR="00122144">
        <w:t>, with an a</w:t>
      </w:r>
      <w:r w:rsidR="00702A05">
        <w:t xml:space="preserve">djusted absolute risk difference </w:t>
      </w:r>
      <w:r w:rsidR="00122144">
        <w:t>of</w:t>
      </w:r>
      <w:r w:rsidR="00702A05">
        <w:t xml:space="preserve"> </w:t>
      </w:r>
      <w:r w:rsidR="0096069B">
        <w:t>-2.0</w:t>
      </w:r>
      <w:r w:rsidR="00702A05">
        <w:t>%</w:t>
      </w:r>
      <w:r w:rsidR="0096069B">
        <w:t xml:space="preserve"> [one-sided 97.5%</w:t>
      </w:r>
      <w:r w:rsidR="006C5E7C">
        <w:t xml:space="preserve"> </w:t>
      </w:r>
      <w:r w:rsidR="0096069B">
        <w:t>CI, -</w:t>
      </w:r>
      <w:r w:rsidR="0096069B">
        <w:rPr>
          <w:rFonts w:cstheme="minorHAnsi"/>
        </w:rPr>
        <w:t>∞</w:t>
      </w:r>
      <w:r w:rsidR="0096069B">
        <w:t xml:space="preserve"> to 1.2%]</w:t>
      </w:r>
      <w:r w:rsidR="00AF26A4">
        <w:t xml:space="preserve">, </w:t>
      </w:r>
      <w:r w:rsidR="003A0E56" w:rsidRPr="002B4B1E">
        <w:rPr>
          <w:i/>
        </w:rPr>
        <w:t>P</w:t>
      </w:r>
      <w:r w:rsidR="003A0E56">
        <w:t xml:space="preserve"> &lt;0.001 for </w:t>
      </w:r>
      <w:r w:rsidR="00AF26A4">
        <w:t>noninferiority</w:t>
      </w:r>
      <w:r w:rsidR="00122144">
        <w:t>.</w:t>
      </w:r>
      <w:r w:rsidR="00246BF1">
        <w:t xml:space="preserve"> </w:t>
      </w:r>
      <w:r w:rsidR="005F6330">
        <w:t xml:space="preserve">Of 30 prespecified secondary outcomes reported herein, 24 showed no significant difference at one year. </w:t>
      </w:r>
      <w:r w:rsidR="00C779E0">
        <w:t>TAVI</w:t>
      </w:r>
      <w:r w:rsidR="006B6174">
        <w:t xml:space="preserve"> </w:t>
      </w:r>
      <w:r w:rsidR="00020359">
        <w:t>was associated with</w:t>
      </w:r>
      <w:r w:rsidR="00AF26A4">
        <w:t xml:space="preserve"> </w:t>
      </w:r>
      <w:r w:rsidR="005F6330">
        <w:t xml:space="preserve">significantly </w:t>
      </w:r>
      <w:r w:rsidR="00AF26A4">
        <w:t xml:space="preserve">shorter </w:t>
      </w:r>
      <w:r w:rsidR="00594980">
        <w:t xml:space="preserve">post-procedural </w:t>
      </w:r>
      <w:r w:rsidR="00AF26A4">
        <w:t>hospitalisation</w:t>
      </w:r>
      <w:r w:rsidR="00681D9F">
        <w:t xml:space="preserve"> (median (IQR)</w:t>
      </w:r>
      <w:r w:rsidR="00594980">
        <w:t>,</w:t>
      </w:r>
      <w:r w:rsidR="00681D9F">
        <w:t xml:space="preserve"> 3 (2-5) vs</w:t>
      </w:r>
      <w:r w:rsidR="00763FDC">
        <w:t xml:space="preserve"> 8 (6-13) days</w:t>
      </w:r>
      <w:r w:rsidR="00681D9F">
        <w:t>)</w:t>
      </w:r>
      <w:r w:rsidR="00487582">
        <w:t>.</w:t>
      </w:r>
      <w:r w:rsidR="005B0C99">
        <w:t xml:space="preserve"> </w:t>
      </w:r>
      <w:r w:rsidR="001D576E">
        <w:t xml:space="preserve"> </w:t>
      </w:r>
      <w:r w:rsidR="00122144">
        <w:t xml:space="preserve">At one year, there was </w:t>
      </w:r>
      <w:r w:rsidR="005F6330">
        <w:t xml:space="preserve">significantly </w:t>
      </w:r>
      <w:r w:rsidR="00122144">
        <w:t xml:space="preserve">less major bleeding after TAVI </w:t>
      </w:r>
      <w:r w:rsidR="008A5EB3">
        <w:t xml:space="preserve">(7.2% vs 20.2%; HR, 0.33 [95% CI, 0.24 to 0.45]) </w:t>
      </w:r>
      <w:r w:rsidR="00122144">
        <w:t>but</w:t>
      </w:r>
      <w:r w:rsidR="005F6330">
        <w:t xml:space="preserve"> significantly</w:t>
      </w:r>
      <w:r w:rsidR="00122144">
        <w:t xml:space="preserve"> more vascular complications </w:t>
      </w:r>
      <w:r w:rsidR="008A5EB3">
        <w:t>(10.3% vs 2.4%; HR</w:t>
      </w:r>
      <w:r w:rsidR="00834596">
        <w:t>,</w:t>
      </w:r>
      <w:r w:rsidR="008A5EB3">
        <w:t xml:space="preserve"> 4.42 [95% CI, 2.54 to 7.71])</w:t>
      </w:r>
      <w:r w:rsidR="005F6330">
        <w:t>,</w:t>
      </w:r>
      <w:r w:rsidR="008A5EB3">
        <w:t xml:space="preserve"> conduction disturbance requiring </w:t>
      </w:r>
      <w:r w:rsidR="00122144">
        <w:t xml:space="preserve">pacemaker implantation </w:t>
      </w:r>
      <w:r w:rsidR="008A5EB3">
        <w:t>(14.2% vs 7.3%; HR</w:t>
      </w:r>
      <w:r w:rsidR="00834596">
        <w:t>,</w:t>
      </w:r>
      <w:r w:rsidR="008A5EB3">
        <w:t xml:space="preserve"> 2.05 [95% CI, 1.43 to 2.94])</w:t>
      </w:r>
      <w:r w:rsidR="002F13ED">
        <w:t>,</w:t>
      </w:r>
      <w:r w:rsidR="008A5EB3">
        <w:t xml:space="preserve"> </w:t>
      </w:r>
      <w:r w:rsidR="00122144">
        <w:t xml:space="preserve">and </w:t>
      </w:r>
      <w:r w:rsidR="008A5EB3">
        <w:t xml:space="preserve">mild (38.3% vs 11.7%) or moderate (2.3% vs 0.6%) </w:t>
      </w:r>
      <w:r w:rsidR="00122144">
        <w:t>aortic regurgitation</w:t>
      </w:r>
      <w:r w:rsidR="008A5EB3">
        <w:t xml:space="preserve"> </w:t>
      </w:r>
      <w:r w:rsidR="00C14674">
        <w:t>(</w:t>
      </w:r>
      <w:r w:rsidR="008B2929">
        <w:t xml:space="preserve">OR </w:t>
      </w:r>
      <w:r w:rsidR="00E5195A">
        <w:t>for mild</w:t>
      </w:r>
      <w:r w:rsidR="008C4ADC">
        <w:t xml:space="preserve">, moderate </w:t>
      </w:r>
      <w:r w:rsidR="00E1512F">
        <w:t>or severe</w:t>
      </w:r>
      <w:r w:rsidR="00E5195A">
        <w:t xml:space="preserve"> </w:t>
      </w:r>
      <w:r w:rsidR="00E1512F">
        <w:t xml:space="preserve">(no instance of severe reported) </w:t>
      </w:r>
      <w:r w:rsidR="00E5195A">
        <w:t>aortic regurgitation</w:t>
      </w:r>
      <w:r w:rsidR="00E1512F">
        <w:t xml:space="preserve"> combined vs none</w:t>
      </w:r>
      <w:r w:rsidR="00834596">
        <w:t>,</w:t>
      </w:r>
      <w:r w:rsidR="00E5195A">
        <w:t xml:space="preserve"> </w:t>
      </w:r>
      <w:r w:rsidR="00C14674">
        <w:t>4.89</w:t>
      </w:r>
      <w:r w:rsidR="008B2929">
        <w:t xml:space="preserve"> [95% CI, 3.08 to 7.75])</w:t>
      </w:r>
      <w:r w:rsidR="008A5EB3">
        <w:t xml:space="preserve">. </w:t>
      </w:r>
    </w:p>
    <w:p w14:paraId="41CC0FB1" w14:textId="77777777" w:rsidR="00AF26A4" w:rsidRDefault="00CF358D">
      <w:pPr>
        <w:pStyle w:val="Heading2"/>
        <w:spacing w:before="0" w:line="480" w:lineRule="auto"/>
      </w:pPr>
      <w:r>
        <w:t>Conclusions and Relevance:</w:t>
      </w:r>
    </w:p>
    <w:p w14:paraId="4C82D0B4" w14:textId="2A35DA15" w:rsidR="00926C53" w:rsidRDefault="00991BF8">
      <w:pPr>
        <w:spacing w:after="0" w:line="480" w:lineRule="auto"/>
      </w:pPr>
      <w:r>
        <w:t xml:space="preserve">Among </w:t>
      </w:r>
      <w:r w:rsidR="00AF26A4">
        <w:t xml:space="preserve">patients aged 70 years or older with severe symptomatic aortic stenosis at </w:t>
      </w:r>
      <w:r w:rsidR="00941C6B">
        <w:t xml:space="preserve">moderately </w:t>
      </w:r>
      <w:r w:rsidR="00AF26A4">
        <w:t>increas</w:t>
      </w:r>
      <w:r w:rsidR="00941C6B">
        <w:t xml:space="preserve">ed operative risk, </w:t>
      </w:r>
      <w:r w:rsidR="00C779E0">
        <w:t>TAVI</w:t>
      </w:r>
      <w:r w:rsidR="00C779E0" w:rsidDel="00C779E0">
        <w:t xml:space="preserve"> </w:t>
      </w:r>
      <w:r w:rsidR="00941C6B">
        <w:t xml:space="preserve"> </w:t>
      </w:r>
      <w:r w:rsidR="00930337">
        <w:t xml:space="preserve">was </w:t>
      </w:r>
      <w:r w:rsidR="00941C6B">
        <w:t>non</w:t>
      </w:r>
      <w:r w:rsidR="00AF26A4">
        <w:t>inferior to surgery in respect of all-cause mortality at one year.</w:t>
      </w:r>
    </w:p>
    <w:p w14:paraId="518D71FD" w14:textId="77777777" w:rsidR="00926C53" w:rsidRDefault="00CF358D">
      <w:pPr>
        <w:pStyle w:val="Heading2"/>
        <w:spacing w:before="0" w:line="480" w:lineRule="auto"/>
      </w:pPr>
      <w:r>
        <w:t>Trial Registration:</w:t>
      </w:r>
    </w:p>
    <w:p w14:paraId="3A5AE6A1" w14:textId="77777777" w:rsidR="0042599F" w:rsidRDefault="0042599F">
      <w:pPr>
        <w:spacing w:after="0" w:line="480" w:lineRule="auto"/>
      </w:pPr>
      <w:r>
        <w:t>ISRCTN.com Identifier ISRCTN57819173</w:t>
      </w:r>
    </w:p>
    <w:p w14:paraId="4C4E81A9" w14:textId="77777777" w:rsidR="00EC2788" w:rsidRPr="00D4590F" w:rsidRDefault="00C92C09" w:rsidP="002B4B1E">
      <w:pPr>
        <w:spacing w:line="480" w:lineRule="auto"/>
        <w:jc w:val="center"/>
        <w:rPr>
          <w:sz w:val="27"/>
          <w:szCs w:val="27"/>
        </w:rPr>
      </w:pPr>
      <w:r>
        <w:br w:type="page"/>
      </w:r>
      <w:r w:rsidR="00242801">
        <w:rPr>
          <w:rFonts w:asciiTheme="majorHAnsi" w:hAnsiTheme="majorHAnsi"/>
          <w:b/>
          <w:color w:val="365F91"/>
          <w:sz w:val="27"/>
          <w:szCs w:val="27"/>
        </w:rPr>
        <w:t>INTRODUCTION</w:t>
      </w:r>
    </w:p>
    <w:p w14:paraId="3E54CA8F" w14:textId="30FB8F8C" w:rsidR="00D70D2A" w:rsidRDefault="00174130">
      <w:pPr>
        <w:spacing w:line="480" w:lineRule="auto"/>
      </w:pPr>
      <w:r>
        <w:t xml:space="preserve">Transcatheter aortic valve implantation (TAVI) </w:t>
      </w:r>
      <w:r w:rsidR="00507A88">
        <w:t>is</w:t>
      </w:r>
      <w:r>
        <w:t xml:space="preserve"> a less invasive alternative to </w:t>
      </w:r>
      <w:r w:rsidR="00A20104">
        <w:t xml:space="preserve">surgical </w:t>
      </w:r>
      <w:r>
        <w:t xml:space="preserve">aortic valve </w:t>
      </w:r>
      <w:r w:rsidR="00A20104">
        <w:t xml:space="preserve">replacement </w:t>
      </w:r>
      <w:r>
        <w:t xml:space="preserve">for patients with severe symptomatic aortic stenosis requiring intervention. The first </w:t>
      </w:r>
      <w:r w:rsidR="008B6E0C">
        <w:t xml:space="preserve">clinical </w:t>
      </w:r>
      <w:r>
        <w:t>use</w:t>
      </w:r>
      <w:r w:rsidR="002C03FB">
        <w:t xml:space="preserve"> of TAVI </w:t>
      </w:r>
      <w:r>
        <w:t>was in 2002</w:t>
      </w:r>
      <w:r w:rsidR="00882204" w:rsidRPr="00882204">
        <w:rPr>
          <w:vertAlign w:val="superscript"/>
        </w:rPr>
        <w:t>1</w:t>
      </w:r>
      <w:r>
        <w:t xml:space="preserve"> </w:t>
      </w:r>
      <w:r w:rsidR="005F6330">
        <w:t>and</w:t>
      </w:r>
      <w:r>
        <w:t xml:space="preserve"> </w:t>
      </w:r>
      <w:r w:rsidR="00A20104">
        <w:t xml:space="preserve">evidence from </w:t>
      </w:r>
      <w:r w:rsidR="00A377DB">
        <w:t>randomized</w:t>
      </w:r>
      <w:r w:rsidR="00A20104">
        <w:t xml:space="preserve"> trials has supported its adoption as </w:t>
      </w:r>
      <w:r w:rsidR="0014617F">
        <w:t xml:space="preserve">the treatment of choice for patients who are unfit for </w:t>
      </w:r>
      <w:r w:rsidR="00EB6FD2">
        <w:t xml:space="preserve">conventional </w:t>
      </w:r>
      <w:r w:rsidR="0014617F">
        <w:t>surgery</w:t>
      </w:r>
      <w:r w:rsidR="00882204" w:rsidRPr="00882204">
        <w:rPr>
          <w:vertAlign w:val="superscript"/>
        </w:rPr>
        <w:t>2</w:t>
      </w:r>
      <w:r w:rsidR="0014617F">
        <w:t xml:space="preserve"> or at high operative risk.</w:t>
      </w:r>
      <w:r w:rsidR="00882204" w:rsidRPr="00882204">
        <w:rPr>
          <w:vertAlign w:val="superscript"/>
        </w:rPr>
        <w:t>3-6</w:t>
      </w:r>
      <w:r w:rsidR="0014617F">
        <w:t xml:space="preserve"> </w:t>
      </w:r>
      <w:r w:rsidR="007062A2">
        <w:t>E</w:t>
      </w:r>
      <w:r w:rsidR="00A20104">
        <w:t>arly</w:t>
      </w:r>
      <w:r w:rsidR="002C03FB">
        <w:t xml:space="preserve"> trials used first-generation TAVI devices, which were associated with a high rate of procedural complications.</w:t>
      </w:r>
      <w:r w:rsidR="00882204" w:rsidRPr="00882204">
        <w:rPr>
          <w:vertAlign w:val="superscript"/>
        </w:rPr>
        <w:t>7,8</w:t>
      </w:r>
      <w:r w:rsidR="00882204">
        <w:t xml:space="preserve"> </w:t>
      </w:r>
      <w:r w:rsidR="002C03FB">
        <w:t xml:space="preserve">Technological developments, procedural </w:t>
      </w:r>
      <w:r w:rsidR="004536B4">
        <w:t xml:space="preserve">refinements </w:t>
      </w:r>
      <w:r w:rsidR="002C03FB">
        <w:t xml:space="preserve">and increased operator experience have </w:t>
      </w:r>
      <w:r w:rsidR="00A20104">
        <w:t>subsequently resulted in</w:t>
      </w:r>
      <w:r w:rsidR="002C03FB">
        <w:t xml:space="preserve"> improved outcomes</w:t>
      </w:r>
      <w:r w:rsidR="005F6330">
        <w:t>,</w:t>
      </w:r>
      <w:r w:rsidR="002C03FB">
        <w:t xml:space="preserve"> and there is </w:t>
      </w:r>
      <w:r w:rsidR="0014617F">
        <w:t>increasing interest in the use of TAVI in</w:t>
      </w:r>
      <w:r w:rsidR="00A20104">
        <w:t xml:space="preserve"> patients </w:t>
      </w:r>
      <w:r w:rsidR="0014617F">
        <w:t>at lower operative risk</w:t>
      </w:r>
      <w:r w:rsidR="002C03FB">
        <w:t xml:space="preserve">. </w:t>
      </w:r>
      <w:r w:rsidR="004E6A15">
        <w:t xml:space="preserve">The United Kingdom Transcatheter Aortic Valve Implantation (UK TAVI) </w:t>
      </w:r>
      <w:r w:rsidR="0014617F">
        <w:t>trial</w:t>
      </w:r>
      <w:r w:rsidR="003C192F">
        <w:t xml:space="preserve"> </w:t>
      </w:r>
      <w:r w:rsidR="007036C0">
        <w:t>was conducted</w:t>
      </w:r>
      <w:r w:rsidR="004E6A15">
        <w:t xml:space="preserve"> </w:t>
      </w:r>
      <w:r w:rsidR="003C192F">
        <w:t>to compare</w:t>
      </w:r>
      <w:r w:rsidR="0014617F">
        <w:t xml:space="preserve"> </w:t>
      </w:r>
      <w:r w:rsidR="00A20104">
        <w:t xml:space="preserve">TAVI with </w:t>
      </w:r>
      <w:r w:rsidR="00165F21">
        <w:t>surgery</w:t>
      </w:r>
      <w:r w:rsidR="00A20104">
        <w:t xml:space="preserve"> in patients at</w:t>
      </w:r>
      <w:r w:rsidR="00DC16A8">
        <w:t xml:space="preserve"> </w:t>
      </w:r>
      <w:r w:rsidR="003C58A2">
        <w:t xml:space="preserve">only </w:t>
      </w:r>
      <w:r w:rsidR="00DC16A8">
        <w:t>moderately</w:t>
      </w:r>
      <w:r w:rsidR="00A20104">
        <w:t xml:space="preserve"> increased operative risk </w:t>
      </w:r>
      <w:r w:rsidR="004536B4">
        <w:t>due to</w:t>
      </w:r>
      <w:r w:rsidR="00A20104">
        <w:t xml:space="preserve"> age or co</w:t>
      </w:r>
      <w:r w:rsidR="006A52CE">
        <w:t>-</w:t>
      </w:r>
      <w:r w:rsidR="009F33C9">
        <w:t>morbidity</w:t>
      </w:r>
      <w:r w:rsidR="00A20104">
        <w:t>.</w:t>
      </w:r>
      <w:r w:rsidR="004E6A15">
        <w:t xml:space="preserve"> </w:t>
      </w:r>
    </w:p>
    <w:p w14:paraId="55EBA332" w14:textId="77777777" w:rsidR="00D70D2A" w:rsidRDefault="00D70D2A" w:rsidP="002B4B1E">
      <w:pPr>
        <w:spacing w:line="480" w:lineRule="auto"/>
        <w:rPr>
          <w:b/>
        </w:rPr>
      </w:pPr>
    </w:p>
    <w:p w14:paraId="4BE0876F" w14:textId="77777777" w:rsidR="00D1280A" w:rsidRDefault="00D1280A" w:rsidP="002B4B1E">
      <w:pPr>
        <w:spacing w:line="480" w:lineRule="auto"/>
        <w:rPr>
          <w:rFonts w:asciiTheme="majorHAnsi" w:eastAsiaTheme="majorEastAsia" w:hAnsiTheme="majorHAnsi" w:cstheme="majorBidi"/>
          <w:b/>
          <w:bCs/>
          <w:color w:val="365F91" w:themeColor="accent1" w:themeShade="BF"/>
          <w:sz w:val="28"/>
          <w:szCs w:val="28"/>
        </w:rPr>
      </w:pPr>
      <w:r>
        <w:br w:type="page"/>
      </w:r>
    </w:p>
    <w:p w14:paraId="7FB89818" w14:textId="77777777" w:rsidR="00CA6468" w:rsidRPr="00D4590F" w:rsidRDefault="00D8238F" w:rsidP="002B4B1E">
      <w:pPr>
        <w:pStyle w:val="Heading1"/>
        <w:spacing w:line="480" w:lineRule="auto"/>
        <w:jc w:val="center"/>
        <w:rPr>
          <w:sz w:val="27"/>
          <w:szCs w:val="27"/>
        </w:rPr>
      </w:pPr>
      <w:r w:rsidRPr="00D4590F">
        <w:rPr>
          <w:sz w:val="27"/>
          <w:szCs w:val="27"/>
        </w:rPr>
        <w:t>METHODS</w:t>
      </w:r>
    </w:p>
    <w:p w14:paraId="67AFCAB3" w14:textId="77777777" w:rsidR="00CA6468" w:rsidRPr="00D70D2A" w:rsidRDefault="00E17779">
      <w:pPr>
        <w:pStyle w:val="Heading2"/>
        <w:spacing w:line="480" w:lineRule="auto"/>
      </w:pPr>
      <w:r>
        <w:t>Trial</w:t>
      </w:r>
      <w:r w:rsidR="003C192F">
        <w:t xml:space="preserve"> </w:t>
      </w:r>
      <w:r>
        <w:t>D</w:t>
      </w:r>
      <w:r w:rsidR="003C192F">
        <w:t>esign</w:t>
      </w:r>
      <w:r>
        <w:t xml:space="preserve"> and Oversight</w:t>
      </w:r>
    </w:p>
    <w:p w14:paraId="689AAF61" w14:textId="0F3D945E" w:rsidR="00CB4D2F" w:rsidRDefault="00BF2ECF">
      <w:pPr>
        <w:spacing w:line="480" w:lineRule="auto"/>
      </w:pPr>
      <w:r>
        <w:t>This</w:t>
      </w:r>
      <w:r w:rsidR="00746E39">
        <w:t xml:space="preserve"> </w:t>
      </w:r>
      <w:r w:rsidR="003B09A1">
        <w:t xml:space="preserve">was </w:t>
      </w:r>
      <w:r w:rsidR="00746E39">
        <w:t xml:space="preserve">an investigator-initiated, </w:t>
      </w:r>
      <w:r w:rsidR="003C192F">
        <w:t xml:space="preserve">pragmatic, </w:t>
      </w:r>
      <w:r w:rsidR="006A5FC3">
        <w:t xml:space="preserve">multicenter </w:t>
      </w:r>
      <w:r w:rsidR="00746E39">
        <w:t>trial</w:t>
      </w:r>
      <w:r w:rsidR="00F46CEC">
        <w:t xml:space="preserve"> </w:t>
      </w:r>
      <w:r w:rsidR="008C5F72">
        <w:t xml:space="preserve">involving </w:t>
      </w:r>
      <w:r w:rsidR="00746E39">
        <w:t>all</w:t>
      </w:r>
      <w:r w:rsidR="008C5F72">
        <w:t xml:space="preserve"> </w:t>
      </w:r>
      <w:r w:rsidR="006A5FC3">
        <w:t xml:space="preserve">National Health Service (NHS) hospitals </w:t>
      </w:r>
      <w:r w:rsidR="00165F21">
        <w:t xml:space="preserve">performing TAVI </w:t>
      </w:r>
      <w:r w:rsidR="00746E39">
        <w:t>in the United Kingdom.</w:t>
      </w:r>
      <w:r w:rsidR="007036C0">
        <w:t xml:space="preserve"> </w:t>
      </w:r>
      <w:r w:rsidR="00007672">
        <w:t>Details of the participating sites and investigators are provided in the eAppendix in Supplement 3.</w:t>
      </w:r>
      <w:r w:rsidR="005F6330">
        <w:t xml:space="preserve"> </w:t>
      </w:r>
      <w:r w:rsidR="00746E39">
        <w:t xml:space="preserve">The Trial was designed by </w:t>
      </w:r>
      <w:r w:rsidR="003F5BA9">
        <w:t>the investigators</w:t>
      </w:r>
      <w:r w:rsidR="00746E39">
        <w:t xml:space="preserve"> and overseen by an independent Trial Steering Committee </w:t>
      </w:r>
      <w:r w:rsidR="00507A88">
        <w:t xml:space="preserve">and </w:t>
      </w:r>
      <w:r w:rsidR="003C58A2">
        <w:t xml:space="preserve">an independent </w:t>
      </w:r>
      <w:r w:rsidR="00507A88">
        <w:t>Data Monitoring Committee</w:t>
      </w:r>
      <w:r w:rsidR="00BC0FB9">
        <w:t xml:space="preserve"> (eMethods 1</w:t>
      </w:r>
      <w:r w:rsidR="0032646A">
        <w:t xml:space="preserve"> in Supplement 3</w:t>
      </w:r>
      <w:r w:rsidR="00BC0FB9">
        <w:t>)</w:t>
      </w:r>
      <w:r w:rsidR="00D14938">
        <w:t>.</w:t>
      </w:r>
      <w:r w:rsidR="000F3D88">
        <w:t xml:space="preserve"> </w:t>
      </w:r>
      <w:r w:rsidR="003D2C45">
        <w:t xml:space="preserve">TAVI and surgical valves were procured through standard </w:t>
      </w:r>
      <w:r w:rsidR="00962D98">
        <w:t>NHS</w:t>
      </w:r>
      <w:r w:rsidR="003D2C45">
        <w:t xml:space="preserve"> commissioning.</w:t>
      </w:r>
      <w:r w:rsidR="00EB6FD2">
        <w:t xml:space="preserve"> </w:t>
      </w:r>
      <w:r w:rsidR="000F3D88">
        <w:t>The protocol</w:t>
      </w:r>
      <w:r w:rsidR="002C7A62">
        <w:t xml:space="preserve"> </w:t>
      </w:r>
      <w:r w:rsidR="005C6ADA">
        <w:t>received a favourable opinion from</w:t>
      </w:r>
      <w:r w:rsidR="003F5BA9">
        <w:t xml:space="preserve"> </w:t>
      </w:r>
      <w:r w:rsidR="00920617">
        <w:t>t</w:t>
      </w:r>
      <w:r w:rsidR="003F5BA9">
        <w:t>he London Stanmore Research Ethics Committee</w:t>
      </w:r>
      <w:r w:rsidR="005C6ADA">
        <w:t>.</w:t>
      </w:r>
      <w:r w:rsidR="00F16AA3" w:rsidRPr="00F16AA3">
        <w:t xml:space="preserve"> </w:t>
      </w:r>
      <w:r w:rsidR="00F16AA3">
        <w:t xml:space="preserve">All participants gave written informed consent. The protocol </w:t>
      </w:r>
      <w:r w:rsidR="00962D98">
        <w:t>and the statistical analysis plan are</w:t>
      </w:r>
      <w:r w:rsidR="00F16AA3">
        <w:t xml:space="preserve"> available in Supplement</w:t>
      </w:r>
      <w:r w:rsidR="00962D98">
        <w:t>s</w:t>
      </w:r>
      <w:r w:rsidR="00F16AA3">
        <w:t xml:space="preserve"> 1 </w:t>
      </w:r>
      <w:r w:rsidR="00962D98">
        <w:t>and 2 respectively.</w:t>
      </w:r>
      <w:r w:rsidR="00CB4D2F" w:rsidRPr="00CB4D2F">
        <w:t xml:space="preserve"> </w:t>
      </w:r>
      <w:r w:rsidR="00007672">
        <w:t>One-year outcomes are presented herein. Follow-up to a minimum of five years is ongoing and longer-term outcomes will be reported at a later date.</w:t>
      </w:r>
    </w:p>
    <w:p w14:paraId="1146FFBF" w14:textId="32EFA25E" w:rsidR="00CA6468" w:rsidRPr="00D70D2A" w:rsidRDefault="00A01815">
      <w:pPr>
        <w:pStyle w:val="Heading2"/>
        <w:spacing w:line="480" w:lineRule="auto"/>
      </w:pPr>
      <w:r>
        <w:t>Participants</w:t>
      </w:r>
    </w:p>
    <w:p w14:paraId="6BCDFE41" w14:textId="6DD18679" w:rsidR="0010410D" w:rsidRDefault="005607BC">
      <w:pPr>
        <w:spacing w:line="480" w:lineRule="auto"/>
      </w:pPr>
      <w:r>
        <w:t>Eligible patients</w:t>
      </w:r>
      <w:r w:rsidR="005872F8">
        <w:t xml:space="preserve"> were </w:t>
      </w:r>
      <w:r w:rsidR="004568F4">
        <w:t>aged</w:t>
      </w:r>
      <w:r w:rsidR="005872F8">
        <w:t xml:space="preserve"> 70 years </w:t>
      </w:r>
      <w:r w:rsidR="004568F4">
        <w:t>or older</w:t>
      </w:r>
      <w:r w:rsidR="005872F8">
        <w:t>, with severe symptomatic aortic stenosis</w:t>
      </w:r>
      <w:r w:rsidR="004568F4">
        <w:t>,</w:t>
      </w:r>
      <w:r w:rsidR="005872F8">
        <w:t xml:space="preserve"> and at increased operative risk due to co-</w:t>
      </w:r>
      <w:r w:rsidR="009F33C9">
        <w:t>morbidity</w:t>
      </w:r>
      <w:r w:rsidR="005872F8">
        <w:t xml:space="preserve"> or age. Age alone was a sufficient criterion for </w:t>
      </w:r>
      <w:r w:rsidR="002A5834">
        <w:t xml:space="preserve">inclusion in </w:t>
      </w:r>
      <w:r w:rsidR="005872F8">
        <w:t>patients aged 80 years or older</w:t>
      </w:r>
      <w:r w:rsidR="001E1312">
        <w:t>. E</w:t>
      </w:r>
      <w:r w:rsidR="005872F8">
        <w:t xml:space="preserve">ligibility </w:t>
      </w:r>
      <w:r w:rsidR="001E1312">
        <w:t>was</w:t>
      </w:r>
      <w:r w:rsidR="005872F8">
        <w:t xml:space="preserve"> determined by a </w:t>
      </w:r>
      <w:r w:rsidR="009E61FB">
        <w:t>multi</w:t>
      </w:r>
      <w:r w:rsidR="00FB691B">
        <w:t>disciplinary team</w:t>
      </w:r>
      <w:r w:rsidR="00A46F88" w:rsidRPr="00A46F88">
        <w:t xml:space="preserve"> at </w:t>
      </w:r>
      <w:r w:rsidR="004568F4">
        <w:t xml:space="preserve">each </w:t>
      </w:r>
      <w:r w:rsidR="00A46F88" w:rsidRPr="00A46F88">
        <w:t>site</w:t>
      </w:r>
      <w:r w:rsidR="003C58A2">
        <w:t>,</w:t>
      </w:r>
      <w:r w:rsidR="00A46F88" w:rsidRPr="00A46F88">
        <w:t xml:space="preserve"> </w:t>
      </w:r>
      <w:r w:rsidR="003C58A2">
        <w:t>based</w:t>
      </w:r>
      <w:r w:rsidR="00A46F88" w:rsidRPr="00A46F88">
        <w:t xml:space="preserve"> </w:t>
      </w:r>
      <w:r w:rsidR="004568F4">
        <w:t>on</w:t>
      </w:r>
      <w:r w:rsidR="004568F4" w:rsidRPr="00A46F88">
        <w:t xml:space="preserve"> </w:t>
      </w:r>
      <w:r w:rsidR="00A46F88" w:rsidRPr="00A46F88">
        <w:t xml:space="preserve">clinical equipoise regarding the choice of intervention. </w:t>
      </w:r>
      <w:r w:rsidR="001E1312">
        <w:t xml:space="preserve">Society of Thoracic Surgeons </w:t>
      </w:r>
      <w:r w:rsidR="00C368CE">
        <w:t xml:space="preserve">Predicted Risk of Mortality </w:t>
      </w:r>
      <w:r w:rsidR="001E1312">
        <w:t>(STS)</w:t>
      </w:r>
      <w:r w:rsidR="00882204" w:rsidRPr="00882204">
        <w:rPr>
          <w:vertAlign w:val="superscript"/>
        </w:rPr>
        <w:t>9</w:t>
      </w:r>
      <w:r w:rsidR="00DD2242">
        <w:rPr>
          <w:vertAlign w:val="superscript"/>
        </w:rPr>
        <w:t>,10</w:t>
      </w:r>
      <w:r w:rsidR="0070340B">
        <w:t xml:space="preserve"> </w:t>
      </w:r>
      <w:r w:rsidR="001E1312">
        <w:t>and EuroSCORE</w:t>
      </w:r>
      <w:r w:rsidR="00F92958">
        <w:t xml:space="preserve"> </w:t>
      </w:r>
      <w:r w:rsidR="00DD2242">
        <w:t>II</w:t>
      </w:r>
      <w:r w:rsidR="00DD2242">
        <w:rPr>
          <w:vertAlign w:val="superscript"/>
        </w:rPr>
        <w:t>11,12</w:t>
      </w:r>
      <w:r w:rsidR="00DD2242">
        <w:t xml:space="preserve"> </w:t>
      </w:r>
      <w:r w:rsidR="0070340B">
        <w:t>risk score</w:t>
      </w:r>
      <w:r w:rsidR="00F92958">
        <w:t xml:space="preserve">s </w:t>
      </w:r>
      <w:r w:rsidR="001E1312">
        <w:t xml:space="preserve">were calculated </w:t>
      </w:r>
      <w:r w:rsidR="00A46F88">
        <w:t>but used in a discretionary manner, with no prespecified thresholds for inclusion</w:t>
      </w:r>
      <w:r w:rsidR="001E1312">
        <w:t xml:space="preserve">. </w:t>
      </w:r>
      <w:r w:rsidR="00A3052F">
        <w:t>Patients requiring coronary revasculari</w:t>
      </w:r>
      <w:r w:rsidR="00296B0C">
        <w:t>z</w:t>
      </w:r>
      <w:r w:rsidR="00A3052F">
        <w:t>ation were included unless only surgical revasculari</w:t>
      </w:r>
      <w:r w:rsidR="00296B0C">
        <w:t>z</w:t>
      </w:r>
      <w:r w:rsidR="00A3052F">
        <w:t xml:space="preserve">ation </w:t>
      </w:r>
      <w:r w:rsidR="00165F21">
        <w:t>was</w:t>
      </w:r>
      <w:r w:rsidR="00A3052F">
        <w:t xml:space="preserve"> </w:t>
      </w:r>
      <w:r w:rsidR="00ED5049">
        <w:t xml:space="preserve">considered </w:t>
      </w:r>
      <w:r w:rsidR="00A3052F">
        <w:t>appropriate.</w:t>
      </w:r>
      <w:r w:rsidR="001E1312">
        <w:t xml:space="preserve"> </w:t>
      </w:r>
      <w:r w:rsidR="003C58A2">
        <w:t>I</w:t>
      </w:r>
      <w:r w:rsidR="00136863">
        <w:t xml:space="preserve">nclusion and exclusion criteria </w:t>
      </w:r>
      <w:r w:rsidR="00ED5049">
        <w:t>are listed</w:t>
      </w:r>
      <w:r w:rsidR="00136863">
        <w:t xml:space="preserve"> in </w:t>
      </w:r>
      <w:r w:rsidR="00BC0FB9">
        <w:t xml:space="preserve">eMethods2, </w:t>
      </w:r>
      <w:r w:rsidR="00CF5E84">
        <w:t xml:space="preserve">with further details of the patient identification process </w:t>
      </w:r>
      <w:r w:rsidR="00BC0FB9">
        <w:t>in eMethods3</w:t>
      </w:r>
      <w:r w:rsidR="00501AE3" w:rsidRPr="005F6330">
        <w:t>.</w:t>
      </w:r>
      <w:r w:rsidR="001E1312" w:rsidRPr="005F6330">
        <w:t xml:space="preserve"> </w:t>
      </w:r>
      <w:r w:rsidR="005F6330" w:rsidRPr="002957FF">
        <w:rPr>
          <w:color w:val="000000" w:themeColor="text1"/>
        </w:rPr>
        <w:t>Ethnicity data were recorded to assess the diversity of the study population, which may have implications for the external validity of the trial. Ethnicity was determined by the site staff based on discussion with the participant or review of hospital records, using a list of prespecified options corresponding to those used by the UK Office for National Statistics.</w:t>
      </w:r>
    </w:p>
    <w:p w14:paraId="589FE279" w14:textId="3067606C" w:rsidR="00A46F88" w:rsidRPr="00A46F88" w:rsidRDefault="00A377DB">
      <w:pPr>
        <w:pStyle w:val="Heading2"/>
        <w:spacing w:line="480" w:lineRule="auto"/>
      </w:pPr>
      <w:r>
        <w:t>Randomization</w:t>
      </w:r>
    </w:p>
    <w:p w14:paraId="08C0144D" w14:textId="704FCA96" w:rsidR="00CE0765" w:rsidRDefault="000B2486">
      <w:pPr>
        <w:spacing w:line="480" w:lineRule="auto"/>
      </w:pPr>
      <w:r>
        <w:t xml:space="preserve">Participants </w:t>
      </w:r>
      <w:r w:rsidR="00A46F88">
        <w:t>were randomly assigned, in a 1:1 ratio</w:t>
      </w:r>
      <w:r w:rsidR="0070340B">
        <w:t>,</w:t>
      </w:r>
      <w:r w:rsidR="0010410D">
        <w:t xml:space="preserve"> </w:t>
      </w:r>
      <w:r w:rsidR="0010410D" w:rsidRPr="0010410D">
        <w:t xml:space="preserve">to </w:t>
      </w:r>
      <w:r w:rsidR="004568F4">
        <w:t>receive</w:t>
      </w:r>
      <w:r w:rsidR="004568F4" w:rsidRPr="0010410D">
        <w:t xml:space="preserve"> </w:t>
      </w:r>
      <w:r w:rsidR="0010410D" w:rsidRPr="0010410D">
        <w:t>TAVI</w:t>
      </w:r>
      <w:r w:rsidR="00ED5049">
        <w:t xml:space="preserve"> </w:t>
      </w:r>
      <w:r w:rsidR="00165F21">
        <w:t>or surgery</w:t>
      </w:r>
      <w:r w:rsidR="0020619E">
        <w:t>.</w:t>
      </w:r>
      <w:r w:rsidR="00E60E3A">
        <w:t xml:space="preserve"> </w:t>
      </w:r>
      <w:r w:rsidR="004568F4">
        <w:t>Randomization</w:t>
      </w:r>
      <w:r w:rsidR="00CE0765">
        <w:t xml:space="preserve"> was </w:t>
      </w:r>
      <w:r w:rsidR="003F2AF5" w:rsidRPr="003F2AF5">
        <w:t xml:space="preserve">performed using an electronic web-based system developed and hosted by the Centre for Healthcare Randomised Trials at the University of Aberdeen. The </w:t>
      </w:r>
      <w:r w:rsidR="00A377DB">
        <w:t>randomization</w:t>
      </w:r>
      <w:r w:rsidR="00A377DB" w:rsidRPr="003F2AF5">
        <w:t xml:space="preserve"> </w:t>
      </w:r>
      <w:r w:rsidR="003F2AF5" w:rsidRPr="003F2AF5">
        <w:t>used minimi</w:t>
      </w:r>
      <w:r w:rsidR="008A207D">
        <w:t>z</w:t>
      </w:r>
      <w:r w:rsidR="003F2AF5" w:rsidRPr="003F2AF5">
        <w:t xml:space="preserve">ation, including an 80% probabilistic element, with stratification for </w:t>
      </w:r>
      <w:r w:rsidR="0074405F">
        <w:t>randomizing</w:t>
      </w:r>
      <w:r w:rsidR="0074405F" w:rsidRPr="003F2AF5">
        <w:t xml:space="preserve"> </w:t>
      </w:r>
      <w:r w:rsidR="003F2AF5" w:rsidRPr="003F2AF5">
        <w:t xml:space="preserve">site, age (70-79 years versus 80 years or over) and the presence of coronary artery disease considered by the </w:t>
      </w:r>
      <w:r w:rsidR="009E61FB">
        <w:t>multi</w:t>
      </w:r>
      <w:r w:rsidR="00FB691B">
        <w:t>disciplinary team</w:t>
      </w:r>
      <w:r w:rsidR="00FB691B" w:rsidRPr="003F2AF5">
        <w:t xml:space="preserve"> </w:t>
      </w:r>
      <w:r w:rsidR="003F2AF5" w:rsidRPr="003F2AF5">
        <w:t>to require revasculari</w:t>
      </w:r>
      <w:r w:rsidR="00296B0C">
        <w:t>z</w:t>
      </w:r>
      <w:r w:rsidR="003F2AF5" w:rsidRPr="003F2AF5">
        <w:t>ation if the patient was assigned to receive surgery.</w:t>
      </w:r>
      <w:r w:rsidR="00CE0765">
        <w:t xml:space="preserve"> </w:t>
      </w:r>
      <w:r w:rsidR="006871D4">
        <w:t>P</w:t>
      </w:r>
      <w:r>
        <w:t xml:space="preserve">articipants </w:t>
      </w:r>
      <w:r w:rsidR="00CE0765">
        <w:t>and site staff were unblinded to the treatment assigned.</w:t>
      </w:r>
    </w:p>
    <w:p w14:paraId="4BD7875E" w14:textId="77777777" w:rsidR="003F2AF5" w:rsidRDefault="00E17779">
      <w:pPr>
        <w:pStyle w:val="Heading2"/>
        <w:spacing w:line="480" w:lineRule="auto"/>
      </w:pPr>
      <w:r>
        <w:t>Interventions</w:t>
      </w:r>
    </w:p>
    <w:p w14:paraId="2671003C" w14:textId="48719E42" w:rsidR="0069457E" w:rsidRDefault="000B2486">
      <w:pPr>
        <w:spacing w:line="480" w:lineRule="auto"/>
      </w:pPr>
      <w:r>
        <w:t xml:space="preserve">Participants </w:t>
      </w:r>
      <w:r w:rsidR="003F2AF5">
        <w:t xml:space="preserve">assigned to TAVI </w:t>
      </w:r>
      <w:r w:rsidR="00CE0765">
        <w:t>were treated using any valve</w:t>
      </w:r>
      <w:r w:rsidR="00D9582D">
        <w:t xml:space="preserve"> with a CE mark (</w:t>
      </w:r>
      <w:r w:rsidR="003B09A1">
        <w:t>indicating conformity of the valve with all legal and safety requirements for sale throughout the European Economic Area</w:t>
      </w:r>
      <w:r w:rsidR="00D9582D">
        <w:t>)</w:t>
      </w:r>
      <w:r w:rsidR="00CE0765">
        <w:t xml:space="preserve">. </w:t>
      </w:r>
      <w:r w:rsidR="0069457E">
        <w:t xml:space="preserve">All aspects of the </w:t>
      </w:r>
      <w:r w:rsidR="00ED5049">
        <w:t>TAVI</w:t>
      </w:r>
      <w:r w:rsidR="00043C60">
        <w:t xml:space="preserve"> </w:t>
      </w:r>
      <w:r w:rsidR="0069457E">
        <w:t xml:space="preserve">procedure, including the choice of local or general anaesthesia, </w:t>
      </w:r>
      <w:r w:rsidR="00ED5049">
        <w:t>access route and prior or concurrent revasculari</w:t>
      </w:r>
      <w:r w:rsidR="00296B0C">
        <w:t>z</w:t>
      </w:r>
      <w:r w:rsidR="00ED5049">
        <w:t xml:space="preserve">ation </w:t>
      </w:r>
      <w:r w:rsidR="0069457E">
        <w:t xml:space="preserve">were determined by the </w:t>
      </w:r>
      <w:r w:rsidR="00ED5049">
        <w:t xml:space="preserve">local </w:t>
      </w:r>
      <w:r w:rsidR="0069457E">
        <w:t>clinical team</w:t>
      </w:r>
      <w:r w:rsidR="00ED5049">
        <w:t>.</w:t>
      </w:r>
      <w:r w:rsidR="0069457E">
        <w:t xml:space="preserve"> For</w:t>
      </w:r>
      <w:r w:rsidR="008613D6">
        <w:t xml:space="preserve"> </w:t>
      </w:r>
      <w:r>
        <w:t xml:space="preserve">participants </w:t>
      </w:r>
      <w:r w:rsidR="0069457E">
        <w:t xml:space="preserve">assigned to </w:t>
      </w:r>
      <w:r w:rsidR="00165F21">
        <w:t>surgery</w:t>
      </w:r>
      <w:r w:rsidR="0069457E">
        <w:t>,</w:t>
      </w:r>
      <w:r w:rsidR="006C2328">
        <w:t xml:space="preserve"> the use of any </w:t>
      </w:r>
      <w:r w:rsidR="00FB691B">
        <w:t>commercially available</w:t>
      </w:r>
      <w:r w:rsidR="00F4265E">
        <w:t xml:space="preserve"> </w:t>
      </w:r>
      <w:r w:rsidR="0069457E">
        <w:t>valve</w:t>
      </w:r>
      <w:r w:rsidR="006C2328">
        <w:t xml:space="preserve"> was permitted apart from sutureless valves</w:t>
      </w:r>
      <w:r w:rsidR="00ED5049">
        <w:t>.</w:t>
      </w:r>
      <w:r w:rsidR="006C2328">
        <w:t xml:space="preserve"> All aspects of the surgical procedure and peri-operative care were determined by the </w:t>
      </w:r>
      <w:r w:rsidR="00ED5049">
        <w:t>local</w:t>
      </w:r>
      <w:r w:rsidR="006C2328">
        <w:t xml:space="preserve"> clinical team. </w:t>
      </w:r>
      <w:r w:rsidR="0069457E">
        <w:t>The use and choice of anticoagulant and antithrombotic therapy</w:t>
      </w:r>
      <w:r w:rsidR="006C2328">
        <w:t xml:space="preserve"> </w:t>
      </w:r>
      <w:r w:rsidR="003E7A06">
        <w:t>were</w:t>
      </w:r>
      <w:r w:rsidR="0069457E">
        <w:t xml:space="preserve"> at the discretion of the responsible physician.</w:t>
      </w:r>
    </w:p>
    <w:p w14:paraId="5822C487" w14:textId="30D6C5AD" w:rsidR="00DD1CD8" w:rsidRDefault="000B2486">
      <w:pPr>
        <w:spacing w:line="480" w:lineRule="auto"/>
      </w:pPr>
      <w:r>
        <w:t xml:space="preserve">Participants </w:t>
      </w:r>
      <w:r w:rsidR="00DD1CD8">
        <w:t>underwent clinical assessment at baseline</w:t>
      </w:r>
      <w:r w:rsidR="00F4265E">
        <w:t xml:space="preserve">, </w:t>
      </w:r>
      <w:r w:rsidR="007062A2">
        <w:t>six</w:t>
      </w:r>
      <w:r w:rsidR="00DD1CD8">
        <w:t xml:space="preserve"> weeks </w:t>
      </w:r>
      <w:r w:rsidR="00DB4E14">
        <w:t>post-</w:t>
      </w:r>
      <w:r w:rsidR="007062A2">
        <w:t xml:space="preserve">intervention </w:t>
      </w:r>
      <w:r w:rsidR="00DD1CD8">
        <w:t>and one</w:t>
      </w:r>
      <w:r w:rsidR="00F4265E">
        <w:t xml:space="preserve"> </w:t>
      </w:r>
      <w:r w:rsidR="00DD1CD8">
        <w:t>year</w:t>
      </w:r>
      <w:r w:rsidR="007062A2">
        <w:t xml:space="preserve"> </w:t>
      </w:r>
      <w:r w:rsidR="00DB4E14">
        <w:t>post-</w:t>
      </w:r>
      <w:r w:rsidR="009F18FB">
        <w:t>randomization</w:t>
      </w:r>
      <w:r w:rsidR="00DD1CD8">
        <w:t xml:space="preserve">. </w:t>
      </w:r>
      <w:r w:rsidR="00557D7E">
        <w:t xml:space="preserve">Interim telephone follow-up was performed </w:t>
      </w:r>
      <w:r w:rsidR="00E02DD8">
        <w:t>three</w:t>
      </w:r>
      <w:r w:rsidR="00557D7E">
        <w:t xml:space="preserve"> months </w:t>
      </w:r>
      <w:r w:rsidR="00DB4E14">
        <w:t>post-</w:t>
      </w:r>
      <w:r w:rsidR="007062A2">
        <w:t xml:space="preserve">intervention </w:t>
      </w:r>
      <w:r w:rsidR="00557D7E">
        <w:t xml:space="preserve">and </w:t>
      </w:r>
      <w:r w:rsidR="00E02DD8">
        <w:t>six</w:t>
      </w:r>
      <w:r w:rsidR="00557D7E">
        <w:t xml:space="preserve"> months</w:t>
      </w:r>
      <w:r w:rsidR="007062A2">
        <w:t xml:space="preserve"> </w:t>
      </w:r>
      <w:r w:rsidR="00DB4E14">
        <w:t>post-</w:t>
      </w:r>
      <w:r w:rsidR="00A377DB">
        <w:t>randomization</w:t>
      </w:r>
      <w:r w:rsidR="00557D7E">
        <w:t>.</w:t>
      </w:r>
      <w:r w:rsidR="007C6611">
        <w:t xml:space="preserve"> </w:t>
      </w:r>
      <w:r w:rsidR="001914E3">
        <w:t xml:space="preserve">Frailty at baseline was assessed using </w:t>
      </w:r>
      <w:r w:rsidR="00287010">
        <w:t xml:space="preserve">the Fried </w:t>
      </w:r>
      <w:r w:rsidR="00DD2242">
        <w:t>criteria</w:t>
      </w:r>
      <w:r w:rsidR="00DD2242">
        <w:rPr>
          <w:vertAlign w:val="superscript"/>
        </w:rPr>
        <w:t>13</w:t>
      </w:r>
      <w:r w:rsidR="00DD2242">
        <w:t xml:space="preserve"> </w:t>
      </w:r>
      <w:r w:rsidR="00287010">
        <w:t xml:space="preserve">and </w:t>
      </w:r>
      <w:r w:rsidR="001914E3">
        <w:t xml:space="preserve">the </w:t>
      </w:r>
      <w:r w:rsidR="00287010" w:rsidRPr="00287010">
        <w:t>Canadian Study of Health and Aging (CSHA) Clinical Frailty Scale</w:t>
      </w:r>
      <w:r w:rsidR="00287010">
        <w:t>.</w:t>
      </w:r>
      <w:r w:rsidR="00DD2242">
        <w:rPr>
          <w:vertAlign w:val="superscript"/>
        </w:rPr>
        <w:t>14</w:t>
      </w:r>
      <w:r w:rsidR="00DD2242" w:rsidRPr="00287010">
        <w:t xml:space="preserve"> </w:t>
      </w:r>
    </w:p>
    <w:p w14:paraId="48DA5ADD" w14:textId="77777777" w:rsidR="00CA6468" w:rsidRPr="005872F8" w:rsidRDefault="00CA6468">
      <w:pPr>
        <w:pStyle w:val="Heading2"/>
        <w:spacing w:line="480" w:lineRule="auto"/>
      </w:pPr>
      <w:r w:rsidRPr="005872F8">
        <w:t>Outcomes</w:t>
      </w:r>
    </w:p>
    <w:p w14:paraId="7BDCB8BB" w14:textId="32BDF349" w:rsidR="001F78F5" w:rsidRDefault="004359E6">
      <w:pPr>
        <w:spacing w:line="480" w:lineRule="auto"/>
        <w:rPr>
          <w:color w:val="000000" w:themeColor="text1"/>
        </w:rPr>
      </w:pPr>
      <w:r>
        <w:t>The primary endpoint was a</w:t>
      </w:r>
      <w:r w:rsidRPr="00073DE6">
        <w:t>ll-cause mortality</w:t>
      </w:r>
      <w:r>
        <w:t>,</w:t>
      </w:r>
      <w:r w:rsidRPr="00073DE6">
        <w:t xml:space="preserve"> defined as death from any cause</w:t>
      </w:r>
      <w:r>
        <w:t xml:space="preserve"> within one year from </w:t>
      </w:r>
      <w:r w:rsidR="00A377DB">
        <w:t>randomization</w:t>
      </w:r>
      <w:r>
        <w:t xml:space="preserve">. </w:t>
      </w:r>
      <w:r w:rsidR="00557D7E">
        <w:rPr>
          <w:color w:val="000000" w:themeColor="text1"/>
        </w:rPr>
        <w:t xml:space="preserve">Secondary outcomes included cardiovascular death, stroke, </w:t>
      </w:r>
      <w:r w:rsidR="00F71E9D">
        <w:rPr>
          <w:color w:val="000000" w:themeColor="text1"/>
        </w:rPr>
        <w:t xml:space="preserve">re-intervention, </w:t>
      </w:r>
      <w:r w:rsidR="002518B0">
        <w:rPr>
          <w:color w:val="000000" w:themeColor="text1"/>
        </w:rPr>
        <w:t xml:space="preserve">a composite of death or stroke, </w:t>
      </w:r>
      <w:r w:rsidR="00E33A69">
        <w:rPr>
          <w:color w:val="000000" w:themeColor="text1"/>
        </w:rPr>
        <w:t>a composite of death or disabling stroke</w:t>
      </w:r>
      <w:r w:rsidR="00F71E9D">
        <w:rPr>
          <w:color w:val="000000" w:themeColor="text1"/>
        </w:rPr>
        <w:t>, a</w:t>
      </w:r>
      <w:r w:rsidR="00E33A69">
        <w:rPr>
          <w:color w:val="000000" w:themeColor="text1"/>
        </w:rPr>
        <w:t xml:space="preserve"> composite of death, disabling stroke</w:t>
      </w:r>
      <w:r w:rsidR="00F71E9D">
        <w:rPr>
          <w:color w:val="000000" w:themeColor="text1"/>
        </w:rPr>
        <w:t xml:space="preserve"> or reintervention,</w:t>
      </w:r>
      <w:r w:rsidR="00E33A69">
        <w:rPr>
          <w:color w:val="000000" w:themeColor="text1"/>
        </w:rPr>
        <w:t xml:space="preserve"> </w:t>
      </w:r>
      <w:r w:rsidR="002518B0">
        <w:rPr>
          <w:color w:val="000000" w:themeColor="text1"/>
        </w:rPr>
        <w:t xml:space="preserve">vascular complications, major bleeding, conduction disturbance requiring permanent pacing, myocardial infarction, </w:t>
      </w:r>
      <w:r w:rsidR="00A0058A">
        <w:rPr>
          <w:color w:val="000000" w:themeColor="text1"/>
        </w:rPr>
        <w:t xml:space="preserve">kidney </w:t>
      </w:r>
      <w:r w:rsidR="002518B0">
        <w:rPr>
          <w:color w:val="000000" w:themeColor="text1"/>
        </w:rPr>
        <w:t>replacement therapy and infective endocarditis</w:t>
      </w:r>
      <w:r w:rsidR="00501AE3">
        <w:rPr>
          <w:color w:val="000000" w:themeColor="text1"/>
        </w:rPr>
        <w:t>.</w:t>
      </w:r>
      <w:r w:rsidR="00437A7B">
        <w:rPr>
          <w:color w:val="000000" w:themeColor="text1"/>
        </w:rPr>
        <w:t xml:space="preserve"> A list of </w:t>
      </w:r>
      <w:r w:rsidR="009F18FB">
        <w:rPr>
          <w:color w:val="000000" w:themeColor="text1"/>
        </w:rPr>
        <w:t xml:space="preserve">all </w:t>
      </w:r>
      <w:r w:rsidR="00CF5E84">
        <w:rPr>
          <w:color w:val="000000" w:themeColor="text1"/>
        </w:rPr>
        <w:t xml:space="preserve">prespecified outcomes </w:t>
      </w:r>
      <w:r w:rsidR="00BC0FB9">
        <w:rPr>
          <w:color w:val="000000" w:themeColor="text1"/>
        </w:rPr>
        <w:t>and the</w:t>
      </w:r>
      <w:r w:rsidR="00CF5E84">
        <w:rPr>
          <w:color w:val="000000" w:themeColor="text1"/>
        </w:rPr>
        <w:t xml:space="preserve"> outcome definitions</w:t>
      </w:r>
      <w:r w:rsidR="00ED14EE">
        <w:rPr>
          <w:color w:val="000000" w:themeColor="text1"/>
        </w:rPr>
        <w:t>, based on VARC</w:t>
      </w:r>
      <w:r w:rsidR="00E51AA0">
        <w:rPr>
          <w:color w:val="000000" w:themeColor="text1"/>
        </w:rPr>
        <w:t>-</w:t>
      </w:r>
      <w:r w:rsidR="00ED14EE">
        <w:rPr>
          <w:color w:val="000000" w:themeColor="text1"/>
        </w:rPr>
        <w:t>2 criteria,</w:t>
      </w:r>
      <w:r w:rsidR="00DD2242">
        <w:rPr>
          <w:color w:val="000000" w:themeColor="text1"/>
          <w:vertAlign w:val="superscript"/>
        </w:rPr>
        <w:t>15</w:t>
      </w:r>
      <w:r w:rsidR="00CF5E84">
        <w:rPr>
          <w:color w:val="000000" w:themeColor="text1"/>
        </w:rPr>
        <w:t xml:space="preserve"> </w:t>
      </w:r>
      <w:r w:rsidR="00ED14EE">
        <w:rPr>
          <w:color w:val="000000" w:themeColor="text1"/>
        </w:rPr>
        <w:t xml:space="preserve">are provided </w:t>
      </w:r>
      <w:r w:rsidR="00BC0FB9">
        <w:rPr>
          <w:color w:val="000000" w:themeColor="text1"/>
        </w:rPr>
        <w:t xml:space="preserve">in </w:t>
      </w:r>
      <w:r w:rsidR="00ED14EE">
        <w:rPr>
          <w:color w:val="000000" w:themeColor="text1"/>
        </w:rPr>
        <w:t xml:space="preserve">eMethods 4 and </w:t>
      </w:r>
      <w:r w:rsidR="009F18FB">
        <w:rPr>
          <w:color w:val="000000" w:themeColor="text1"/>
        </w:rPr>
        <w:t>5</w:t>
      </w:r>
      <w:r w:rsidR="00ED14EE">
        <w:rPr>
          <w:color w:val="000000" w:themeColor="text1"/>
        </w:rPr>
        <w:t xml:space="preserve"> respectively in Supplement 3.</w:t>
      </w:r>
      <w:r w:rsidR="00AF7A4F">
        <w:rPr>
          <w:color w:val="000000" w:themeColor="text1"/>
        </w:rPr>
        <w:t xml:space="preserve"> </w:t>
      </w:r>
      <w:r w:rsidR="008C3759">
        <w:rPr>
          <w:color w:val="000000" w:themeColor="text1"/>
        </w:rPr>
        <w:t xml:space="preserve">Only 30-day and one-year outcomes are reported herein; longer-term follow-up is ongoing. </w:t>
      </w:r>
      <w:r w:rsidR="005B0C99">
        <w:rPr>
          <w:color w:val="000000" w:themeColor="text1"/>
        </w:rPr>
        <w:t>Six</w:t>
      </w:r>
      <w:r w:rsidR="008C3759">
        <w:rPr>
          <w:color w:val="000000" w:themeColor="text1"/>
        </w:rPr>
        <w:t xml:space="preserve"> of the </w:t>
      </w:r>
      <w:r w:rsidR="00F62250">
        <w:rPr>
          <w:color w:val="000000" w:themeColor="text1"/>
        </w:rPr>
        <w:t>36</w:t>
      </w:r>
      <w:r w:rsidR="00865FAB">
        <w:rPr>
          <w:color w:val="000000" w:themeColor="text1"/>
        </w:rPr>
        <w:t xml:space="preserve"> </w:t>
      </w:r>
      <w:r w:rsidR="00E33A69">
        <w:rPr>
          <w:color w:val="000000" w:themeColor="text1"/>
        </w:rPr>
        <w:t xml:space="preserve">secondary </w:t>
      </w:r>
      <w:r w:rsidR="008C3759">
        <w:rPr>
          <w:color w:val="000000" w:themeColor="text1"/>
        </w:rPr>
        <w:t xml:space="preserve">outcomes </w:t>
      </w:r>
      <w:r w:rsidR="00E33A69">
        <w:rPr>
          <w:color w:val="000000" w:themeColor="text1"/>
        </w:rPr>
        <w:t>(</w:t>
      </w:r>
      <w:r w:rsidR="00337292">
        <w:rPr>
          <w:color w:val="000000" w:themeColor="text1"/>
        </w:rPr>
        <w:t>identified in eMethods 4 in Supplement 3</w:t>
      </w:r>
      <w:r w:rsidR="00E33A69">
        <w:rPr>
          <w:color w:val="000000" w:themeColor="text1"/>
        </w:rPr>
        <w:t xml:space="preserve">), are not included and will </w:t>
      </w:r>
      <w:r w:rsidR="005F6330">
        <w:rPr>
          <w:color w:val="000000" w:themeColor="text1"/>
        </w:rPr>
        <w:t xml:space="preserve">be </w:t>
      </w:r>
      <w:r w:rsidR="00E33A69">
        <w:rPr>
          <w:color w:val="000000" w:themeColor="text1"/>
        </w:rPr>
        <w:t xml:space="preserve">reported separately. </w:t>
      </w:r>
      <w:r w:rsidR="002518B0">
        <w:rPr>
          <w:color w:val="000000" w:themeColor="text1"/>
        </w:rPr>
        <w:t>Disability after stroke was assessed using the modified Rankin scale at 90 days.</w:t>
      </w:r>
      <w:r w:rsidR="00DD2242">
        <w:rPr>
          <w:color w:val="000000" w:themeColor="text1"/>
          <w:vertAlign w:val="superscript"/>
        </w:rPr>
        <w:t>16</w:t>
      </w:r>
      <w:r w:rsidR="00DD2242">
        <w:rPr>
          <w:color w:val="000000" w:themeColor="text1"/>
        </w:rPr>
        <w:t xml:space="preserve"> </w:t>
      </w:r>
      <w:r w:rsidR="001F78F5">
        <w:t>Outcome events were adjudicated by an End-Points and Events Committee</w:t>
      </w:r>
      <w:r w:rsidR="00C4090D">
        <w:t>,</w:t>
      </w:r>
      <w:r w:rsidR="001F78F5">
        <w:t xml:space="preserve"> </w:t>
      </w:r>
      <w:r w:rsidR="00C4090D">
        <w:t>aware of</w:t>
      </w:r>
      <w:r w:rsidR="001F78F5">
        <w:t xml:space="preserve"> the assigned treatment. The data presented are based on adjudicated outcomes.</w:t>
      </w:r>
    </w:p>
    <w:p w14:paraId="5DA7E614" w14:textId="7629367E" w:rsidR="00DD1CD8" w:rsidRDefault="00A91D6A">
      <w:pPr>
        <w:spacing w:line="480" w:lineRule="auto"/>
        <w:rPr>
          <w:color w:val="000000" w:themeColor="text1"/>
        </w:rPr>
      </w:pPr>
      <w:r>
        <w:rPr>
          <w:color w:val="000000" w:themeColor="text1"/>
        </w:rPr>
        <w:t xml:space="preserve">Symptoms and functional </w:t>
      </w:r>
      <w:r w:rsidR="00AF7A4F">
        <w:rPr>
          <w:color w:val="000000" w:themeColor="text1"/>
        </w:rPr>
        <w:t xml:space="preserve">capacity </w:t>
      </w:r>
      <w:r>
        <w:rPr>
          <w:color w:val="000000" w:themeColor="text1"/>
        </w:rPr>
        <w:t xml:space="preserve">were </w:t>
      </w:r>
      <w:r w:rsidR="00AF7A4F">
        <w:rPr>
          <w:color w:val="000000" w:themeColor="text1"/>
        </w:rPr>
        <w:t>assessed using</w:t>
      </w:r>
      <w:r w:rsidRPr="00A91D6A">
        <w:rPr>
          <w:color w:val="000000" w:themeColor="text1"/>
        </w:rPr>
        <w:t xml:space="preserve"> </w:t>
      </w:r>
      <w:r>
        <w:rPr>
          <w:color w:val="000000" w:themeColor="text1"/>
        </w:rPr>
        <w:t xml:space="preserve">the </w:t>
      </w:r>
      <w:r w:rsidRPr="002D6583">
        <w:rPr>
          <w:color w:val="000000" w:themeColor="text1"/>
        </w:rPr>
        <w:t xml:space="preserve">Canadian Cardiovascular Society (CCS) </w:t>
      </w:r>
      <w:r>
        <w:rPr>
          <w:color w:val="000000" w:themeColor="text1"/>
        </w:rPr>
        <w:t>a</w:t>
      </w:r>
      <w:r w:rsidRPr="002D6583">
        <w:rPr>
          <w:color w:val="000000" w:themeColor="text1"/>
        </w:rPr>
        <w:t xml:space="preserve">ngina </w:t>
      </w:r>
      <w:r>
        <w:rPr>
          <w:color w:val="000000" w:themeColor="text1"/>
        </w:rPr>
        <w:t>grading system,</w:t>
      </w:r>
      <w:r w:rsidR="00C74654" w:rsidRPr="00C74654">
        <w:rPr>
          <w:color w:val="000000" w:themeColor="text1"/>
          <w:vertAlign w:val="superscript"/>
        </w:rPr>
        <w:t>17</w:t>
      </w:r>
      <w:r>
        <w:rPr>
          <w:color w:val="000000" w:themeColor="text1"/>
        </w:rPr>
        <w:t xml:space="preserve"> the New York Heart Association (NYHA) classification,</w:t>
      </w:r>
      <w:r w:rsidR="00C74654" w:rsidRPr="00C74654">
        <w:rPr>
          <w:color w:val="000000" w:themeColor="text1"/>
          <w:vertAlign w:val="superscript"/>
        </w:rPr>
        <w:t>18</w:t>
      </w:r>
      <w:r>
        <w:rPr>
          <w:color w:val="000000" w:themeColor="text1"/>
        </w:rPr>
        <w:t xml:space="preserve"> </w:t>
      </w:r>
      <w:r w:rsidR="00AF7A4F">
        <w:rPr>
          <w:color w:val="000000" w:themeColor="text1"/>
        </w:rPr>
        <w:t xml:space="preserve">the </w:t>
      </w:r>
      <w:r w:rsidR="00CE6E56">
        <w:rPr>
          <w:color w:val="000000" w:themeColor="text1"/>
        </w:rPr>
        <w:t>Nottingham E</w:t>
      </w:r>
      <w:r w:rsidR="00CE6E56" w:rsidRPr="00CE6E56">
        <w:rPr>
          <w:color w:val="000000" w:themeColor="text1"/>
        </w:rPr>
        <w:t xml:space="preserve">xtended </w:t>
      </w:r>
      <w:r w:rsidR="00CE6E56">
        <w:rPr>
          <w:color w:val="000000" w:themeColor="text1"/>
        </w:rPr>
        <w:t>A</w:t>
      </w:r>
      <w:r w:rsidR="00CE6E56" w:rsidRPr="00CE6E56">
        <w:rPr>
          <w:color w:val="000000" w:themeColor="text1"/>
        </w:rPr>
        <w:t xml:space="preserve">ctivities of </w:t>
      </w:r>
      <w:r w:rsidR="00CE6E56">
        <w:rPr>
          <w:color w:val="000000" w:themeColor="text1"/>
        </w:rPr>
        <w:t>D</w:t>
      </w:r>
      <w:r w:rsidR="00CE6E56" w:rsidRPr="00CE6E56">
        <w:rPr>
          <w:color w:val="000000" w:themeColor="text1"/>
        </w:rPr>
        <w:t xml:space="preserve">aily </w:t>
      </w:r>
      <w:r w:rsidR="00CE6E56">
        <w:rPr>
          <w:color w:val="000000" w:themeColor="text1"/>
        </w:rPr>
        <w:t>L</w:t>
      </w:r>
      <w:r w:rsidR="00CE6E56" w:rsidRPr="00CE6E56">
        <w:rPr>
          <w:color w:val="000000" w:themeColor="text1"/>
        </w:rPr>
        <w:t xml:space="preserve">iving </w:t>
      </w:r>
      <w:r w:rsidR="00CE6E56">
        <w:rPr>
          <w:color w:val="000000" w:themeColor="text1"/>
        </w:rPr>
        <w:t xml:space="preserve">(NEADL) </w:t>
      </w:r>
      <w:r w:rsidR="00CE6E56" w:rsidRPr="00CE6E56">
        <w:rPr>
          <w:color w:val="000000" w:themeColor="text1"/>
        </w:rPr>
        <w:t>scale</w:t>
      </w:r>
      <w:r w:rsidR="00C74654">
        <w:rPr>
          <w:color w:val="000000" w:themeColor="text1"/>
          <w:vertAlign w:val="superscript"/>
        </w:rPr>
        <w:t>19</w:t>
      </w:r>
      <w:r w:rsidR="00C74654">
        <w:rPr>
          <w:color w:val="000000" w:themeColor="text1"/>
        </w:rPr>
        <w:t xml:space="preserve"> </w:t>
      </w:r>
      <w:r w:rsidR="00AF7A4F">
        <w:rPr>
          <w:color w:val="000000" w:themeColor="text1"/>
        </w:rPr>
        <w:t xml:space="preserve">and </w:t>
      </w:r>
      <w:r w:rsidR="00562AAF">
        <w:rPr>
          <w:color w:val="000000" w:themeColor="text1"/>
        </w:rPr>
        <w:t>the</w:t>
      </w:r>
      <w:r w:rsidR="00AF7A4F">
        <w:rPr>
          <w:color w:val="000000" w:themeColor="text1"/>
        </w:rPr>
        <w:t xml:space="preserve"> 6-minute walk</w:t>
      </w:r>
      <w:r w:rsidR="00915948">
        <w:rPr>
          <w:color w:val="000000" w:themeColor="text1"/>
        </w:rPr>
        <w:t xml:space="preserve"> test</w:t>
      </w:r>
      <w:r w:rsidR="00AF7A4F">
        <w:rPr>
          <w:color w:val="000000" w:themeColor="text1"/>
        </w:rPr>
        <w:t>.</w:t>
      </w:r>
      <w:r w:rsidR="00C74654">
        <w:rPr>
          <w:color w:val="000000" w:themeColor="text1"/>
          <w:vertAlign w:val="superscript"/>
        </w:rPr>
        <w:t>20</w:t>
      </w:r>
      <w:r w:rsidR="00C74654">
        <w:rPr>
          <w:color w:val="000000" w:themeColor="text1"/>
        </w:rPr>
        <w:t xml:space="preserve"> </w:t>
      </w:r>
      <w:r w:rsidR="001F6DF6">
        <w:rPr>
          <w:color w:val="000000" w:themeColor="text1"/>
        </w:rPr>
        <w:t>Cognitive function was assessed using the Mini-Mental State Examination</w:t>
      </w:r>
      <w:r w:rsidR="00882204">
        <w:rPr>
          <w:color w:val="000000" w:themeColor="text1"/>
        </w:rPr>
        <w:t>.</w:t>
      </w:r>
      <w:r w:rsidR="00C74654">
        <w:rPr>
          <w:color w:val="000000" w:themeColor="text1"/>
          <w:vertAlign w:val="superscript"/>
        </w:rPr>
        <w:t>21</w:t>
      </w:r>
      <w:r w:rsidR="00C74654">
        <w:rPr>
          <w:color w:val="000000" w:themeColor="text1"/>
        </w:rPr>
        <w:t xml:space="preserve"> </w:t>
      </w:r>
      <w:r w:rsidR="002518B0">
        <w:rPr>
          <w:color w:val="000000" w:themeColor="text1"/>
        </w:rPr>
        <w:t>Quality</w:t>
      </w:r>
      <w:r w:rsidR="00C4090D">
        <w:rPr>
          <w:color w:val="000000" w:themeColor="text1"/>
        </w:rPr>
        <w:t xml:space="preserve"> </w:t>
      </w:r>
      <w:r w:rsidR="002518B0">
        <w:rPr>
          <w:color w:val="000000" w:themeColor="text1"/>
        </w:rPr>
        <w:t>of</w:t>
      </w:r>
      <w:r w:rsidR="00C4090D">
        <w:rPr>
          <w:color w:val="000000" w:themeColor="text1"/>
        </w:rPr>
        <w:t xml:space="preserve"> </w:t>
      </w:r>
      <w:r w:rsidR="002518B0">
        <w:rPr>
          <w:color w:val="000000" w:themeColor="text1"/>
        </w:rPr>
        <w:t xml:space="preserve">life was assessed using the </w:t>
      </w:r>
      <w:r w:rsidR="00AF7A4F">
        <w:rPr>
          <w:color w:val="000000" w:themeColor="text1"/>
        </w:rPr>
        <w:t>EuroQol EQ-5D-</w:t>
      </w:r>
      <w:r w:rsidR="00C74654">
        <w:rPr>
          <w:color w:val="000000" w:themeColor="text1"/>
        </w:rPr>
        <w:t>5L</w:t>
      </w:r>
      <w:r w:rsidR="00C74654">
        <w:rPr>
          <w:color w:val="000000" w:themeColor="text1"/>
          <w:vertAlign w:val="superscript"/>
        </w:rPr>
        <w:t>22</w:t>
      </w:r>
      <w:r w:rsidR="00C74654">
        <w:rPr>
          <w:color w:val="000000" w:themeColor="text1"/>
        </w:rPr>
        <w:t xml:space="preserve"> </w:t>
      </w:r>
      <w:r w:rsidR="00AF7A4F">
        <w:rPr>
          <w:color w:val="000000" w:themeColor="text1"/>
        </w:rPr>
        <w:t xml:space="preserve">and the Minnesota Living with Heart Failure </w:t>
      </w:r>
      <w:r w:rsidR="007F5CE4">
        <w:rPr>
          <w:color w:val="000000" w:themeColor="text1"/>
        </w:rPr>
        <w:t>Q</w:t>
      </w:r>
      <w:r w:rsidR="00AF7A4F">
        <w:rPr>
          <w:color w:val="000000" w:themeColor="text1"/>
        </w:rPr>
        <w:t>uestionnaire</w:t>
      </w:r>
      <w:r w:rsidR="007F5CE4">
        <w:rPr>
          <w:color w:val="000000" w:themeColor="text1"/>
        </w:rPr>
        <w:t xml:space="preserve"> (MLHFQ)</w:t>
      </w:r>
      <w:r w:rsidR="00AF7A4F">
        <w:rPr>
          <w:color w:val="000000" w:themeColor="text1"/>
        </w:rPr>
        <w:t>.</w:t>
      </w:r>
      <w:r w:rsidR="00C74654">
        <w:rPr>
          <w:color w:val="000000" w:themeColor="text1"/>
          <w:vertAlign w:val="superscript"/>
        </w:rPr>
        <w:t>23</w:t>
      </w:r>
      <w:r w:rsidR="00C74654">
        <w:rPr>
          <w:color w:val="000000" w:themeColor="text1"/>
        </w:rPr>
        <w:t xml:space="preserve"> </w:t>
      </w:r>
      <w:r w:rsidR="00C5463A">
        <w:rPr>
          <w:color w:val="000000" w:themeColor="text1"/>
        </w:rPr>
        <w:t>Details of the</w:t>
      </w:r>
      <w:r w:rsidR="00993715">
        <w:rPr>
          <w:color w:val="000000" w:themeColor="text1"/>
        </w:rPr>
        <w:t xml:space="preserve">se instruments, including their </w:t>
      </w:r>
      <w:r w:rsidR="00C5463A">
        <w:rPr>
          <w:color w:val="000000" w:themeColor="text1"/>
        </w:rPr>
        <w:t>range</w:t>
      </w:r>
      <w:r w:rsidR="00004940">
        <w:rPr>
          <w:color w:val="000000" w:themeColor="text1"/>
        </w:rPr>
        <w:t>s</w:t>
      </w:r>
      <w:r w:rsidR="00C5463A">
        <w:rPr>
          <w:color w:val="000000" w:themeColor="text1"/>
        </w:rPr>
        <w:t>, directionality and minimal clinically important difference</w:t>
      </w:r>
      <w:r w:rsidR="00004940">
        <w:rPr>
          <w:color w:val="000000" w:themeColor="text1"/>
        </w:rPr>
        <w:t>s</w:t>
      </w:r>
      <w:r w:rsidR="00C5463A">
        <w:rPr>
          <w:color w:val="000000" w:themeColor="text1"/>
        </w:rPr>
        <w:t xml:space="preserve"> are provided in </w:t>
      </w:r>
      <w:r w:rsidR="00993715">
        <w:rPr>
          <w:color w:val="000000" w:themeColor="text1"/>
        </w:rPr>
        <w:t xml:space="preserve">eMethods 5 </w:t>
      </w:r>
      <w:r w:rsidR="00C5463A">
        <w:rPr>
          <w:color w:val="000000" w:themeColor="text1"/>
        </w:rPr>
        <w:t>in Supplement 3.</w:t>
      </w:r>
      <w:r w:rsidR="00C5463A">
        <w:rPr>
          <w:rFonts w:eastAsia="Times New Roman"/>
        </w:rPr>
        <w:t xml:space="preserve"> </w:t>
      </w:r>
      <w:r w:rsidR="000B2486">
        <w:rPr>
          <w:color w:val="000000" w:themeColor="text1"/>
        </w:rPr>
        <w:t xml:space="preserve">Participants </w:t>
      </w:r>
      <w:r w:rsidR="00AF7A4F">
        <w:rPr>
          <w:color w:val="000000" w:themeColor="text1"/>
        </w:rPr>
        <w:t>underwent echocardiography at baseline</w:t>
      </w:r>
      <w:r w:rsidR="00FE3B63">
        <w:rPr>
          <w:color w:val="000000" w:themeColor="text1"/>
        </w:rPr>
        <w:t xml:space="preserve">, </w:t>
      </w:r>
      <w:r w:rsidR="00AF7A4F">
        <w:rPr>
          <w:color w:val="000000" w:themeColor="text1"/>
        </w:rPr>
        <w:t>six</w:t>
      </w:r>
      <w:r w:rsidR="00E02DD8">
        <w:rPr>
          <w:color w:val="000000" w:themeColor="text1"/>
        </w:rPr>
        <w:t>-</w:t>
      </w:r>
      <w:r w:rsidR="00AF7A4F">
        <w:rPr>
          <w:color w:val="000000" w:themeColor="text1"/>
        </w:rPr>
        <w:t>week</w:t>
      </w:r>
      <w:r w:rsidR="00FE3B63">
        <w:rPr>
          <w:color w:val="000000" w:themeColor="text1"/>
        </w:rPr>
        <w:t>s</w:t>
      </w:r>
      <w:r w:rsidR="00AF7A4F">
        <w:rPr>
          <w:color w:val="000000" w:themeColor="text1"/>
        </w:rPr>
        <w:t xml:space="preserve"> and one</w:t>
      </w:r>
      <w:r w:rsidR="00FE3B63">
        <w:rPr>
          <w:color w:val="000000" w:themeColor="text1"/>
        </w:rPr>
        <w:t xml:space="preserve"> </w:t>
      </w:r>
      <w:r w:rsidR="00AF7A4F">
        <w:rPr>
          <w:color w:val="000000" w:themeColor="text1"/>
        </w:rPr>
        <w:t>year</w:t>
      </w:r>
      <w:r w:rsidR="001F78F5">
        <w:rPr>
          <w:color w:val="000000" w:themeColor="text1"/>
        </w:rPr>
        <w:t>.</w:t>
      </w:r>
      <w:r w:rsidR="00E02DD8">
        <w:rPr>
          <w:color w:val="000000" w:themeColor="text1"/>
        </w:rPr>
        <w:t xml:space="preserve"> I</w:t>
      </w:r>
      <w:r w:rsidR="00AF7A4F">
        <w:rPr>
          <w:color w:val="000000" w:themeColor="text1"/>
        </w:rPr>
        <w:t>mages were</w:t>
      </w:r>
      <w:r w:rsidR="00AF7A4F" w:rsidRPr="004359E6">
        <w:rPr>
          <w:color w:val="000000" w:themeColor="text1"/>
        </w:rPr>
        <w:t xml:space="preserve"> analy</w:t>
      </w:r>
      <w:r w:rsidR="007631AA">
        <w:rPr>
          <w:color w:val="000000" w:themeColor="text1"/>
        </w:rPr>
        <w:t>z</w:t>
      </w:r>
      <w:r w:rsidR="00AF7A4F" w:rsidRPr="004359E6">
        <w:rPr>
          <w:color w:val="000000" w:themeColor="text1"/>
        </w:rPr>
        <w:t xml:space="preserve">ed by an independent </w:t>
      </w:r>
      <w:r w:rsidR="00AF7A4F">
        <w:rPr>
          <w:color w:val="000000" w:themeColor="text1"/>
        </w:rPr>
        <w:t>c</w:t>
      </w:r>
      <w:r w:rsidR="00AF7A4F" w:rsidRPr="004359E6">
        <w:rPr>
          <w:color w:val="000000" w:themeColor="text1"/>
        </w:rPr>
        <w:t xml:space="preserve">ore </w:t>
      </w:r>
      <w:r w:rsidR="00AF7A4F">
        <w:rPr>
          <w:color w:val="000000" w:themeColor="text1"/>
        </w:rPr>
        <w:t>l</w:t>
      </w:r>
      <w:r w:rsidR="00AF7A4F" w:rsidRPr="004359E6">
        <w:rPr>
          <w:color w:val="000000" w:themeColor="text1"/>
        </w:rPr>
        <w:t>aboratory</w:t>
      </w:r>
      <w:r w:rsidR="005A6A5C">
        <w:rPr>
          <w:color w:val="000000" w:themeColor="text1"/>
        </w:rPr>
        <w:t xml:space="preserve">. Assessors were not informed of the </w:t>
      </w:r>
      <w:r w:rsidR="00C4090D">
        <w:rPr>
          <w:color w:val="000000" w:themeColor="text1"/>
        </w:rPr>
        <w:t xml:space="preserve">scan timepoint </w:t>
      </w:r>
      <w:r w:rsidR="005A6A5C">
        <w:rPr>
          <w:color w:val="000000" w:themeColor="text1"/>
        </w:rPr>
        <w:t>or</w:t>
      </w:r>
      <w:r w:rsidR="004461D2">
        <w:rPr>
          <w:color w:val="000000" w:themeColor="text1"/>
        </w:rPr>
        <w:t xml:space="preserve"> the</w:t>
      </w:r>
      <w:r w:rsidR="00AF7A4F">
        <w:rPr>
          <w:color w:val="000000" w:themeColor="text1"/>
        </w:rPr>
        <w:t xml:space="preserve"> </w:t>
      </w:r>
      <w:r w:rsidR="00AF7A4F" w:rsidRPr="004359E6">
        <w:rPr>
          <w:color w:val="000000" w:themeColor="text1"/>
        </w:rPr>
        <w:t>treatment allocation</w:t>
      </w:r>
      <w:r w:rsidR="005A6A5C">
        <w:rPr>
          <w:color w:val="000000" w:themeColor="text1"/>
        </w:rPr>
        <w:t xml:space="preserve"> but the presence of </w:t>
      </w:r>
      <w:r w:rsidR="004461D2">
        <w:rPr>
          <w:color w:val="000000" w:themeColor="text1"/>
        </w:rPr>
        <w:t>a</w:t>
      </w:r>
      <w:r w:rsidR="005A6A5C">
        <w:rPr>
          <w:color w:val="000000" w:themeColor="text1"/>
        </w:rPr>
        <w:t xml:space="preserve"> prosthetic valve will </w:t>
      </w:r>
      <w:r w:rsidR="004461D2">
        <w:rPr>
          <w:color w:val="000000" w:themeColor="text1"/>
        </w:rPr>
        <w:t xml:space="preserve">usually </w:t>
      </w:r>
      <w:r w:rsidR="005A6A5C">
        <w:rPr>
          <w:color w:val="000000" w:themeColor="text1"/>
        </w:rPr>
        <w:t>have been evident</w:t>
      </w:r>
      <w:r w:rsidR="004461D2">
        <w:rPr>
          <w:color w:val="000000" w:themeColor="text1"/>
        </w:rPr>
        <w:t xml:space="preserve"> and the type will often have been identifiable</w:t>
      </w:r>
      <w:r w:rsidR="005A6A5C">
        <w:rPr>
          <w:color w:val="000000" w:themeColor="text1"/>
        </w:rPr>
        <w:t xml:space="preserve">, so blinding was </w:t>
      </w:r>
      <w:r w:rsidR="004461D2">
        <w:rPr>
          <w:color w:val="000000" w:themeColor="text1"/>
        </w:rPr>
        <w:t>incomplete.</w:t>
      </w:r>
    </w:p>
    <w:p w14:paraId="0D3268C2" w14:textId="77777777" w:rsidR="00CA6468" w:rsidRPr="005872F8" w:rsidRDefault="00CA6468">
      <w:pPr>
        <w:pStyle w:val="Heading2"/>
        <w:spacing w:line="480" w:lineRule="auto"/>
      </w:pPr>
      <w:r w:rsidRPr="005872F8">
        <w:t>S</w:t>
      </w:r>
      <w:r w:rsidR="00E17779">
        <w:t>ample Size</w:t>
      </w:r>
    </w:p>
    <w:p w14:paraId="61E985A2" w14:textId="49D12816" w:rsidR="00C16C8B" w:rsidRDefault="008E149D">
      <w:pPr>
        <w:spacing w:line="480" w:lineRule="auto"/>
      </w:pPr>
      <w:r>
        <w:t xml:space="preserve">The </w:t>
      </w:r>
      <w:r w:rsidR="009241ED">
        <w:t>initial</w:t>
      </w:r>
      <w:r>
        <w:t xml:space="preserve"> sample size </w:t>
      </w:r>
      <w:r w:rsidR="00827211">
        <w:t xml:space="preserve">was </w:t>
      </w:r>
      <w:r>
        <w:t>808 patients</w:t>
      </w:r>
      <w:r w:rsidR="00827211">
        <w:t xml:space="preserve">, </w:t>
      </w:r>
      <w:r w:rsidR="00A46F88" w:rsidRPr="00CE52FF">
        <w:t xml:space="preserve">based on </w:t>
      </w:r>
      <w:r w:rsidR="005E6EF5">
        <w:t>assumed</w:t>
      </w:r>
      <w:r w:rsidR="00F4265E">
        <w:t xml:space="preserve"> </w:t>
      </w:r>
      <w:r w:rsidR="00A46F88" w:rsidRPr="00CE52FF">
        <w:t xml:space="preserve">one-year mortality of 15% </w:t>
      </w:r>
      <w:r w:rsidR="00362F9B">
        <w:t>after</w:t>
      </w:r>
      <w:r w:rsidR="00362F9B" w:rsidRPr="00CE52FF">
        <w:t xml:space="preserve"> </w:t>
      </w:r>
      <w:r w:rsidR="00165F21">
        <w:t>surgery</w:t>
      </w:r>
      <w:r w:rsidR="008C4ADC">
        <w:t xml:space="preserve"> (based on age-specific data </w:t>
      </w:r>
      <w:r w:rsidR="007B3D0D">
        <w:t xml:space="preserve">for 2004-2008 </w:t>
      </w:r>
      <w:r w:rsidR="008C4ADC">
        <w:t xml:space="preserve">from the UK National </w:t>
      </w:r>
      <w:r w:rsidR="00834596">
        <w:t xml:space="preserve">Adult </w:t>
      </w:r>
      <w:r w:rsidR="008C4ADC">
        <w:t xml:space="preserve">Cardiac Surgery </w:t>
      </w:r>
      <w:r w:rsidR="00834596">
        <w:t>database</w:t>
      </w:r>
      <w:r w:rsidR="00834596" w:rsidRPr="00834596">
        <w:rPr>
          <w:vertAlign w:val="superscript"/>
        </w:rPr>
        <w:t>24</w:t>
      </w:r>
      <w:r w:rsidR="00834596">
        <w:t>)</w:t>
      </w:r>
      <w:r w:rsidR="005E6EF5">
        <w:t>, with a</w:t>
      </w:r>
      <w:r w:rsidR="00A46F88" w:rsidRPr="00CE52FF">
        <w:t xml:space="preserve"> noninferiority margin </w:t>
      </w:r>
      <w:r w:rsidR="005E6EF5">
        <w:t>of 7.5%</w:t>
      </w:r>
      <w:r w:rsidR="00A46F88" w:rsidRPr="00CE52FF">
        <w:t xml:space="preserve"> absolute difference</w:t>
      </w:r>
      <w:r w:rsidR="00402827">
        <w:t xml:space="preserve"> </w:t>
      </w:r>
      <w:r w:rsidR="005F6330">
        <w:t xml:space="preserve">in the evaluation of whether TAVI is noninferior to </w:t>
      </w:r>
      <w:r w:rsidR="00165F21">
        <w:t>surgery</w:t>
      </w:r>
      <w:r>
        <w:t>.</w:t>
      </w:r>
      <w:r w:rsidR="00A46F88" w:rsidRPr="00CE52FF">
        <w:t xml:space="preserve"> </w:t>
      </w:r>
      <w:r w:rsidR="00A46F88">
        <w:t>However, a prespecified interim analysis</w:t>
      </w:r>
      <w:r>
        <w:t xml:space="preserve"> of pooled data</w:t>
      </w:r>
      <w:r w:rsidR="005E6EF5">
        <w:t xml:space="preserve"> </w:t>
      </w:r>
      <w:r>
        <w:t xml:space="preserve">showed </w:t>
      </w:r>
      <w:r w:rsidR="00827211">
        <w:t xml:space="preserve">lower </w:t>
      </w:r>
      <w:r>
        <w:t xml:space="preserve">one-year </w:t>
      </w:r>
      <w:r w:rsidR="00A46F88">
        <w:t xml:space="preserve">mortality than expected </w:t>
      </w:r>
      <w:r>
        <w:t xml:space="preserve">and the sample size was increased </w:t>
      </w:r>
      <w:r w:rsidR="005E6EF5">
        <w:t>on the</w:t>
      </w:r>
      <w:r>
        <w:t xml:space="preserve"> recommendation </w:t>
      </w:r>
      <w:r w:rsidR="005E6EF5">
        <w:t>of</w:t>
      </w:r>
      <w:r>
        <w:t xml:space="preserve"> the </w:t>
      </w:r>
      <w:r w:rsidR="00A46F88">
        <w:t>T</w:t>
      </w:r>
      <w:r>
        <w:t>rial Steering Committee</w:t>
      </w:r>
      <w:r w:rsidR="00A46F88">
        <w:t xml:space="preserve">. The </w:t>
      </w:r>
      <w:r w:rsidR="005E6EF5">
        <w:t xml:space="preserve">revised </w:t>
      </w:r>
      <w:r w:rsidR="00A46F88" w:rsidRPr="008D44B3">
        <w:t xml:space="preserve">sample size </w:t>
      </w:r>
      <w:r w:rsidR="00A46F88">
        <w:t>was</w:t>
      </w:r>
      <w:r w:rsidR="00A46F88" w:rsidRPr="008D44B3">
        <w:t xml:space="preserve"> based on </w:t>
      </w:r>
      <w:r w:rsidR="00362F9B">
        <w:t>assumed</w:t>
      </w:r>
      <w:r w:rsidR="00A46F88" w:rsidRPr="008D44B3">
        <w:t xml:space="preserve"> one-year mortality of </w:t>
      </w:r>
      <w:r w:rsidR="00A46F88">
        <w:t>7.5</w:t>
      </w:r>
      <w:r w:rsidR="00A46F88" w:rsidRPr="008D44B3">
        <w:t xml:space="preserve">% </w:t>
      </w:r>
      <w:r w:rsidR="00362F9B">
        <w:t>after</w:t>
      </w:r>
      <w:r w:rsidR="00A46F88" w:rsidRPr="008D44B3">
        <w:t xml:space="preserve"> </w:t>
      </w:r>
      <w:r w:rsidR="00165F21">
        <w:t>surgery</w:t>
      </w:r>
      <w:r w:rsidR="00A46F88" w:rsidRPr="008D44B3">
        <w:t xml:space="preserve"> and </w:t>
      </w:r>
      <w:r w:rsidR="00362F9B">
        <w:t>a</w:t>
      </w:r>
      <w:r w:rsidR="00A46F88" w:rsidRPr="008D44B3">
        <w:t xml:space="preserve"> noninferiority margin </w:t>
      </w:r>
      <w:r w:rsidR="00402827">
        <w:t>of 5%.</w:t>
      </w:r>
      <w:r w:rsidR="00A46F88" w:rsidRPr="008D44B3">
        <w:t xml:space="preserve"> </w:t>
      </w:r>
      <w:r w:rsidR="00C02567">
        <w:t xml:space="preserve">It was </w:t>
      </w:r>
      <w:r w:rsidR="00362F9B">
        <w:t>estimated that at least 890 participants would provide</w:t>
      </w:r>
      <w:r w:rsidR="00A46F88" w:rsidRPr="008D44B3">
        <w:t xml:space="preserve"> </w:t>
      </w:r>
      <w:r w:rsidR="00A46F88">
        <w:t>8</w:t>
      </w:r>
      <w:r w:rsidR="00A46F88" w:rsidRPr="008D44B3">
        <w:t xml:space="preserve">0% power </w:t>
      </w:r>
      <w:r w:rsidR="00362F9B">
        <w:t xml:space="preserve">to show </w:t>
      </w:r>
      <w:r w:rsidR="00A46F88" w:rsidRPr="008D44B3">
        <w:t xml:space="preserve">that the upper limit of </w:t>
      </w:r>
      <w:r w:rsidR="00402827">
        <w:t xml:space="preserve">the </w:t>
      </w:r>
      <w:r w:rsidR="00A46F88" w:rsidRPr="008D44B3">
        <w:t>one-sided 9</w:t>
      </w:r>
      <w:r w:rsidR="00A46F88">
        <w:t>7.5</w:t>
      </w:r>
      <w:r w:rsidR="00A46F88" w:rsidRPr="008D44B3">
        <w:t>% confidence interval</w:t>
      </w:r>
      <w:r w:rsidR="00A46F88">
        <w:t xml:space="preserve"> </w:t>
      </w:r>
      <w:r w:rsidR="00A46F88" w:rsidRPr="008D44B3">
        <w:t xml:space="preserve">of the treatment difference </w:t>
      </w:r>
      <w:r w:rsidR="00A46F88">
        <w:t>would not be</w:t>
      </w:r>
      <w:r w:rsidR="00A46F88" w:rsidRPr="008D44B3">
        <w:t xml:space="preserve"> above the noninferiority margin</w:t>
      </w:r>
      <w:r w:rsidR="00362F9B">
        <w:t>, allowing</w:t>
      </w:r>
      <w:r w:rsidR="00A46F88" w:rsidRPr="008D44B3">
        <w:t xml:space="preserve"> </w:t>
      </w:r>
      <w:r w:rsidR="00402827">
        <w:t xml:space="preserve">for </w:t>
      </w:r>
      <w:r w:rsidR="00A46F88" w:rsidRPr="008D44B3">
        <w:t>2% dropout</w:t>
      </w:r>
      <w:r w:rsidR="00362F9B">
        <w:t>.</w:t>
      </w:r>
      <w:r w:rsidR="004461D2">
        <w:t xml:space="preserve"> </w:t>
      </w:r>
      <w:r w:rsidR="004461D2" w:rsidRPr="004461D2">
        <w:t xml:space="preserve">The </w:t>
      </w:r>
      <w:r w:rsidR="004461D2">
        <w:t>cho</w:t>
      </w:r>
      <w:r w:rsidR="00E4097E">
        <w:t>sen</w:t>
      </w:r>
      <w:r w:rsidR="004461D2">
        <w:t xml:space="preserve"> noninferiority margin was</w:t>
      </w:r>
      <w:r w:rsidR="004461D2" w:rsidRPr="004461D2">
        <w:t xml:space="preserve"> </w:t>
      </w:r>
      <w:r w:rsidR="005F6330">
        <w:t>based on the principle of</w:t>
      </w:r>
      <w:r w:rsidR="004461D2" w:rsidRPr="004461D2">
        <w:t xml:space="preserve"> balancing clinical preference </w:t>
      </w:r>
      <w:r w:rsidR="007B3D0D">
        <w:t xml:space="preserve">for the lowest possible margin </w:t>
      </w:r>
      <w:r w:rsidR="004461D2" w:rsidRPr="004461D2">
        <w:t xml:space="preserve">with feasibility of recruitment in an acceptable timeframe. </w:t>
      </w:r>
      <w:r w:rsidR="00E640A1">
        <w:t>Five percent</w:t>
      </w:r>
      <w:r w:rsidR="004461D2" w:rsidRPr="004461D2">
        <w:t xml:space="preserve"> was </w:t>
      </w:r>
      <w:r w:rsidR="00E640A1">
        <w:t>considered</w:t>
      </w:r>
      <w:r w:rsidR="004461D2" w:rsidRPr="004461D2">
        <w:t xml:space="preserve"> </w:t>
      </w:r>
      <w:r w:rsidR="007B3D0D">
        <w:t xml:space="preserve">to be an </w:t>
      </w:r>
      <w:r w:rsidR="004461D2" w:rsidRPr="004461D2">
        <w:t>acceptable</w:t>
      </w:r>
      <w:r w:rsidR="007B3D0D">
        <w:t xml:space="preserve"> margin in the collective opinion of the Trial Steering Committee, which included clinical and lay members</w:t>
      </w:r>
      <w:r w:rsidR="004461D2" w:rsidRPr="004461D2">
        <w:t xml:space="preserve">, </w:t>
      </w:r>
      <w:r w:rsidR="00E4097E">
        <w:t>noting</w:t>
      </w:r>
      <w:r w:rsidR="004461D2" w:rsidRPr="004461D2">
        <w:t xml:space="preserve"> that the margin relates to the upper limit of the one-sided 97.5% confidence interval for the difference in mortality that would be accepted for TAVI to be considered non-inferior to surgery.</w:t>
      </w:r>
    </w:p>
    <w:p w14:paraId="38A8DADC" w14:textId="77777777" w:rsidR="00E17779" w:rsidRPr="005872F8" w:rsidRDefault="00E17779">
      <w:pPr>
        <w:pStyle w:val="Heading2"/>
        <w:spacing w:line="480" w:lineRule="auto"/>
      </w:pPr>
      <w:r w:rsidRPr="005872F8">
        <w:t>S</w:t>
      </w:r>
      <w:r>
        <w:t>tatistical Analysis</w:t>
      </w:r>
    </w:p>
    <w:p w14:paraId="40E0FCF2" w14:textId="77777777" w:rsidR="00524A9A" w:rsidRPr="00524A9A" w:rsidRDefault="00524A9A" w:rsidP="002B4B1E">
      <w:pPr>
        <w:pStyle w:val="Heading2"/>
        <w:spacing w:before="0" w:line="480" w:lineRule="auto"/>
        <w:rPr>
          <w:rFonts w:asciiTheme="minorHAnsi" w:eastAsiaTheme="minorHAnsi" w:hAnsiTheme="minorHAnsi" w:cstheme="minorBidi"/>
          <w:b w:val="0"/>
          <w:bCs w:val="0"/>
          <w:color w:val="auto"/>
          <w:sz w:val="22"/>
          <w:szCs w:val="22"/>
        </w:rPr>
      </w:pPr>
      <w:r w:rsidRPr="00524A9A">
        <w:rPr>
          <w:rFonts w:asciiTheme="minorHAnsi" w:eastAsiaTheme="minorHAnsi" w:hAnsiTheme="minorHAnsi" w:cstheme="minorBidi"/>
          <w:b w:val="0"/>
          <w:bCs w:val="0"/>
          <w:color w:val="auto"/>
          <w:sz w:val="22"/>
          <w:szCs w:val="22"/>
        </w:rPr>
        <w:t xml:space="preserve">For the primary statistical analysis, participants were included in the groups as randomly assigned. </w:t>
      </w:r>
    </w:p>
    <w:p w14:paraId="1C1EA28E" w14:textId="387F1264" w:rsidR="002A3E46" w:rsidRPr="00AD4753" w:rsidRDefault="00524A9A" w:rsidP="002B4B1E">
      <w:pPr>
        <w:spacing w:after="0" w:line="480" w:lineRule="auto"/>
      </w:pPr>
      <w:r w:rsidRPr="00524A9A">
        <w:t xml:space="preserve">The analysis data set included all randomized participants, except those with unknown vital status at one year due to withdrawal from the trial. For the primary outcome, the absolute risk difference was derived from a logistic regression model using delta-method </w:t>
      </w:r>
      <w:r w:rsidR="00756152">
        <w:t xml:space="preserve">estimated </w:t>
      </w:r>
      <w:r w:rsidRPr="00524A9A">
        <w:t>standard errors.</w:t>
      </w:r>
      <w:r w:rsidR="00113C23">
        <w:rPr>
          <w:vertAlign w:val="superscript"/>
        </w:rPr>
        <w:t>25</w:t>
      </w:r>
      <w:r w:rsidR="00113C23" w:rsidRPr="00524A9A">
        <w:t xml:space="preserve"> </w:t>
      </w:r>
      <w:r w:rsidRPr="00524A9A">
        <w:t xml:space="preserve">The model was adjusted for randomisation minimization factors and used robust standard errors to account for clustering of outcomes by randomizing site. Noninferiority was met if the upper limit of the one-sided 97.5% confidence interval for the adjusted absolute difference in mortality between TAVI and surgery was less than 5%. The robustness of the conclusions was assessed by a per-protocol analysis, which included the subset of participants who were treated as randomly assigned (i.e. went to the catheter laboratory or operating theatre for their randomly assigned intervention within one year of randomization, even if the procedure was subsequently abandoned or converted to an alternative intervention). A sensitivity analysis was also performed, in which participants with unknown vital status at one year were assumed to have died if assigned to TAVI and survived if assigned to surgery. </w:t>
      </w:r>
    </w:p>
    <w:p w14:paraId="5F306D3A" w14:textId="77777777" w:rsidR="00524A9A" w:rsidRDefault="00524A9A" w:rsidP="002A3E46">
      <w:pPr>
        <w:spacing w:after="0" w:line="480" w:lineRule="auto"/>
      </w:pPr>
    </w:p>
    <w:p w14:paraId="61F137D6" w14:textId="71ED9CE2" w:rsidR="001972E7" w:rsidRDefault="00165E77">
      <w:pPr>
        <w:spacing w:line="480" w:lineRule="auto"/>
        <w:rPr>
          <w:iCs/>
        </w:rPr>
      </w:pPr>
      <w:r>
        <w:t>Event-related outcomes at 30 days</w:t>
      </w:r>
      <w:r w:rsidR="006F7DCB">
        <w:t xml:space="preserve"> post-procedure</w:t>
      </w:r>
      <w:r>
        <w:t xml:space="preserve"> and one year post-</w:t>
      </w:r>
      <w:r w:rsidR="00A377DB">
        <w:t xml:space="preserve">randomization </w:t>
      </w:r>
      <w:r>
        <w:t>were analy</w:t>
      </w:r>
      <w:r w:rsidR="007631AA">
        <w:t>z</w:t>
      </w:r>
      <w:r>
        <w:t>ed using Cox proportional hazard models</w:t>
      </w:r>
      <w:r w:rsidR="00CA4522">
        <w:t xml:space="preserve"> adjusted for </w:t>
      </w:r>
      <w:r w:rsidR="00A377DB">
        <w:t xml:space="preserve">randomization </w:t>
      </w:r>
      <w:r w:rsidR="00606946">
        <w:t>minimi</w:t>
      </w:r>
      <w:r w:rsidR="008A207D">
        <w:t>z</w:t>
      </w:r>
      <w:r w:rsidR="00606946">
        <w:t>ation factors</w:t>
      </w:r>
      <w:r w:rsidR="00B8174C">
        <w:t xml:space="preserve"> and using robust standard errors to account for clustering of outcomes by randomizing site</w:t>
      </w:r>
      <w:r>
        <w:t xml:space="preserve">. </w:t>
      </w:r>
      <w:r w:rsidR="00B8174C">
        <w:t xml:space="preserve">Participants were censored at their date of withdrawal or death, if applicable. Log-log </w:t>
      </w:r>
      <w:r w:rsidR="00756152">
        <w:t xml:space="preserve">survival </w:t>
      </w:r>
      <w:r w:rsidR="00B8174C">
        <w:t xml:space="preserve">plots </w:t>
      </w:r>
      <w:r w:rsidR="00004940">
        <w:t>and Schoenfeld residuals were used</w:t>
      </w:r>
      <w:r w:rsidR="00B8174C">
        <w:t xml:space="preserve"> to check the assumption of proportionality. </w:t>
      </w:r>
      <w:r w:rsidR="00B8174C" w:rsidRPr="00AD4753">
        <w:t xml:space="preserve">Kaplan-Meier plots </w:t>
      </w:r>
      <w:r w:rsidR="00B8174C">
        <w:t>were</w:t>
      </w:r>
      <w:r w:rsidR="00B8174C" w:rsidRPr="00AD4753">
        <w:t xml:space="preserve"> </w:t>
      </w:r>
      <w:r w:rsidR="00B8174C">
        <w:t>constructed</w:t>
      </w:r>
      <w:r w:rsidR="00B8174C" w:rsidRPr="00AD4753">
        <w:t xml:space="preserve"> for </w:t>
      </w:r>
      <w:r w:rsidR="00B8174C">
        <w:t xml:space="preserve">time-to-event analyses. </w:t>
      </w:r>
      <w:r w:rsidR="00FF1D97">
        <w:t xml:space="preserve">Risk differences </w:t>
      </w:r>
      <w:r w:rsidR="00F3028D">
        <w:t>with</w:t>
      </w:r>
      <w:r w:rsidR="00FF1D97">
        <w:t xml:space="preserve"> 95% confidence intervals were also </w:t>
      </w:r>
      <w:r w:rsidR="003A3855">
        <w:t>calculated</w:t>
      </w:r>
      <w:r w:rsidR="00FF1D97">
        <w:t xml:space="preserve">. </w:t>
      </w:r>
      <w:r w:rsidRPr="006567E0">
        <w:t>Descriptive statistics are based on all available data</w:t>
      </w:r>
      <w:r w:rsidRPr="00AD4753">
        <w:t xml:space="preserve">. </w:t>
      </w:r>
      <w:r w:rsidR="00B8174C">
        <w:t xml:space="preserve">Exploratory subgroup analyses for the primary endpoint were performed using logistic regression models including covariates for the treatment, the relevant subgroup, and an interaction term for both, and presented graphically. </w:t>
      </w:r>
      <w:r w:rsidR="00195E05">
        <w:t>Unless otherwise specified, s</w:t>
      </w:r>
      <w:r w:rsidR="000B5306">
        <w:rPr>
          <w:iCs/>
        </w:rPr>
        <w:t>tatistical</w:t>
      </w:r>
      <w:r w:rsidR="00195E05">
        <w:rPr>
          <w:iCs/>
        </w:rPr>
        <w:t xml:space="preserve"> </w:t>
      </w:r>
      <w:r w:rsidR="000B5306" w:rsidRPr="000B5306">
        <w:rPr>
          <w:iCs/>
        </w:rPr>
        <w:t>analyses were carried out using</w:t>
      </w:r>
      <w:r w:rsidR="000B5306">
        <w:rPr>
          <w:iCs/>
        </w:rPr>
        <w:t xml:space="preserve"> </w:t>
      </w:r>
      <w:r w:rsidR="000307CB">
        <w:rPr>
          <w:iCs/>
        </w:rPr>
        <w:t>Stata</w:t>
      </w:r>
      <w:r w:rsidR="000307CB" w:rsidRPr="000B5306">
        <w:rPr>
          <w:iCs/>
        </w:rPr>
        <w:t xml:space="preserve"> </w:t>
      </w:r>
      <w:r w:rsidR="0054021F">
        <w:rPr>
          <w:iCs/>
        </w:rPr>
        <w:t xml:space="preserve">software, </w:t>
      </w:r>
      <w:r w:rsidR="000B5306" w:rsidRPr="000B5306">
        <w:rPr>
          <w:iCs/>
        </w:rPr>
        <w:t>version 15.1</w:t>
      </w:r>
      <w:r w:rsidR="008E149D">
        <w:rPr>
          <w:iCs/>
        </w:rPr>
        <w:t xml:space="preserve"> (StataCorp)</w:t>
      </w:r>
      <w:r w:rsidR="000B5306">
        <w:rPr>
          <w:iCs/>
        </w:rPr>
        <w:t>.</w:t>
      </w:r>
      <w:r w:rsidR="00B8174C">
        <w:rPr>
          <w:iCs/>
        </w:rPr>
        <w:t xml:space="preserve"> </w:t>
      </w:r>
    </w:p>
    <w:p w14:paraId="33613F68" w14:textId="65BCBA9E" w:rsidR="0081618A" w:rsidRDefault="001972E7">
      <w:pPr>
        <w:spacing w:line="480" w:lineRule="auto"/>
        <w:rPr>
          <w:iCs/>
        </w:rPr>
      </w:pPr>
      <w:r>
        <w:rPr>
          <w:iCs/>
        </w:rPr>
        <w:t>For the</w:t>
      </w:r>
      <w:r w:rsidRPr="00202F67">
        <w:rPr>
          <w:iCs/>
        </w:rPr>
        <w:t xml:space="preserve"> statistical analysis of the secondary outcomes that were not event-related</w:t>
      </w:r>
      <w:r>
        <w:rPr>
          <w:iCs/>
        </w:rPr>
        <w:t>, c</w:t>
      </w:r>
      <w:r w:rsidRPr="001972E7">
        <w:rPr>
          <w:iCs/>
        </w:rPr>
        <w:t>ontinuous</w:t>
      </w:r>
      <w:r w:rsidR="007F35E1">
        <w:rPr>
          <w:iCs/>
        </w:rPr>
        <w:t xml:space="preserve"> outcome variables were summariz</w:t>
      </w:r>
      <w:r w:rsidRPr="001972E7">
        <w:rPr>
          <w:iCs/>
        </w:rPr>
        <w:t>ed as mean and standard deviation or median and interquartile range (IQR). Treatment effects were estimated using a multilevel mixed-effects model including repeated measures of the secondary outcome variables at the relevant time-points post-randomi</w:t>
      </w:r>
      <w:r w:rsidR="0081618A">
        <w:rPr>
          <w:iCs/>
        </w:rPr>
        <w:t>z</w:t>
      </w:r>
      <w:r w:rsidRPr="001972E7">
        <w:rPr>
          <w:iCs/>
        </w:rPr>
        <w:t>ation nested within participants. The model was adjusted for th</w:t>
      </w:r>
      <w:r w:rsidR="0081618A">
        <w:rPr>
          <w:iCs/>
        </w:rPr>
        <w:t>e randomiz</w:t>
      </w:r>
      <w:r w:rsidRPr="001972E7">
        <w:rPr>
          <w:iCs/>
        </w:rPr>
        <w:t xml:space="preserve">ation factors in line with the primary analysis model, as well as baseline values of the outcomes, if appropriate. Time was added to the model as a categorical variable, and interactions between treatment and time were included. </w:t>
      </w:r>
      <w:r w:rsidR="00A35786">
        <w:rPr>
          <w:iCs/>
        </w:rPr>
        <w:t>Robust standard errors were used to account for c</w:t>
      </w:r>
      <w:r w:rsidRPr="001972E7">
        <w:rPr>
          <w:iCs/>
        </w:rPr>
        <w:t xml:space="preserve">lustering </w:t>
      </w:r>
      <w:r w:rsidR="0081618A">
        <w:rPr>
          <w:iCs/>
        </w:rPr>
        <w:t>of outcomes by randomiz</w:t>
      </w:r>
      <w:r w:rsidR="00A35786">
        <w:rPr>
          <w:iCs/>
        </w:rPr>
        <w:t xml:space="preserve">ing site. </w:t>
      </w:r>
      <w:r w:rsidR="0081618A">
        <w:rPr>
          <w:iCs/>
        </w:rPr>
        <w:t>Categorical outcomes were analyz</w:t>
      </w:r>
      <w:r w:rsidRPr="001972E7">
        <w:rPr>
          <w:iCs/>
        </w:rPr>
        <w:t xml:space="preserve">ed similarly, using multilevel mixed-effects </w:t>
      </w:r>
      <w:r w:rsidR="00A35786">
        <w:rPr>
          <w:iCs/>
        </w:rPr>
        <w:t xml:space="preserve">logistic regression </w:t>
      </w:r>
      <w:r w:rsidRPr="001972E7">
        <w:rPr>
          <w:iCs/>
        </w:rPr>
        <w:t>models.</w:t>
      </w:r>
      <w:r>
        <w:rPr>
          <w:iCs/>
        </w:rPr>
        <w:t xml:space="preserve"> </w:t>
      </w:r>
      <w:r w:rsidR="0081618A">
        <w:t>A</w:t>
      </w:r>
      <w:r w:rsidR="0081618A" w:rsidRPr="00E54409">
        <w:t xml:space="preserve">nalyses </w:t>
      </w:r>
      <w:r w:rsidR="0081618A">
        <w:t>used</w:t>
      </w:r>
      <w:r w:rsidR="0081618A" w:rsidRPr="00E54409">
        <w:t xml:space="preserve"> the available cases subset</w:t>
      </w:r>
      <w:r w:rsidR="0081618A">
        <w:t>,</w:t>
      </w:r>
      <w:r w:rsidR="0081618A" w:rsidRPr="00E54409">
        <w:t xml:space="preserve"> </w:t>
      </w:r>
      <w:r w:rsidR="0081618A">
        <w:t>with participants included in the groups as</w:t>
      </w:r>
      <w:r w:rsidR="0081618A" w:rsidRPr="00E54409">
        <w:t xml:space="preserve"> randomly-assigned, regardless of treatment received. </w:t>
      </w:r>
    </w:p>
    <w:p w14:paraId="77C09380" w14:textId="6523ACAD" w:rsidR="00756152" w:rsidRDefault="001972E7">
      <w:pPr>
        <w:spacing w:line="480" w:lineRule="auto"/>
        <w:rPr>
          <w:iCs/>
        </w:rPr>
      </w:pPr>
      <w:r>
        <w:rPr>
          <w:iCs/>
        </w:rPr>
        <w:t>A post hoc sensitivity analysis was also performed using</w:t>
      </w:r>
      <w:r w:rsidR="00E161DF">
        <w:rPr>
          <w:iCs/>
        </w:rPr>
        <w:t xml:space="preserve"> a fully Bayesian hierarchical joint model</w:t>
      </w:r>
      <w:r>
        <w:rPr>
          <w:iCs/>
        </w:rPr>
        <w:t>,</w:t>
      </w:r>
      <w:r w:rsidR="00E161DF">
        <w:rPr>
          <w:iCs/>
        </w:rPr>
        <w:t xml:space="preserve"> which simultaneously adjusted for intermittent missing data and dropout due to death, as well as randomization minimization factors</w:t>
      </w:r>
      <w:r w:rsidR="00E161DF" w:rsidRPr="00202F67">
        <w:rPr>
          <w:iCs/>
        </w:rPr>
        <w:t>.</w:t>
      </w:r>
      <w:r w:rsidR="00E161DF">
        <w:rPr>
          <w:iCs/>
        </w:rPr>
        <w:t xml:space="preserve"> Details </w:t>
      </w:r>
      <w:r w:rsidR="00756152" w:rsidRPr="00202F67">
        <w:rPr>
          <w:iCs/>
        </w:rPr>
        <w:t>are provided in eMethods 6 in Supplement 3</w:t>
      </w:r>
      <w:r w:rsidR="00E161DF">
        <w:rPr>
          <w:iCs/>
        </w:rPr>
        <w:t>.</w:t>
      </w:r>
      <w:r w:rsidR="00756152">
        <w:rPr>
          <w:iCs/>
        </w:rPr>
        <w:t xml:space="preserve"> </w:t>
      </w:r>
    </w:p>
    <w:p w14:paraId="24A46442" w14:textId="59EA2FE6" w:rsidR="002A3E46" w:rsidRDefault="002A3E46">
      <w:pPr>
        <w:spacing w:line="480" w:lineRule="auto"/>
        <w:rPr>
          <w:iCs/>
        </w:rPr>
      </w:pPr>
      <w:r>
        <w:t xml:space="preserve">Secondary outcomes were tested at a 5% two-sided significance level. </w:t>
      </w:r>
      <w:r w:rsidRPr="000B0A90">
        <w:t>Because of the potential for type 1 error due to multiple comparisons, findings for analyses of secondary outcomes should be interpreted as exploratory.</w:t>
      </w:r>
    </w:p>
    <w:p w14:paraId="31E784EB" w14:textId="77777777" w:rsidR="00756152" w:rsidRDefault="00756152">
      <w:pPr>
        <w:spacing w:line="480" w:lineRule="auto"/>
        <w:rPr>
          <w:iCs/>
        </w:rPr>
      </w:pPr>
    </w:p>
    <w:p w14:paraId="19E3091C" w14:textId="77777777" w:rsidR="00CE0765" w:rsidRDefault="00CE0765" w:rsidP="002B4B1E">
      <w:pPr>
        <w:spacing w:line="480" w:lineRule="auto"/>
        <w:rPr>
          <w:rFonts w:asciiTheme="majorHAnsi" w:eastAsiaTheme="majorEastAsia" w:hAnsiTheme="majorHAnsi" w:cstheme="majorBidi"/>
          <w:b/>
          <w:bCs/>
          <w:color w:val="365F91" w:themeColor="accent1" w:themeShade="BF"/>
          <w:sz w:val="28"/>
          <w:szCs w:val="28"/>
        </w:rPr>
      </w:pPr>
      <w:r>
        <w:br w:type="page"/>
      </w:r>
    </w:p>
    <w:p w14:paraId="35E13391" w14:textId="77777777" w:rsidR="00D70D2A" w:rsidRPr="00C92C09" w:rsidRDefault="006E7C16">
      <w:pPr>
        <w:pStyle w:val="Heading1"/>
        <w:spacing w:line="480" w:lineRule="auto"/>
        <w:jc w:val="center"/>
      </w:pPr>
      <w:r w:rsidRPr="006E7C16">
        <w:t>RESULTS</w:t>
      </w:r>
    </w:p>
    <w:p w14:paraId="1B840497" w14:textId="5D91F998" w:rsidR="005B5C88" w:rsidRDefault="00A01815">
      <w:pPr>
        <w:pStyle w:val="Heading2"/>
        <w:spacing w:line="480" w:lineRule="auto"/>
      </w:pPr>
      <w:r>
        <w:t>Participants</w:t>
      </w:r>
    </w:p>
    <w:p w14:paraId="32B0D033" w14:textId="12E27BAE" w:rsidR="00294EB2" w:rsidRDefault="00092D32">
      <w:pPr>
        <w:spacing w:line="480" w:lineRule="auto"/>
      </w:pPr>
      <w:r>
        <w:t xml:space="preserve">Between </w:t>
      </w:r>
      <w:r w:rsidR="00545698">
        <w:t>April</w:t>
      </w:r>
      <w:r>
        <w:t xml:space="preserve"> 9,</w:t>
      </w:r>
      <w:r w:rsidR="00545698">
        <w:t xml:space="preserve"> 2014 </w:t>
      </w:r>
      <w:r>
        <w:t>and</w:t>
      </w:r>
      <w:r w:rsidR="00545698">
        <w:t xml:space="preserve"> April</w:t>
      </w:r>
      <w:r>
        <w:t xml:space="preserve"> 30,</w:t>
      </w:r>
      <w:r w:rsidR="00545698">
        <w:t xml:space="preserve"> 2018, 913 </w:t>
      </w:r>
      <w:r w:rsidR="00A01815">
        <w:t xml:space="preserve">participants </w:t>
      </w:r>
      <w:r w:rsidR="00545698">
        <w:t xml:space="preserve">were randomly assigned to </w:t>
      </w:r>
      <w:r w:rsidR="00453608">
        <w:t>undergo</w:t>
      </w:r>
      <w:r w:rsidR="00545698">
        <w:t xml:space="preserve"> either TAVI (458) or </w:t>
      </w:r>
      <w:r w:rsidR="00165F21">
        <w:t>surgery</w:t>
      </w:r>
      <w:r w:rsidR="00545698">
        <w:t xml:space="preserve"> (455).</w:t>
      </w:r>
      <w:r w:rsidR="0021436B">
        <w:t xml:space="preserve"> </w:t>
      </w:r>
      <w:r w:rsidR="00EA0E13">
        <w:t>I</w:t>
      </w:r>
      <w:r w:rsidR="0021436B">
        <w:t xml:space="preserve">n the TAVI group, </w:t>
      </w:r>
      <w:r w:rsidR="00A466B9">
        <w:t xml:space="preserve">450 </w:t>
      </w:r>
      <w:r w:rsidR="00A01815">
        <w:t>participants</w:t>
      </w:r>
      <w:r w:rsidR="00EA0E13">
        <w:t xml:space="preserve"> </w:t>
      </w:r>
      <w:r w:rsidR="00453608">
        <w:t>underwent</w:t>
      </w:r>
      <w:r w:rsidR="0021436B">
        <w:t xml:space="preserve"> TAVI, </w:t>
      </w:r>
      <w:r w:rsidR="00A466B9">
        <w:t xml:space="preserve">five </w:t>
      </w:r>
      <w:r w:rsidR="0021436B">
        <w:t xml:space="preserve">crossed over </w:t>
      </w:r>
      <w:r w:rsidR="00CA02A4">
        <w:t>to</w:t>
      </w:r>
      <w:r w:rsidR="0021436B">
        <w:t xml:space="preserve"> </w:t>
      </w:r>
      <w:r w:rsidR="00165F21">
        <w:t>surgery</w:t>
      </w:r>
      <w:r w:rsidR="0021436B">
        <w:t xml:space="preserve">, and </w:t>
      </w:r>
      <w:r w:rsidR="00A466B9">
        <w:t xml:space="preserve">three </w:t>
      </w:r>
      <w:r w:rsidR="0021436B">
        <w:t xml:space="preserve">received no treatment. </w:t>
      </w:r>
      <w:r w:rsidR="00EA0E13">
        <w:t>I</w:t>
      </w:r>
      <w:r w:rsidR="0021436B">
        <w:t xml:space="preserve">n the </w:t>
      </w:r>
      <w:r w:rsidR="00EA0E13">
        <w:t xml:space="preserve">surgery </w:t>
      </w:r>
      <w:r w:rsidR="0021436B">
        <w:t xml:space="preserve">group, </w:t>
      </w:r>
      <w:r w:rsidR="00A466B9">
        <w:t xml:space="preserve">419 </w:t>
      </w:r>
      <w:r w:rsidR="00A01815">
        <w:t>participants</w:t>
      </w:r>
      <w:r w:rsidR="00EA0E13">
        <w:t xml:space="preserve"> </w:t>
      </w:r>
      <w:r w:rsidR="00420A6E">
        <w:t>underwent</w:t>
      </w:r>
      <w:r w:rsidR="0021436B">
        <w:t xml:space="preserve"> </w:t>
      </w:r>
      <w:r w:rsidR="00165F21">
        <w:t>surgery</w:t>
      </w:r>
      <w:r w:rsidR="0021436B">
        <w:t xml:space="preserve">, 17 </w:t>
      </w:r>
      <w:r w:rsidR="00A01815">
        <w:t>participants</w:t>
      </w:r>
      <w:r w:rsidR="0021436B">
        <w:t xml:space="preserve"> crossed over </w:t>
      </w:r>
      <w:r w:rsidR="00C9392F">
        <w:t>to</w:t>
      </w:r>
      <w:r w:rsidR="0021436B">
        <w:t xml:space="preserve"> TAVI, and </w:t>
      </w:r>
      <w:r w:rsidR="00A466B9">
        <w:t xml:space="preserve">19 </w:t>
      </w:r>
      <w:r w:rsidR="00A01815">
        <w:t>participants</w:t>
      </w:r>
      <w:r w:rsidR="0021436B">
        <w:t xml:space="preserve"> receive</w:t>
      </w:r>
      <w:r w:rsidR="00EA0E13">
        <w:t>d</w:t>
      </w:r>
      <w:r w:rsidR="0021436B">
        <w:t xml:space="preserve"> </w:t>
      </w:r>
      <w:r w:rsidR="00EA0E13">
        <w:t xml:space="preserve">no </w:t>
      </w:r>
      <w:r w:rsidR="0021436B">
        <w:t>treatment.</w:t>
      </w:r>
      <w:r w:rsidR="004E65F3">
        <w:t xml:space="preserve"> </w:t>
      </w:r>
      <w:r w:rsidR="00C9392F">
        <w:t>P</w:t>
      </w:r>
      <w:r w:rsidR="00C10065">
        <w:t xml:space="preserve">atient </w:t>
      </w:r>
      <w:r w:rsidR="009721E3">
        <w:t>flow</w:t>
      </w:r>
      <w:r w:rsidR="00606895">
        <w:t xml:space="preserve"> </w:t>
      </w:r>
      <w:r w:rsidR="00C9392F">
        <w:t>is summarised</w:t>
      </w:r>
      <w:r w:rsidR="00606895">
        <w:t xml:space="preserve"> in the CONSORT Diagram </w:t>
      </w:r>
      <w:r w:rsidR="000307CB">
        <w:t>(</w:t>
      </w:r>
      <w:r w:rsidR="00BC0FB9">
        <w:t>Figure 1</w:t>
      </w:r>
      <w:r w:rsidR="00684D33">
        <w:t>)</w:t>
      </w:r>
      <w:r w:rsidR="000307CB">
        <w:t>.</w:t>
      </w:r>
    </w:p>
    <w:p w14:paraId="443008F9" w14:textId="4B33A2E5" w:rsidR="00545698" w:rsidRDefault="009721E3">
      <w:pPr>
        <w:spacing w:line="480" w:lineRule="auto"/>
      </w:pPr>
      <w:r>
        <w:t>B</w:t>
      </w:r>
      <w:r w:rsidR="00545698">
        <w:t>aseline characteristics</w:t>
      </w:r>
      <w:r w:rsidR="00D26EBC">
        <w:t xml:space="preserve"> were well balanced between the groups (Table 1</w:t>
      </w:r>
      <w:r w:rsidR="00732AB1">
        <w:t xml:space="preserve"> and </w:t>
      </w:r>
      <w:r w:rsidR="00BC0FB9">
        <w:t>eTable 1</w:t>
      </w:r>
      <w:r w:rsidR="00EB5968">
        <w:t xml:space="preserve"> in Supplement 3</w:t>
      </w:r>
      <w:r w:rsidR="00BC0FB9">
        <w:t>)</w:t>
      </w:r>
      <w:r w:rsidR="00D26EBC">
        <w:t xml:space="preserve">. The </w:t>
      </w:r>
      <w:r w:rsidR="001132FB">
        <w:t>median (IQR)</w:t>
      </w:r>
      <w:r w:rsidR="00D26EBC">
        <w:t xml:space="preserve"> age was 81 </w:t>
      </w:r>
      <w:r w:rsidR="001132FB">
        <w:t xml:space="preserve">(78, 84) </w:t>
      </w:r>
      <w:r w:rsidR="00D26EBC">
        <w:t>years</w:t>
      </w:r>
      <w:r w:rsidR="008405C4">
        <w:t xml:space="preserve"> and </w:t>
      </w:r>
      <w:r w:rsidR="00B759FD">
        <w:t xml:space="preserve">46.4% </w:t>
      </w:r>
      <w:r w:rsidR="008405C4">
        <w:t>of the participants were women</w:t>
      </w:r>
      <w:r w:rsidR="0063214E">
        <w:t xml:space="preserve">.  </w:t>
      </w:r>
      <w:r w:rsidR="003E74B7">
        <w:t>The median (IQR) STS risk score was 2.6 (2.0, 3.4)</w:t>
      </w:r>
      <w:r w:rsidR="003B12BB">
        <w:t>.</w:t>
      </w:r>
      <w:r w:rsidR="003E74B7">
        <w:t xml:space="preserve"> </w:t>
      </w:r>
      <w:r w:rsidR="00AD6E89">
        <w:t>Coronary</w:t>
      </w:r>
      <w:r w:rsidR="00287010">
        <w:t xml:space="preserve"> artery disease </w:t>
      </w:r>
      <w:r w:rsidR="00AD6E89">
        <w:t xml:space="preserve">that was </w:t>
      </w:r>
      <w:r w:rsidR="00287010">
        <w:t>considered to require revasculari</w:t>
      </w:r>
      <w:r w:rsidR="00296B0C">
        <w:t>z</w:t>
      </w:r>
      <w:r w:rsidR="00287010">
        <w:t xml:space="preserve">ation if the patient was assigned to </w:t>
      </w:r>
      <w:r w:rsidR="00AD6E89">
        <w:t xml:space="preserve">receive </w:t>
      </w:r>
      <w:r w:rsidR="00165F21">
        <w:t>surgery</w:t>
      </w:r>
      <w:r w:rsidR="00AD6E89">
        <w:t xml:space="preserve"> was present in 19.8% of the participants.</w:t>
      </w:r>
    </w:p>
    <w:p w14:paraId="01D50723" w14:textId="77777777" w:rsidR="005B5C88" w:rsidRDefault="005B5C88">
      <w:pPr>
        <w:pStyle w:val="Heading2"/>
        <w:spacing w:line="480" w:lineRule="auto"/>
      </w:pPr>
      <w:r>
        <w:t>Interventions</w:t>
      </w:r>
    </w:p>
    <w:p w14:paraId="647F728D" w14:textId="16FD13B8" w:rsidR="00294EB2" w:rsidRDefault="00B77BBC">
      <w:pPr>
        <w:spacing w:line="480" w:lineRule="auto"/>
      </w:pPr>
      <w:r>
        <w:t xml:space="preserve">The median </w:t>
      </w:r>
      <w:r w:rsidR="000F0107">
        <w:t xml:space="preserve">(IQR) </w:t>
      </w:r>
      <w:r>
        <w:t xml:space="preserve">time from </w:t>
      </w:r>
      <w:r w:rsidR="00A377DB">
        <w:t xml:space="preserve">randomization </w:t>
      </w:r>
      <w:r>
        <w:t xml:space="preserve">to treatment was </w:t>
      </w:r>
      <w:r w:rsidR="000F0107">
        <w:t xml:space="preserve">40 (22, 69) days in </w:t>
      </w:r>
      <w:r w:rsidR="00DA3584">
        <w:t xml:space="preserve">the </w:t>
      </w:r>
      <w:r w:rsidR="000F0107">
        <w:t xml:space="preserve">TAVI </w:t>
      </w:r>
      <w:r w:rsidR="00DA3584">
        <w:t xml:space="preserve">group </w:t>
      </w:r>
      <w:r w:rsidR="000F0107">
        <w:t xml:space="preserve">and 37 (21, 63) days in </w:t>
      </w:r>
      <w:r w:rsidR="00DA3584">
        <w:t>the</w:t>
      </w:r>
      <w:r w:rsidR="000F0107">
        <w:t xml:space="preserve"> </w:t>
      </w:r>
      <w:r w:rsidR="00165F21">
        <w:t>surgery</w:t>
      </w:r>
      <w:r w:rsidR="00DA3584">
        <w:t xml:space="preserve"> group</w:t>
      </w:r>
      <w:r w:rsidR="000F0107">
        <w:t xml:space="preserve">. </w:t>
      </w:r>
    </w:p>
    <w:p w14:paraId="085A64D8" w14:textId="5706B713" w:rsidR="00504A94" w:rsidRDefault="000F0107">
      <w:pPr>
        <w:spacing w:line="480" w:lineRule="auto"/>
      </w:pPr>
      <w:r>
        <w:t xml:space="preserve">In the TAVI group, </w:t>
      </w:r>
      <w:r w:rsidR="003A7DD9">
        <w:t xml:space="preserve">a valve was deployed in </w:t>
      </w:r>
      <w:r w:rsidR="00A466B9">
        <w:t xml:space="preserve">443 </w:t>
      </w:r>
      <w:r w:rsidR="003A7DD9">
        <w:t xml:space="preserve">of the </w:t>
      </w:r>
      <w:r w:rsidR="00A466B9">
        <w:t xml:space="preserve">450 </w:t>
      </w:r>
      <w:r w:rsidR="00A01815">
        <w:t>participants</w:t>
      </w:r>
      <w:r w:rsidR="003A7DD9">
        <w:t xml:space="preserve"> </w:t>
      </w:r>
      <w:r w:rsidR="00562AAF">
        <w:t xml:space="preserve">who </w:t>
      </w:r>
      <w:r w:rsidR="00C9392F">
        <w:t>were treated as</w:t>
      </w:r>
      <w:r w:rsidR="00562AAF">
        <w:t xml:space="preserve"> randomly assigned </w:t>
      </w:r>
      <w:r w:rsidR="003A7DD9">
        <w:t>(98.4%)</w:t>
      </w:r>
      <w:r w:rsidR="00195070">
        <w:t>.</w:t>
      </w:r>
      <w:r>
        <w:t xml:space="preserve"> </w:t>
      </w:r>
      <w:r w:rsidR="003A7DD9">
        <w:t xml:space="preserve">More than one valve was used in </w:t>
      </w:r>
      <w:r w:rsidR="00A466B9">
        <w:t xml:space="preserve">five </w:t>
      </w:r>
      <w:r w:rsidR="00A01815">
        <w:t>participants</w:t>
      </w:r>
      <w:r w:rsidR="003A7DD9">
        <w:t xml:space="preserve">. </w:t>
      </w:r>
      <w:r w:rsidR="000626BF">
        <w:t xml:space="preserve">Details of </w:t>
      </w:r>
      <w:r w:rsidR="007C36D9">
        <w:t xml:space="preserve">the </w:t>
      </w:r>
      <w:r w:rsidR="000626BF">
        <w:t xml:space="preserve">valves and access routes are provided in </w:t>
      </w:r>
      <w:r w:rsidR="007C36D9">
        <w:t>eTable 2</w:t>
      </w:r>
      <w:r w:rsidR="00EB5968">
        <w:t xml:space="preserve"> in Supplement 3</w:t>
      </w:r>
      <w:r w:rsidR="000626BF">
        <w:t>.</w:t>
      </w:r>
      <w:r w:rsidR="004F0DCE">
        <w:t xml:space="preserve"> </w:t>
      </w:r>
      <w:r w:rsidR="00732AB1">
        <w:t>Conscious</w:t>
      </w:r>
      <w:r w:rsidR="008E16D3">
        <w:t xml:space="preserve"> sedation or local/regional anaesthesia </w:t>
      </w:r>
      <w:r w:rsidR="00732AB1">
        <w:t xml:space="preserve">was used </w:t>
      </w:r>
      <w:r w:rsidR="008E16D3">
        <w:t xml:space="preserve">in </w:t>
      </w:r>
      <w:r w:rsidR="00A466B9">
        <w:t xml:space="preserve">313 </w:t>
      </w:r>
      <w:r w:rsidR="00A01815">
        <w:t>participants</w:t>
      </w:r>
      <w:r w:rsidR="003A7DD9">
        <w:t xml:space="preserve"> (69.6%) and general anaesthesia in </w:t>
      </w:r>
      <w:r w:rsidR="00A466B9">
        <w:t xml:space="preserve">137 </w:t>
      </w:r>
      <w:r w:rsidR="003A7DD9">
        <w:t>(30.4%)</w:t>
      </w:r>
      <w:r w:rsidR="008E16D3">
        <w:t>.</w:t>
      </w:r>
      <w:r w:rsidR="008E16D3" w:rsidRPr="008E16D3">
        <w:t xml:space="preserve"> </w:t>
      </w:r>
      <w:r w:rsidR="008E16D3">
        <w:t>The median (IQR) procedure duration was</w:t>
      </w:r>
      <w:r w:rsidR="003A7DD9">
        <w:t xml:space="preserve"> 82 (63, </w:t>
      </w:r>
      <w:r w:rsidR="00A466B9">
        <w:t>113</w:t>
      </w:r>
      <w:r w:rsidR="003A7DD9">
        <w:t>) minutes</w:t>
      </w:r>
      <w:r w:rsidR="008E16D3">
        <w:t>.</w:t>
      </w:r>
      <w:r w:rsidR="008E16D3" w:rsidRPr="008E16D3">
        <w:t xml:space="preserve"> </w:t>
      </w:r>
      <w:r w:rsidR="008E16D3">
        <w:t>Coronary revasculari</w:t>
      </w:r>
      <w:r w:rsidR="00296B0C">
        <w:t>z</w:t>
      </w:r>
      <w:r w:rsidR="008E16D3">
        <w:t xml:space="preserve">ation was performed </w:t>
      </w:r>
      <w:r w:rsidR="005B4301">
        <w:t xml:space="preserve">as </w:t>
      </w:r>
      <w:r w:rsidR="00B759FD">
        <w:t xml:space="preserve">a </w:t>
      </w:r>
      <w:r w:rsidR="005B4301">
        <w:t xml:space="preserve">staged </w:t>
      </w:r>
      <w:r w:rsidR="008E16D3">
        <w:t xml:space="preserve">procedure </w:t>
      </w:r>
      <w:r w:rsidR="00A466B9">
        <w:t xml:space="preserve">or during the same admission </w:t>
      </w:r>
      <w:r w:rsidR="00B3486F">
        <w:t xml:space="preserve">in </w:t>
      </w:r>
      <w:r w:rsidR="00A466B9">
        <w:t xml:space="preserve">33 </w:t>
      </w:r>
      <w:r w:rsidR="00A01815">
        <w:t>participants</w:t>
      </w:r>
      <w:r w:rsidR="00B3486F">
        <w:t xml:space="preserve"> </w:t>
      </w:r>
      <w:r w:rsidR="005B4301">
        <w:t>(</w:t>
      </w:r>
      <w:r w:rsidR="00A466B9">
        <w:t>7.3</w:t>
      </w:r>
      <w:r w:rsidR="005B4301">
        <w:t>%)</w:t>
      </w:r>
      <w:r w:rsidR="008E16D3">
        <w:t>.</w:t>
      </w:r>
    </w:p>
    <w:p w14:paraId="0EDB5FE1" w14:textId="4DAC62D5" w:rsidR="004E0DD3" w:rsidRDefault="00FA2774">
      <w:pPr>
        <w:spacing w:line="480" w:lineRule="auto"/>
      </w:pPr>
      <w:r>
        <w:t>In the surg</w:t>
      </w:r>
      <w:r w:rsidR="003D6AFC">
        <w:t>ery</w:t>
      </w:r>
      <w:r>
        <w:t xml:space="preserve"> group, a</w:t>
      </w:r>
      <w:r w:rsidR="008E16D3">
        <w:t xml:space="preserve"> </w:t>
      </w:r>
      <w:r>
        <w:t>valve was implanted in</w:t>
      </w:r>
      <w:r w:rsidR="00E01822">
        <w:t xml:space="preserve"> 416 </w:t>
      </w:r>
      <w:r>
        <w:t xml:space="preserve">of the </w:t>
      </w:r>
      <w:r w:rsidR="00A466B9">
        <w:t xml:space="preserve">419 </w:t>
      </w:r>
      <w:r w:rsidR="00A01815">
        <w:t>participants</w:t>
      </w:r>
      <w:r w:rsidR="00504A94">
        <w:t xml:space="preserve"> (</w:t>
      </w:r>
      <w:r w:rsidR="00A466B9">
        <w:t>99.3</w:t>
      </w:r>
      <w:r w:rsidR="00E01822">
        <w:t>%</w:t>
      </w:r>
      <w:r w:rsidR="00504A94">
        <w:t xml:space="preserve">) who </w:t>
      </w:r>
      <w:r w:rsidR="00C9392F">
        <w:t>were treated</w:t>
      </w:r>
      <w:r w:rsidR="00504A94">
        <w:t xml:space="preserve"> as randomly assigned.</w:t>
      </w:r>
      <w:r w:rsidR="004F0DCE">
        <w:t xml:space="preserve"> </w:t>
      </w:r>
      <w:r w:rsidR="009241ED">
        <w:t>M</w:t>
      </w:r>
      <w:r w:rsidR="004F0DCE">
        <w:t xml:space="preserve">idline sternotomy </w:t>
      </w:r>
      <w:r w:rsidR="004731C2">
        <w:t xml:space="preserve">was performed </w:t>
      </w:r>
      <w:r w:rsidR="004F0DCE">
        <w:t>in</w:t>
      </w:r>
      <w:r w:rsidR="00E01822" w:rsidRPr="00E01822">
        <w:rPr>
          <w:color w:val="000000" w:themeColor="text1"/>
        </w:rPr>
        <w:t xml:space="preserve"> </w:t>
      </w:r>
      <w:r w:rsidR="00A466B9">
        <w:rPr>
          <w:color w:val="000000" w:themeColor="text1"/>
        </w:rPr>
        <w:t>375</w:t>
      </w:r>
      <w:r w:rsidR="00A466B9" w:rsidRPr="00E01822">
        <w:rPr>
          <w:color w:val="000000" w:themeColor="text1"/>
        </w:rPr>
        <w:t xml:space="preserve"> </w:t>
      </w:r>
      <w:r w:rsidR="00A01815">
        <w:t>participants</w:t>
      </w:r>
      <w:r w:rsidR="00E01822" w:rsidRPr="00E01822">
        <w:rPr>
          <w:color w:val="000000" w:themeColor="text1"/>
        </w:rPr>
        <w:t xml:space="preserve"> (89.5%)</w:t>
      </w:r>
      <w:r w:rsidR="004731C2">
        <w:rPr>
          <w:color w:val="000000" w:themeColor="text1"/>
        </w:rPr>
        <w:t xml:space="preserve"> and m</w:t>
      </w:r>
      <w:r w:rsidR="004731C2">
        <w:t>inimally invasive surgery in 44 (10.5%)</w:t>
      </w:r>
      <w:r w:rsidR="00B759FD">
        <w:rPr>
          <w:color w:val="000000" w:themeColor="text1"/>
        </w:rPr>
        <w:t>.</w:t>
      </w:r>
      <w:r w:rsidR="004F0DCE">
        <w:t xml:space="preserve"> Details of the valves are provided in </w:t>
      </w:r>
      <w:r w:rsidR="007C36D9">
        <w:t>eTable 3</w:t>
      </w:r>
      <w:r w:rsidR="00EB5968">
        <w:t xml:space="preserve"> in Supplement 3</w:t>
      </w:r>
      <w:r w:rsidR="004053E0">
        <w:t>.</w:t>
      </w:r>
      <w:r w:rsidR="004F0DCE">
        <w:t xml:space="preserve"> </w:t>
      </w:r>
      <w:r w:rsidR="00311A7B">
        <w:t>The median (IQR) procedure duration</w:t>
      </w:r>
      <w:r w:rsidR="00E705C6">
        <w:t>,</w:t>
      </w:r>
      <w:r w:rsidR="00E705C6" w:rsidRPr="00E705C6">
        <w:t xml:space="preserve"> </w:t>
      </w:r>
      <w:r w:rsidR="00E705C6">
        <w:t>cardiopulmonary bypass time and cross</w:t>
      </w:r>
      <w:r w:rsidR="00DA3584">
        <w:t>-</w:t>
      </w:r>
      <w:r w:rsidR="00E705C6">
        <w:t>clamp</w:t>
      </w:r>
      <w:r w:rsidR="00DA3584">
        <w:t xml:space="preserve"> </w:t>
      </w:r>
      <w:r w:rsidR="00E705C6">
        <w:t xml:space="preserve">time </w:t>
      </w:r>
      <w:r w:rsidR="00311A7B">
        <w:t>w</w:t>
      </w:r>
      <w:r w:rsidR="00B759FD">
        <w:t>ere</w:t>
      </w:r>
      <w:r w:rsidR="00E01822">
        <w:t xml:space="preserve"> 182 (150, 230) minutes, 85 (66, 106) minutes and 63 (50, 80)</w:t>
      </w:r>
      <w:r w:rsidR="00E705C6">
        <w:rPr>
          <w:color w:val="FF0000"/>
        </w:rPr>
        <w:t xml:space="preserve"> </w:t>
      </w:r>
      <w:r w:rsidR="00E705C6" w:rsidRPr="00E705C6">
        <w:rPr>
          <w:color w:val="000000" w:themeColor="text1"/>
        </w:rPr>
        <w:t>minutes respectively</w:t>
      </w:r>
      <w:r w:rsidR="00E705C6">
        <w:rPr>
          <w:color w:val="000000" w:themeColor="text1"/>
        </w:rPr>
        <w:t>. Concurrent coronary revasculari</w:t>
      </w:r>
      <w:r w:rsidR="00296B0C">
        <w:rPr>
          <w:color w:val="000000" w:themeColor="text1"/>
        </w:rPr>
        <w:t>z</w:t>
      </w:r>
      <w:r w:rsidR="00E705C6">
        <w:rPr>
          <w:color w:val="000000" w:themeColor="text1"/>
        </w:rPr>
        <w:t>ation was performed in</w:t>
      </w:r>
      <w:r w:rsidR="00E01822">
        <w:rPr>
          <w:color w:val="000000" w:themeColor="text1"/>
        </w:rPr>
        <w:t xml:space="preserve"> 90 </w:t>
      </w:r>
      <w:r w:rsidR="00A01815">
        <w:t>participants</w:t>
      </w:r>
      <w:r w:rsidR="00E01822">
        <w:rPr>
          <w:color w:val="000000" w:themeColor="text1"/>
        </w:rPr>
        <w:t xml:space="preserve"> (21.5%</w:t>
      </w:r>
      <w:r w:rsidR="00A466B9">
        <w:rPr>
          <w:color w:val="000000" w:themeColor="text1"/>
        </w:rPr>
        <w:t>).</w:t>
      </w:r>
    </w:p>
    <w:p w14:paraId="10F9F111" w14:textId="0F9ACE51" w:rsidR="00DF2DE9" w:rsidRDefault="00557FE9">
      <w:pPr>
        <w:spacing w:line="480" w:lineRule="auto"/>
      </w:pPr>
      <w:r>
        <w:t xml:space="preserve">The median (IQR) number of days in intensive care </w:t>
      </w:r>
      <w:r w:rsidR="004053E0">
        <w:t xml:space="preserve">and </w:t>
      </w:r>
      <w:r>
        <w:t xml:space="preserve">high-dependency units respectively was 0 (0, </w:t>
      </w:r>
      <w:r w:rsidR="004E76DE">
        <w:t>0</w:t>
      </w:r>
      <w:r>
        <w:t>) and 0 (0, 1) after TAVI</w:t>
      </w:r>
      <w:r w:rsidR="00251301">
        <w:t>,</w:t>
      </w:r>
      <w:r>
        <w:t xml:space="preserve"> and 1 (1, 3) and 1 (0, 3) after </w:t>
      </w:r>
      <w:r w:rsidR="00165F21">
        <w:t>surgery</w:t>
      </w:r>
      <w:r w:rsidR="00051892">
        <w:t xml:space="preserve">. Further details are provided in </w:t>
      </w:r>
      <w:r w:rsidR="007C36D9">
        <w:t>eTable 4</w:t>
      </w:r>
      <w:r w:rsidR="00EB5968">
        <w:t xml:space="preserve"> in Supplement 3</w:t>
      </w:r>
      <w:r w:rsidR="000626BF">
        <w:t>.</w:t>
      </w:r>
      <w:r>
        <w:t xml:space="preserve"> </w:t>
      </w:r>
      <w:r w:rsidR="00DC555F">
        <w:t xml:space="preserve">The percentage of </w:t>
      </w:r>
      <w:r w:rsidR="00A01815">
        <w:t>participants</w:t>
      </w:r>
      <w:r w:rsidR="00DC555F">
        <w:t xml:space="preserve"> discharged to home was 94.2% i</w:t>
      </w:r>
      <w:r>
        <w:t>n the TAVI group</w:t>
      </w:r>
      <w:r w:rsidR="00DC555F">
        <w:t xml:space="preserve"> and </w:t>
      </w:r>
      <w:r w:rsidR="00A466B9">
        <w:t>82.6</w:t>
      </w:r>
      <w:r w:rsidR="00DC555F">
        <w:t>% in the surgery group.</w:t>
      </w:r>
      <w:r w:rsidR="00DF2DE9" w:rsidRPr="00DF2DE9">
        <w:t xml:space="preserve"> </w:t>
      </w:r>
    </w:p>
    <w:p w14:paraId="5FA1C0BC" w14:textId="77777777" w:rsidR="00B77BBC" w:rsidRDefault="00DF2DE9">
      <w:pPr>
        <w:spacing w:line="480" w:lineRule="auto"/>
      </w:pPr>
      <w:r>
        <w:t xml:space="preserve">Details of anticoagulant and antithrombotic medication at discharge and during follow-up are provided in </w:t>
      </w:r>
      <w:r w:rsidR="007C36D9">
        <w:t>eTables 5 and 6</w:t>
      </w:r>
      <w:r w:rsidR="00EB5968">
        <w:t xml:space="preserve"> in Supplement 3</w:t>
      </w:r>
      <w:r>
        <w:t>.</w:t>
      </w:r>
    </w:p>
    <w:p w14:paraId="5B6BE8E7" w14:textId="77777777" w:rsidR="005B5C88" w:rsidRDefault="005B5C88">
      <w:pPr>
        <w:pStyle w:val="Heading2"/>
        <w:spacing w:line="480" w:lineRule="auto"/>
      </w:pPr>
      <w:r>
        <w:t>Primary Outcome</w:t>
      </w:r>
    </w:p>
    <w:p w14:paraId="55D2C261" w14:textId="052D3A25" w:rsidR="00294EB2" w:rsidRDefault="00092D32">
      <w:pPr>
        <w:spacing w:line="480" w:lineRule="auto"/>
      </w:pPr>
      <w:r>
        <w:t>For the primary outcome, d</w:t>
      </w:r>
      <w:r w:rsidR="003D6AFC">
        <w:t xml:space="preserve">ata were </w:t>
      </w:r>
      <w:r w:rsidR="009241ED">
        <w:t>un</w:t>
      </w:r>
      <w:r w:rsidR="003D6AFC">
        <w:t>available for one patient, who withdrew from follow-up.  At one</w:t>
      </w:r>
      <w:r w:rsidR="000C1BE3">
        <w:t xml:space="preserve"> </w:t>
      </w:r>
      <w:r w:rsidR="003D6AFC">
        <w:t xml:space="preserve">year, 21 </w:t>
      </w:r>
      <w:r w:rsidR="00A01815">
        <w:t>participants</w:t>
      </w:r>
      <w:r w:rsidR="003D6AFC">
        <w:t xml:space="preserve"> </w:t>
      </w:r>
      <w:r w:rsidR="00D879E2">
        <w:t xml:space="preserve">(4.6%) </w:t>
      </w:r>
      <w:r w:rsidR="003D6AFC">
        <w:t xml:space="preserve">in the TAVI group </w:t>
      </w:r>
      <w:r w:rsidR="006D26ED">
        <w:t xml:space="preserve">had </w:t>
      </w:r>
      <w:r w:rsidR="00721AB4">
        <w:t>died, compared with</w:t>
      </w:r>
      <w:r w:rsidR="00D879E2">
        <w:t xml:space="preserve"> </w:t>
      </w:r>
      <w:r w:rsidR="003D6AFC">
        <w:t xml:space="preserve">30 </w:t>
      </w:r>
      <w:r w:rsidR="00A01815">
        <w:t>participants</w:t>
      </w:r>
      <w:r w:rsidR="003D6AFC">
        <w:t xml:space="preserve"> </w:t>
      </w:r>
      <w:r w:rsidR="00D879E2">
        <w:t xml:space="preserve">(6.6%) </w:t>
      </w:r>
      <w:r w:rsidR="003D6AFC">
        <w:t>in the surgery group</w:t>
      </w:r>
      <w:r w:rsidR="00BB2685">
        <w:t xml:space="preserve">, with an absolute </w:t>
      </w:r>
      <w:r w:rsidR="00562AAF">
        <w:t xml:space="preserve">adjusted </w:t>
      </w:r>
      <w:r w:rsidR="00BB2685">
        <w:t xml:space="preserve">risk difference between the groups of </w:t>
      </w:r>
      <w:r w:rsidR="00ED14EE">
        <w:t>-</w:t>
      </w:r>
      <w:r w:rsidR="00BB2685">
        <w:t>2.0</w:t>
      </w:r>
      <w:r w:rsidR="00721AB4">
        <w:t xml:space="preserve"> percentage points (</w:t>
      </w:r>
      <w:r w:rsidR="003678D6">
        <w:t>one-sided 97.5%</w:t>
      </w:r>
      <w:r w:rsidR="00BB2685">
        <w:t xml:space="preserve"> confidence interval</w:t>
      </w:r>
      <w:r w:rsidR="00BB2685" w:rsidRPr="00E54E5D">
        <w:rPr>
          <w:color w:val="000000" w:themeColor="text1"/>
        </w:rPr>
        <w:t xml:space="preserve">, </w:t>
      </w:r>
      <w:r w:rsidR="003678D6">
        <w:rPr>
          <w:color w:val="000000" w:themeColor="text1"/>
        </w:rPr>
        <w:t>-</w:t>
      </w:r>
      <w:r w:rsidR="003678D6">
        <w:rPr>
          <w:rFonts w:cstheme="minorHAnsi"/>
          <w:color w:val="000000" w:themeColor="text1"/>
        </w:rPr>
        <w:t>∞</w:t>
      </w:r>
      <w:r w:rsidR="00BB2685" w:rsidRPr="00E54E5D">
        <w:rPr>
          <w:color w:val="000000" w:themeColor="text1"/>
        </w:rPr>
        <w:t xml:space="preserve"> to </w:t>
      </w:r>
      <w:r w:rsidR="00840D18">
        <w:rPr>
          <w:color w:val="000000" w:themeColor="text1"/>
        </w:rPr>
        <w:t>1.</w:t>
      </w:r>
      <w:r w:rsidR="000E583F">
        <w:rPr>
          <w:color w:val="000000" w:themeColor="text1"/>
        </w:rPr>
        <w:t>2</w:t>
      </w:r>
      <w:r w:rsidR="004E5012">
        <w:rPr>
          <w:color w:val="000000" w:themeColor="text1"/>
        </w:rPr>
        <w:t>%</w:t>
      </w:r>
      <w:r w:rsidR="00721AB4">
        <w:rPr>
          <w:color w:val="000000" w:themeColor="text1"/>
        </w:rPr>
        <w:t>)</w:t>
      </w:r>
      <w:r w:rsidR="00BB2685">
        <w:t xml:space="preserve">. </w:t>
      </w:r>
      <w:r w:rsidR="00B0466E">
        <w:t xml:space="preserve">The upper limit of the </w:t>
      </w:r>
      <w:r w:rsidR="003678D6">
        <w:t>one</w:t>
      </w:r>
      <w:r w:rsidR="00B0466E">
        <w:t xml:space="preserve">-sided </w:t>
      </w:r>
      <w:r w:rsidR="003678D6">
        <w:t xml:space="preserve">97.5% </w:t>
      </w:r>
      <w:r w:rsidR="00B0466E">
        <w:t xml:space="preserve">confidence interval </w:t>
      </w:r>
      <w:r w:rsidR="003678D6">
        <w:t xml:space="preserve">(1.2%) </w:t>
      </w:r>
      <w:r w:rsidR="00BB2685">
        <w:t>was</w:t>
      </w:r>
      <w:r w:rsidR="00B0466E">
        <w:t xml:space="preserve"> less than the prespecified noninferiority margin </w:t>
      </w:r>
      <w:r w:rsidR="00A24CA2">
        <w:t>(</w:t>
      </w:r>
      <w:r w:rsidR="00B0466E">
        <w:t>5%</w:t>
      </w:r>
      <w:r w:rsidR="00A24CA2">
        <w:t>)</w:t>
      </w:r>
      <w:r w:rsidR="00BF2ECF">
        <w:t>, consistent with</w:t>
      </w:r>
      <w:r w:rsidR="00B0466E">
        <w:t xml:space="preserve"> noninferiority of TAVI </w:t>
      </w:r>
      <w:r w:rsidR="0093529C">
        <w:t>in</w:t>
      </w:r>
      <w:r w:rsidR="00B0466E">
        <w:t xml:space="preserve"> respect of death from any cause at one year</w:t>
      </w:r>
      <w:r w:rsidR="00EF6480" w:rsidRPr="00EF6480">
        <w:rPr>
          <w:color w:val="000000" w:themeColor="text1"/>
        </w:rPr>
        <w:t xml:space="preserve"> </w:t>
      </w:r>
      <w:r w:rsidR="00EF6480">
        <w:rPr>
          <w:color w:val="000000" w:themeColor="text1"/>
        </w:rPr>
        <w:t xml:space="preserve">(P-value </w:t>
      </w:r>
      <w:r w:rsidR="00EF6480">
        <w:t xml:space="preserve">&lt;0.001 </w:t>
      </w:r>
      <w:r w:rsidR="00EF6480">
        <w:rPr>
          <w:color w:val="000000" w:themeColor="text1"/>
        </w:rPr>
        <w:t>for noninferiority)</w:t>
      </w:r>
      <w:r w:rsidR="00B0466E">
        <w:t>.</w:t>
      </w:r>
      <w:r w:rsidR="00BB2685">
        <w:t xml:space="preserve">  </w:t>
      </w:r>
      <w:r w:rsidR="00BF2ECF">
        <w:t>The findings were also consistent with n</w:t>
      </w:r>
      <w:r w:rsidR="00EB32D6">
        <w:t>oninferiority in the per</w:t>
      </w:r>
      <w:r w:rsidR="00043C60">
        <w:t>-</w:t>
      </w:r>
      <w:r w:rsidR="00EB32D6">
        <w:t xml:space="preserve">protocol population and in </w:t>
      </w:r>
      <w:r w:rsidR="00A24CA2">
        <w:t>the</w:t>
      </w:r>
      <w:r w:rsidR="00EB32D6">
        <w:t xml:space="preserve"> sensitivity analysis </w:t>
      </w:r>
      <w:r w:rsidR="00D723C4">
        <w:t>allowing for</w:t>
      </w:r>
      <w:r w:rsidR="00A037D1">
        <w:t xml:space="preserve"> missing data </w:t>
      </w:r>
      <w:r w:rsidR="00EB32D6">
        <w:t>(</w:t>
      </w:r>
      <w:r w:rsidR="0043047D">
        <w:t xml:space="preserve">Table </w:t>
      </w:r>
      <w:r w:rsidR="00BB6B58">
        <w:t>2</w:t>
      </w:r>
      <w:r w:rsidR="00EB32D6">
        <w:t xml:space="preserve">). </w:t>
      </w:r>
      <w:r w:rsidR="003678D6">
        <w:t>The hazard ratio for death from any cause was 0.69; 95% confidence interval, 0.38 to 1.26</w:t>
      </w:r>
      <w:r w:rsidR="00EB5968">
        <w:t xml:space="preserve"> (Table </w:t>
      </w:r>
      <w:r w:rsidR="0043047D">
        <w:t>3</w:t>
      </w:r>
      <w:r w:rsidR="00EB5968">
        <w:t>)</w:t>
      </w:r>
      <w:r w:rsidR="003678D6">
        <w:t xml:space="preserve">. </w:t>
      </w:r>
      <w:r w:rsidR="00BB017D">
        <w:t xml:space="preserve">The Kaplan Meier plot is shown in Figure </w:t>
      </w:r>
      <w:r w:rsidR="0043047D">
        <w:t>2A</w:t>
      </w:r>
      <w:r w:rsidR="00BB017D">
        <w:t xml:space="preserve">. </w:t>
      </w:r>
      <w:r w:rsidR="009005D1">
        <w:t>The treatment effect was consistent across prespecified sub-groups</w:t>
      </w:r>
      <w:r w:rsidR="009748E8">
        <w:t xml:space="preserve"> (</w:t>
      </w:r>
      <w:r w:rsidR="007C36D9">
        <w:t>eFigure 1</w:t>
      </w:r>
      <w:r w:rsidR="00EB5968">
        <w:t xml:space="preserve"> in Supplement 3</w:t>
      </w:r>
      <w:r w:rsidR="009748E8">
        <w:t>).</w:t>
      </w:r>
      <w:r w:rsidR="00773772">
        <w:t xml:space="preserve"> Details of deaths are provided in </w:t>
      </w:r>
      <w:r w:rsidR="007C36D9">
        <w:t>eTables 7, 8 and 9</w:t>
      </w:r>
      <w:r w:rsidR="00EB5968">
        <w:t xml:space="preserve"> in Supplement 3</w:t>
      </w:r>
      <w:r w:rsidR="00AC1FDE">
        <w:t>.</w:t>
      </w:r>
    </w:p>
    <w:p w14:paraId="1177E2A0" w14:textId="77777777" w:rsidR="005B5C88" w:rsidRDefault="005B5C88">
      <w:pPr>
        <w:pStyle w:val="Heading2"/>
        <w:spacing w:line="480" w:lineRule="auto"/>
      </w:pPr>
      <w:r>
        <w:t>Secondary Outcomes</w:t>
      </w:r>
    </w:p>
    <w:p w14:paraId="3F3DD05E" w14:textId="266E0CFC" w:rsidR="008954BC" w:rsidRDefault="001B2877">
      <w:pPr>
        <w:spacing w:line="480" w:lineRule="auto"/>
      </w:pPr>
      <w:r>
        <w:t xml:space="preserve">The median (IQR) duration of the post-procedural hospital stay following TAVI or surgery was 3 (2, 5) days and 8 (6, 13) days respectively. </w:t>
      </w:r>
      <w:r w:rsidR="00BB6B58">
        <w:t xml:space="preserve">Event-related </w:t>
      </w:r>
      <w:r w:rsidR="00E56579">
        <w:t xml:space="preserve">secondary clinical outcomes are </w:t>
      </w:r>
      <w:r w:rsidR="00BB017D">
        <w:t xml:space="preserve">reported </w:t>
      </w:r>
      <w:r w:rsidR="00E56579">
        <w:t xml:space="preserve">in </w:t>
      </w:r>
      <w:r w:rsidR="00BB6B58">
        <w:t xml:space="preserve">Table </w:t>
      </w:r>
      <w:r w:rsidR="0043047D">
        <w:t>3</w:t>
      </w:r>
      <w:r w:rsidR="00E56579">
        <w:t xml:space="preserve">. </w:t>
      </w:r>
      <w:r w:rsidR="00672134">
        <w:t>At 30</w:t>
      </w:r>
      <w:r w:rsidR="00AB70D6">
        <w:t xml:space="preserve"> </w:t>
      </w:r>
      <w:r w:rsidR="00672134">
        <w:t xml:space="preserve">days </w:t>
      </w:r>
      <w:r w:rsidR="00B551BF">
        <w:t>post-</w:t>
      </w:r>
      <w:r w:rsidR="00672134">
        <w:t>procedure</w:t>
      </w:r>
      <w:r w:rsidR="00AB70D6">
        <w:t xml:space="preserve"> and one year post-</w:t>
      </w:r>
      <w:r w:rsidR="00A377DB">
        <w:t>randomization</w:t>
      </w:r>
      <w:r w:rsidR="00672134">
        <w:t xml:space="preserve">, </w:t>
      </w:r>
      <w:r w:rsidR="00E56579">
        <w:t xml:space="preserve">major bleeding </w:t>
      </w:r>
      <w:r w:rsidR="00EF562D">
        <w:t>was</w:t>
      </w:r>
      <w:r w:rsidR="00E56579">
        <w:t xml:space="preserve"> </w:t>
      </w:r>
      <w:r w:rsidR="00BB017D">
        <w:t xml:space="preserve">significantly </w:t>
      </w:r>
      <w:r w:rsidR="00167B63">
        <w:t xml:space="preserve">less frequent </w:t>
      </w:r>
      <w:r w:rsidR="00E56579">
        <w:t xml:space="preserve">in the </w:t>
      </w:r>
      <w:r w:rsidR="00167B63">
        <w:t xml:space="preserve">TAVI </w:t>
      </w:r>
      <w:r w:rsidR="00E56579">
        <w:t>group</w:t>
      </w:r>
      <w:r w:rsidR="00EF562D">
        <w:t xml:space="preserve"> (5.5% vs 19.5%; HR, 0.27 [95% CI, 0.19 to 0.37]</w:t>
      </w:r>
      <w:r w:rsidR="00756529">
        <w:t xml:space="preserve">; </w:t>
      </w:r>
      <w:r w:rsidR="00756529" w:rsidRPr="002B4B1E">
        <w:rPr>
          <w:i/>
        </w:rPr>
        <w:t>P</w:t>
      </w:r>
      <w:r w:rsidR="00756529">
        <w:t>&lt;0.001</w:t>
      </w:r>
      <w:r w:rsidR="00D676C3">
        <w:t>,</w:t>
      </w:r>
      <w:r w:rsidR="00EF562D">
        <w:t xml:space="preserve"> and 7.2% vs 20.2%; HR, 0.33 [95% CI, 0.24 to 0.45]</w:t>
      </w:r>
      <w:r w:rsidR="00756529">
        <w:t>;</w:t>
      </w:r>
      <w:r w:rsidR="00756529" w:rsidRPr="00BB6B72">
        <w:t xml:space="preserve"> </w:t>
      </w:r>
      <w:r w:rsidR="00756529" w:rsidRPr="002B4B1E">
        <w:rPr>
          <w:i/>
        </w:rPr>
        <w:t>P</w:t>
      </w:r>
      <w:r w:rsidR="00756529">
        <w:t>&lt;0.001</w:t>
      </w:r>
      <w:r w:rsidR="00EF562D">
        <w:t xml:space="preserve"> respectively) </w:t>
      </w:r>
      <w:r w:rsidR="00AB70D6">
        <w:t xml:space="preserve">but there was a </w:t>
      </w:r>
      <w:r w:rsidR="00BB017D">
        <w:t xml:space="preserve">significantly </w:t>
      </w:r>
      <w:r w:rsidR="00AB70D6">
        <w:t>higher incidence of vascular</w:t>
      </w:r>
      <w:r w:rsidR="00E56579">
        <w:t xml:space="preserve"> complications </w:t>
      </w:r>
      <w:r w:rsidR="00EF562D">
        <w:t>(10.1% vs 2.3%; HR, 4.43 [95% CI, 2.53 to 7.78]</w:t>
      </w:r>
      <w:r w:rsidR="00756529">
        <w:t xml:space="preserve">; </w:t>
      </w:r>
      <w:r w:rsidR="00756529" w:rsidRPr="002B4B1E">
        <w:rPr>
          <w:i/>
        </w:rPr>
        <w:t>P</w:t>
      </w:r>
      <w:r w:rsidR="00756529">
        <w:t>&lt;0.001</w:t>
      </w:r>
      <w:r w:rsidR="00D676C3">
        <w:t>,</w:t>
      </w:r>
      <w:r w:rsidR="00D46D35">
        <w:t xml:space="preserve"> and 10.3% vs 2.4%; HR, 4.42 [95% CI, 2.54 to 7.71]</w:t>
      </w:r>
      <w:r w:rsidR="00756529">
        <w:t xml:space="preserve">; </w:t>
      </w:r>
      <w:r w:rsidR="00756529" w:rsidRPr="002B4B1E">
        <w:rPr>
          <w:i/>
        </w:rPr>
        <w:t>P</w:t>
      </w:r>
      <w:r w:rsidR="00756529">
        <w:t>&lt;0.001</w:t>
      </w:r>
      <w:r w:rsidR="00EF562D">
        <w:t xml:space="preserve">) </w:t>
      </w:r>
      <w:r w:rsidR="00AB70D6">
        <w:t>and</w:t>
      </w:r>
      <w:r w:rsidR="00167B63">
        <w:t xml:space="preserve"> </w:t>
      </w:r>
      <w:r w:rsidR="00E56579">
        <w:t>conduction disturbance requiring permanent pacing</w:t>
      </w:r>
      <w:r w:rsidR="00EF562D">
        <w:t xml:space="preserve"> (</w:t>
      </w:r>
      <w:r w:rsidR="00D46D35">
        <w:t>11.0% vs 6.7%; HR, 1.72 [95% CI, 1.13 to 2.61]</w:t>
      </w:r>
      <w:r w:rsidR="00756529">
        <w:t xml:space="preserve">; </w:t>
      </w:r>
      <w:r w:rsidR="00756529" w:rsidRPr="002B4B1E">
        <w:rPr>
          <w:i/>
        </w:rPr>
        <w:t>P</w:t>
      </w:r>
      <w:r w:rsidR="00756529">
        <w:t>=0.01</w:t>
      </w:r>
      <w:r w:rsidR="00D676C3">
        <w:t>,</w:t>
      </w:r>
      <w:r w:rsidR="00D46D35">
        <w:t xml:space="preserve"> and 14.2% vs 7.3%; HR, 2.05 [95% CI, 1.43 to 2.94]</w:t>
      </w:r>
      <w:r w:rsidR="00756529">
        <w:t xml:space="preserve">; </w:t>
      </w:r>
      <w:r w:rsidR="00756529" w:rsidRPr="002B4B1E">
        <w:rPr>
          <w:i/>
        </w:rPr>
        <w:t>P</w:t>
      </w:r>
      <w:r w:rsidR="00756529">
        <w:t>&lt;0.001</w:t>
      </w:r>
      <w:r w:rsidR="00EF562D">
        <w:t>)</w:t>
      </w:r>
      <w:r w:rsidR="00347061">
        <w:t>.</w:t>
      </w:r>
      <w:r w:rsidR="00904B9B">
        <w:t xml:space="preserve"> </w:t>
      </w:r>
      <w:r w:rsidR="00BB017D">
        <w:t xml:space="preserve">There was no significant difference in the </w:t>
      </w:r>
      <w:r w:rsidR="003F6624">
        <w:t>rate</w:t>
      </w:r>
      <w:r w:rsidR="00BB017D">
        <w:t xml:space="preserve"> </w:t>
      </w:r>
      <w:r w:rsidR="00721AB4">
        <w:t>of</w:t>
      </w:r>
      <w:r w:rsidR="00904B9B">
        <w:t xml:space="preserve"> stroke</w:t>
      </w:r>
      <w:r w:rsidR="003F6624">
        <w:t xml:space="preserve"> at 30 days</w:t>
      </w:r>
      <w:r w:rsidR="00904B9B">
        <w:t xml:space="preserve"> </w:t>
      </w:r>
      <w:r w:rsidR="003F6624">
        <w:t>(2.4% vs 2.3%; HR, 1.05 [95% CI, 0.35 to 3.17]</w:t>
      </w:r>
      <w:r w:rsidR="00756529">
        <w:t xml:space="preserve">; </w:t>
      </w:r>
      <w:r w:rsidR="00756529" w:rsidRPr="002B4B1E">
        <w:rPr>
          <w:i/>
        </w:rPr>
        <w:t>P</w:t>
      </w:r>
      <w:r w:rsidR="00756529">
        <w:t>=0.94</w:t>
      </w:r>
      <w:r w:rsidR="005F6330">
        <w:t>) or a</w:t>
      </w:r>
      <w:r w:rsidR="003F6624">
        <w:t>t one year (5.2% vs 2.6%; HR, 1.98 [95% CI, 0.95 to 4.11]</w:t>
      </w:r>
      <w:r w:rsidR="00756529">
        <w:t xml:space="preserve">; </w:t>
      </w:r>
      <w:r w:rsidR="00756529" w:rsidRPr="002B4B1E">
        <w:rPr>
          <w:i/>
        </w:rPr>
        <w:t>P</w:t>
      </w:r>
      <w:r w:rsidR="003337F6">
        <w:t>=0.07</w:t>
      </w:r>
      <w:r w:rsidR="003F6624">
        <w:t xml:space="preserve">). There was no significant difference in the rate of </w:t>
      </w:r>
      <w:r w:rsidR="00904B9B">
        <w:t>cardiovascular death</w:t>
      </w:r>
      <w:r w:rsidR="00347061">
        <w:t>,</w:t>
      </w:r>
      <w:r w:rsidR="00592588">
        <w:t xml:space="preserve"> the composite of death from any cause or </w:t>
      </w:r>
      <w:r w:rsidR="008D6178">
        <w:t xml:space="preserve">non-fatal </w:t>
      </w:r>
      <w:r w:rsidR="00592588">
        <w:t>stroke</w:t>
      </w:r>
      <w:r w:rsidR="00347061">
        <w:t>,</w:t>
      </w:r>
      <w:r w:rsidR="00592588">
        <w:t xml:space="preserve"> </w:t>
      </w:r>
      <w:r w:rsidR="006B23F0">
        <w:t>and</w:t>
      </w:r>
      <w:r w:rsidR="00592588">
        <w:t xml:space="preserve"> other clinical outcomes</w:t>
      </w:r>
      <w:r w:rsidR="00AB70D6">
        <w:t xml:space="preserve"> </w:t>
      </w:r>
      <w:r w:rsidR="003F6624">
        <w:t xml:space="preserve">at </w:t>
      </w:r>
      <w:r w:rsidR="00A24CA2">
        <w:t>30 days post-procedure</w:t>
      </w:r>
      <w:r w:rsidR="006B23F0">
        <w:t xml:space="preserve"> </w:t>
      </w:r>
      <w:r w:rsidR="003F6624">
        <w:t xml:space="preserve">or one year post-randomization </w:t>
      </w:r>
      <w:r w:rsidR="004C17BD">
        <w:t xml:space="preserve">(Figure </w:t>
      </w:r>
      <w:r w:rsidR="0043047D">
        <w:t>2B</w:t>
      </w:r>
      <w:r w:rsidR="004C17BD">
        <w:t>, C and D</w:t>
      </w:r>
      <w:r w:rsidR="008D6178">
        <w:t xml:space="preserve">; Table </w:t>
      </w:r>
      <w:r w:rsidR="0043047D">
        <w:t>3</w:t>
      </w:r>
      <w:r w:rsidR="004C17BD">
        <w:t>)</w:t>
      </w:r>
      <w:r w:rsidR="0095075A">
        <w:t>.</w:t>
      </w:r>
      <w:r w:rsidR="00AB70D6">
        <w:t xml:space="preserve"> </w:t>
      </w:r>
    </w:p>
    <w:p w14:paraId="416F817C" w14:textId="5EABFDB3" w:rsidR="00091EC2" w:rsidRDefault="00392618">
      <w:pPr>
        <w:spacing w:line="480" w:lineRule="auto"/>
      </w:pPr>
      <w:r>
        <w:t xml:space="preserve">Echocardiographic findings </w:t>
      </w:r>
      <w:r w:rsidR="00BB6B58">
        <w:t xml:space="preserve">are reported </w:t>
      </w:r>
      <w:r w:rsidR="00B4291C">
        <w:t xml:space="preserve">in eTables </w:t>
      </w:r>
      <w:r w:rsidR="004608BC">
        <w:t xml:space="preserve">10 </w:t>
      </w:r>
      <w:r w:rsidR="00B4291C">
        <w:t xml:space="preserve">and </w:t>
      </w:r>
      <w:r w:rsidR="004608BC">
        <w:t xml:space="preserve">11 </w:t>
      </w:r>
      <w:r w:rsidR="00EB5968">
        <w:t>in Supplement 3</w:t>
      </w:r>
      <w:r w:rsidR="00B4291C">
        <w:t>.</w:t>
      </w:r>
      <w:r w:rsidR="00A31680">
        <w:t xml:space="preserve"> </w:t>
      </w:r>
      <w:r w:rsidR="005D67FA">
        <w:t xml:space="preserve">At </w:t>
      </w:r>
      <w:r w:rsidR="00091EC2">
        <w:t>6 weeks</w:t>
      </w:r>
      <w:r w:rsidR="005D67FA">
        <w:t xml:space="preserve">, the </w:t>
      </w:r>
      <w:r w:rsidR="002D3CB4">
        <w:t xml:space="preserve">mean </w:t>
      </w:r>
      <w:r w:rsidR="005D67FA">
        <w:t xml:space="preserve">aortic valve </w:t>
      </w:r>
      <w:r w:rsidR="0034674E">
        <w:t xml:space="preserve">mean </w:t>
      </w:r>
      <w:r w:rsidR="005D67FA">
        <w:t xml:space="preserve">gradient was </w:t>
      </w:r>
      <w:r w:rsidR="0034674E">
        <w:t>10.</w:t>
      </w:r>
      <w:r w:rsidR="00710758">
        <w:t>36</w:t>
      </w:r>
      <w:r w:rsidR="00091EC2">
        <w:t xml:space="preserve"> mmHg in the TAVI group </w:t>
      </w:r>
      <w:r w:rsidR="00710758">
        <w:t>vs</w:t>
      </w:r>
      <w:r w:rsidR="00091EC2">
        <w:t xml:space="preserve"> </w:t>
      </w:r>
      <w:r w:rsidR="0034674E">
        <w:t>10.0</w:t>
      </w:r>
      <w:r w:rsidR="00710758">
        <w:t>1</w:t>
      </w:r>
      <w:r w:rsidR="00091EC2">
        <w:t xml:space="preserve"> mmHg in the surgery group</w:t>
      </w:r>
      <w:r w:rsidR="00710758">
        <w:t xml:space="preserve"> (adjusted difference, </w:t>
      </w:r>
      <w:r w:rsidR="00B4285D">
        <w:t>0.31</w:t>
      </w:r>
      <w:r w:rsidR="00710758">
        <w:t xml:space="preserve"> [95% CI </w:t>
      </w:r>
      <w:r w:rsidR="00B4285D">
        <w:t>-0.53</w:t>
      </w:r>
      <w:r w:rsidR="00710758">
        <w:t xml:space="preserve"> to </w:t>
      </w:r>
      <w:r w:rsidR="00B4285D">
        <w:t>1.15</w:t>
      </w:r>
      <w:r w:rsidR="00710758">
        <w:t xml:space="preserve">]; </w:t>
      </w:r>
      <w:r w:rsidR="00710758" w:rsidRPr="002B4B1E">
        <w:rPr>
          <w:i/>
        </w:rPr>
        <w:t>P</w:t>
      </w:r>
      <w:r w:rsidR="00710758">
        <w:t>=</w:t>
      </w:r>
      <w:r w:rsidR="00B4285D">
        <w:t>0.47</w:t>
      </w:r>
      <w:r w:rsidR="00710758">
        <w:t>)</w:t>
      </w:r>
      <w:r w:rsidR="00091EC2">
        <w:t xml:space="preserve">, and the </w:t>
      </w:r>
      <w:r w:rsidR="002D3CB4">
        <w:t xml:space="preserve">mean </w:t>
      </w:r>
      <w:r w:rsidR="00091EC2">
        <w:t>aortic valve effective orifice area was 1.5</w:t>
      </w:r>
      <w:r w:rsidR="00870761">
        <w:t>3</w:t>
      </w:r>
      <w:r w:rsidR="00091EC2">
        <w:t xml:space="preserve"> cm</w:t>
      </w:r>
      <w:r w:rsidR="00091EC2" w:rsidRPr="00091EC2">
        <w:rPr>
          <w:vertAlign w:val="superscript"/>
        </w:rPr>
        <w:t>2</w:t>
      </w:r>
      <w:r w:rsidR="00091EC2">
        <w:t xml:space="preserve"> </w:t>
      </w:r>
      <w:r w:rsidR="00870761">
        <w:t>vs 1.51 cm</w:t>
      </w:r>
      <w:r w:rsidR="00870761" w:rsidRPr="00091EC2">
        <w:rPr>
          <w:vertAlign w:val="superscript"/>
        </w:rPr>
        <w:t>2</w:t>
      </w:r>
      <w:r w:rsidR="00710758">
        <w:t xml:space="preserve"> (</w:t>
      </w:r>
      <w:r w:rsidR="00870761">
        <w:t xml:space="preserve">adjusted difference, </w:t>
      </w:r>
      <w:r w:rsidR="00C75782">
        <w:t>0.04</w:t>
      </w:r>
      <w:r w:rsidR="00870761">
        <w:t xml:space="preserve"> [95% CI, -0.02 to </w:t>
      </w:r>
      <w:r w:rsidR="00C75782">
        <w:t>0.09</w:t>
      </w:r>
      <w:r w:rsidR="00870761">
        <w:t xml:space="preserve">] </w:t>
      </w:r>
      <w:r w:rsidR="00870761" w:rsidRPr="002B4B1E">
        <w:rPr>
          <w:i/>
        </w:rPr>
        <w:t>P</w:t>
      </w:r>
      <w:r w:rsidR="00870761">
        <w:t>=</w:t>
      </w:r>
      <w:r w:rsidR="00C75782">
        <w:t>0.22</w:t>
      </w:r>
      <w:r w:rsidR="00870761">
        <w:t>)</w:t>
      </w:r>
      <w:r w:rsidR="00091EC2">
        <w:t xml:space="preserve">. These </w:t>
      </w:r>
      <w:r w:rsidR="00991B7A">
        <w:t xml:space="preserve">haemodynamic </w:t>
      </w:r>
      <w:r w:rsidR="00091EC2">
        <w:t xml:space="preserve">improvements were sustained </w:t>
      </w:r>
      <w:r w:rsidR="00991B7A">
        <w:t xml:space="preserve">and </w:t>
      </w:r>
      <w:r w:rsidR="001B2877">
        <w:t xml:space="preserve">not significantly different </w:t>
      </w:r>
      <w:r w:rsidR="00761202">
        <w:t xml:space="preserve">between the groups </w:t>
      </w:r>
      <w:r w:rsidR="00091EC2">
        <w:t>at one year</w:t>
      </w:r>
      <w:r w:rsidR="00870761">
        <w:t xml:space="preserve"> (eTable 10 in Supplement 3)</w:t>
      </w:r>
      <w:r w:rsidR="002F29DC">
        <w:t>.</w:t>
      </w:r>
      <w:r w:rsidR="008954BC">
        <w:t xml:space="preserve"> </w:t>
      </w:r>
      <w:r w:rsidR="00D723C4">
        <w:t>M</w:t>
      </w:r>
      <w:r w:rsidR="002D3CB4">
        <w:t xml:space="preserve">ild </w:t>
      </w:r>
      <w:r w:rsidR="008C24F3">
        <w:t xml:space="preserve">and </w:t>
      </w:r>
      <w:r w:rsidR="002D3CB4">
        <w:t>moderate a</w:t>
      </w:r>
      <w:r w:rsidR="00091EC2">
        <w:t>ortic regurgitation</w:t>
      </w:r>
      <w:r w:rsidR="002D3CB4">
        <w:t xml:space="preserve"> </w:t>
      </w:r>
      <w:r w:rsidR="004E76A0">
        <w:t>were</w:t>
      </w:r>
      <w:r w:rsidR="002D3CB4">
        <w:t xml:space="preserve"> </w:t>
      </w:r>
      <w:r w:rsidR="00BB017D">
        <w:t xml:space="preserve">significantly </w:t>
      </w:r>
      <w:r w:rsidR="00D723C4">
        <w:t>more prevalent</w:t>
      </w:r>
      <w:r w:rsidR="002D3CB4">
        <w:t xml:space="preserve"> in the TAVI group than in the surgery group at 6 weeks (43.7% and 2.4%</w:t>
      </w:r>
      <w:r w:rsidR="00D676C3">
        <w:t>,</w:t>
      </w:r>
      <w:r w:rsidR="002D3CB4">
        <w:t xml:space="preserve"> vs. 12.3% and 0.9%</w:t>
      </w:r>
      <w:r w:rsidR="00D676C3">
        <w:t>,</w:t>
      </w:r>
      <w:r w:rsidR="008954BC">
        <w:t xml:space="preserve"> respectively</w:t>
      </w:r>
      <w:r w:rsidR="00672783">
        <w:t>; adjusted odds ratio</w:t>
      </w:r>
      <w:r w:rsidR="00E5195A">
        <w:t xml:space="preserve"> </w:t>
      </w:r>
      <w:r w:rsidR="00834596">
        <w:t>for mild, moderate or severe (no instance of severe reported) aortic regurgitation combined vs none</w:t>
      </w:r>
      <w:r w:rsidR="00B13DF8">
        <w:t xml:space="preserve">, </w:t>
      </w:r>
      <w:r w:rsidR="00C75782">
        <w:t>5.37</w:t>
      </w:r>
      <w:r w:rsidR="00B13DF8">
        <w:t xml:space="preserve"> [95% </w:t>
      </w:r>
      <w:r w:rsidR="00C75782">
        <w:t>CI</w:t>
      </w:r>
      <w:r w:rsidR="00672783">
        <w:t xml:space="preserve">, </w:t>
      </w:r>
      <w:r w:rsidR="00C75782">
        <w:t>3.86</w:t>
      </w:r>
      <w:r w:rsidR="00672783">
        <w:t xml:space="preserve"> to </w:t>
      </w:r>
      <w:r w:rsidR="00C75782">
        <w:t>7.46</w:t>
      </w:r>
      <w:r w:rsidR="00756529">
        <w:t xml:space="preserve">]; </w:t>
      </w:r>
      <w:r w:rsidR="00756529" w:rsidRPr="002B4B1E">
        <w:rPr>
          <w:i/>
        </w:rPr>
        <w:t>P</w:t>
      </w:r>
      <w:r w:rsidR="00756529">
        <w:t>&lt;0.</w:t>
      </w:r>
      <w:r w:rsidR="0009755F">
        <w:t>00</w:t>
      </w:r>
      <w:r w:rsidR="00756529">
        <w:t>1</w:t>
      </w:r>
      <w:r w:rsidR="00672783">
        <w:t xml:space="preserve">). The findings were similar at one year </w:t>
      </w:r>
      <w:r w:rsidR="002D3CB4">
        <w:t>(</w:t>
      </w:r>
      <w:r w:rsidR="008954BC">
        <w:t>38.3% and 2.3%</w:t>
      </w:r>
      <w:r w:rsidR="00D676C3">
        <w:t>,</w:t>
      </w:r>
      <w:r w:rsidR="008954BC">
        <w:t xml:space="preserve"> vs. 11.7% and 0.6%</w:t>
      </w:r>
      <w:r w:rsidR="00D676C3">
        <w:t>,</w:t>
      </w:r>
      <w:r w:rsidR="008954BC">
        <w:t xml:space="preserve"> respectively</w:t>
      </w:r>
      <w:r w:rsidR="00672783">
        <w:t xml:space="preserve">; adjusted </w:t>
      </w:r>
      <w:r w:rsidR="00C75782">
        <w:t>odds ratio</w:t>
      </w:r>
      <w:r w:rsidR="00672783">
        <w:t xml:space="preserve">, </w:t>
      </w:r>
      <w:r w:rsidR="00C75782">
        <w:t>4.89</w:t>
      </w:r>
      <w:r w:rsidR="00756529">
        <w:t xml:space="preserve"> [95% </w:t>
      </w:r>
      <w:r w:rsidR="00C75782">
        <w:t>CI</w:t>
      </w:r>
      <w:r w:rsidR="00756529">
        <w:t xml:space="preserve">, </w:t>
      </w:r>
      <w:r w:rsidR="00C75782">
        <w:t>3.08</w:t>
      </w:r>
      <w:r w:rsidR="00756529">
        <w:t xml:space="preserve"> to </w:t>
      </w:r>
      <w:r w:rsidR="00C75782">
        <w:t>7.75</w:t>
      </w:r>
      <w:r w:rsidR="00756529">
        <w:t xml:space="preserve">] </w:t>
      </w:r>
      <w:r w:rsidR="00756529" w:rsidRPr="002B4B1E">
        <w:rPr>
          <w:i/>
        </w:rPr>
        <w:t>P</w:t>
      </w:r>
      <w:r w:rsidR="0009755F">
        <w:t>&lt;0.00</w:t>
      </w:r>
      <w:r w:rsidR="00756529">
        <w:t>1</w:t>
      </w:r>
      <w:r w:rsidR="008954BC">
        <w:t>).</w:t>
      </w:r>
    </w:p>
    <w:p w14:paraId="6DC75BFE" w14:textId="64F22749" w:rsidR="00C27087" w:rsidRDefault="00C40FCD">
      <w:pPr>
        <w:spacing w:line="480" w:lineRule="auto"/>
      </w:pPr>
      <w:r>
        <w:t>There was</w:t>
      </w:r>
      <w:r w:rsidR="006F01AA">
        <w:t xml:space="preserve"> a re</w:t>
      </w:r>
      <w:r w:rsidR="00FF5422">
        <w:t xml:space="preserve">duction </w:t>
      </w:r>
      <w:r w:rsidR="00C06E43">
        <w:t xml:space="preserve">in the prevalence </w:t>
      </w:r>
      <w:r w:rsidR="00FF5422">
        <w:t xml:space="preserve">of angina </w:t>
      </w:r>
      <w:r>
        <w:t xml:space="preserve">in both groups </w:t>
      </w:r>
      <w:r w:rsidR="00FF5422">
        <w:t xml:space="preserve">at </w:t>
      </w:r>
      <w:r w:rsidR="005079E9">
        <w:t>six</w:t>
      </w:r>
      <w:r w:rsidR="00FF5422">
        <w:t xml:space="preserve"> weeks</w:t>
      </w:r>
      <w:r>
        <w:t xml:space="preserve"> and one year</w:t>
      </w:r>
      <w:r w:rsidR="00B4291C">
        <w:t xml:space="preserve"> </w:t>
      </w:r>
      <w:r w:rsidR="001B2877">
        <w:t xml:space="preserve">with no statistically significant difference </w:t>
      </w:r>
      <w:r w:rsidR="003337F6">
        <w:t>between the</w:t>
      </w:r>
      <w:r w:rsidR="00BB6B72">
        <w:t>m</w:t>
      </w:r>
      <w:r w:rsidR="003337F6">
        <w:t xml:space="preserve"> </w:t>
      </w:r>
      <w:r w:rsidR="00B4291C">
        <w:t xml:space="preserve">(eTable </w:t>
      </w:r>
      <w:r w:rsidR="004608BC">
        <w:t xml:space="preserve">12 </w:t>
      </w:r>
      <w:r w:rsidR="00EB5968">
        <w:t>in Supplement 3</w:t>
      </w:r>
      <w:r w:rsidR="00B4291C">
        <w:t>)</w:t>
      </w:r>
      <w:r>
        <w:t>.</w:t>
      </w:r>
      <w:r w:rsidR="00FF5422">
        <w:t xml:space="preserve"> </w:t>
      </w:r>
      <w:r w:rsidR="001B2877">
        <w:t xml:space="preserve">There was a significantly greater improvement in </w:t>
      </w:r>
      <w:r w:rsidR="00FF5422">
        <w:t xml:space="preserve">NYHA </w:t>
      </w:r>
      <w:r w:rsidR="006B23F0">
        <w:t>class</w:t>
      </w:r>
      <w:r w:rsidR="00BF4E8D">
        <w:t>,</w:t>
      </w:r>
      <w:r w:rsidR="00FF5422">
        <w:t xml:space="preserve"> </w:t>
      </w:r>
      <w:r w:rsidR="00FF5422">
        <w:rPr>
          <w:color w:val="000000" w:themeColor="text1"/>
        </w:rPr>
        <w:t xml:space="preserve">Minnesota Living with Heart Failure </w:t>
      </w:r>
      <w:r w:rsidR="005079E9">
        <w:rPr>
          <w:color w:val="000000" w:themeColor="text1"/>
        </w:rPr>
        <w:t xml:space="preserve">scores </w:t>
      </w:r>
      <w:r w:rsidR="00BF4E8D">
        <w:rPr>
          <w:color w:val="000000" w:themeColor="text1"/>
        </w:rPr>
        <w:t xml:space="preserve">and six-minute walk distance </w:t>
      </w:r>
      <w:r w:rsidR="00FF5422">
        <w:rPr>
          <w:color w:val="000000" w:themeColor="text1"/>
        </w:rPr>
        <w:t>in the TAVI group</w:t>
      </w:r>
      <w:r w:rsidR="00113D48">
        <w:rPr>
          <w:color w:val="000000" w:themeColor="text1"/>
        </w:rPr>
        <w:t xml:space="preserve"> at </w:t>
      </w:r>
      <w:r w:rsidR="005079E9">
        <w:rPr>
          <w:color w:val="000000" w:themeColor="text1"/>
        </w:rPr>
        <w:t xml:space="preserve">six </w:t>
      </w:r>
      <w:r w:rsidR="00113D48">
        <w:rPr>
          <w:color w:val="000000" w:themeColor="text1"/>
        </w:rPr>
        <w:t xml:space="preserve">weeks but </w:t>
      </w:r>
      <w:r w:rsidR="003337F6">
        <w:rPr>
          <w:color w:val="000000" w:themeColor="text1"/>
        </w:rPr>
        <w:t xml:space="preserve">at one </w:t>
      </w:r>
      <w:r w:rsidR="00BB6B72">
        <w:rPr>
          <w:color w:val="000000" w:themeColor="text1"/>
        </w:rPr>
        <w:t xml:space="preserve">year </w:t>
      </w:r>
      <w:r w:rsidR="001B2877">
        <w:rPr>
          <w:color w:val="000000" w:themeColor="text1"/>
        </w:rPr>
        <w:t>there was no significant difference</w:t>
      </w:r>
      <w:r w:rsidR="00113D48">
        <w:rPr>
          <w:color w:val="000000" w:themeColor="text1"/>
        </w:rPr>
        <w:t xml:space="preserve"> between the groups</w:t>
      </w:r>
      <w:r w:rsidR="00B4291C">
        <w:rPr>
          <w:color w:val="000000" w:themeColor="text1"/>
        </w:rPr>
        <w:t xml:space="preserve"> (eTables </w:t>
      </w:r>
      <w:r w:rsidR="004608BC">
        <w:rPr>
          <w:color w:val="000000" w:themeColor="text1"/>
        </w:rPr>
        <w:t>13</w:t>
      </w:r>
      <w:r w:rsidR="00BF4E8D">
        <w:rPr>
          <w:color w:val="000000" w:themeColor="text1"/>
        </w:rPr>
        <w:t>,</w:t>
      </w:r>
      <w:r w:rsidR="00B4291C">
        <w:rPr>
          <w:color w:val="000000" w:themeColor="text1"/>
        </w:rPr>
        <w:t xml:space="preserve"> </w:t>
      </w:r>
      <w:r w:rsidR="004608BC">
        <w:rPr>
          <w:color w:val="000000" w:themeColor="text1"/>
        </w:rPr>
        <w:t xml:space="preserve">14 </w:t>
      </w:r>
      <w:r w:rsidR="00BF4E8D">
        <w:rPr>
          <w:color w:val="000000" w:themeColor="text1"/>
        </w:rPr>
        <w:t xml:space="preserve">and </w:t>
      </w:r>
      <w:r w:rsidR="004608BC">
        <w:rPr>
          <w:color w:val="000000" w:themeColor="text1"/>
        </w:rPr>
        <w:t xml:space="preserve">15 </w:t>
      </w:r>
      <w:r w:rsidR="00EB5968">
        <w:rPr>
          <w:color w:val="000000" w:themeColor="text1"/>
        </w:rPr>
        <w:t>in Supplement 3</w:t>
      </w:r>
      <w:r w:rsidR="00B4291C">
        <w:rPr>
          <w:color w:val="000000" w:themeColor="text1"/>
        </w:rPr>
        <w:t>)</w:t>
      </w:r>
      <w:r w:rsidR="00FF5422">
        <w:rPr>
          <w:color w:val="000000" w:themeColor="text1"/>
        </w:rPr>
        <w:t>.</w:t>
      </w:r>
      <w:r w:rsidR="00C06E43">
        <w:rPr>
          <w:color w:val="000000" w:themeColor="text1"/>
        </w:rPr>
        <w:t xml:space="preserve"> </w:t>
      </w:r>
      <w:r w:rsidR="000C2277">
        <w:rPr>
          <w:color w:val="000000" w:themeColor="text1"/>
        </w:rPr>
        <w:t xml:space="preserve">There was </w:t>
      </w:r>
      <w:r w:rsidR="001B2877">
        <w:rPr>
          <w:color w:val="000000" w:themeColor="text1"/>
        </w:rPr>
        <w:t xml:space="preserve">significantly </w:t>
      </w:r>
      <w:r w:rsidR="000C2277">
        <w:rPr>
          <w:color w:val="000000" w:themeColor="text1"/>
        </w:rPr>
        <w:t xml:space="preserve">greater independence in activities of daily living after TAVI at six weeks but no </w:t>
      </w:r>
      <w:r w:rsidR="001B2877">
        <w:rPr>
          <w:color w:val="000000" w:themeColor="text1"/>
        </w:rPr>
        <w:t xml:space="preserve">significant </w:t>
      </w:r>
      <w:r w:rsidR="000C2277">
        <w:rPr>
          <w:color w:val="000000" w:themeColor="text1"/>
        </w:rPr>
        <w:t xml:space="preserve">difference at one year (eTable </w:t>
      </w:r>
      <w:r w:rsidR="004608BC">
        <w:rPr>
          <w:color w:val="000000" w:themeColor="text1"/>
        </w:rPr>
        <w:t xml:space="preserve">16 </w:t>
      </w:r>
      <w:r w:rsidR="00EB5968">
        <w:rPr>
          <w:color w:val="000000" w:themeColor="text1"/>
        </w:rPr>
        <w:t>in Supplement 3</w:t>
      </w:r>
      <w:r w:rsidR="000C2277">
        <w:rPr>
          <w:color w:val="000000" w:themeColor="text1"/>
        </w:rPr>
        <w:t xml:space="preserve">). There were no </w:t>
      </w:r>
      <w:r w:rsidR="001B2877">
        <w:rPr>
          <w:color w:val="000000" w:themeColor="text1"/>
        </w:rPr>
        <w:t xml:space="preserve">significant </w:t>
      </w:r>
      <w:r w:rsidR="000C2277">
        <w:rPr>
          <w:color w:val="000000" w:themeColor="text1"/>
        </w:rPr>
        <w:t xml:space="preserve">differences in cognitive function (eTable </w:t>
      </w:r>
      <w:r w:rsidR="004608BC">
        <w:rPr>
          <w:color w:val="000000" w:themeColor="text1"/>
        </w:rPr>
        <w:t xml:space="preserve">17 </w:t>
      </w:r>
      <w:r w:rsidR="00EB5968">
        <w:rPr>
          <w:color w:val="000000" w:themeColor="text1"/>
        </w:rPr>
        <w:t>in Supplement 3</w:t>
      </w:r>
      <w:r w:rsidR="000C2277">
        <w:rPr>
          <w:color w:val="000000" w:themeColor="text1"/>
        </w:rPr>
        <w:t xml:space="preserve">). </w:t>
      </w:r>
      <w:r w:rsidR="00E205C1">
        <w:rPr>
          <w:color w:val="000000" w:themeColor="text1"/>
        </w:rPr>
        <w:t xml:space="preserve">EuroQol EQ-5D-5L </w:t>
      </w:r>
      <w:r w:rsidR="00BB6B72">
        <w:rPr>
          <w:color w:val="000000" w:themeColor="text1"/>
        </w:rPr>
        <w:t xml:space="preserve">utility and </w:t>
      </w:r>
      <w:r w:rsidR="00791F0E">
        <w:rPr>
          <w:color w:val="000000" w:themeColor="text1"/>
        </w:rPr>
        <w:t xml:space="preserve">EQ </w:t>
      </w:r>
      <w:r w:rsidR="00BB6B72">
        <w:rPr>
          <w:color w:val="000000" w:themeColor="text1"/>
        </w:rPr>
        <w:t xml:space="preserve">visual analogue </w:t>
      </w:r>
      <w:r w:rsidR="00791F0E">
        <w:rPr>
          <w:color w:val="000000" w:themeColor="text1"/>
        </w:rPr>
        <w:t xml:space="preserve">scale (VAS) </w:t>
      </w:r>
      <w:r w:rsidR="00BB6B72">
        <w:rPr>
          <w:color w:val="000000" w:themeColor="text1"/>
        </w:rPr>
        <w:t xml:space="preserve">scores </w:t>
      </w:r>
      <w:r w:rsidR="00132937">
        <w:rPr>
          <w:color w:val="000000" w:themeColor="text1"/>
        </w:rPr>
        <w:t xml:space="preserve">improved within </w:t>
      </w:r>
      <w:r w:rsidR="005079E9">
        <w:rPr>
          <w:color w:val="000000" w:themeColor="text1"/>
        </w:rPr>
        <w:t>two</w:t>
      </w:r>
      <w:r w:rsidR="00132937">
        <w:rPr>
          <w:color w:val="000000" w:themeColor="text1"/>
        </w:rPr>
        <w:t xml:space="preserve"> weeks after TAVI and the benefits were sustained out to one year. In the surg</w:t>
      </w:r>
      <w:r w:rsidR="005079E9">
        <w:rPr>
          <w:color w:val="000000" w:themeColor="text1"/>
        </w:rPr>
        <w:t>ery</w:t>
      </w:r>
      <w:r w:rsidR="00132937">
        <w:rPr>
          <w:color w:val="000000" w:themeColor="text1"/>
        </w:rPr>
        <w:t xml:space="preserve"> group</w:t>
      </w:r>
      <w:r w:rsidR="00023101">
        <w:rPr>
          <w:color w:val="000000" w:themeColor="text1"/>
        </w:rPr>
        <w:t>,</w:t>
      </w:r>
      <w:r w:rsidR="00132937">
        <w:rPr>
          <w:color w:val="000000" w:themeColor="text1"/>
        </w:rPr>
        <w:t xml:space="preserve"> quality</w:t>
      </w:r>
      <w:r w:rsidR="00BB6B72">
        <w:rPr>
          <w:color w:val="000000" w:themeColor="text1"/>
        </w:rPr>
        <w:t xml:space="preserve"> </w:t>
      </w:r>
      <w:r w:rsidR="00132937">
        <w:rPr>
          <w:color w:val="000000" w:themeColor="text1"/>
        </w:rPr>
        <w:t>of</w:t>
      </w:r>
      <w:r w:rsidR="00BB6B72">
        <w:rPr>
          <w:color w:val="000000" w:themeColor="text1"/>
        </w:rPr>
        <w:t xml:space="preserve"> </w:t>
      </w:r>
      <w:r w:rsidR="00132937">
        <w:rPr>
          <w:color w:val="000000" w:themeColor="text1"/>
        </w:rPr>
        <w:t xml:space="preserve">life was diminished at </w:t>
      </w:r>
      <w:r w:rsidR="005079E9">
        <w:rPr>
          <w:color w:val="000000" w:themeColor="text1"/>
        </w:rPr>
        <w:t>two</w:t>
      </w:r>
      <w:r w:rsidR="00132937">
        <w:rPr>
          <w:color w:val="000000" w:themeColor="text1"/>
        </w:rPr>
        <w:t xml:space="preserve"> weeks</w:t>
      </w:r>
      <w:r w:rsidR="00412CA9">
        <w:rPr>
          <w:color w:val="000000" w:themeColor="text1"/>
        </w:rPr>
        <w:t>. It</w:t>
      </w:r>
      <w:r w:rsidR="00132937">
        <w:rPr>
          <w:color w:val="000000" w:themeColor="text1"/>
        </w:rPr>
        <w:t xml:space="preserve"> improved after </w:t>
      </w:r>
      <w:r w:rsidR="005079E9">
        <w:rPr>
          <w:color w:val="000000" w:themeColor="text1"/>
        </w:rPr>
        <w:t>six</w:t>
      </w:r>
      <w:r w:rsidR="00132937">
        <w:rPr>
          <w:color w:val="000000" w:themeColor="text1"/>
        </w:rPr>
        <w:t xml:space="preserve"> weeks</w:t>
      </w:r>
      <w:r w:rsidR="00412CA9">
        <w:rPr>
          <w:color w:val="000000" w:themeColor="text1"/>
        </w:rPr>
        <w:t xml:space="preserve"> </w:t>
      </w:r>
      <w:r w:rsidR="00BB6B72">
        <w:rPr>
          <w:color w:val="000000" w:themeColor="text1"/>
        </w:rPr>
        <w:t xml:space="preserve">but utility and VAS </w:t>
      </w:r>
      <w:r w:rsidR="004549B6">
        <w:rPr>
          <w:color w:val="000000" w:themeColor="text1"/>
        </w:rPr>
        <w:t>scores were</w:t>
      </w:r>
      <w:r w:rsidR="00BB6B72">
        <w:rPr>
          <w:color w:val="000000" w:themeColor="text1"/>
        </w:rPr>
        <w:t xml:space="preserve"> significantly </w:t>
      </w:r>
      <w:r w:rsidR="004549B6">
        <w:rPr>
          <w:color w:val="000000" w:themeColor="text1"/>
        </w:rPr>
        <w:t>higher in the TAVI group and the utility score remained so at</w:t>
      </w:r>
      <w:r w:rsidR="00BB6B72">
        <w:rPr>
          <w:color w:val="000000" w:themeColor="text1"/>
        </w:rPr>
        <w:t xml:space="preserve"> one year</w:t>
      </w:r>
      <w:r w:rsidR="000C2277">
        <w:rPr>
          <w:color w:val="000000" w:themeColor="text1"/>
        </w:rPr>
        <w:t xml:space="preserve"> (eTable </w:t>
      </w:r>
      <w:r w:rsidR="004608BC">
        <w:rPr>
          <w:color w:val="000000" w:themeColor="text1"/>
        </w:rPr>
        <w:t xml:space="preserve">18 </w:t>
      </w:r>
      <w:r w:rsidR="00EB5968">
        <w:rPr>
          <w:color w:val="000000" w:themeColor="text1"/>
        </w:rPr>
        <w:t>in Supplement 3</w:t>
      </w:r>
      <w:r w:rsidR="00B4291C">
        <w:rPr>
          <w:color w:val="000000" w:themeColor="text1"/>
        </w:rPr>
        <w:t>)</w:t>
      </w:r>
      <w:r w:rsidR="00132937">
        <w:rPr>
          <w:color w:val="000000" w:themeColor="text1"/>
        </w:rPr>
        <w:t>.</w:t>
      </w:r>
    </w:p>
    <w:p w14:paraId="14211956" w14:textId="77777777" w:rsidR="00565A65" w:rsidRDefault="00565A65" w:rsidP="002B4B1E">
      <w:pPr>
        <w:pStyle w:val="Heading2"/>
        <w:spacing w:line="480" w:lineRule="auto"/>
      </w:pPr>
      <w:r>
        <w:t>Adverse Events</w:t>
      </w:r>
    </w:p>
    <w:p w14:paraId="54D5A7AC" w14:textId="77777777" w:rsidR="00FD554D" w:rsidRDefault="00565A65" w:rsidP="002B4B1E">
      <w:pPr>
        <w:spacing w:line="480" w:lineRule="auto"/>
      </w:pPr>
      <w:r>
        <w:t>The</w:t>
      </w:r>
      <w:r w:rsidR="000305FB">
        <w:t xml:space="preserve">re were a </w:t>
      </w:r>
      <w:r w:rsidR="00FD554D">
        <w:t xml:space="preserve">total of </w:t>
      </w:r>
      <w:r w:rsidR="000305FB">
        <w:t xml:space="preserve">483 </w:t>
      </w:r>
      <w:r w:rsidR="00FD554D">
        <w:t xml:space="preserve">serious </w:t>
      </w:r>
      <w:r w:rsidR="000305FB">
        <w:t>adverse events</w:t>
      </w:r>
      <w:r w:rsidR="00FD554D">
        <w:t xml:space="preserve"> in the TAVI group and 545 in the surgery group</w:t>
      </w:r>
      <w:r w:rsidR="000305FB">
        <w:t xml:space="preserve">, and the </w:t>
      </w:r>
      <w:r w:rsidR="00FD554D">
        <w:t>number of partic</w:t>
      </w:r>
      <w:r w:rsidR="000305FB">
        <w:t>i</w:t>
      </w:r>
      <w:r w:rsidR="00FD554D">
        <w:t xml:space="preserve">pants with at least one </w:t>
      </w:r>
      <w:r w:rsidR="000305FB">
        <w:t xml:space="preserve">serious </w:t>
      </w:r>
      <w:r w:rsidR="00FD554D">
        <w:t>adverse event w</w:t>
      </w:r>
      <w:r w:rsidR="000305FB">
        <w:t>as</w:t>
      </w:r>
      <w:r w:rsidR="00FD554D">
        <w:t xml:space="preserve"> 252 (55%) and 255 </w:t>
      </w:r>
      <w:r w:rsidR="007123F4">
        <w:t>(</w:t>
      </w:r>
      <w:r w:rsidR="00FD554D">
        <w:t>56%)</w:t>
      </w:r>
      <w:r w:rsidR="000305FB">
        <w:t xml:space="preserve"> respectively (eTable </w:t>
      </w:r>
      <w:r w:rsidR="004608BC">
        <w:t>19</w:t>
      </w:r>
      <w:r w:rsidR="000305FB">
        <w:t xml:space="preserve"> in Supplement 3). D</w:t>
      </w:r>
      <w:r w:rsidR="00F253F6">
        <w:t>etails of</w:t>
      </w:r>
      <w:r w:rsidR="000305FB">
        <w:t xml:space="preserve"> relatedness to the interventions and the type of events (classified using the Medical Dictionary for Regulatory Activities</w:t>
      </w:r>
      <w:r w:rsidR="007123F4">
        <w:t xml:space="preserve"> - MedDRA</w:t>
      </w:r>
      <w:r w:rsidR="000305FB">
        <w:t xml:space="preserve">) are reported in eTables </w:t>
      </w:r>
      <w:r w:rsidR="004608BC">
        <w:t>20</w:t>
      </w:r>
      <w:r w:rsidR="000305FB">
        <w:t xml:space="preserve"> and </w:t>
      </w:r>
      <w:r w:rsidR="004608BC">
        <w:t>21</w:t>
      </w:r>
      <w:r w:rsidR="000305FB">
        <w:t xml:space="preserve"> in Supplement 3.</w:t>
      </w:r>
    </w:p>
    <w:p w14:paraId="238E4A80" w14:textId="77777777" w:rsidR="00E705C6" w:rsidRDefault="00E705C6" w:rsidP="002B4B1E">
      <w:pPr>
        <w:spacing w:line="480" w:lineRule="auto"/>
        <w:rPr>
          <w:rFonts w:asciiTheme="majorHAnsi" w:eastAsiaTheme="majorEastAsia" w:hAnsiTheme="majorHAnsi" w:cstheme="majorBidi"/>
          <w:b/>
          <w:bCs/>
          <w:color w:val="365F91" w:themeColor="accent1" w:themeShade="BF"/>
          <w:sz w:val="28"/>
          <w:szCs w:val="28"/>
        </w:rPr>
      </w:pPr>
      <w:r>
        <w:br w:type="page"/>
      </w:r>
    </w:p>
    <w:p w14:paraId="24CCE240" w14:textId="77777777" w:rsidR="00CA6468" w:rsidRPr="00D4590F" w:rsidRDefault="00D8238F" w:rsidP="002B4B1E">
      <w:pPr>
        <w:pStyle w:val="Heading1"/>
        <w:spacing w:line="480" w:lineRule="auto"/>
        <w:jc w:val="center"/>
        <w:rPr>
          <w:sz w:val="27"/>
          <w:szCs w:val="27"/>
        </w:rPr>
      </w:pPr>
      <w:r w:rsidRPr="00D4590F">
        <w:rPr>
          <w:sz w:val="27"/>
          <w:szCs w:val="27"/>
        </w:rPr>
        <w:t>DISCUSSION</w:t>
      </w:r>
    </w:p>
    <w:p w14:paraId="59F2F0B8" w14:textId="6E38D8F6" w:rsidR="005F6330" w:rsidRDefault="00E17BC9">
      <w:pPr>
        <w:spacing w:line="480" w:lineRule="auto"/>
      </w:pPr>
      <w:r>
        <w:t xml:space="preserve">In this trial </w:t>
      </w:r>
      <w:r w:rsidR="007B3D0D">
        <w:t xml:space="preserve">that enrolled </w:t>
      </w:r>
      <w:r>
        <w:t>patients aged 70 years or older with severe symptomatic aortic stenosis at moderately increased operative risk, TAVI</w:t>
      </w:r>
      <w:r w:rsidDel="00C779E0">
        <w:t xml:space="preserve"> </w:t>
      </w:r>
      <w:r>
        <w:t>was noninferior to surgery in respect of all-cause mortality at one year.</w:t>
      </w:r>
      <w:r w:rsidR="00D676C3">
        <w:t xml:space="preserve"> </w:t>
      </w:r>
      <w:r w:rsidR="00143820">
        <w:t>The</w:t>
      </w:r>
      <w:r w:rsidR="00295BCC">
        <w:t>se</w:t>
      </w:r>
      <w:r w:rsidR="00143820">
        <w:t xml:space="preserve"> findings </w:t>
      </w:r>
      <w:r w:rsidR="00553EF6">
        <w:t>are concordant</w:t>
      </w:r>
      <w:r w:rsidR="00143820">
        <w:t xml:space="preserve"> with those from other trials in </w:t>
      </w:r>
      <w:r w:rsidR="00990023">
        <w:t>intermediate</w:t>
      </w:r>
      <w:r w:rsidR="00143820">
        <w:t>-</w:t>
      </w:r>
      <w:r w:rsidR="00113C23">
        <w:t>risk</w:t>
      </w:r>
      <w:r w:rsidR="00113C23">
        <w:rPr>
          <w:vertAlign w:val="superscript"/>
        </w:rPr>
        <w:t>29</w:t>
      </w:r>
      <w:r w:rsidR="004565AB" w:rsidRPr="004565AB">
        <w:rPr>
          <w:vertAlign w:val="superscript"/>
        </w:rPr>
        <w:t>,</w:t>
      </w:r>
      <w:r w:rsidR="00113C23">
        <w:rPr>
          <w:vertAlign w:val="superscript"/>
        </w:rPr>
        <w:t>30</w:t>
      </w:r>
      <w:r w:rsidR="00113C23">
        <w:t xml:space="preserve"> </w:t>
      </w:r>
      <w:r w:rsidR="00143820">
        <w:t xml:space="preserve">and </w:t>
      </w:r>
      <w:r w:rsidR="00990023">
        <w:t>low</w:t>
      </w:r>
      <w:r w:rsidR="00143820">
        <w:t>-</w:t>
      </w:r>
      <w:r w:rsidR="00113C23">
        <w:t>risk</w:t>
      </w:r>
      <w:r w:rsidR="00113C23">
        <w:rPr>
          <w:vertAlign w:val="superscript"/>
        </w:rPr>
        <w:t>31</w:t>
      </w:r>
      <w:r w:rsidR="00C368CE">
        <w:rPr>
          <w:vertAlign w:val="superscript"/>
        </w:rPr>
        <w:t>-</w:t>
      </w:r>
      <w:r w:rsidR="00113C23">
        <w:rPr>
          <w:vertAlign w:val="superscript"/>
        </w:rPr>
        <w:t>33</w:t>
      </w:r>
      <w:r w:rsidR="00113C23">
        <w:t xml:space="preserve"> </w:t>
      </w:r>
      <w:r w:rsidR="003C61F4">
        <w:t xml:space="preserve">patients </w:t>
      </w:r>
      <w:r w:rsidR="00143820">
        <w:t xml:space="preserve">and </w:t>
      </w:r>
      <w:r w:rsidR="009418F1">
        <w:t xml:space="preserve">recent </w:t>
      </w:r>
      <w:r w:rsidR="0043528C">
        <w:t>meta-analys</w:t>
      </w:r>
      <w:r w:rsidR="00713D21">
        <w:t>e</w:t>
      </w:r>
      <w:r w:rsidR="0043528C">
        <w:t>s</w:t>
      </w:r>
      <w:r w:rsidR="009418F1">
        <w:t>.</w:t>
      </w:r>
      <w:r w:rsidR="00113C23">
        <w:rPr>
          <w:vertAlign w:val="superscript"/>
        </w:rPr>
        <w:t>34</w:t>
      </w:r>
      <w:r w:rsidR="005C3FBF" w:rsidRPr="005C3FBF">
        <w:rPr>
          <w:vertAlign w:val="superscript"/>
        </w:rPr>
        <w:t>,</w:t>
      </w:r>
      <w:r w:rsidR="00113C23">
        <w:rPr>
          <w:vertAlign w:val="superscript"/>
        </w:rPr>
        <w:t>35</w:t>
      </w:r>
      <w:r w:rsidR="00113C23">
        <w:t xml:space="preserve"> </w:t>
      </w:r>
    </w:p>
    <w:p w14:paraId="7AC4F166" w14:textId="5FB7ED98" w:rsidR="00C10065" w:rsidRDefault="0043528C">
      <w:pPr>
        <w:spacing w:line="480" w:lineRule="auto"/>
      </w:pPr>
      <w:r>
        <w:t xml:space="preserve">In contrast to previous </w:t>
      </w:r>
      <w:r w:rsidR="00D155EF">
        <w:t>trials</w:t>
      </w:r>
      <w:r>
        <w:t xml:space="preserve">, </w:t>
      </w:r>
      <w:r w:rsidR="005F6330">
        <w:t>this trial</w:t>
      </w:r>
      <w:r>
        <w:t xml:space="preserve"> was  </w:t>
      </w:r>
      <w:r w:rsidR="00CF78E1">
        <w:t>publicly-funded</w:t>
      </w:r>
      <w:r w:rsidR="00D155EF">
        <w:t>,</w:t>
      </w:r>
      <w:r w:rsidR="00CF78E1">
        <w:t xml:space="preserve"> </w:t>
      </w:r>
      <w:r w:rsidR="00D155EF">
        <w:t xml:space="preserve">pragmatic and </w:t>
      </w:r>
      <w:r>
        <w:t>designed to compare a TAVI strategy</w:t>
      </w:r>
      <w:r w:rsidR="003C61F4">
        <w:t>,</w:t>
      </w:r>
      <w:r w:rsidR="0083498C">
        <w:t xml:space="preserve"> using any valve </w:t>
      </w:r>
      <w:r w:rsidR="009418F1">
        <w:t xml:space="preserve">type </w:t>
      </w:r>
      <w:r w:rsidR="0083498C">
        <w:t xml:space="preserve">and access route, </w:t>
      </w:r>
      <w:r>
        <w:t xml:space="preserve">with a </w:t>
      </w:r>
      <w:r w:rsidR="008C1E9D">
        <w:t xml:space="preserve">conventional </w:t>
      </w:r>
      <w:r>
        <w:t xml:space="preserve">surgical strategy in a broad range of patients. </w:t>
      </w:r>
      <w:r w:rsidR="00713D21">
        <w:t>I</w:t>
      </w:r>
      <w:r>
        <w:t xml:space="preserve">nclusion was based on clinical equipoise </w:t>
      </w:r>
      <w:r w:rsidR="008C1E9D">
        <w:t>r</w:t>
      </w:r>
      <w:r>
        <w:t xml:space="preserve">egarding the treatment options and not bound by </w:t>
      </w:r>
      <w:r w:rsidR="0083498C">
        <w:t>prespecified</w:t>
      </w:r>
      <w:r>
        <w:t xml:space="preserve"> risk scores</w:t>
      </w:r>
      <w:r w:rsidR="0083498C">
        <w:t xml:space="preserve">. Entry to the trial thus reflected a site-specific assessment of risk, encompassing factors not reflected in </w:t>
      </w:r>
      <w:r w:rsidR="00CF78E1">
        <w:t xml:space="preserve">the </w:t>
      </w:r>
      <w:r w:rsidR="0083498C">
        <w:t>risk scores, such as frailty</w:t>
      </w:r>
      <w:r w:rsidR="00713D21">
        <w:t xml:space="preserve">. </w:t>
      </w:r>
      <w:r w:rsidR="008C1E9D">
        <w:t xml:space="preserve">This approach also </w:t>
      </w:r>
      <w:r w:rsidR="003C61F4">
        <w:t>allowed</w:t>
      </w:r>
      <w:r w:rsidR="008C1E9D">
        <w:t xml:space="preserve"> for</w:t>
      </w:r>
      <w:r w:rsidR="0083498C">
        <w:t xml:space="preserve"> the temporal evolution of clinicians’ </w:t>
      </w:r>
      <w:r w:rsidR="005C0185">
        <w:t xml:space="preserve">individual </w:t>
      </w:r>
      <w:r w:rsidR="00713D21">
        <w:t xml:space="preserve">perspectives on the risk </w:t>
      </w:r>
      <w:r w:rsidR="00295BCC">
        <w:t xml:space="preserve">threshold </w:t>
      </w:r>
      <w:r w:rsidR="00713D21">
        <w:t>for consider</w:t>
      </w:r>
      <w:r w:rsidR="003C61F4">
        <w:t>ing</w:t>
      </w:r>
      <w:r w:rsidR="00713D21">
        <w:t xml:space="preserve"> TAVI as an alternative to surgery, with</w:t>
      </w:r>
      <w:r w:rsidR="0083498C">
        <w:t xml:space="preserve"> </w:t>
      </w:r>
      <w:r w:rsidR="008C1E9D">
        <w:t xml:space="preserve">increasing </w:t>
      </w:r>
      <w:r w:rsidR="0083498C">
        <w:t xml:space="preserve">local and global experience of </w:t>
      </w:r>
      <w:r w:rsidR="00713D21">
        <w:t>the procedure</w:t>
      </w:r>
      <w:r w:rsidR="00CF78E1">
        <w:t xml:space="preserve"> as recruitment progressed</w:t>
      </w:r>
      <w:r w:rsidR="0083498C">
        <w:t xml:space="preserve">. The inclusion of every </w:t>
      </w:r>
      <w:r w:rsidR="006A5FC3">
        <w:t xml:space="preserve">center </w:t>
      </w:r>
      <w:r w:rsidR="0083498C">
        <w:t>performing TAVI in the U</w:t>
      </w:r>
      <w:r w:rsidR="00C65496">
        <w:t xml:space="preserve">nited </w:t>
      </w:r>
      <w:r w:rsidR="0083498C">
        <w:t>K</w:t>
      </w:r>
      <w:r w:rsidR="00C65496">
        <w:t>ingdom</w:t>
      </w:r>
      <w:r w:rsidR="0083498C">
        <w:t xml:space="preserve"> </w:t>
      </w:r>
      <w:r w:rsidR="00CF78E1">
        <w:t xml:space="preserve">and </w:t>
      </w:r>
      <w:r w:rsidR="003C61F4">
        <w:t>having few</w:t>
      </w:r>
      <w:r w:rsidR="00CF78E1">
        <w:t xml:space="preserve"> exclusion criteria</w:t>
      </w:r>
      <w:r w:rsidR="003C61F4">
        <w:t>,</w:t>
      </w:r>
      <w:r w:rsidR="00CF78E1">
        <w:t xml:space="preserve"> </w:t>
      </w:r>
      <w:r w:rsidR="008C1E9D">
        <w:t>further</w:t>
      </w:r>
      <w:r w:rsidR="0083498C">
        <w:t xml:space="preserve"> </w:t>
      </w:r>
      <w:r w:rsidR="00BF2ECF">
        <w:t xml:space="preserve">increased the likelihood </w:t>
      </w:r>
      <w:r w:rsidR="0083498C">
        <w:t xml:space="preserve">that the trial </w:t>
      </w:r>
      <w:r w:rsidR="00EC0D67">
        <w:t xml:space="preserve">outcomes </w:t>
      </w:r>
      <w:r w:rsidR="004E76A0">
        <w:t>reflected</w:t>
      </w:r>
      <w:r w:rsidR="0083498C">
        <w:t xml:space="preserve"> </w:t>
      </w:r>
      <w:r w:rsidR="00E13A0F">
        <w:t xml:space="preserve">effectiveness in </w:t>
      </w:r>
      <w:r w:rsidR="00137904">
        <w:t>routine</w:t>
      </w:r>
      <w:r w:rsidR="0083498C">
        <w:t xml:space="preserve"> clinical practice</w:t>
      </w:r>
      <w:r w:rsidR="00BF2ECF">
        <w:t xml:space="preserve"> in the UK,</w:t>
      </w:r>
      <w:r w:rsidR="00E13A0F">
        <w:t xml:space="preserve"> rather than efficacy under optimal conditions</w:t>
      </w:r>
      <w:r w:rsidR="0083498C">
        <w:t>.</w:t>
      </w:r>
    </w:p>
    <w:p w14:paraId="706DC4DF" w14:textId="1364A48B" w:rsidR="00245486" w:rsidRDefault="00326D71">
      <w:pPr>
        <w:spacing w:line="480" w:lineRule="auto"/>
      </w:pPr>
      <w:r>
        <w:t xml:space="preserve">When the trial was conceived </w:t>
      </w:r>
      <w:r w:rsidR="00295BCC">
        <w:t>in 200</w:t>
      </w:r>
      <w:r>
        <w:t>9, it was envisaged that it would recruit patients at intermediate or high operative risk but by the time enrolment commenced in 2014 clinical practice had evolved</w:t>
      </w:r>
      <w:r w:rsidR="003C61F4">
        <w:t>. W</w:t>
      </w:r>
      <w:r>
        <w:t>ith</w:t>
      </w:r>
      <w:r w:rsidR="00713D21">
        <w:t xml:space="preserve"> a</w:t>
      </w:r>
      <w:r w:rsidR="00E13A0F">
        <w:t xml:space="preserve"> </w:t>
      </w:r>
      <w:r w:rsidR="00713D21">
        <w:t xml:space="preserve">median STS </w:t>
      </w:r>
      <w:r w:rsidR="00E13A0F">
        <w:t xml:space="preserve">risk </w:t>
      </w:r>
      <w:r w:rsidR="00713D21">
        <w:t xml:space="preserve">score of </w:t>
      </w:r>
      <w:r w:rsidR="00E13A0F">
        <w:t>2.6</w:t>
      </w:r>
      <w:r w:rsidR="00AE4B27">
        <w:t>,</w:t>
      </w:r>
      <w:r w:rsidR="00AE51D2">
        <w:t xml:space="preserve"> </w:t>
      </w:r>
      <w:r w:rsidR="00713D21">
        <w:t xml:space="preserve">the trial </w:t>
      </w:r>
      <w:r w:rsidR="00770945">
        <w:t xml:space="preserve">population </w:t>
      </w:r>
      <w:r w:rsidR="00713D21">
        <w:t>would conventionally be classified as ‘low-risk’</w:t>
      </w:r>
      <w:r w:rsidR="00770945">
        <w:t>. This was reflected in the procedural outcomes</w:t>
      </w:r>
      <w:r w:rsidR="0009755F">
        <w:t>,</w:t>
      </w:r>
      <w:r w:rsidR="00770945">
        <w:t xml:space="preserve"> with </w:t>
      </w:r>
      <w:r w:rsidR="00AE4B27">
        <w:t>30-day mortality</w:t>
      </w:r>
      <w:r w:rsidR="00770945">
        <w:t xml:space="preserve"> </w:t>
      </w:r>
      <w:r w:rsidR="00F06129">
        <w:t xml:space="preserve">in the surgery group </w:t>
      </w:r>
      <w:r w:rsidR="00E13A0F">
        <w:t>of</w:t>
      </w:r>
      <w:r w:rsidR="00F06129">
        <w:t xml:space="preserve"> </w:t>
      </w:r>
      <w:r w:rsidR="00770945">
        <w:t>0.9%</w:t>
      </w:r>
      <w:r w:rsidR="00595CFF">
        <w:t>, which</w:t>
      </w:r>
      <w:r w:rsidR="00F06129">
        <w:t xml:space="preserve"> is</w:t>
      </w:r>
      <w:r w:rsidR="00770945">
        <w:t xml:space="preserve"> </w:t>
      </w:r>
      <w:r w:rsidR="003C61F4">
        <w:t xml:space="preserve">similar to </w:t>
      </w:r>
      <w:r w:rsidR="00AE4B27">
        <w:t>that</w:t>
      </w:r>
      <w:r w:rsidR="00770945">
        <w:t xml:space="preserve"> in the low-risk PARTNER 3</w:t>
      </w:r>
      <w:r w:rsidR="00071948">
        <w:t xml:space="preserve"> (1.1%)</w:t>
      </w:r>
      <w:r w:rsidR="00770945">
        <w:t xml:space="preserve"> </w:t>
      </w:r>
      <w:r w:rsidR="00071948">
        <w:t xml:space="preserve">and Evolut Low-Risk (1.3%) </w:t>
      </w:r>
      <w:r w:rsidR="00770945">
        <w:t>trial</w:t>
      </w:r>
      <w:r w:rsidR="00071948">
        <w:t>s.</w:t>
      </w:r>
      <w:r w:rsidR="00113C23">
        <w:rPr>
          <w:vertAlign w:val="superscript"/>
        </w:rPr>
        <w:t>32</w:t>
      </w:r>
      <w:r w:rsidR="00071948">
        <w:rPr>
          <w:vertAlign w:val="superscript"/>
        </w:rPr>
        <w:t>,</w:t>
      </w:r>
      <w:r w:rsidR="00113C23">
        <w:rPr>
          <w:vertAlign w:val="superscript"/>
        </w:rPr>
        <w:t>33</w:t>
      </w:r>
      <w:r w:rsidR="00113C23">
        <w:t xml:space="preserve"> </w:t>
      </w:r>
      <w:r w:rsidR="00E13A0F">
        <w:t xml:space="preserve">However, the one-year surgical mortality in </w:t>
      </w:r>
      <w:r w:rsidR="005F6330">
        <w:t>this trial</w:t>
      </w:r>
      <w:r w:rsidR="00E13A0F">
        <w:t xml:space="preserve"> </w:t>
      </w:r>
      <w:r w:rsidR="000D18B5">
        <w:t xml:space="preserve">(6.6%) </w:t>
      </w:r>
      <w:r w:rsidR="00E13A0F">
        <w:t xml:space="preserve">was higher than in PARTNER 3 (2.5%) </w:t>
      </w:r>
      <w:r w:rsidR="00071948">
        <w:t xml:space="preserve">and Evolut Low-Risk (3.0%) </w:t>
      </w:r>
      <w:r w:rsidR="00E13A0F">
        <w:t>most likely reflecting the older age</w:t>
      </w:r>
      <w:r>
        <w:t>,</w:t>
      </w:r>
      <w:r w:rsidR="00A53C84">
        <w:t xml:space="preserve"> </w:t>
      </w:r>
      <w:r w:rsidR="00213CA6">
        <w:t>increased co-</w:t>
      </w:r>
      <w:r w:rsidR="009F33C9">
        <w:t>morbidity</w:t>
      </w:r>
      <w:r w:rsidR="00213CA6">
        <w:t xml:space="preserve"> </w:t>
      </w:r>
      <w:r w:rsidR="00A53C84">
        <w:t xml:space="preserve">and increased prevalence of frailty in </w:t>
      </w:r>
      <w:r w:rsidR="00C02567">
        <w:t xml:space="preserve">this </w:t>
      </w:r>
      <w:r w:rsidR="00A53C84">
        <w:t xml:space="preserve">study. </w:t>
      </w:r>
      <w:r w:rsidR="00822789">
        <w:t>The</w:t>
      </w:r>
      <w:r w:rsidR="00A53C84">
        <w:t xml:space="preserve"> treatment effect was consistent in </w:t>
      </w:r>
      <w:r w:rsidR="00245486">
        <w:t xml:space="preserve">a </w:t>
      </w:r>
      <w:r w:rsidR="00A53C84">
        <w:t xml:space="preserve">sub-group analysis </w:t>
      </w:r>
      <w:r w:rsidR="00245486">
        <w:t>assessing the interaction with these factors</w:t>
      </w:r>
      <w:r w:rsidR="00280E82">
        <w:t xml:space="preserve"> and</w:t>
      </w:r>
      <w:r w:rsidR="00245486">
        <w:t xml:space="preserve"> in those with and without the need for coronary revasculari</w:t>
      </w:r>
      <w:r w:rsidR="00296B0C">
        <w:t>z</w:t>
      </w:r>
      <w:r w:rsidR="00245486">
        <w:t>ation.</w:t>
      </w:r>
    </w:p>
    <w:p w14:paraId="3E2691BA" w14:textId="694322D8" w:rsidR="007E4672" w:rsidRDefault="00E521CA">
      <w:pPr>
        <w:spacing w:line="480" w:lineRule="auto"/>
      </w:pPr>
      <w:r>
        <w:t>I</w:t>
      </w:r>
      <w:r w:rsidR="00245486">
        <w:t xml:space="preserve">mprovements in </w:t>
      </w:r>
      <w:r>
        <w:t xml:space="preserve">aortic valve </w:t>
      </w:r>
      <w:r w:rsidR="00245486">
        <w:t>area</w:t>
      </w:r>
      <w:r w:rsidR="005D70BC">
        <w:t xml:space="preserve"> and</w:t>
      </w:r>
      <w:r w:rsidR="00245486">
        <w:t xml:space="preserve"> gradient were </w:t>
      </w:r>
      <w:r w:rsidR="005C0185">
        <w:t>similar</w:t>
      </w:r>
      <w:r w:rsidR="00245486">
        <w:t xml:space="preserve"> between the groups but </w:t>
      </w:r>
      <w:r w:rsidR="005C0185">
        <w:t xml:space="preserve">mild </w:t>
      </w:r>
      <w:r w:rsidR="00280E82">
        <w:t>and</w:t>
      </w:r>
      <w:r w:rsidR="005C0185">
        <w:t xml:space="preserve"> moderate </w:t>
      </w:r>
      <w:r w:rsidR="00245486">
        <w:t xml:space="preserve">aortic regurgitation </w:t>
      </w:r>
      <w:r w:rsidR="00DC4E80">
        <w:t xml:space="preserve">were more prevalent </w:t>
      </w:r>
      <w:r w:rsidR="00245486">
        <w:t xml:space="preserve">after TAVI. </w:t>
      </w:r>
      <w:r w:rsidR="005C0185">
        <w:t xml:space="preserve">This </w:t>
      </w:r>
      <w:r w:rsidR="00213CA6">
        <w:t xml:space="preserve">was predominantly mild and may partly reflect the use of earlier generation TAVI valves in the initial recruitment </w:t>
      </w:r>
      <w:r>
        <w:t xml:space="preserve">phase </w:t>
      </w:r>
      <w:r w:rsidR="00213CA6">
        <w:t xml:space="preserve">and the inclusion of patients with bicuspid valves. The prognostic significance of </w:t>
      </w:r>
      <w:r w:rsidR="005C0185">
        <w:t xml:space="preserve">mild </w:t>
      </w:r>
      <w:r w:rsidR="00213CA6">
        <w:t>aortic regurgitation is uncertain and</w:t>
      </w:r>
      <w:r w:rsidR="005C0185">
        <w:t xml:space="preserve"> long-term follow-up </w:t>
      </w:r>
      <w:r w:rsidR="00213CA6">
        <w:t>is</w:t>
      </w:r>
      <w:r w:rsidR="005C0185">
        <w:t xml:space="preserve"> required to </w:t>
      </w:r>
      <w:r w:rsidR="00213CA6">
        <w:t xml:space="preserve">determine its clinical </w:t>
      </w:r>
      <w:r w:rsidR="00871B77">
        <w:t>effect</w:t>
      </w:r>
      <w:r w:rsidR="00213CA6">
        <w:t>.</w:t>
      </w:r>
      <w:r w:rsidR="005D70BC">
        <w:t xml:space="preserve"> Concerns have been raised about the increased frequency of sub-clinical valve leaflet thrombosis after TAVI</w:t>
      </w:r>
      <w:r w:rsidR="0025529A">
        <w:t xml:space="preserve"> compared with </w:t>
      </w:r>
      <w:r w:rsidR="00165F21">
        <w:t>surgery</w:t>
      </w:r>
      <w:r w:rsidR="005D70BC">
        <w:t>.</w:t>
      </w:r>
      <w:r w:rsidR="00113C23">
        <w:rPr>
          <w:vertAlign w:val="superscript"/>
        </w:rPr>
        <w:t>36</w:t>
      </w:r>
      <w:r w:rsidR="005C3FBF" w:rsidRPr="005C3FBF">
        <w:rPr>
          <w:vertAlign w:val="superscript"/>
        </w:rPr>
        <w:t>,</w:t>
      </w:r>
      <w:r w:rsidR="00113C23">
        <w:rPr>
          <w:vertAlign w:val="superscript"/>
        </w:rPr>
        <w:t>37</w:t>
      </w:r>
      <w:r w:rsidR="00113C23">
        <w:t xml:space="preserve"> </w:t>
      </w:r>
      <w:r w:rsidR="00C02567">
        <w:t>This was not examined</w:t>
      </w:r>
      <w:r w:rsidR="005D70BC">
        <w:t xml:space="preserve">, nor </w:t>
      </w:r>
      <w:r w:rsidR="00C02567">
        <w:t>was</w:t>
      </w:r>
      <w:r w:rsidR="005D70BC">
        <w:t xml:space="preserve"> any specific antithrombotic or anticoagulant regimen </w:t>
      </w:r>
      <w:r w:rsidR="00C02567">
        <w:t xml:space="preserve">mandated </w:t>
      </w:r>
      <w:r w:rsidR="005D70BC">
        <w:t>to prevent it</w:t>
      </w:r>
      <w:r w:rsidR="00704EEB">
        <w:t xml:space="preserve"> but </w:t>
      </w:r>
      <w:r w:rsidR="00EF0719">
        <w:t xml:space="preserve">the </w:t>
      </w:r>
      <w:r w:rsidR="0025529A">
        <w:t xml:space="preserve">early </w:t>
      </w:r>
      <w:r w:rsidR="00704EEB">
        <w:t xml:space="preserve">improvements </w:t>
      </w:r>
      <w:r w:rsidR="00213CA6">
        <w:t xml:space="preserve">in valve areas and gradients </w:t>
      </w:r>
      <w:r w:rsidR="00704EEB">
        <w:t xml:space="preserve">were sustained </w:t>
      </w:r>
      <w:r w:rsidR="00AE4B27">
        <w:t>in both</w:t>
      </w:r>
      <w:r w:rsidR="0057337B">
        <w:t xml:space="preserve"> groups </w:t>
      </w:r>
      <w:r w:rsidR="00704EEB">
        <w:t xml:space="preserve">at one year. </w:t>
      </w:r>
      <w:r w:rsidR="005D70BC">
        <w:t xml:space="preserve">There was some </w:t>
      </w:r>
      <w:r w:rsidR="00AA2A8B">
        <w:t xml:space="preserve">late </w:t>
      </w:r>
      <w:r w:rsidR="005D70BC">
        <w:t xml:space="preserve">divergence of the </w:t>
      </w:r>
      <w:r w:rsidR="00AA2A8B">
        <w:t xml:space="preserve">event curves for stroke with a higher frequency in the TAVI group at one year but the number of events was small </w:t>
      </w:r>
      <w:r w:rsidR="0075244D">
        <w:t xml:space="preserve">and the difference was not statistically significant, so </w:t>
      </w:r>
      <w:r w:rsidR="00704EEB">
        <w:t xml:space="preserve">this </w:t>
      </w:r>
      <w:r w:rsidR="00AA2A8B">
        <w:t>may reflect the play of chance.</w:t>
      </w:r>
      <w:r w:rsidR="005D70BC">
        <w:t xml:space="preserve"> </w:t>
      </w:r>
    </w:p>
    <w:p w14:paraId="68B16A01" w14:textId="77777777" w:rsidR="005B5C88" w:rsidRDefault="005B5C88">
      <w:pPr>
        <w:pStyle w:val="Heading2"/>
        <w:spacing w:line="480" w:lineRule="auto"/>
      </w:pPr>
      <w:r>
        <w:t>Limitations</w:t>
      </w:r>
    </w:p>
    <w:p w14:paraId="793C959B" w14:textId="5D06D72D" w:rsidR="007E4672" w:rsidRDefault="00F13B8F">
      <w:pPr>
        <w:spacing w:line="480" w:lineRule="auto"/>
      </w:pPr>
      <w:r>
        <w:t xml:space="preserve">This study </w:t>
      </w:r>
      <w:r w:rsidR="00EA1728">
        <w:t xml:space="preserve">has </w:t>
      </w:r>
      <w:r w:rsidR="005F6330">
        <w:t xml:space="preserve">several </w:t>
      </w:r>
      <w:r w:rsidR="00EA1728">
        <w:t xml:space="preserve">limitations. First, </w:t>
      </w:r>
      <w:r w:rsidR="00DB7212">
        <w:t xml:space="preserve">the lack of site-specific screening data makes it difficult to determine what proportion of the total referrals for aortic valve replacement the trial population represents and how selected was the group that was reviewed  by the multidisciplinary team in each site. Background data on all patients treated with TAVI or surgery are available from the relevant national </w:t>
      </w:r>
      <w:r w:rsidR="00113C23">
        <w:t>registries</w:t>
      </w:r>
      <w:r w:rsidR="00113C23">
        <w:rPr>
          <w:vertAlign w:val="superscript"/>
        </w:rPr>
        <w:t>26</w:t>
      </w:r>
      <w:r w:rsidR="000928CD" w:rsidRPr="002B4B1E">
        <w:rPr>
          <w:vertAlign w:val="superscript"/>
        </w:rPr>
        <w:t>-</w:t>
      </w:r>
      <w:r w:rsidR="00113C23">
        <w:rPr>
          <w:vertAlign w:val="superscript"/>
        </w:rPr>
        <w:t>28</w:t>
      </w:r>
      <w:r w:rsidR="00113C23">
        <w:t xml:space="preserve"> </w:t>
      </w:r>
      <w:r w:rsidR="00DB7212">
        <w:t xml:space="preserve">and a comprehensive analysis is planned, which will address this issue. Second, </w:t>
      </w:r>
      <w:r w:rsidR="00EA1728">
        <w:t xml:space="preserve">the </w:t>
      </w:r>
      <w:r w:rsidR="00704EEB">
        <w:t xml:space="preserve">data presented in this report only address </w:t>
      </w:r>
      <w:r w:rsidR="00773772">
        <w:t xml:space="preserve">one-year </w:t>
      </w:r>
      <w:r w:rsidR="00704EEB">
        <w:t>outcomes</w:t>
      </w:r>
      <w:r w:rsidR="00EA1728">
        <w:t xml:space="preserve">. </w:t>
      </w:r>
      <w:r w:rsidR="000928CD">
        <w:t xml:space="preserve"> Fu</w:t>
      </w:r>
      <w:r w:rsidR="00EA1728">
        <w:t xml:space="preserve">rther follow-up is required and ongoing to monitor clinical outcomes </w:t>
      </w:r>
      <w:r w:rsidR="000928CD">
        <w:t xml:space="preserve">and the need for re-intervention </w:t>
      </w:r>
      <w:r w:rsidR="00EA1728">
        <w:t xml:space="preserve">in the longer term. </w:t>
      </w:r>
      <w:r w:rsidR="00AA2A8B">
        <w:t>There is some uncertainty about the long-term durability of TAVI valves</w:t>
      </w:r>
      <w:r w:rsidR="0094536D">
        <w:t xml:space="preserve">. </w:t>
      </w:r>
      <w:r w:rsidR="00045AAA">
        <w:t>Data</w:t>
      </w:r>
      <w:r w:rsidR="0084319F">
        <w:t xml:space="preserve"> from the </w:t>
      </w:r>
      <w:r w:rsidR="00AE4B27">
        <w:t>UK</w:t>
      </w:r>
      <w:r w:rsidR="0084319F">
        <w:t xml:space="preserve"> TAVI registry found the incidence of moderate and severe structural valve deterioration to be 8.7% and 0.4% respectively after median follow-up of 5.8 years but the data </w:t>
      </w:r>
      <w:r w:rsidR="00C43F7F">
        <w:t>predominantly</w:t>
      </w:r>
      <w:r w:rsidR="003914FA">
        <w:t xml:space="preserve"> relate to early-generation devices</w:t>
      </w:r>
      <w:r w:rsidR="0094536D">
        <w:t xml:space="preserve"> and their reliability is limited by </w:t>
      </w:r>
      <w:r w:rsidR="00630D43">
        <w:t xml:space="preserve">high background mortality and possible </w:t>
      </w:r>
      <w:r w:rsidR="0094536D">
        <w:t>survival bias</w:t>
      </w:r>
      <w:r w:rsidR="00704EEB">
        <w:t>.</w:t>
      </w:r>
      <w:r w:rsidR="00113C23">
        <w:rPr>
          <w:vertAlign w:val="superscript"/>
        </w:rPr>
        <w:t>38</w:t>
      </w:r>
      <w:r w:rsidR="00113C23">
        <w:t xml:space="preserve"> </w:t>
      </w:r>
      <w:r w:rsidR="003B12BB">
        <w:t>F</w:t>
      </w:r>
      <w:r w:rsidR="002C0C0F">
        <w:t>ive</w:t>
      </w:r>
      <w:r w:rsidR="002E1916">
        <w:t xml:space="preserve">-year follow-up from the </w:t>
      </w:r>
      <w:r w:rsidR="006A6AC3">
        <w:t>intermediate</w:t>
      </w:r>
      <w:r w:rsidR="00BF699B">
        <w:t>-</w:t>
      </w:r>
      <w:r w:rsidR="006A6AC3">
        <w:t xml:space="preserve">risk </w:t>
      </w:r>
      <w:r w:rsidR="002E1916">
        <w:t xml:space="preserve">PARTNER 2 trial showed </w:t>
      </w:r>
      <w:r w:rsidR="00773772">
        <w:t>more frequent</w:t>
      </w:r>
      <w:r w:rsidR="002E1916">
        <w:t xml:space="preserve"> aortic valve re-intervention after TAVI (3.2%) compared with surgery (0.8%).</w:t>
      </w:r>
      <w:r w:rsidR="00113C23">
        <w:rPr>
          <w:vertAlign w:val="superscript"/>
        </w:rPr>
        <w:t>39</w:t>
      </w:r>
      <w:r w:rsidR="00113C23">
        <w:t xml:space="preserve"> </w:t>
      </w:r>
      <w:r w:rsidR="00F63ACA">
        <w:t>Pending long</w:t>
      </w:r>
      <w:r w:rsidR="006A6AC3">
        <w:t>er</w:t>
      </w:r>
      <w:r w:rsidR="00F63ACA">
        <w:t xml:space="preserve">-term follow-up, treatment </w:t>
      </w:r>
      <w:r w:rsidR="0025068C">
        <w:t xml:space="preserve">selection </w:t>
      </w:r>
      <w:r w:rsidR="00F63ACA">
        <w:t>should be individualised and take account of these uncertainties</w:t>
      </w:r>
      <w:r w:rsidR="002E1916">
        <w:t>, particularly in younger patients with longer life expectancy</w:t>
      </w:r>
      <w:r w:rsidR="00F63ACA">
        <w:t xml:space="preserve">. </w:t>
      </w:r>
    </w:p>
    <w:p w14:paraId="24445512" w14:textId="77777777" w:rsidR="005B5C88" w:rsidRDefault="005B5C88">
      <w:pPr>
        <w:pStyle w:val="Heading2"/>
        <w:spacing w:line="480" w:lineRule="auto"/>
      </w:pPr>
      <w:r>
        <w:t>Conclusions</w:t>
      </w:r>
    </w:p>
    <w:p w14:paraId="6C804D75" w14:textId="1A8437EF" w:rsidR="009E43DC" w:rsidRDefault="0096229C" w:rsidP="002B4B1E">
      <w:pPr>
        <w:spacing w:after="0" w:line="480" w:lineRule="auto"/>
      </w:pPr>
      <w:r>
        <w:t>Among patients aged 70 years or older with severe symptomatic aortic stenosis at moderately increased operative risk, TAVI</w:t>
      </w:r>
      <w:r w:rsidDel="00C779E0">
        <w:t xml:space="preserve"> </w:t>
      </w:r>
      <w:r>
        <w:t xml:space="preserve"> was noninferior to surgery in respect of all-cause mortality at one year.</w:t>
      </w:r>
    </w:p>
    <w:p w14:paraId="11286B02" w14:textId="77777777" w:rsidR="0096229C" w:rsidRDefault="0096229C" w:rsidP="00893959">
      <w:pPr>
        <w:spacing w:line="480" w:lineRule="auto"/>
      </w:pPr>
    </w:p>
    <w:p w14:paraId="569DD59C" w14:textId="77777777" w:rsidR="00601AF7" w:rsidRDefault="00601AF7">
      <w:pPr>
        <w:rPr>
          <w:rFonts w:asciiTheme="majorHAnsi" w:eastAsiaTheme="majorEastAsia" w:hAnsiTheme="majorHAnsi" w:cstheme="majorBidi"/>
          <w:b/>
          <w:bCs/>
          <w:color w:val="365F91" w:themeColor="accent1" w:themeShade="BF"/>
          <w:sz w:val="28"/>
          <w:szCs w:val="28"/>
        </w:rPr>
      </w:pPr>
      <w:r>
        <w:br w:type="page"/>
      </w:r>
    </w:p>
    <w:p w14:paraId="0018B01F" w14:textId="77777777" w:rsidR="00EC2788" w:rsidRDefault="00E17779" w:rsidP="00D4590F">
      <w:pPr>
        <w:pStyle w:val="Heading1"/>
        <w:jc w:val="center"/>
      </w:pPr>
      <w:r>
        <w:t>ARTICLE INFORMATION</w:t>
      </w:r>
    </w:p>
    <w:p w14:paraId="4E293EB2" w14:textId="77777777" w:rsidR="00AF17DD" w:rsidRPr="00D4590F" w:rsidRDefault="00AF17DD"/>
    <w:p w14:paraId="1F571DAA" w14:textId="77777777" w:rsidR="002A7D39" w:rsidRDefault="002A7D39" w:rsidP="00E17779">
      <w:pPr>
        <w:pStyle w:val="Heading2"/>
        <w:spacing w:line="480" w:lineRule="auto"/>
      </w:pPr>
      <w:r>
        <w:t>Authorship Group</w:t>
      </w:r>
      <w:r w:rsidR="001325CE">
        <w:t>:</w:t>
      </w:r>
    </w:p>
    <w:p w14:paraId="6C19D28E" w14:textId="727F8D98" w:rsidR="002A7D39" w:rsidRDefault="002A7D39" w:rsidP="002B4B1E">
      <w:pPr>
        <w:spacing w:after="0" w:line="360" w:lineRule="auto"/>
      </w:pPr>
      <w:r w:rsidRPr="00835098">
        <w:t>William D Toff</w:t>
      </w:r>
      <w:r>
        <w:t>, MD</w:t>
      </w:r>
      <w:r w:rsidR="00AE6C13" w:rsidRPr="002B4B1E">
        <w:rPr>
          <w:vertAlign w:val="superscript"/>
        </w:rPr>
        <w:t>1</w:t>
      </w:r>
      <w:r w:rsidR="000F198E">
        <w:rPr>
          <w:vertAlign w:val="superscript"/>
        </w:rPr>
        <w:t>,2</w:t>
      </w:r>
      <w:r>
        <w:t>;</w:t>
      </w:r>
      <w:r w:rsidRPr="00835098">
        <w:t xml:space="preserve"> David Hildick-Smith</w:t>
      </w:r>
      <w:r>
        <w:t>, MD</w:t>
      </w:r>
      <w:r w:rsidR="000F198E">
        <w:rPr>
          <w:vertAlign w:val="superscript"/>
        </w:rPr>
        <w:t>3</w:t>
      </w:r>
      <w:r>
        <w:t>;</w:t>
      </w:r>
      <w:r w:rsidRPr="00835098">
        <w:t xml:space="preserve"> Jan Kovac</w:t>
      </w:r>
      <w:r>
        <w:t>, MD</w:t>
      </w:r>
      <w:r w:rsidR="00AE6C13" w:rsidRPr="002B4B1E">
        <w:rPr>
          <w:vertAlign w:val="superscript"/>
        </w:rPr>
        <w:t>1</w:t>
      </w:r>
      <w:r w:rsidR="000F198E">
        <w:rPr>
          <w:vertAlign w:val="superscript"/>
        </w:rPr>
        <w:t>,2</w:t>
      </w:r>
      <w:r>
        <w:t>;</w:t>
      </w:r>
      <w:r w:rsidRPr="00835098">
        <w:t xml:space="preserve"> Michael </w:t>
      </w:r>
      <w:r>
        <w:t xml:space="preserve">J </w:t>
      </w:r>
      <w:r w:rsidRPr="00835098">
        <w:t>Mulle</w:t>
      </w:r>
      <w:r>
        <w:t>n, MD</w:t>
      </w:r>
      <w:r w:rsidR="000F198E" w:rsidRPr="007F0EB6">
        <w:rPr>
          <w:vertAlign w:val="superscript"/>
        </w:rPr>
        <w:t>4</w:t>
      </w:r>
      <w:r>
        <w:t xml:space="preserve">; </w:t>
      </w:r>
      <w:r w:rsidRPr="00B91442">
        <w:t xml:space="preserve">Olaf Wendler, </w:t>
      </w:r>
      <w:r w:rsidR="007066AB" w:rsidRPr="002B4B1E">
        <w:t xml:space="preserve">MD, </w:t>
      </w:r>
      <w:r w:rsidRPr="00B91442">
        <w:t>PhD</w:t>
      </w:r>
      <w:r w:rsidR="000F198E" w:rsidRPr="007F0EB6">
        <w:rPr>
          <w:vertAlign w:val="superscript"/>
        </w:rPr>
        <w:t>5</w:t>
      </w:r>
      <w:r>
        <w:t xml:space="preserve">; </w:t>
      </w:r>
      <w:r w:rsidRPr="00835098">
        <w:t>Anita Mansouri</w:t>
      </w:r>
      <w:r>
        <w:t>, MSc</w:t>
      </w:r>
      <w:r w:rsidR="000F198E" w:rsidRPr="007F0EB6">
        <w:rPr>
          <w:vertAlign w:val="superscript"/>
        </w:rPr>
        <w:t>6</w:t>
      </w:r>
      <w:r>
        <w:t xml:space="preserve">; </w:t>
      </w:r>
      <w:r w:rsidRPr="00835098">
        <w:t>Ines Rombach</w:t>
      </w:r>
      <w:r>
        <w:t>, DPhil</w:t>
      </w:r>
      <w:r w:rsidR="000F198E" w:rsidRPr="007F0EB6">
        <w:rPr>
          <w:vertAlign w:val="superscript"/>
        </w:rPr>
        <w:t>6</w:t>
      </w:r>
      <w:r>
        <w:t>;</w:t>
      </w:r>
      <w:r w:rsidRPr="00835098">
        <w:t xml:space="preserve"> Keith </w:t>
      </w:r>
      <w:r>
        <w:t xml:space="preserve">R </w:t>
      </w:r>
      <w:r w:rsidRPr="00835098">
        <w:t>Abrams</w:t>
      </w:r>
      <w:r>
        <w:t>, PhD</w:t>
      </w:r>
      <w:r w:rsidR="00AE6C13" w:rsidRPr="002B4B1E">
        <w:rPr>
          <w:vertAlign w:val="superscript"/>
        </w:rPr>
        <w:t>7</w:t>
      </w:r>
      <w:r w:rsidR="000F198E">
        <w:rPr>
          <w:vertAlign w:val="superscript"/>
        </w:rPr>
        <w:t>,8,9</w:t>
      </w:r>
      <w:r>
        <w:t xml:space="preserve">; </w:t>
      </w:r>
      <w:r w:rsidRPr="00B91442">
        <w:t xml:space="preserve">Simon P Conroy, </w:t>
      </w:r>
      <w:r w:rsidR="009D22D3" w:rsidRPr="002B4B1E">
        <w:t xml:space="preserve">MB, ChB, </w:t>
      </w:r>
      <w:r w:rsidRPr="00B91442">
        <w:t>PhD</w:t>
      </w:r>
      <w:r w:rsidR="000F198E">
        <w:rPr>
          <w:vertAlign w:val="superscript"/>
        </w:rPr>
        <w:t>9</w:t>
      </w:r>
      <w:r>
        <w:t xml:space="preserve">; </w:t>
      </w:r>
      <w:r w:rsidRPr="00835098">
        <w:t>Marcus</w:t>
      </w:r>
      <w:r>
        <w:t xml:space="preserve"> D</w:t>
      </w:r>
      <w:r w:rsidRPr="00835098">
        <w:t xml:space="preserve"> Flather</w:t>
      </w:r>
      <w:r>
        <w:t>, MB, BS</w:t>
      </w:r>
      <w:r w:rsidR="000F198E" w:rsidRPr="007F0EB6">
        <w:rPr>
          <w:vertAlign w:val="superscript"/>
        </w:rPr>
        <w:t>10</w:t>
      </w:r>
      <w:r>
        <w:t>;</w:t>
      </w:r>
      <w:r w:rsidRPr="00835098">
        <w:t xml:space="preserve"> Alastair</w:t>
      </w:r>
      <w:r>
        <w:t xml:space="preserve"> M</w:t>
      </w:r>
      <w:r w:rsidRPr="00835098">
        <w:t xml:space="preserve"> Gray</w:t>
      </w:r>
      <w:r>
        <w:t>, PhD</w:t>
      </w:r>
      <w:r w:rsidR="000F198E" w:rsidRPr="007F0EB6">
        <w:rPr>
          <w:vertAlign w:val="superscript"/>
        </w:rPr>
        <w:t>11</w:t>
      </w:r>
      <w:r>
        <w:t>;</w:t>
      </w:r>
      <w:r w:rsidRPr="00835098">
        <w:t xml:space="preserve"> </w:t>
      </w:r>
      <w:r w:rsidRPr="00B91442">
        <w:t xml:space="preserve">Philip MacCarthy, </w:t>
      </w:r>
      <w:r w:rsidR="00456CDE" w:rsidRPr="002B4B1E">
        <w:t xml:space="preserve">MB, ChB, </w:t>
      </w:r>
      <w:r w:rsidRPr="00B91442">
        <w:t>PhD</w:t>
      </w:r>
      <w:r w:rsidR="000F198E" w:rsidRPr="007F0EB6">
        <w:rPr>
          <w:vertAlign w:val="superscript"/>
        </w:rPr>
        <w:t>1</w:t>
      </w:r>
      <w:r w:rsidR="000F198E">
        <w:rPr>
          <w:vertAlign w:val="superscript"/>
        </w:rPr>
        <w:t>2</w:t>
      </w:r>
      <w:r>
        <w:t xml:space="preserve">; </w:t>
      </w:r>
      <w:r w:rsidRPr="00835098">
        <w:t xml:space="preserve">Mark </w:t>
      </w:r>
      <w:r>
        <w:t xml:space="preserve">J </w:t>
      </w:r>
      <w:r w:rsidRPr="00835098">
        <w:t>Monaghan</w:t>
      </w:r>
      <w:r>
        <w:t>,</w:t>
      </w:r>
      <w:r w:rsidRPr="00835098">
        <w:t xml:space="preserve"> </w:t>
      </w:r>
      <w:r>
        <w:t>PhD</w:t>
      </w:r>
      <w:r w:rsidR="000F198E" w:rsidRPr="007F0EB6">
        <w:rPr>
          <w:vertAlign w:val="superscript"/>
        </w:rPr>
        <w:t>12</w:t>
      </w:r>
      <w:r>
        <w:t xml:space="preserve">; </w:t>
      </w:r>
      <w:r w:rsidRPr="00835098">
        <w:t>Bernard Prendergast</w:t>
      </w:r>
      <w:r>
        <w:t>, DM</w:t>
      </w:r>
      <w:r w:rsidR="000F198E" w:rsidRPr="007F0EB6">
        <w:rPr>
          <w:vertAlign w:val="superscript"/>
        </w:rPr>
        <w:t>13</w:t>
      </w:r>
      <w:r>
        <w:t xml:space="preserve">; </w:t>
      </w:r>
      <w:r w:rsidRPr="00835098">
        <w:t>Simon Ray</w:t>
      </w:r>
      <w:r>
        <w:t>, MD</w:t>
      </w:r>
      <w:r w:rsidR="000F198E" w:rsidRPr="007F0EB6">
        <w:rPr>
          <w:vertAlign w:val="superscript"/>
        </w:rPr>
        <w:t>14</w:t>
      </w:r>
      <w:r>
        <w:t>;</w:t>
      </w:r>
      <w:r w:rsidRPr="00835098">
        <w:t xml:space="preserve"> Christopher </w:t>
      </w:r>
      <w:r>
        <w:t xml:space="preserve">P </w:t>
      </w:r>
      <w:r w:rsidRPr="00835098">
        <w:t>Young</w:t>
      </w:r>
      <w:r>
        <w:t>, MD</w:t>
      </w:r>
      <w:r w:rsidR="000F198E" w:rsidRPr="007F0EB6">
        <w:rPr>
          <w:vertAlign w:val="superscript"/>
        </w:rPr>
        <w:t>15</w:t>
      </w:r>
      <w:r>
        <w:t>;</w:t>
      </w:r>
      <w:r w:rsidRPr="00835098">
        <w:t xml:space="preserve"> David </w:t>
      </w:r>
      <w:r>
        <w:t xml:space="preserve">C </w:t>
      </w:r>
      <w:r w:rsidRPr="00835098">
        <w:t>Crossman</w:t>
      </w:r>
      <w:r>
        <w:t>, MD</w:t>
      </w:r>
      <w:r w:rsidR="000F198E" w:rsidRPr="007F0EB6">
        <w:rPr>
          <w:vertAlign w:val="superscript"/>
        </w:rPr>
        <w:t>16</w:t>
      </w:r>
      <w:r>
        <w:t xml:space="preserve">; </w:t>
      </w:r>
      <w:r w:rsidRPr="00835098">
        <w:t xml:space="preserve">John </w:t>
      </w:r>
      <w:r>
        <w:t xml:space="preserve">GF </w:t>
      </w:r>
      <w:r w:rsidRPr="00835098">
        <w:t>Cleland</w:t>
      </w:r>
      <w:r>
        <w:t>, MD</w:t>
      </w:r>
      <w:r w:rsidR="000F198E" w:rsidRPr="007F0EB6">
        <w:rPr>
          <w:vertAlign w:val="superscript"/>
        </w:rPr>
        <w:t>17</w:t>
      </w:r>
      <w:r>
        <w:t xml:space="preserve">; </w:t>
      </w:r>
      <w:r w:rsidRPr="00835098">
        <w:t xml:space="preserve">Mark </w:t>
      </w:r>
      <w:r>
        <w:t xml:space="preserve">A </w:t>
      </w:r>
      <w:r w:rsidRPr="00835098">
        <w:t>de Belder</w:t>
      </w:r>
      <w:r>
        <w:t>, MD</w:t>
      </w:r>
      <w:r w:rsidR="000F198E" w:rsidRPr="007F0EB6">
        <w:rPr>
          <w:vertAlign w:val="superscript"/>
        </w:rPr>
        <w:t>18</w:t>
      </w:r>
      <w:r>
        <w:t xml:space="preserve">; </w:t>
      </w:r>
      <w:r w:rsidRPr="00835098">
        <w:t xml:space="preserve">Peter </w:t>
      </w:r>
      <w:r>
        <w:t xml:space="preserve">F </w:t>
      </w:r>
      <w:r w:rsidRPr="00835098">
        <w:t>Ludman</w:t>
      </w:r>
      <w:r>
        <w:t>, MD</w:t>
      </w:r>
      <w:r w:rsidR="000F198E" w:rsidRPr="007F0EB6">
        <w:rPr>
          <w:vertAlign w:val="superscript"/>
        </w:rPr>
        <w:t>19</w:t>
      </w:r>
      <w:r>
        <w:t>;</w:t>
      </w:r>
      <w:r w:rsidRPr="00835098">
        <w:t xml:space="preserve"> Stephen Jones</w:t>
      </w:r>
      <w:r>
        <w:t>, BA</w:t>
      </w:r>
      <w:r w:rsidR="000F198E" w:rsidRPr="007F0EB6">
        <w:rPr>
          <w:vertAlign w:val="superscript"/>
        </w:rPr>
        <w:t>20</w:t>
      </w:r>
      <w:r>
        <w:t xml:space="preserve">; </w:t>
      </w:r>
      <w:r w:rsidRPr="00835098">
        <w:t xml:space="preserve">Cameron </w:t>
      </w:r>
      <w:r>
        <w:t xml:space="preserve">G </w:t>
      </w:r>
      <w:r w:rsidRPr="00835098">
        <w:t>Densem</w:t>
      </w:r>
      <w:r>
        <w:t>, MD</w:t>
      </w:r>
      <w:r w:rsidR="000F198E" w:rsidRPr="007F0EB6">
        <w:rPr>
          <w:vertAlign w:val="superscript"/>
        </w:rPr>
        <w:t>21</w:t>
      </w:r>
      <w:r>
        <w:t>;</w:t>
      </w:r>
      <w:r w:rsidRPr="00835098">
        <w:t xml:space="preserve"> Steven Tsui</w:t>
      </w:r>
      <w:r>
        <w:t>, MD</w:t>
      </w:r>
      <w:r w:rsidR="000F198E" w:rsidRPr="007F0EB6">
        <w:rPr>
          <w:vertAlign w:val="superscript"/>
        </w:rPr>
        <w:t>22</w:t>
      </w:r>
      <w:r>
        <w:t xml:space="preserve">; </w:t>
      </w:r>
      <w:r w:rsidRPr="00835098">
        <w:t>Manoj Kuduvalli</w:t>
      </w:r>
      <w:r>
        <w:t>, MCh</w:t>
      </w:r>
      <w:r w:rsidR="000F198E" w:rsidRPr="007F0EB6">
        <w:rPr>
          <w:vertAlign w:val="superscript"/>
        </w:rPr>
        <w:t>23</w:t>
      </w:r>
      <w:r>
        <w:t xml:space="preserve">; </w:t>
      </w:r>
      <w:r w:rsidRPr="00835098">
        <w:t xml:space="preserve">Joseph </w:t>
      </w:r>
      <w:r>
        <w:t xml:space="preserve">D </w:t>
      </w:r>
      <w:r w:rsidRPr="00835098">
        <w:t>Mills</w:t>
      </w:r>
      <w:r>
        <w:t>, MD</w:t>
      </w:r>
      <w:r w:rsidR="000F198E" w:rsidRPr="007F0EB6">
        <w:rPr>
          <w:vertAlign w:val="superscript"/>
        </w:rPr>
        <w:t>24</w:t>
      </w:r>
      <w:r>
        <w:t xml:space="preserve">; </w:t>
      </w:r>
      <w:r w:rsidRPr="00835098">
        <w:t xml:space="preserve">Adrian </w:t>
      </w:r>
      <w:r>
        <w:t xml:space="preserve">P </w:t>
      </w:r>
      <w:r w:rsidRPr="00835098">
        <w:t>Banning</w:t>
      </w:r>
      <w:r>
        <w:t>, MD</w:t>
      </w:r>
      <w:r w:rsidR="000F198E" w:rsidRPr="007F0EB6">
        <w:rPr>
          <w:vertAlign w:val="superscript"/>
        </w:rPr>
        <w:t>25</w:t>
      </w:r>
      <w:r>
        <w:t>;</w:t>
      </w:r>
      <w:r w:rsidRPr="00835098">
        <w:t xml:space="preserve"> </w:t>
      </w:r>
      <w:r w:rsidRPr="00B91442">
        <w:t xml:space="preserve">Rana Sayeed, </w:t>
      </w:r>
      <w:r w:rsidR="00E26B11" w:rsidRPr="00763FDC">
        <w:t>BM</w:t>
      </w:r>
      <w:r w:rsidR="00E26B11" w:rsidRPr="002E3885">
        <w:t>, BCh</w:t>
      </w:r>
      <w:r w:rsidR="00E26B11" w:rsidRPr="00894677">
        <w:t>,</w:t>
      </w:r>
      <w:r w:rsidR="00E26B11" w:rsidRPr="002B4B1E">
        <w:t xml:space="preserve"> </w:t>
      </w:r>
      <w:r w:rsidRPr="00B91442">
        <w:t>PhD</w:t>
      </w:r>
      <w:r w:rsidR="000F198E" w:rsidRPr="007F0EB6">
        <w:rPr>
          <w:vertAlign w:val="superscript"/>
        </w:rPr>
        <w:t>26</w:t>
      </w:r>
      <w:r w:rsidRPr="00B91442">
        <w:t>;</w:t>
      </w:r>
      <w:r w:rsidRPr="00835098">
        <w:t xml:space="preserve"> Ragheb Hasan</w:t>
      </w:r>
      <w:r>
        <w:t>, ChM</w:t>
      </w:r>
      <w:r w:rsidR="000F198E" w:rsidRPr="007F0EB6">
        <w:rPr>
          <w:vertAlign w:val="superscript"/>
        </w:rPr>
        <w:t>27</w:t>
      </w:r>
      <w:r>
        <w:t xml:space="preserve">; </w:t>
      </w:r>
      <w:r w:rsidRPr="00835098">
        <w:t xml:space="preserve">Douglas </w:t>
      </w:r>
      <w:r>
        <w:t xml:space="preserve">GW </w:t>
      </w:r>
      <w:r w:rsidRPr="00835098">
        <w:t>Fraser</w:t>
      </w:r>
      <w:r>
        <w:t>, DM</w:t>
      </w:r>
      <w:r w:rsidR="000F198E" w:rsidRPr="007F0EB6">
        <w:rPr>
          <w:vertAlign w:val="superscript"/>
        </w:rPr>
        <w:t>28</w:t>
      </w:r>
      <w:r>
        <w:t xml:space="preserve">; </w:t>
      </w:r>
      <w:r w:rsidRPr="00B91442">
        <w:t xml:space="preserve">Uday Trivedi, </w:t>
      </w:r>
      <w:r w:rsidR="00456CDE">
        <w:t>MB, BS</w:t>
      </w:r>
      <w:r w:rsidR="000F198E" w:rsidRPr="007F0EB6">
        <w:rPr>
          <w:vertAlign w:val="superscript"/>
        </w:rPr>
        <w:t>3</w:t>
      </w:r>
      <w:r>
        <w:t xml:space="preserve">; </w:t>
      </w:r>
      <w:r w:rsidRPr="00835098">
        <w:t xml:space="preserve">Simon </w:t>
      </w:r>
      <w:r>
        <w:t xml:space="preserve">W </w:t>
      </w:r>
      <w:r w:rsidRPr="00835098">
        <w:t>Davies</w:t>
      </w:r>
      <w:r>
        <w:t xml:space="preserve">, </w:t>
      </w:r>
      <w:r w:rsidR="00522646">
        <w:t>MB, BS</w:t>
      </w:r>
      <w:r w:rsidR="000F198E" w:rsidRPr="007F0EB6">
        <w:rPr>
          <w:vertAlign w:val="superscript"/>
        </w:rPr>
        <w:t>29</w:t>
      </w:r>
      <w:r>
        <w:t xml:space="preserve">; Alison Duncan, </w:t>
      </w:r>
      <w:r w:rsidR="007066AB">
        <w:t>MB, BS, PhD</w:t>
      </w:r>
      <w:r w:rsidR="000F198E" w:rsidRPr="007F0EB6">
        <w:rPr>
          <w:vertAlign w:val="superscript"/>
        </w:rPr>
        <w:t>29</w:t>
      </w:r>
      <w:r>
        <w:t xml:space="preserve">; </w:t>
      </w:r>
      <w:r w:rsidRPr="00B91442">
        <w:t xml:space="preserve">Nick Curzen, </w:t>
      </w:r>
      <w:r w:rsidR="00456CDE" w:rsidRPr="002B4B1E">
        <w:t xml:space="preserve">BM (Hons), </w:t>
      </w:r>
      <w:r w:rsidRPr="00B91442">
        <w:t>PhD</w:t>
      </w:r>
      <w:r w:rsidR="000F198E" w:rsidRPr="007F0EB6">
        <w:rPr>
          <w:vertAlign w:val="superscript"/>
        </w:rPr>
        <w:t>30</w:t>
      </w:r>
      <w:r>
        <w:t>;</w:t>
      </w:r>
      <w:r w:rsidRPr="00835098">
        <w:t xml:space="preserve"> Sunil </w:t>
      </w:r>
      <w:r>
        <w:t xml:space="preserve">K </w:t>
      </w:r>
      <w:r w:rsidRPr="00835098">
        <w:t>Ohri</w:t>
      </w:r>
      <w:r>
        <w:t>, MD</w:t>
      </w:r>
      <w:r w:rsidR="000F198E" w:rsidRPr="007F0EB6">
        <w:rPr>
          <w:vertAlign w:val="superscript"/>
        </w:rPr>
        <w:t>30</w:t>
      </w:r>
      <w:r>
        <w:t>;</w:t>
      </w:r>
      <w:r w:rsidRPr="00835098">
        <w:t xml:space="preserve"> Chris</w:t>
      </w:r>
      <w:r>
        <w:t>topher J</w:t>
      </w:r>
      <w:r w:rsidRPr="00835098">
        <w:t xml:space="preserve"> Malkin</w:t>
      </w:r>
      <w:r>
        <w:t>, MD</w:t>
      </w:r>
      <w:r w:rsidR="000F198E" w:rsidRPr="007F0EB6">
        <w:rPr>
          <w:vertAlign w:val="superscript"/>
        </w:rPr>
        <w:t>31</w:t>
      </w:r>
      <w:r>
        <w:t>;</w:t>
      </w:r>
      <w:r w:rsidRPr="00835098">
        <w:t xml:space="preserve"> </w:t>
      </w:r>
      <w:r w:rsidRPr="00B91442">
        <w:t xml:space="preserve">Pankaj Kaul, </w:t>
      </w:r>
      <w:r w:rsidR="00456CDE" w:rsidRPr="00456CDE">
        <w:t>MS, MCh</w:t>
      </w:r>
      <w:r w:rsidR="000F198E" w:rsidRPr="007F0EB6">
        <w:rPr>
          <w:vertAlign w:val="superscript"/>
        </w:rPr>
        <w:t>32</w:t>
      </w:r>
      <w:r>
        <w:t>;</w:t>
      </w:r>
      <w:r w:rsidRPr="00835098">
        <w:t xml:space="preserve"> Douglas </w:t>
      </w:r>
      <w:r>
        <w:t xml:space="preserve">F </w:t>
      </w:r>
      <w:r w:rsidRPr="00835098">
        <w:t>Muir</w:t>
      </w:r>
      <w:r>
        <w:t>, MB, ChB</w:t>
      </w:r>
      <w:r w:rsidR="0082297B" w:rsidRPr="007F0EB6">
        <w:rPr>
          <w:vertAlign w:val="superscript"/>
        </w:rPr>
        <w:t>33</w:t>
      </w:r>
      <w:r>
        <w:t xml:space="preserve">; W </w:t>
      </w:r>
      <w:r w:rsidRPr="00835098">
        <w:t>Andrew Owens</w:t>
      </w:r>
      <w:r>
        <w:t>, MD</w:t>
      </w:r>
      <w:r w:rsidR="0082297B" w:rsidRPr="007F0EB6">
        <w:rPr>
          <w:vertAlign w:val="superscript"/>
        </w:rPr>
        <w:t>34</w:t>
      </w:r>
      <w:r>
        <w:t xml:space="preserve">; </w:t>
      </w:r>
      <w:r w:rsidRPr="00835098">
        <w:t>Ne</w:t>
      </w:r>
      <w:r>
        <w:t>a</w:t>
      </w:r>
      <w:r w:rsidRPr="00835098">
        <w:t xml:space="preserve">l </w:t>
      </w:r>
      <w:r>
        <w:t xml:space="preserve">G </w:t>
      </w:r>
      <w:r w:rsidRPr="00835098">
        <w:t>Uren</w:t>
      </w:r>
      <w:r>
        <w:t>, MD</w:t>
      </w:r>
      <w:r w:rsidR="0082297B" w:rsidRPr="007F0EB6">
        <w:rPr>
          <w:vertAlign w:val="superscript"/>
        </w:rPr>
        <w:t>35</w:t>
      </w:r>
      <w:r>
        <w:t>;</w:t>
      </w:r>
      <w:r w:rsidRPr="00835098">
        <w:t xml:space="preserve"> Renzo Pessotto</w:t>
      </w:r>
      <w:r>
        <w:t>, MD</w:t>
      </w:r>
      <w:r w:rsidR="0082297B" w:rsidRPr="007F0EB6">
        <w:rPr>
          <w:vertAlign w:val="superscript"/>
        </w:rPr>
        <w:t>35</w:t>
      </w:r>
      <w:r>
        <w:t xml:space="preserve">; </w:t>
      </w:r>
      <w:r w:rsidRPr="00835098">
        <w:t>Simon Kennon</w:t>
      </w:r>
      <w:r>
        <w:t>,</w:t>
      </w:r>
      <w:r w:rsidRPr="00835098">
        <w:t xml:space="preserve"> </w:t>
      </w:r>
      <w:r>
        <w:t>MD</w:t>
      </w:r>
      <w:r w:rsidR="0082297B" w:rsidRPr="007F0EB6">
        <w:rPr>
          <w:vertAlign w:val="superscript"/>
        </w:rPr>
        <w:t>36</w:t>
      </w:r>
      <w:r>
        <w:t xml:space="preserve">; </w:t>
      </w:r>
      <w:r w:rsidRPr="00835098">
        <w:t xml:space="preserve">Wael </w:t>
      </w:r>
      <w:r>
        <w:t xml:space="preserve">I </w:t>
      </w:r>
      <w:r w:rsidRPr="00835098">
        <w:t>Awad</w:t>
      </w:r>
      <w:r>
        <w:t>, MD</w:t>
      </w:r>
      <w:r w:rsidR="0082297B" w:rsidRPr="007F0EB6">
        <w:rPr>
          <w:vertAlign w:val="superscript"/>
        </w:rPr>
        <w:t>36</w:t>
      </w:r>
      <w:r>
        <w:t xml:space="preserve">; </w:t>
      </w:r>
      <w:r w:rsidRPr="00835098">
        <w:rPr>
          <w:color w:val="000000" w:themeColor="text1"/>
        </w:rPr>
        <w:t xml:space="preserve">Saib </w:t>
      </w:r>
      <w:r>
        <w:rPr>
          <w:color w:val="000000" w:themeColor="text1"/>
        </w:rPr>
        <w:t xml:space="preserve">S </w:t>
      </w:r>
      <w:r w:rsidRPr="00835098">
        <w:rPr>
          <w:color w:val="000000" w:themeColor="text1"/>
        </w:rPr>
        <w:t>Khogali</w:t>
      </w:r>
      <w:r>
        <w:rPr>
          <w:color w:val="000000" w:themeColor="text1"/>
        </w:rPr>
        <w:t>, MD</w:t>
      </w:r>
      <w:r w:rsidR="0082297B" w:rsidRPr="007F0EB6">
        <w:rPr>
          <w:color w:val="000000" w:themeColor="text1"/>
          <w:vertAlign w:val="superscript"/>
        </w:rPr>
        <w:t>37</w:t>
      </w:r>
      <w:r>
        <w:rPr>
          <w:color w:val="000000" w:themeColor="text1"/>
        </w:rPr>
        <w:t xml:space="preserve">; </w:t>
      </w:r>
      <w:r w:rsidRPr="00835098">
        <w:rPr>
          <w:color w:val="000000" w:themeColor="text1"/>
        </w:rPr>
        <w:t>Maciej Matuszewski</w:t>
      </w:r>
      <w:r>
        <w:rPr>
          <w:color w:val="000000" w:themeColor="text1"/>
        </w:rPr>
        <w:t>, MD</w:t>
      </w:r>
      <w:r w:rsidR="0082297B" w:rsidRPr="007F0EB6">
        <w:rPr>
          <w:color w:val="000000" w:themeColor="text1"/>
          <w:vertAlign w:val="superscript"/>
        </w:rPr>
        <w:t>37</w:t>
      </w:r>
      <w:r>
        <w:rPr>
          <w:color w:val="000000" w:themeColor="text1"/>
        </w:rPr>
        <w:t>;</w:t>
      </w:r>
      <w:r w:rsidRPr="00835098">
        <w:rPr>
          <w:color w:val="000000" w:themeColor="text1"/>
        </w:rPr>
        <w:t xml:space="preserve"> Richard </w:t>
      </w:r>
      <w:r>
        <w:rPr>
          <w:color w:val="000000" w:themeColor="text1"/>
        </w:rPr>
        <w:t xml:space="preserve">J </w:t>
      </w:r>
      <w:r w:rsidRPr="00835098">
        <w:rPr>
          <w:color w:val="000000" w:themeColor="text1"/>
        </w:rPr>
        <w:t>Edwards</w:t>
      </w:r>
      <w:r>
        <w:rPr>
          <w:color w:val="000000" w:themeColor="text1"/>
        </w:rPr>
        <w:t xml:space="preserve">, </w:t>
      </w:r>
      <w:r w:rsidR="009D22D3">
        <w:rPr>
          <w:color w:val="000000" w:themeColor="text1"/>
        </w:rPr>
        <w:t>MB, BS, PhD</w:t>
      </w:r>
      <w:r w:rsidR="0082297B" w:rsidRPr="007F0EB6">
        <w:rPr>
          <w:color w:val="000000" w:themeColor="text1"/>
          <w:vertAlign w:val="superscript"/>
        </w:rPr>
        <w:t>38</w:t>
      </w:r>
      <w:r>
        <w:rPr>
          <w:color w:val="000000" w:themeColor="text1"/>
        </w:rPr>
        <w:t>;</w:t>
      </w:r>
      <w:r w:rsidRPr="00835098">
        <w:rPr>
          <w:color w:val="000000" w:themeColor="text1"/>
        </w:rPr>
        <w:t xml:space="preserve"> </w:t>
      </w:r>
      <w:r w:rsidRPr="00B91442">
        <w:rPr>
          <w:color w:val="000000" w:themeColor="text1"/>
        </w:rPr>
        <w:t xml:space="preserve">Bandigowdanapalya C Ramesh, </w:t>
      </w:r>
      <w:r w:rsidR="00BE0332">
        <w:rPr>
          <w:color w:val="000000" w:themeColor="text1"/>
        </w:rPr>
        <w:t>MS, MCh</w:t>
      </w:r>
      <w:r w:rsidR="0082297B" w:rsidRPr="007F0EB6">
        <w:rPr>
          <w:color w:val="000000" w:themeColor="text1"/>
          <w:vertAlign w:val="superscript"/>
        </w:rPr>
        <w:t>38</w:t>
      </w:r>
      <w:r>
        <w:rPr>
          <w:color w:val="000000" w:themeColor="text1"/>
        </w:rPr>
        <w:t>;</w:t>
      </w:r>
      <w:r w:rsidRPr="00835098">
        <w:rPr>
          <w:color w:val="000000" w:themeColor="text1"/>
        </w:rPr>
        <w:t xml:space="preserve"> Miles Dalby</w:t>
      </w:r>
      <w:r>
        <w:rPr>
          <w:color w:val="000000" w:themeColor="text1"/>
        </w:rPr>
        <w:t>, MD</w:t>
      </w:r>
      <w:r w:rsidR="0082297B" w:rsidRPr="007F0EB6">
        <w:rPr>
          <w:color w:val="000000" w:themeColor="text1"/>
          <w:vertAlign w:val="superscript"/>
        </w:rPr>
        <w:t>39</w:t>
      </w:r>
      <w:r>
        <w:rPr>
          <w:color w:val="000000" w:themeColor="text1"/>
        </w:rPr>
        <w:t>;</w:t>
      </w:r>
      <w:r w:rsidRPr="00835098">
        <w:rPr>
          <w:color w:val="000000" w:themeColor="text1"/>
        </w:rPr>
        <w:t xml:space="preserve"> Shahzad </w:t>
      </w:r>
      <w:r>
        <w:rPr>
          <w:color w:val="000000" w:themeColor="text1"/>
        </w:rPr>
        <w:t xml:space="preserve">G </w:t>
      </w:r>
      <w:r w:rsidRPr="00835098">
        <w:rPr>
          <w:color w:val="000000" w:themeColor="text1"/>
        </w:rPr>
        <w:t>Raja</w:t>
      </w:r>
      <w:r>
        <w:rPr>
          <w:color w:val="000000" w:themeColor="text1"/>
        </w:rPr>
        <w:t xml:space="preserve">, </w:t>
      </w:r>
      <w:r w:rsidR="00522646">
        <w:rPr>
          <w:color w:val="000000" w:themeColor="text1"/>
        </w:rPr>
        <w:t>MB, BS</w:t>
      </w:r>
      <w:r w:rsidR="0082297B" w:rsidRPr="007F0EB6">
        <w:rPr>
          <w:color w:val="000000" w:themeColor="text1"/>
          <w:vertAlign w:val="superscript"/>
        </w:rPr>
        <w:t>40</w:t>
      </w:r>
      <w:r>
        <w:rPr>
          <w:color w:val="000000" w:themeColor="text1"/>
        </w:rPr>
        <w:t>;</w:t>
      </w:r>
      <w:r w:rsidRPr="00835098">
        <w:rPr>
          <w:color w:val="000000" w:themeColor="text1"/>
        </w:rPr>
        <w:t xml:space="preserve"> </w:t>
      </w:r>
      <w:r w:rsidRPr="00B91442">
        <w:rPr>
          <w:color w:val="000000" w:themeColor="text1"/>
        </w:rPr>
        <w:t xml:space="preserve">Giovanni Mariscalco, </w:t>
      </w:r>
      <w:r w:rsidR="00844FEE" w:rsidRPr="002B4B1E">
        <w:rPr>
          <w:color w:val="000000" w:themeColor="text1"/>
        </w:rPr>
        <w:t xml:space="preserve">MD, </w:t>
      </w:r>
      <w:r w:rsidRPr="00B91442">
        <w:rPr>
          <w:color w:val="000000" w:themeColor="text1"/>
        </w:rPr>
        <w:t>PhD</w:t>
      </w:r>
      <w:r w:rsidR="00AE6C13" w:rsidRPr="002B4B1E">
        <w:rPr>
          <w:color w:val="000000" w:themeColor="text1"/>
          <w:vertAlign w:val="superscript"/>
        </w:rPr>
        <w:t>1</w:t>
      </w:r>
      <w:r w:rsidR="0082297B">
        <w:rPr>
          <w:color w:val="000000" w:themeColor="text1"/>
          <w:vertAlign w:val="superscript"/>
        </w:rPr>
        <w:t>,2</w:t>
      </w:r>
      <w:r>
        <w:rPr>
          <w:color w:val="000000" w:themeColor="text1"/>
        </w:rPr>
        <w:t>;</w:t>
      </w:r>
      <w:r w:rsidRPr="00835098">
        <w:rPr>
          <w:color w:val="000000" w:themeColor="text1"/>
        </w:rPr>
        <w:t xml:space="preserve"> </w:t>
      </w:r>
      <w:r w:rsidRPr="00B91442">
        <w:rPr>
          <w:color w:val="000000" w:themeColor="text1"/>
        </w:rPr>
        <w:t xml:space="preserve">Clinton Lloyd, </w:t>
      </w:r>
      <w:r w:rsidR="00CD56AB" w:rsidRPr="00763FDC">
        <w:rPr>
          <w:color w:val="000000" w:themeColor="text1"/>
        </w:rPr>
        <w:t>MB, ChB</w:t>
      </w:r>
      <w:r w:rsidR="0082297B" w:rsidRPr="007F0EB6">
        <w:rPr>
          <w:color w:val="000000" w:themeColor="text1"/>
          <w:vertAlign w:val="superscript"/>
        </w:rPr>
        <w:t>41</w:t>
      </w:r>
      <w:r>
        <w:rPr>
          <w:color w:val="000000" w:themeColor="text1"/>
        </w:rPr>
        <w:t>;</w:t>
      </w:r>
      <w:r w:rsidRPr="00835098">
        <w:rPr>
          <w:color w:val="000000" w:themeColor="text1"/>
        </w:rPr>
        <w:t xml:space="preserve"> Ian </w:t>
      </w:r>
      <w:r>
        <w:rPr>
          <w:color w:val="000000" w:themeColor="text1"/>
        </w:rPr>
        <w:t xml:space="preserve">D </w:t>
      </w:r>
      <w:r w:rsidRPr="00835098">
        <w:rPr>
          <w:color w:val="000000" w:themeColor="text1"/>
        </w:rPr>
        <w:t>Cox</w:t>
      </w:r>
      <w:r>
        <w:rPr>
          <w:color w:val="000000" w:themeColor="text1"/>
        </w:rPr>
        <w:t>, MD</w:t>
      </w:r>
      <w:r w:rsidR="0082297B" w:rsidRPr="007F0EB6">
        <w:rPr>
          <w:color w:val="000000" w:themeColor="text1"/>
          <w:vertAlign w:val="superscript"/>
        </w:rPr>
        <w:t>42</w:t>
      </w:r>
      <w:r>
        <w:rPr>
          <w:color w:val="000000" w:themeColor="text1"/>
        </w:rPr>
        <w:t>;</w:t>
      </w:r>
      <w:r w:rsidRPr="00835098">
        <w:rPr>
          <w:color w:val="000000" w:themeColor="text1"/>
        </w:rPr>
        <w:t xml:space="preserve"> Simon </w:t>
      </w:r>
      <w:r>
        <w:rPr>
          <w:color w:val="000000" w:themeColor="text1"/>
        </w:rPr>
        <w:t xml:space="preserve">R </w:t>
      </w:r>
      <w:r w:rsidRPr="00835098">
        <w:rPr>
          <w:color w:val="000000" w:themeColor="text1"/>
        </w:rPr>
        <w:t>Redwood</w:t>
      </w:r>
      <w:r>
        <w:rPr>
          <w:color w:val="000000" w:themeColor="text1"/>
        </w:rPr>
        <w:t>, MD</w:t>
      </w:r>
      <w:r w:rsidR="0082297B" w:rsidRPr="007F0EB6">
        <w:rPr>
          <w:color w:val="000000" w:themeColor="text1"/>
          <w:vertAlign w:val="superscript"/>
        </w:rPr>
        <w:t>43</w:t>
      </w:r>
      <w:r>
        <w:rPr>
          <w:color w:val="000000" w:themeColor="text1"/>
        </w:rPr>
        <w:t>;</w:t>
      </w:r>
      <w:r w:rsidRPr="00835098">
        <w:rPr>
          <w:color w:val="000000" w:themeColor="text1"/>
        </w:rPr>
        <w:t xml:space="preserve"> Mark </w:t>
      </w:r>
      <w:r>
        <w:rPr>
          <w:color w:val="000000" w:themeColor="text1"/>
        </w:rPr>
        <w:t xml:space="preserve">G </w:t>
      </w:r>
      <w:r w:rsidRPr="00835098">
        <w:rPr>
          <w:color w:val="000000" w:themeColor="text1"/>
        </w:rPr>
        <w:t>Gunning</w:t>
      </w:r>
      <w:r>
        <w:rPr>
          <w:color w:val="000000" w:themeColor="text1"/>
        </w:rPr>
        <w:t>, MD</w:t>
      </w:r>
      <w:r w:rsidR="0082297B" w:rsidRPr="007F0EB6">
        <w:rPr>
          <w:color w:val="000000" w:themeColor="text1"/>
          <w:vertAlign w:val="superscript"/>
        </w:rPr>
        <w:t>44</w:t>
      </w:r>
      <w:r>
        <w:rPr>
          <w:color w:val="000000" w:themeColor="text1"/>
        </w:rPr>
        <w:t>;</w:t>
      </w:r>
      <w:r w:rsidRPr="00835098">
        <w:rPr>
          <w:color w:val="000000" w:themeColor="text1"/>
        </w:rPr>
        <w:t xml:space="preserve"> </w:t>
      </w:r>
      <w:r>
        <w:rPr>
          <w:color w:val="000000" w:themeColor="text1"/>
        </w:rPr>
        <w:t>P</w:t>
      </w:r>
      <w:r w:rsidRPr="00835098">
        <w:rPr>
          <w:color w:val="000000" w:themeColor="text1"/>
        </w:rPr>
        <w:t xml:space="preserve">aul </w:t>
      </w:r>
      <w:r>
        <w:rPr>
          <w:color w:val="000000" w:themeColor="text1"/>
        </w:rPr>
        <w:t xml:space="preserve">D </w:t>
      </w:r>
      <w:r w:rsidRPr="00835098">
        <w:rPr>
          <w:color w:val="000000" w:themeColor="text1"/>
        </w:rPr>
        <w:t>Ridley</w:t>
      </w:r>
      <w:r>
        <w:rPr>
          <w:color w:val="000000" w:themeColor="text1"/>
        </w:rPr>
        <w:t xml:space="preserve">, </w:t>
      </w:r>
      <w:r w:rsidR="00641A60">
        <w:rPr>
          <w:color w:val="000000" w:themeColor="text1"/>
        </w:rPr>
        <w:t>MD</w:t>
      </w:r>
      <w:r w:rsidR="0082297B" w:rsidRPr="007F0EB6">
        <w:rPr>
          <w:color w:val="000000" w:themeColor="text1"/>
          <w:vertAlign w:val="superscript"/>
        </w:rPr>
        <w:t>45</w:t>
      </w:r>
      <w:r>
        <w:rPr>
          <w:color w:val="000000" w:themeColor="text1"/>
        </w:rPr>
        <w:t>.</w:t>
      </w:r>
    </w:p>
    <w:p w14:paraId="35AF7C96" w14:textId="77777777" w:rsidR="002A7D39" w:rsidRDefault="002A7D39" w:rsidP="00E17779">
      <w:pPr>
        <w:pStyle w:val="Heading2"/>
        <w:spacing w:line="480" w:lineRule="auto"/>
      </w:pPr>
      <w:r>
        <w:t>Author Affiliations</w:t>
      </w:r>
      <w:r w:rsidR="001325CE">
        <w:t>:</w:t>
      </w:r>
    </w:p>
    <w:p w14:paraId="6443F41B" w14:textId="152DD12D" w:rsidR="002B47AC" w:rsidRPr="002B4B1E" w:rsidRDefault="00494E3C" w:rsidP="002B4B1E">
      <w:pPr>
        <w:pStyle w:val="ListParagraph"/>
        <w:numPr>
          <w:ilvl w:val="0"/>
          <w:numId w:val="51"/>
        </w:numPr>
        <w:spacing w:after="0" w:line="360" w:lineRule="auto"/>
      </w:pPr>
      <w:r w:rsidRPr="002B4B1E">
        <w:rPr>
          <w:b/>
        </w:rPr>
        <w:t>Department of Cardiovascular Sciences, University of Leicester</w:t>
      </w:r>
      <w:r w:rsidR="002B47AC">
        <w:rPr>
          <w:b/>
        </w:rPr>
        <w:t xml:space="preserve">, Leicester, UK </w:t>
      </w:r>
      <w:r w:rsidR="002B47AC">
        <w:t>(</w:t>
      </w:r>
      <w:r w:rsidR="002B47AC" w:rsidRPr="00835098">
        <w:t>Toff</w:t>
      </w:r>
      <w:r w:rsidR="002B47AC">
        <w:t xml:space="preserve">, </w:t>
      </w:r>
      <w:r w:rsidR="002B47AC" w:rsidRPr="00835098">
        <w:t>Kovac</w:t>
      </w:r>
      <w:r w:rsidR="002B47AC">
        <w:t xml:space="preserve">, </w:t>
      </w:r>
      <w:r w:rsidR="002B47AC">
        <w:rPr>
          <w:color w:val="000000" w:themeColor="text1"/>
        </w:rPr>
        <w:t>Mariscalco</w:t>
      </w:r>
      <w:r w:rsidR="002B47AC">
        <w:t>)</w:t>
      </w:r>
    </w:p>
    <w:p w14:paraId="284B48A8" w14:textId="32B364E0" w:rsidR="00494E3C" w:rsidRDefault="00494E3C" w:rsidP="002B4B1E">
      <w:pPr>
        <w:pStyle w:val="ListParagraph"/>
        <w:numPr>
          <w:ilvl w:val="0"/>
          <w:numId w:val="51"/>
        </w:numPr>
        <w:spacing w:after="0" w:line="360" w:lineRule="auto"/>
      </w:pPr>
      <w:r w:rsidRPr="002B4B1E">
        <w:rPr>
          <w:b/>
        </w:rPr>
        <w:t>National Institute for Health Research Leicester Biomedical Research Centre, Glenfield Hospital, Leicester, UK</w:t>
      </w:r>
      <w:r>
        <w:t xml:space="preserve"> (</w:t>
      </w:r>
      <w:r w:rsidRPr="00835098">
        <w:t>Toff</w:t>
      </w:r>
      <w:r>
        <w:t xml:space="preserve">, </w:t>
      </w:r>
      <w:r w:rsidRPr="00835098">
        <w:t>Kovac</w:t>
      </w:r>
      <w:r>
        <w:t xml:space="preserve">, </w:t>
      </w:r>
      <w:r w:rsidR="00B75FB6">
        <w:rPr>
          <w:color w:val="000000" w:themeColor="text1"/>
        </w:rPr>
        <w:t>Mariscalco</w:t>
      </w:r>
      <w:r>
        <w:t>)</w:t>
      </w:r>
    </w:p>
    <w:p w14:paraId="6B2F176A" w14:textId="77777777" w:rsidR="00494E3C" w:rsidRPr="002B4B1E" w:rsidRDefault="00494E3C" w:rsidP="002B4B1E">
      <w:pPr>
        <w:pStyle w:val="ListParagraph"/>
        <w:numPr>
          <w:ilvl w:val="0"/>
          <w:numId w:val="51"/>
        </w:numPr>
        <w:spacing w:after="0" w:line="360" w:lineRule="auto"/>
        <w:rPr>
          <w:color w:val="000000"/>
        </w:rPr>
      </w:pPr>
      <w:r w:rsidRPr="002B4B1E">
        <w:rPr>
          <w:b/>
        </w:rPr>
        <w:t xml:space="preserve">Sussex Cardiac Centre, </w:t>
      </w:r>
      <w:r w:rsidRPr="002B4B1E">
        <w:rPr>
          <w:b/>
          <w:color w:val="000000"/>
        </w:rPr>
        <w:t xml:space="preserve">Brighton and Sussex University Hospitals NHS Trust, Brighton, UK </w:t>
      </w:r>
      <w:r w:rsidRPr="002B4B1E">
        <w:rPr>
          <w:color w:val="000000"/>
        </w:rPr>
        <w:t>(</w:t>
      </w:r>
      <w:r w:rsidRPr="00835098">
        <w:t>Hildick-Smith</w:t>
      </w:r>
      <w:r w:rsidRPr="002B4B1E">
        <w:rPr>
          <w:color w:val="000000"/>
        </w:rPr>
        <w:t xml:space="preserve">, </w:t>
      </w:r>
      <w:r>
        <w:t>T</w:t>
      </w:r>
      <w:r w:rsidRPr="00835098">
        <w:t>rivedi</w:t>
      </w:r>
      <w:r w:rsidRPr="002B4B1E">
        <w:rPr>
          <w:color w:val="000000"/>
        </w:rPr>
        <w:t>)</w:t>
      </w:r>
    </w:p>
    <w:p w14:paraId="08A23B2B" w14:textId="77777777" w:rsidR="00494E3C" w:rsidRDefault="00494E3C" w:rsidP="002B4B1E">
      <w:pPr>
        <w:pStyle w:val="ListParagraph"/>
        <w:numPr>
          <w:ilvl w:val="0"/>
          <w:numId w:val="51"/>
        </w:numPr>
        <w:spacing w:after="0" w:line="360" w:lineRule="auto"/>
      </w:pPr>
      <w:r w:rsidRPr="002B4B1E">
        <w:rPr>
          <w:b/>
        </w:rPr>
        <w:t>Institute of Cardiovascular Science, University College London, London</w:t>
      </w:r>
      <w:r w:rsidR="00AE6C13">
        <w:rPr>
          <w:b/>
        </w:rPr>
        <w:t>, UK</w:t>
      </w:r>
      <w:r>
        <w:t xml:space="preserve"> (</w:t>
      </w:r>
      <w:r w:rsidRPr="00835098">
        <w:t>Mulle</w:t>
      </w:r>
      <w:r>
        <w:t>n)</w:t>
      </w:r>
    </w:p>
    <w:p w14:paraId="52C48543" w14:textId="77777777" w:rsidR="00494E3C" w:rsidRPr="00542E48" w:rsidRDefault="00494E3C" w:rsidP="002B4B1E">
      <w:pPr>
        <w:pStyle w:val="ListParagraph"/>
        <w:numPr>
          <w:ilvl w:val="0"/>
          <w:numId w:val="51"/>
        </w:numPr>
        <w:spacing w:after="0" w:line="360" w:lineRule="auto"/>
        <w:rPr>
          <w:bCs/>
        </w:rPr>
      </w:pPr>
      <w:r w:rsidRPr="002B4B1E">
        <w:rPr>
          <w:b/>
          <w:bCs/>
        </w:rPr>
        <w:t xml:space="preserve">Department of Cardiothoracic Surgery, King’s College Hospital NHS Foundation Trust, London, UK </w:t>
      </w:r>
      <w:r w:rsidRPr="00522646">
        <w:rPr>
          <w:bCs/>
        </w:rPr>
        <w:t>(</w:t>
      </w:r>
      <w:r w:rsidRPr="00835098">
        <w:t>Wendler</w:t>
      </w:r>
      <w:r w:rsidRPr="00522646">
        <w:rPr>
          <w:bCs/>
        </w:rPr>
        <w:t>)</w:t>
      </w:r>
    </w:p>
    <w:p w14:paraId="58392E5C"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Oxford Clinical Trials Research Unit, Nuffield Department of Orthopaedics, Rheumatology and Musculoskeletal Sciences, University of Oxford, Oxford, Oxford, UK </w:t>
      </w:r>
      <w:r w:rsidRPr="002B4B1E">
        <w:rPr>
          <w:color w:val="000000" w:themeColor="text1"/>
        </w:rPr>
        <w:t>(</w:t>
      </w:r>
      <w:r w:rsidRPr="00835098">
        <w:t>Mansouri</w:t>
      </w:r>
      <w:r>
        <w:t xml:space="preserve">, </w:t>
      </w:r>
      <w:r w:rsidRPr="00835098">
        <w:t>Rombach</w:t>
      </w:r>
      <w:r w:rsidRPr="002B4B1E">
        <w:rPr>
          <w:color w:val="000000" w:themeColor="text1"/>
        </w:rPr>
        <w:t>)</w:t>
      </w:r>
    </w:p>
    <w:p w14:paraId="4BE83F07" w14:textId="740D830C" w:rsidR="002B47AC" w:rsidRPr="002B4B1E" w:rsidRDefault="00494E3C" w:rsidP="002B4B1E">
      <w:pPr>
        <w:pStyle w:val="ListParagraph"/>
        <w:numPr>
          <w:ilvl w:val="0"/>
          <w:numId w:val="51"/>
        </w:numPr>
        <w:spacing w:after="0" w:line="360" w:lineRule="auto"/>
      </w:pPr>
      <w:r w:rsidRPr="002B4B1E">
        <w:rPr>
          <w:b/>
        </w:rPr>
        <w:t>Centre for Health Economics, University of York, York</w:t>
      </w:r>
      <w:r w:rsidR="002B47AC">
        <w:rPr>
          <w:b/>
        </w:rPr>
        <w:t xml:space="preserve">, UK </w:t>
      </w:r>
      <w:r w:rsidR="002B47AC">
        <w:t>(</w:t>
      </w:r>
      <w:r w:rsidR="002B47AC" w:rsidRPr="00835098">
        <w:t>Abrams</w:t>
      </w:r>
      <w:r w:rsidR="002B47AC">
        <w:t>)</w:t>
      </w:r>
    </w:p>
    <w:p w14:paraId="24B46327" w14:textId="27991854" w:rsidR="00494E3C" w:rsidRDefault="00494E3C" w:rsidP="002B4B1E">
      <w:pPr>
        <w:pStyle w:val="ListParagraph"/>
        <w:numPr>
          <w:ilvl w:val="0"/>
          <w:numId w:val="51"/>
        </w:numPr>
        <w:spacing w:after="0" w:line="360" w:lineRule="auto"/>
      </w:pPr>
      <w:r w:rsidRPr="002B4B1E">
        <w:rPr>
          <w:b/>
        </w:rPr>
        <w:t>Department of Statistics, University of Warwick, Coventry, UK</w:t>
      </w:r>
      <w:r>
        <w:t xml:space="preserve"> (</w:t>
      </w:r>
      <w:r w:rsidRPr="00835098">
        <w:t>Abrams</w:t>
      </w:r>
      <w:r>
        <w:t>)</w:t>
      </w:r>
    </w:p>
    <w:p w14:paraId="374C9FF1" w14:textId="77777777" w:rsidR="00AE6C13" w:rsidRDefault="00AE6C13" w:rsidP="00AE6C13">
      <w:pPr>
        <w:pStyle w:val="ListParagraph"/>
        <w:numPr>
          <w:ilvl w:val="0"/>
          <w:numId w:val="51"/>
        </w:numPr>
        <w:spacing w:after="0" w:line="360" w:lineRule="auto"/>
      </w:pPr>
      <w:r w:rsidRPr="001C7207">
        <w:rPr>
          <w:b/>
        </w:rPr>
        <w:t>Department of Health Sciences</w:t>
      </w:r>
      <w:r>
        <w:t xml:space="preserve">, </w:t>
      </w:r>
      <w:r w:rsidRPr="001C7207">
        <w:rPr>
          <w:b/>
        </w:rPr>
        <w:t>University of Leicester, Leicester, UK</w:t>
      </w:r>
      <w:r>
        <w:t xml:space="preserve"> (Abrams, Conroy)</w:t>
      </w:r>
    </w:p>
    <w:p w14:paraId="11A0B30D"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Norwich Medical School, University of East Anglia, Norwich, UK </w:t>
      </w:r>
      <w:r w:rsidRPr="002B4B1E">
        <w:rPr>
          <w:color w:val="000000" w:themeColor="text1"/>
        </w:rPr>
        <w:t>(</w:t>
      </w:r>
      <w:r w:rsidRPr="00835098">
        <w:t>Flather</w:t>
      </w:r>
      <w:r w:rsidRPr="002B4B1E">
        <w:rPr>
          <w:color w:val="000000" w:themeColor="text1"/>
        </w:rPr>
        <w:t>)</w:t>
      </w:r>
    </w:p>
    <w:p w14:paraId="5D01ACAC"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Health Economics Research Centre, Nuffield Department of Population Health, University of Oxford, Oxford, Oxford, UK </w:t>
      </w:r>
      <w:r w:rsidRPr="002B4B1E">
        <w:rPr>
          <w:color w:val="000000" w:themeColor="text1"/>
        </w:rPr>
        <w:t>(</w:t>
      </w:r>
      <w:r w:rsidRPr="00835098">
        <w:t>Gray</w:t>
      </w:r>
      <w:r w:rsidRPr="002B4B1E">
        <w:rPr>
          <w:color w:val="000000" w:themeColor="text1"/>
        </w:rPr>
        <w:t>)</w:t>
      </w:r>
    </w:p>
    <w:p w14:paraId="244A301B" w14:textId="77777777" w:rsidR="00494E3C" w:rsidRPr="00542E48" w:rsidRDefault="00494E3C" w:rsidP="002B4B1E">
      <w:pPr>
        <w:pStyle w:val="ListParagraph"/>
        <w:numPr>
          <w:ilvl w:val="0"/>
          <w:numId w:val="51"/>
        </w:numPr>
        <w:spacing w:after="0" w:line="360" w:lineRule="auto"/>
        <w:rPr>
          <w:bCs/>
        </w:rPr>
      </w:pPr>
      <w:r w:rsidRPr="002B4B1E">
        <w:rPr>
          <w:b/>
          <w:bCs/>
        </w:rPr>
        <w:t xml:space="preserve">Department of Cardiology, King’s College Hospital NHS Foundation Trust, London, UK </w:t>
      </w:r>
      <w:r w:rsidRPr="00522646">
        <w:rPr>
          <w:bCs/>
        </w:rPr>
        <w:t>(</w:t>
      </w:r>
      <w:r w:rsidRPr="00835098">
        <w:t>MacCarthy</w:t>
      </w:r>
      <w:r w:rsidRPr="00522646">
        <w:rPr>
          <w:bCs/>
        </w:rPr>
        <w:t xml:space="preserve">, </w:t>
      </w:r>
      <w:r w:rsidRPr="00835098">
        <w:t>Monaghan</w:t>
      </w:r>
      <w:r w:rsidRPr="00522646">
        <w:rPr>
          <w:bCs/>
        </w:rPr>
        <w:t>)</w:t>
      </w:r>
    </w:p>
    <w:p w14:paraId="4D244BAF"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Cardiology, St Thomas' Hospital, London, UK</w:t>
      </w:r>
      <w:r w:rsidRPr="002B4B1E">
        <w:rPr>
          <w:color w:val="000000" w:themeColor="text1"/>
        </w:rPr>
        <w:t xml:space="preserve"> (</w:t>
      </w:r>
      <w:r w:rsidRPr="00835098">
        <w:t>Prendergast</w:t>
      </w:r>
      <w:r w:rsidRPr="002B4B1E">
        <w:rPr>
          <w:color w:val="000000" w:themeColor="text1"/>
        </w:rPr>
        <w:t>)</w:t>
      </w:r>
    </w:p>
    <w:p w14:paraId="0478442E" w14:textId="77777777" w:rsidR="00494E3C" w:rsidRPr="002B4B1E" w:rsidRDefault="00494E3C" w:rsidP="002B4B1E">
      <w:pPr>
        <w:pStyle w:val="ListParagraph"/>
        <w:numPr>
          <w:ilvl w:val="0"/>
          <w:numId w:val="51"/>
        </w:numPr>
        <w:spacing w:after="0" w:line="360" w:lineRule="auto"/>
        <w:rPr>
          <w:bCs/>
          <w:color w:val="000000" w:themeColor="text1"/>
        </w:rPr>
      </w:pPr>
      <w:r w:rsidRPr="002B4B1E">
        <w:rPr>
          <w:b/>
          <w:bCs/>
          <w:color w:val="000000" w:themeColor="text1"/>
        </w:rPr>
        <w:t xml:space="preserve">Department of Cardiology, Manchester University NHS Foundation Trust, Manchester, UK </w:t>
      </w:r>
      <w:r w:rsidRPr="002B4B1E">
        <w:rPr>
          <w:bCs/>
          <w:color w:val="000000" w:themeColor="text1"/>
        </w:rPr>
        <w:t>(</w:t>
      </w:r>
      <w:r w:rsidRPr="00835098">
        <w:t>Ray</w:t>
      </w:r>
      <w:r w:rsidRPr="002B4B1E">
        <w:rPr>
          <w:bCs/>
          <w:color w:val="000000" w:themeColor="text1"/>
        </w:rPr>
        <w:t>)</w:t>
      </w:r>
    </w:p>
    <w:p w14:paraId="14DC56C1"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Cardiothoracic Surgery, St Thomas' Hospital, London, UK</w:t>
      </w:r>
      <w:r w:rsidRPr="002B4B1E">
        <w:rPr>
          <w:color w:val="000000" w:themeColor="text1"/>
        </w:rPr>
        <w:t xml:space="preserve"> (</w:t>
      </w:r>
      <w:r w:rsidRPr="00835098">
        <w:t>Young</w:t>
      </w:r>
      <w:r w:rsidRPr="002B4B1E">
        <w:rPr>
          <w:color w:val="000000" w:themeColor="text1"/>
        </w:rPr>
        <w:t>)</w:t>
      </w:r>
    </w:p>
    <w:p w14:paraId="63F8ECDF"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School of Medicine, University of St Andrews, Fife, UK</w:t>
      </w:r>
      <w:r w:rsidRPr="002B4B1E">
        <w:rPr>
          <w:color w:val="000000" w:themeColor="text1"/>
        </w:rPr>
        <w:t xml:space="preserve"> (</w:t>
      </w:r>
      <w:r w:rsidRPr="00835098">
        <w:t>Crossman</w:t>
      </w:r>
      <w:r w:rsidRPr="002B4B1E">
        <w:rPr>
          <w:color w:val="000000" w:themeColor="text1"/>
        </w:rPr>
        <w:t>)</w:t>
      </w:r>
    </w:p>
    <w:p w14:paraId="5FA42125"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Robertson Centre for Biostatistics and Glasgow Clinical Trials Unit, Institute of Health &amp; Wellbeing, University of Glasgow, Glasgow</w:t>
      </w:r>
      <w:r w:rsidR="00AE6C13">
        <w:rPr>
          <w:b/>
          <w:color w:val="000000" w:themeColor="text1"/>
        </w:rPr>
        <w:t>, UK</w:t>
      </w:r>
      <w:r w:rsidRPr="002B4B1E">
        <w:rPr>
          <w:color w:val="000000" w:themeColor="text1"/>
        </w:rPr>
        <w:t xml:space="preserve"> (</w:t>
      </w:r>
      <w:r w:rsidRPr="00835098">
        <w:t>Cleland</w:t>
      </w:r>
      <w:r w:rsidRPr="002B4B1E">
        <w:rPr>
          <w:color w:val="000000" w:themeColor="text1"/>
        </w:rPr>
        <w:t>)</w:t>
      </w:r>
    </w:p>
    <w:p w14:paraId="36986521"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National Institute for Cardiovascular Outcomes Research, Barts Health NHS Trust, London, UK</w:t>
      </w:r>
      <w:r w:rsidRPr="002B4B1E">
        <w:rPr>
          <w:color w:val="000000" w:themeColor="text1"/>
        </w:rPr>
        <w:t xml:space="preserve"> (</w:t>
      </w:r>
      <w:r w:rsidRPr="00835098">
        <w:t>de Belder</w:t>
      </w:r>
      <w:r w:rsidRPr="002B4B1E">
        <w:rPr>
          <w:color w:val="000000" w:themeColor="text1"/>
        </w:rPr>
        <w:t>)</w:t>
      </w:r>
    </w:p>
    <w:p w14:paraId="0F6C70EB"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Institute of Cardiovascular Sciences, Birmingham University, Birmingham, UK</w:t>
      </w:r>
      <w:r w:rsidRPr="002B4B1E">
        <w:rPr>
          <w:color w:val="000000" w:themeColor="text1"/>
        </w:rPr>
        <w:t xml:space="preserve"> (</w:t>
      </w:r>
      <w:r w:rsidRPr="00835098">
        <w:t>Ludman</w:t>
      </w:r>
      <w:r w:rsidRPr="002B4B1E">
        <w:rPr>
          <w:color w:val="000000" w:themeColor="text1"/>
        </w:rPr>
        <w:t>)</w:t>
      </w:r>
    </w:p>
    <w:p w14:paraId="4E349740"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Surgical Intervention Trials Unit, Nuffield Department of Surgical Sciences, University of Oxford, Oxford, UK </w:t>
      </w:r>
      <w:r w:rsidRPr="002B4B1E">
        <w:rPr>
          <w:color w:val="000000" w:themeColor="text1"/>
        </w:rPr>
        <w:t>(</w:t>
      </w:r>
      <w:r w:rsidRPr="00835098">
        <w:t>Jones</w:t>
      </w:r>
      <w:r w:rsidRPr="002B4B1E">
        <w:rPr>
          <w:color w:val="000000" w:themeColor="text1"/>
        </w:rPr>
        <w:t>)</w:t>
      </w:r>
    </w:p>
    <w:p w14:paraId="529B4EB6"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Cardiology, Royal Papworth Hospital, Cambridge, UK</w:t>
      </w:r>
      <w:r w:rsidRPr="002B4B1E">
        <w:rPr>
          <w:color w:val="000000" w:themeColor="text1"/>
        </w:rPr>
        <w:t xml:space="preserve"> (</w:t>
      </w:r>
      <w:r w:rsidRPr="00835098">
        <w:t>Densem</w:t>
      </w:r>
      <w:r w:rsidRPr="002B4B1E">
        <w:rPr>
          <w:color w:val="000000" w:themeColor="text1"/>
        </w:rPr>
        <w:t>)</w:t>
      </w:r>
    </w:p>
    <w:p w14:paraId="2B277B81" w14:textId="77777777" w:rsidR="00494E3C" w:rsidRDefault="00494E3C" w:rsidP="002B4B1E">
      <w:pPr>
        <w:pStyle w:val="ListParagraph"/>
        <w:numPr>
          <w:ilvl w:val="0"/>
          <w:numId w:val="51"/>
        </w:numPr>
        <w:spacing w:after="0" w:line="360" w:lineRule="auto"/>
      </w:pPr>
      <w:r w:rsidRPr="002B4B1E">
        <w:rPr>
          <w:b/>
          <w:color w:val="000000" w:themeColor="text1"/>
        </w:rPr>
        <w:t>Department of Cardiothoracic Surgery, Royal Papworth Hospital, Cambridge, UK</w:t>
      </w:r>
      <w:r w:rsidRPr="002B4B1E">
        <w:rPr>
          <w:color w:val="000000" w:themeColor="text1"/>
        </w:rPr>
        <w:t xml:space="preserve"> (</w:t>
      </w:r>
      <w:r w:rsidRPr="00835098">
        <w:t>Tsui</w:t>
      </w:r>
      <w:r>
        <w:t>)</w:t>
      </w:r>
    </w:p>
    <w:p w14:paraId="24B9C01C"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Cardiothoracic Surgery, Liverpool Heart and Chest Hospital NHS Foundation Trust, Liverpool, UK</w:t>
      </w:r>
      <w:r w:rsidRPr="002B4B1E">
        <w:rPr>
          <w:color w:val="000000" w:themeColor="text1"/>
        </w:rPr>
        <w:t xml:space="preserve"> (</w:t>
      </w:r>
      <w:r w:rsidRPr="00835098">
        <w:t>Kuduvalli</w:t>
      </w:r>
      <w:r w:rsidRPr="002B4B1E">
        <w:rPr>
          <w:color w:val="000000" w:themeColor="text1"/>
        </w:rPr>
        <w:t>)</w:t>
      </w:r>
    </w:p>
    <w:p w14:paraId="050BA726"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Cardiology, Liverpool Heart and Chest Hospital NHS Foundation Trust, Liverpool, UK</w:t>
      </w:r>
      <w:r w:rsidRPr="002B4B1E">
        <w:rPr>
          <w:color w:val="000000" w:themeColor="text1"/>
        </w:rPr>
        <w:t xml:space="preserve"> (</w:t>
      </w:r>
      <w:r w:rsidRPr="00835098">
        <w:t>Mills</w:t>
      </w:r>
      <w:r w:rsidRPr="002B4B1E">
        <w:rPr>
          <w:color w:val="000000" w:themeColor="text1"/>
        </w:rPr>
        <w:t>)</w:t>
      </w:r>
    </w:p>
    <w:p w14:paraId="2B182064" w14:textId="77777777" w:rsidR="00494E3C" w:rsidRDefault="00494E3C" w:rsidP="002B4B1E">
      <w:pPr>
        <w:pStyle w:val="ListParagraph"/>
        <w:numPr>
          <w:ilvl w:val="0"/>
          <w:numId w:val="51"/>
        </w:numPr>
        <w:spacing w:after="0" w:line="360" w:lineRule="auto"/>
      </w:pPr>
      <w:r w:rsidRPr="002B4B1E">
        <w:rPr>
          <w:b/>
        </w:rPr>
        <w:t>Department of Cardiology, John Radcliffe Hospital, Oxford University Hospitals NHS Foundation Trust, Oxford, UK</w:t>
      </w:r>
      <w:r>
        <w:t xml:space="preserve"> (</w:t>
      </w:r>
      <w:r w:rsidRPr="00835098">
        <w:t>Banning</w:t>
      </w:r>
      <w:r>
        <w:t>)</w:t>
      </w:r>
    </w:p>
    <w:p w14:paraId="579F7006" w14:textId="77777777" w:rsidR="00494E3C" w:rsidRDefault="00494E3C" w:rsidP="002B4B1E">
      <w:pPr>
        <w:pStyle w:val="ListParagraph"/>
        <w:numPr>
          <w:ilvl w:val="0"/>
          <w:numId w:val="51"/>
        </w:numPr>
        <w:spacing w:after="0" w:line="360" w:lineRule="auto"/>
      </w:pPr>
      <w:r w:rsidRPr="002B4B1E">
        <w:rPr>
          <w:b/>
        </w:rPr>
        <w:t>Department of Cardiothoracic Surgery, John Radcliffe Hospital, Oxford University Hospitals NHS Foundation Trust, Oxford, UK</w:t>
      </w:r>
      <w:r w:rsidRPr="00996412">
        <w:t xml:space="preserve"> </w:t>
      </w:r>
      <w:r>
        <w:t>(</w:t>
      </w:r>
      <w:r w:rsidRPr="00835098">
        <w:t>S</w:t>
      </w:r>
      <w:r>
        <w:t>a</w:t>
      </w:r>
      <w:r w:rsidRPr="00835098">
        <w:t>yeed</w:t>
      </w:r>
      <w:r>
        <w:t>)</w:t>
      </w:r>
    </w:p>
    <w:p w14:paraId="1A996BE6" w14:textId="77777777" w:rsidR="00494E3C" w:rsidRPr="002B4B1E" w:rsidRDefault="00494E3C" w:rsidP="002B4B1E">
      <w:pPr>
        <w:pStyle w:val="ListParagraph"/>
        <w:numPr>
          <w:ilvl w:val="0"/>
          <w:numId w:val="51"/>
        </w:numPr>
        <w:spacing w:after="0" w:line="360" w:lineRule="auto"/>
        <w:rPr>
          <w:bCs/>
          <w:color w:val="000000" w:themeColor="text1"/>
        </w:rPr>
      </w:pPr>
      <w:r w:rsidRPr="002B4B1E">
        <w:rPr>
          <w:b/>
          <w:bCs/>
          <w:color w:val="000000" w:themeColor="text1"/>
        </w:rPr>
        <w:t>Department of Cardiothoracic Surgery, Manchester University NHS Foundation Trust, Manchester, UK</w:t>
      </w:r>
      <w:r w:rsidRPr="002B4B1E">
        <w:rPr>
          <w:bCs/>
          <w:color w:val="000000" w:themeColor="text1"/>
        </w:rPr>
        <w:t xml:space="preserve"> (</w:t>
      </w:r>
      <w:r w:rsidRPr="00835098">
        <w:t>Hasan</w:t>
      </w:r>
      <w:r w:rsidRPr="002B4B1E">
        <w:rPr>
          <w:bCs/>
          <w:color w:val="000000" w:themeColor="text1"/>
        </w:rPr>
        <w:t>)</w:t>
      </w:r>
    </w:p>
    <w:p w14:paraId="0ACD289B"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Cardiovascular Medicine, University of Manchester, Manchester, UK</w:t>
      </w:r>
      <w:r w:rsidRPr="002B4B1E">
        <w:rPr>
          <w:color w:val="000000" w:themeColor="text1"/>
        </w:rPr>
        <w:t xml:space="preserve"> (</w:t>
      </w:r>
      <w:r w:rsidRPr="00835098">
        <w:t>Fraser</w:t>
      </w:r>
      <w:r w:rsidRPr="002B4B1E">
        <w:rPr>
          <w:color w:val="000000" w:themeColor="text1"/>
        </w:rPr>
        <w:t>)</w:t>
      </w:r>
    </w:p>
    <w:p w14:paraId="7B9B71CF"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Cardiac Department, Royal Brompton Hospital, Royal Brompton and Harefield NHS Foundation Trust, London, UK</w:t>
      </w:r>
      <w:r w:rsidRPr="002B4B1E">
        <w:rPr>
          <w:color w:val="000000" w:themeColor="text1"/>
        </w:rPr>
        <w:t xml:space="preserve"> (</w:t>
      </w:r>
      <w:r w:rsidRPr="00835098">
        <w:t>Davies</w:t>
      </w:r>
      <w:r w:rsidRPr="002B4B1E">
        <w:rPr>
          <w:color w:val="000000" w:themeColor="text1"/>
        </w:rPr>
        <w:t xml:space="preserve">, </w:t>
      </w:r>
      <w:r>
        <w:t>Duncan</w:t>
      </w:r>
      <w:r w:rsidRPr="002B4B1E">
        <w:rPr>
          <w:color w:val="000000" w:themeColor="text1"/>
        </w:rPr>
        <w:t>)</w:t>
      </w:r>
    </w:p>
    <w:p w14:paraId="156A188C"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Wessex Cardiothoracic Centre, University Hospital Southampton, Southampton, UK </w:t>
      </w:r>
      <w:r w:rsidRPr="002B4B1E">
        <w:rPr>
          <w:color w:val="000000" w:themeColor="text1"/>
        </w:rPr>
        <w:t>(</w:t>
      </w:r>
      <w:r w:rsidRPr="00835098">
        <w:t>Curzen</w:t>
      </w:r>
      <w:r>
        <w:t>,</w:t>
      </w:r>
      <w:r w:rsidRPr="00835098">
        <w:t xml:space="preserve"> Ohri</w:t>
      </w:r>
      <w:r w:rsidRPr="002B4B1E">
        <w:rPr>
          <w:color w:val="000000" w:themeColor="text1"/>
        </w:rPr>
        <w:t>)</w:t>
      </w:r>
    </w:p>
    <w:p w14:paraId="223C8090" w14:textId="77777777" w:rsidR="00494E3C" w:rsidRDefault="00494E3C" w:rsidP="002B4B1E">
      <w:pPr>
        <w:pStyle w:val="ListParagraph"/>
        <w:numPr>
          <w:ilvl w:val="0"/>
          <w:numId w:val="51"/>
        </w:numPr>
        <w:spacing w:after="0" w:line="360" w:lineRule="auto"/>
      </w:pPr>
      <w:r w:rsidRPr="002B4B1E">
        <w:rPr>
          <w:b/>
        </w:rPr>
        <w:t>Department of Cardiology, Leeds Teaching Hospitals NHS Trust, Leeds, UK</w:t>
      </w:r>
      <w:r>
        <w:t xml:space="preserve"> (</w:t>
      </w:r>
      <w:r w:rsidRPr="00835098">
        <w:t>Malkin</w:t>
      </w:r>
      <w:r>
        <w:t>)</w:t>
      </w:r>
    </w:p>
    <w:p w14:paraId="061CD5A7" w14:textId="77777777" w:rsidR="00494E3C" w:rsidRDefault="00494E3C" w:rsidP="002B4B1E">
      <w:pPr>
        <w:pStyle w:val="ListParagraph"/>
        <w:numPr>
          <w:ilvl w:val="0"/>
          <w:numId w:val="51"/>
        </w:numPr>
        <w:spacing w:after="0" w:line="360" w:lineRule="auto"/>
      </w:pPr>
      <w:r w:rsidRPr="002B4B1E">
        <w:rPr>
          <w:b/>
        </w:rPr>
        <w:t xml:space="preserve">Department of Cardiac Surgery, Leeds Teaching Hospitals NHS Trust, Leeds, UK </w:t>
      </w:r>
      <w:r>
        <w:t>(</w:t>
      </w:r>
      <w:r w:rsidRPr="00835098">
        <w:t>Kaul</w:t>
      </w:r>
      <w:r>
        <w:t>)</w:t>
      </w:r>
    </w:p>
    <w:p w14:paraId="1B3D2A22"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Cardiology, The James Cook University Hospital, South Tees Hospitals NHS Foundation Trust, Middlesbrough, UK</w:t>
      </w:r>
      <w:r w:rsidRPr="002B4B1E">
        <w:rPr>
          <w:color w:val="000000" w:themeColor="text1"/>
        </w:rPr>
        <w:t xml:space="preserve"> (</w:t>
      </w:r>
      <w:r w:rsidRPr="00835098">
        <w:t>Muir</w:t>
      </w:r>
      <w:r w:rsidRPr="002B4B1E">
        <w:rPr>
          <w:color w:val="000000" w:themeColor="text1"/>
        </w:rPr>
        <w:t>)</w:t>
      </w:r>
    </w:p>
    <w:p w14:paraId="14861240"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Cardiothoracic Surgery, The James Cook University Hospital, South Tees Hospitals NHS Foundation Trust, Middlesbrough, UK</w:t>
      </w:r>
      <w:r w:rsidRPr="002B4B1E">
        <w:rPr>
          <w:color w:val="000000" w:themeColor="text1"/>
        </w:rPr>
        <w:t xml:space="preserve"> (</w:t>
      </w:r>
      <w:r w:rsidRPr="00835098">
        <w:t>Owens</w:t>
      </w:r>
      <w:r w:rsidRPr="002B4B1E">
        <w:rPr>
          <w:color w:val="000000" w:themeColor="text1"/>
        </w:rPr>
        <w:t>)</w:t>
      </w:r>
    </w:p>
    <w:p w14:paraId="7676E80E"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Edinburgh Heart Centre, Royal Infirmary of Edinburgh, Edinburgh, UK</w:t>
      </w:r>
      <w:r w:rsidRPr="002B4B1E">
        <w:rPr>
          <w:color w:val="000000" w:themeColor="text1"/>
        </w:rPr>
        <w:t xml:space="preserve"> (</w:t>
      </w:r>
      <w:r w:rsidRPr="00835098">
        <w:t>Uren</w:t>
      </w:r>
      <w:r>
        <w:t>,</w:t>
      </w:r>
      <w:r w:rsidRPr="00835098">
        <w:t xml:space="preserve"> Pessotto</w:t>
      </w:r>
      <w:r w:rsidRPr="002B4B1E">
        <w:rPr>
          <w:color w:val="000000" w:themeColor="text1"/>
        </w:rPr>
        <w:t>)</w:t>
      </w:r>
    </w:p>
    <w:p w14:paraId="4AB153E0"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Barts Heart Centre, Barts Health NHS Trust, London, UK </w:t>
      </w:r>
      <w:r w:rsidRPr="002B4B1E">
        <w:rPr>
          <w:color w:val="000000" w:themeColor="text1"/>
        </w:rPr>
        <w:t>(</w:t>
      </w:r>
      <w:r w:rsidRPr="00835098">
        <w:t>Kennon</w:t>
      </w:r>
      <w:r>
        <w:t>,</w:t>
      </w:r>
      <w:r w:rsidRPr="00835098">
        <w:t xml:space="preserve"> Awad</w:t>
      </w:r>
      <w:r w:rsidRPr="002B4B1E">
        <w:rPr>
          <w:color w:val="000000" w:themeColor="text1"/>
        </w:rPr>
        <w:t>)</w:t>
      </w:r>
    </w:p>
    <w:p w14:paraId="0FEB9CB5"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Heart and Lung Centre, New Cross Hospital, Wolverhampton, UK</w:t>
      </w:r>
      <w:r w:rsidRPr="002B4B1E">
        <w:rPr>
          <w:color w:val="000000" w:themeColor="text1"/>
        </w:rPr>
        <w:t xml:space="preserve"> (Khogali, </w:t>
      </w:r>
      <w:r w:rsidR="00B75FB6" w:rsidRPr="00542E48">
        <w:rPr>
          <w:color w:val="000000" w:themeColor="text1"/>
        </w:rPr>
        <w:t>Matuszewski</w:t>
      </w:r>
      <w:r w:rsidRPr="002B4B1E">
        <w:rPr>
          <w:color w:val="000000" w:themeColor="text1"/>
        </w:rPr>
        <w:t>)</w:t>
      </w:r>
    </w:p>
    <w:p w14:paraId="5CE7878C"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Cardiothoracic Department, Newcastle upon Tyne Hospitals, Newcastle, UK</w:t>
      </w:r>
      <w:r w:rsidRPr="002B4B1E">
        <w:rPr>
          <w:color w:val="000000" w:themeColor="text1"/>
        </w:rPr>
        <w:t xml:space="preserve"> (Edwards, Ramesh)</w:t>
      </w:r>
    </w:p>
    <w:p w14:paraId="3947DDC0"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Department of Cardiology, Harefield Hospital, Royal Brompton and Harefield NHS Foundation Trust, London, UK </w:t>
      </w:r>
      <w:r w:rsidRPr="002B4B1E">
        <w:rPr>
          <w:color w:val="000000" w:themeColor="text1"/>
        </w:rPr>
        <w:t>(Dalby)</w:t>
      </w:r>
    </w:p>
    <w:p w14:paraId="1512EB11"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Cardiac Surgery, Harefield Hospital, Royal Brompton and Harefield NHS Foundation Trust, London, UK</w:t>
      </w:r>
      <w:r w:rsidRPr="002B4B1E">
        <w:rPr>
          <w:color w:val="000000" w:themeColor="text1"/>
        </w:rPr>
        <w:t xml:space="preserve"> (Raja)</w:t>
      </w:r>
    </w:p>
    <w:p w14:paraId="11D09643"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Department of Cardiothoracic Surgery, Derriford Hospital, Plymouth, UK</w:t>
      </w:r>
      <w:r w:rsidRPr="002B4B1E">
        <w:rPr>
          <w:color w:val="000000" w:themeColor="text1"/>
        </w:rPr>
        <w:t xml:space="preserve"> (Lloyd)</w:t>
      </w:r>
    </w:p>
    <w:p w14:paraId="0A214CD4"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 xml:space="preserve">Department of Cardiology, Derriford Hospital, Plymouth, UK </w:t>
      </w:r>
      <w:r w:rsidR="00542E48" w:rsidRPr="00542E48">
        <w:rPr>
          <w:color w:val="000000" w:themeColor="text1"/>
        </w:rPr>
        <w:t>(Cox</w:t>
      </w:r>
      <w:r w:rsidRPr="002B4B1E">
        <w:rPr>
          <w:color w:val="000000" w:themeColor="text1"/>
        </w:rPr>
        <w:t>)</w:t>
      </w:r>
    </w:p>
    <w:p w14:paraId="3A8D153E" w14:textId="77777777" w:rsidR="00494E3C" w:rsidRPr="002B4B1E" w:rsidRDefault="00494E3C" w:rsidP="002B4B1E">
      <w:pPr>
        <w:pStyle w:val="ListParagraph"/>
        <w:numPr>
          <w:ilvl w:val="0"/>
          <w:numId w:val="51"/>
        </w:numPr>
        <w:spacing w:after="0" w:line="360" w:lineRule="auto"/>
        <w:rPr>
          <w:bCs/>
          <w:color w:val="000000" w:themeColor="text1"/>
        </w:rPr>
      </w:pPr>
      <w:r w:rsidRPr="002B4B1E">
        <w:rPr>
          <w:b/>
          <w:bCs/>
          <w:color w:val="000000" w:themeColor="text1"/>
        </w:rPr>
        <w:t>Cardiovascular Division, The Rayne Institute BHF Centre of Research Excellence, King's College London, St. Thomas' Hospital, London, UK</w:t>
      </w:r>
      <w:r w:rsidRPr="002B4B1E">
        <w:rPr>
          <w:bCs/>
          <w:color w:val="000000" w:themeColor="text1"/>
        </w:rPr>
        <w:t xml:space="preserve"> (</w:t>
      </w:r>
      <w:r w:rsidRPr="002B4B1E">
        <w:rPr>
          <w:color w:val="000000" w:themeColor="text1"/>
        </w:rPr>
        <w:t>Redwood</w:t>
      </w:r>
      <w:r w:rsidRPr="002B4B1E">
        <w:rPr>
          <w:bCs/>
          <w:color w:val="000000" w:themeColor="text1"/>
        </w:rPr>
        <w:t>)</w:t>
      </w:r>
    </w:p>
    <w:p w14:paraId="5174B627" w14:textId="77777777" w:rsidR="00494E3C" w:rsidRPr="002B4B1E" w:rsidRDefault="00494E3C" w:rsidP="002B4B1E">
      <w:pPr>
        <w:pStyle w:val="ListParagraph"/>
        <w:numPr>
          <w:ilvl w:val="0"/>
          <w:numId w:val="51"/>
        </w:numPr>
        <w:spacing w:after="0" w:line="360" w:lineRule="auto"/>
        <w:rPr>
          <w:color w:val="000000" w:themeColor="text1"/>
        </w:rPr>
      </w:pPr>
      <w:r w:rsidRPr="002B4B1E">
        <w:rPr>
          <w:b/>
          <w:color w:val="000000" w:themeColor="text1"/>
        </w:rPr>
        <w:t>Cardiology Department, Royal Stoke University Hospital, Stoke, UK</w:t>
      </w:r>
      <w:r w:rsidRPr="002B4B1E">
        <w:rPr>
          <w:color w:val="000000" w:themeColor="text1"/>
        </w:rPr>
        <w:t xml:space="preserve"> (Gunning)</w:t>
      </w:r>
    </w:p>
    <w:p w14:paraId="072F840E" w14:textId="76473BE8" w:rsidR="0082297B" w:rsidRPr="002B4B1E" w:rsidRDefault="00494E3C" w:rsidP="002B4B1E">
      <w:pPr>
        <w:pStyle w:val="ListParagraph"/>
        <w:numPr>
          <w:ilvl w:val="0"/>
          <w:numId w:val="51"/>
        </w:numPr>
      </w:pPr>
      <w:r w:rsidRPr="002B4B1E">
        <w:rPr>
          <w:b/>
          <w:color w:val="000000" w:themeColor="text1"/>
        </w:rPr>
        <w:t>Department of Cardiothoracic Surgery, Royal Stoke University Hospital, Stoke, UK</w:t>
      </w:r>
      <w:r w:rsidRPr="002B4B1E">
        <w:rPr>
          <w:color w:val="000000" w:themeColor="text1"/>
        </w:rPr>
        <w:t xml:space="preserve"> (Ridley)</w:t>
      </w:r>
    </w:p>
    <w:p w14:paraId="25D21836" w14:textId="77777777" w:rsidR="0082297B" w:rsidRDefault="0082297B" w:rsidP="002B4B1E">
      <w:pPr>
        <w:pStyle w:val="ListParagraph"/>
        <w:ind w:left="0"/>
      </w:pPr>
    </w:p>
    <w:p w14:paraId="11C92542" w14:textId="4672B811" w:rsidR="00AA4040" w:rsidRDefault="00AA4040" w:rsidP="002B4B1E">
      <w:pPr>
        <w:pStyle w:val="Heading2"/>
        <w:spacing w:line="360" w:lineRule="auto"/>
      </w:pPr>
      <w:r>
        <w:t>Author Contributions</w:t>
      </w:r>
      <w:r w:rsidR="001325CE">
        <w:t>:</w:t>
      </w:r>
    </w:p>
    <w:p w14:paraId="6CA712B7" w14:textId="77777777" w:rsidR="00AA4040" w:rsidRDefault="006E0375" w:rsidP="002B4B1E">
      <w:pPr>
        <w:spacing w:after="0" w:line="360" w:lineRule="auto"/>
      </w:pPr>
      <w:r>
        <w:t>Miss Mansouri and Dr Rombach had full access to all the data in the study and take responsibility for the integrity of the data and the accuracy of the data analysis.</w:t>
      </w:r>
    </w:p>
    <w:p w14:paraId="6085EA18" w14:textId="77777777" w:rsidR="006E0375" w:rsidRPr="002B4B1E" w:rsidRDefault="006E0375" w:rsidP="002B4B1E">
      <w:pPr>
        <w:spacing w:after="0" w:line="360" w:lineRule="auto"/>
        <w:rPr>
          <w:i/>
        </w:rPr>
      </w:pPr>
      <w:r w:rsidRPr="002B4B1E">
        <w:rPr>
          <w:i/>
        </w:rPr>
        <w:t>Concept and design:</w:t>
      </w:r>
    </w:p>
    <w:p w14:paraId="0C727F0D" w14:textId="77777777" w:rsidR="006E0375" w:rsidRDefault="00F37F12" w:rsidP="002B4B1E">
      <w:pPr>
        <w:spacing w:after="0" w:line="360" w:lineRule="auto"/>
      </w:pPr>
      <w:r w:rsidRPr="00F37F12">
        <w:t xml:space="preserve">Toff, Hildick-Smith, Kovac, Mullen, Wendler, Abrams, Conroy, Flather, Gray, MacCarthy, Monaghan, Prendergast, Ray, Young </w:t>
      </w:r>
    </w:p>
    <w:p w14:paraId="1F80D185" w14:textId="2F6D112C" w:rsidR="006E0375" w:rsidRPr="002B4B1E" w:rsidRDefault="006E0375" w:rsidP="002B4B1E">
      <w:pPr>
        <w:spacing w:after="0" w:line="360" w:lineRule="auto"/>
        <w:rPr>
          <w:i/>
        </w:rPr>
      </w:pPr>
      <w:r w:rsidRPr="002B4B1E">
        <w:rPr>
          <w:i/>
        </w:rPr>
        <w:t>Acquis</w:t>
      </w:r>
      <w:r w:rsidR="006871D4">
        <w:rPr>
          <w:i/>
        </w:rPr>
        <w:t>i</w:t>
      </w:r>
      <w:r w:rsidRPr="002B4B1E">
        <w:rPr>
          <w:i/>
        </w:rPr>
        <w:t>tion, analysis, or interpretation of data:</w:t>
      </w:r>
    </w:p>
    <w:p w14:paraId="2BF28CD8" w14:textId="5251C1CB" w:rsidR="006E0375" w:rsidRDefault="00864CA4" w:rsidP="002B4B1E">
      <w:pPr>
        <w:spacing w:after="0" w:line="360" w:lineRule="auto"/>
      </w:pPr>
      <w:r w:rsidRPr="00F37F12">
        <w:t xml:space="preserve">Toff, Hildick-Smith, Kovac, Mullen, Wendler, Mansouri, Rombach, Abrams, Conroy, Flather, Gray, MacCarthy, Monaghan, Prendergast, Ray, Young, Crossman, Cleland, </w:t>
      </w:r>
      <w:r w:rsidR="005A30CD">
        <w:t xml:space="preserve">de </w:t>
      </w:r>
      <w:r w:rsidRPr="00F37F12">
        <w:t xml:space="preserve">Belder, Ludman, Jones, Densem, Tsui, Kuduvalli, Mills, Banning, Sayeed, Hasan, </w:t>
      </w:r>
      <w:r>
        <w:t>F</w:t>
      </w:r>
      <w:r w:rsidRPr="00F37F12">
        <w:t>raser, Trivedi, Davies, Duncan, Curzen, Ohri, Malkin, Kaul, Muir, Owens, Uren, Pessotto, Kennon, Awad, Khogali, Matuszewski, Edwards, Ramesh, Dalby, Raja, Mariscalco, Lloyd, Cox, Redwood, Gunning, Ridley</w:t>
      </w:r>
    </w:p>
    <w:p w14:paraId="131216C9" w14:textId="77777777" w:rsidR="006E0375" w:rsidRPr="002B4B1E" w:rsidRDefault="006E0375" w:rsidP="002B4B1E">
      <w:pPr>
        <w:spacing w:after="0" w:line="360" w:lineRule="auto"/>
        <w:rPr>
          <w:i/>
        </w:rPr>
      </w:pPr>
      <w:r w:rsidRPr="002B4B1E">
        <w:rPr>
          <w:i/>
        </w:rPr>
        <w:t>Drafting of the manuscript:</w:t>
      </w:r>
    </w:p>
    <w:p w14:paraId="3800C81B" w14:textId="77777777" w:rsidR="006E0375" w:rsidRDefault="00F37F12" w:rsidP="002B4B1E">
      <w:pPr>
        <w:spacing w:after="0" w:line="360" w:lineRule="auto"/>
      </w:pPr>
      <w:r>
        <w:t>Toff, Rombach, Abrams</w:t>
      </w:r>
    </w:p>
    <w:p w14:paraId="1109784C" w14:textId="77777777" w:rsidR="006E0375" w:rsidRPr="002B4B1E" w:rsidRDefault="006E0375" w:rsidP="002B4B1E">
      <w:pPr>
        <w:spacing w:after="0" w:line="360" w:lineRule="auto"/>
        <w:rPr>
          <w:i/>
        </w:rPr>
      </w:pPr>
      <w:r w:rsidRPr="002B4B1E">
        <w:rPr>
          <w:i/>
        </w:rPr>
        <w:t>Critical revision of the manuscript for important intellectual content:</w:t>
      </w:r>
    </w:p>
    <w:p w14:paraId="3358AFD6" w14:textId="048F35A1" w:rsidR="006E0375" w:rsidRDefault="00F37F12" w:rsidP="002B4B1E">
      <w:pPr>
        <w:spacing w:after="0" w:line="360" w:lineRule="auto"/>
      </w:pPr>
      <w:r w:rsidRPr="00F37F12">
        <w:t xml:space="preserve">Toff, Hildick-Smith, Kovac, Mullen, Wendler, Mansouri, Rombach, Abrams, Conroy, Flather, Gray, MacCarthy, Monaghan, Prendergast, Ray, Young, Crossman, Cleland, </w:t>
      </w:r>
      <w:r w:rsidR="005A30CD">
        <w:t xml:space="preserve">de </w:t>
      </w:r>
      <w:r w:rsidRPr="00F37F12">
        <w:t xml:space="preserve">Belder, Ludman, Jones, Densem, Tsui, Kuduvalli, Mills, Banning, Sayeed, Hasan, </w:t>
      </w:r>
      <w:r w:rsidR="00864CA4">
        <w:t>F</w:t>
      </w:r>
      <w:r w:rsidRPr="00F37F12">
        <w:t>raser, Trivedi, Davies, Duncan, Curzen, Ohri, Malkin, Kaul, Muir, Owens, Uren, Pessotto, Kennon, Awad, Khogali, Matuszewski, Edwards, Ramesh, Dalby, Raja, Mariscalco, Lloyd, Cox, Redwood, Gunning, Ridley</w:t>
      </w:r>
    </w:p>
    <w:p w14:paraId="6C5E6F5E" w14:textId="77777777" w:rsidR="006E0375" w:rsidRPr="002B4B1E" w:rsidRDefault="006E0375" w:rsidP="002B4B1E">
      <w:pPr>
        <w:spacing w:after="0" w:line="360" w:lineRule="auto"/>
        <w:rPr>
          <w:i/>
        </w:rPr>
      </w:pPr>
      <w:r w:rsidRPr="002B4B1E">
        <w:rPr>
          <w:i/>
        </w:rPr>
        <w:t>Statistical analysis:</w:t>
      </w:r>
    </w:p>
    <w:p w14:paraId="7DE3660D" w14:textId="77777777" w:rsidR="006E0375" w:rsidRDefault="00864CA4" w:rsidP="002B4B1E">
      <w:pPr>
        <w:spacing w:after="0" w:line="360" w:lineRule="auto"/>
      </w:pPr>
      <w:r>
        <w:t>Mansouri, Rombach, Abrams</w:t>
      </w:r>
    </w:p>
    <w:p w14:paraId="17CEF923" w14:textId="77777777" w:rsidR="006E0375" w:rsidRPr="002B4B1E" w:rsidRDefault="006E0375" w:rsidP="002B4B1E">
      <w:pPr>
        <w:spacing w:after="0" w:line="360" w:lineRule="auto"/>
        <w:rPr>
          <w:i/>
        </w:rPr>
      </w:pPr>
      <w:r w:rsidRPr="002B4B1E">
        <w:rPr>
          <w:i/>
        </w:rPr>
        <w:t>Obtained funding:</w:t>
      </w:r>
    </w:p>
    <w:p w14:paraId="7A38634B" w14:textId="77777777" w:rsidR="00864CA4" w:rsidRDefault="00864CA4">
      <w:pPr>
        <w:spacing w:after="0" w:line="360" w:lineRule="auto"/>
      </w:pPr>
      <w:r w:rsidRPr="00F37F12">
        <w:t xml:space="preserve">Toff, Hildick-Smith, Kovac, Mullen, Wendler, Abrams, Conroy, Flather, Gray, MacCarthy, Monaghan, Prendergast, Ray, Young </w:t>
      </w:r>
    </w:p>
    <w:p w14:paraId="60461B32" w14:textId="77777777" w:rsidR="006E0375" w:rsidRPr="002B4B1E" w:rsidRDefault="006E0375" w:rsidP="002B4B1E">
      <w:pPr>
        <w:spacing w:after="0" w:line="360" w:lineRule="auto"/>
        <w:rPr>
          <w:i/>
        </w:rPr>
      </w:pPr>
      <w:r w:rsidRPr="002B4B1E">
        <w:rPr>
          <w:i/>
        </w:rPr>
        <w:t>Administrative, technical, or material support:</w:t>
      </w:r>
    </w:p>
    <w:p w14:paraId="7C8E3D2E" w14:textId="77777777" w:rsidR="006E0375" w:rsidRDefault="00864CA4" w:rsidP="002B4B1E">
      <w:pPr>
        <w:spacing w:after="0" w:line="360" w:lineRule="auto"/>
      </w:pPr>
      <w:r>
        <w:t xml:space="preserve">Monaghan, Ray, </w:t>
      </w:r>
      <w:r w:rsidR="005A30CD">
        <w:t xml:space="preserve">Crossman, </w:t>
      </w:r>
      <w:r>
        <w:t>Cleland, Jones</w:t>
      </w:r>
    </w:p>
    <w:p w14:paraId="77CDFCC0" w14:textId="77777777" w:rsidR="00AA4040" w:rsidRPr="002B4B1E" w:rsidRDefault="00F37F12" w:rsidP="002B4B1E">
      <w:pPr>
        <w:spacing w:after="0" w:line="360" w:lineRule="auto"/>
        <w:rPr>
          <w:i/>
        </w:rPr>
      </w:pPr>
      <w:r w:rsidRPr="002B4B1E">
        <w:rPr>
          <w:i/>
        </w:rPr>
        <w:t>Supervision:</w:t>
      </w:r>
    </w:p>
    <w:p w14:paraId="34665972" w14:textId="77777777" w:rsidR="00333517" w:rsidRDefault="00333517">
      <w:pPr>
        <w:spacing w:after="0" w:line="360" w:lineRule="auto"/>
      </w:pPr>
      <w:r w:rsidRPr="00F37F12">
        <w:t>Toff, Hildick-Smith, Kovac, Mullen, Wendler, Abrams, Conroy, Flather, Gray, MacCarthy, Monaghan, Prendergast, Ray, Young</w:t>
      </w:r>
      <w:r>
        <w:t>, Crossman</w:t>
      </w:r>
    </w:p>
    <w:p w14:paraId="55824274" w14:textId="77777777" w:rsidR="002A7D39" w:rsidRDefault="002A7D39" w:rsidP="002B4B1E">
      <w:pPr>
        <w:pStyle w:val="Heading2"/>
        <w:spacing w:line="360" w:lineRule="auto"/>
      </w:pPr>
      <w:r>
        <w:t>Conflict of Interest Disclosures</w:t>
      </w:r>
      <w:r w:rsidR="001325CE">
        <w:t>:</w:t>
      </w:r>
    </w:p>
    <w:p w14:paraId="013C4665" w14:textId="625D2156" w:rsidR="00333517" w:rsidRDefault="00AA4040" w:rsidP="002B4B1E">
      <w:pPr>
        <w:spacing w:after="0" w:line="360" w:lineRule="auto"/>
      </w:pPr>
      <w:r w:rsidRPr="00AA4040">
        <w:t>All authors received grant funding from the National Institute for Health Research to their institution for the conduct of the submitted study. Dr Hildick-Smith reported receiving personal fees from Edwards Lifesciences, Boston Scientific, Medtronic</w:t>
      </w:r>
      <w:r w:rsidR="006871D4">
        <w:t xml:space="preserve"> and</w:t>
      </w:r>
      <w:r w:rsidRPr="00AA4040">
        <w:t xml:space="preserve"> Abbott outside the submitted work. Dr Kovac reported proctoring and receiving personal fees from Boston Scientific, Medtronic and Edwards Lifesciences outside the submitted work. Dr Mullen reported receiving grants from Edwards Lifesciences and Abbott Vascular; and personal fees from Edwards Lifesciences and Abbott Vascular during the conduct of the study. Dr Abrams reported receiving personal fees from Visible Analytics Limited, NICE/ABPI, Pfizer Oncology, Vifor Pharma, Amaris Limited, EUSA Pharma, NovoNordisk, and NICE/DHSC; grants from Duchenne UK, and Swiss Precision Diagnostics outside the submitted work; and membership of the National Institute for health &amp; Care Excellence (NICE) Diagnostics Advisory Committee. Dr MacCarthy reported proctoring and receiving personal fees from Edwards Lifesciences; lecture/speaker</w:t>
      </w:r>
      <w:r w:rsidR="000D10F4">
        <w:t xml:space="preserve"> fees from Edwards Lifesciences;</w:t>
      </w:r>
      <w:r w:rsidRPr="00AA4040">
        <w:t xml:space="preserve"> and an Educational grant from Edwards Lifesciences during the conduct of the study. Dr Prendergast reported receiving unrestricted educational and research grants to his institution; speaker fees from Edwards Lifesciences; speaker fees from Medtronic; consultancy fees from Anteris; and consultancy fees from Microport outside the submitted work. Dr Cleland reported personal fees from Abbott for serving on an advisory board and providing support for a health economic analysis of the MitraClip device; non-financial support from Boston Scientific - access to data from a clinical trial; personal fees from Medtronic for serving on a data monitoring committee; and grants to his institution from Medtronic for a trial of a subcutaneous monitoring device. Dr Sayeed reported serving as a Company Director and receiving dividends from Oxford Heart Surgery Ltd outside the submitted work. Dr Fraser reported proctoring and receiving personal fees and speaker fees from Medtronic; and receiving speaker fees from Edwards Lifesciences outside the submitted work. Dr Curzen reported receiving grants from Boston Scientific, Haemonetics, Heartflow, and Beckmann Coulter; and non-financial support from Edwards Lifesciences, Biosensors, and Boston Scientific outside the submitted work. Dr Malkin reported receiving personal fees from Medtronic, Abbott, and Boston Scientific during the conduct of the study. Dr Muir reported receiving personal</w:t>
      </w:r>
      <w:r w:rsidR="000D10F4">
        <w:t xml:space="preserve"> fees from Edwards Lifesciences, and</w:t>
      </w:r>
      <w:r w:rsidRPr="00AA4040">
        <w:t xml:space="preserve"> Abbott Vascular outside the submitted work. Dr Pessotto reported proctoring and receiving personal fees from Edwards Lifesciences outside the submitted work. Dr Khogali reported serving as a consultant and proctor, and receiving personal fees from Boston Scientific, and Medtronic outside the submitted work. Dr Dalby reported proctoring and consultancy, and receiving personal fees from Medtronic; and consultancy and receiving personal fees from Edwards Lifesciences, and Boston Scientific outside the submitted work. Dr Redwood reported proctoring and receiving personal fees and speaker fees from Edwards Lifesciences during the conduct of the study. No other disclosures were reported.</w:t>
      </w:r>
    </w:p>
    <w:p w14:paraId="0065338A" w14:textId="77777777" w:rsidR="00E17779" w:rsidRDefault="00E17779" w:rsidP="002B4B1E">
      <w:pPr>
        <w:pStyle w:val="Heading2"/>
        <w:spacing w:line="360" w:lineRule="auto"/>
      </w:pPr>
      <w:r>
        <w:t>Funding/Support</w:t>
      </w:r>
      <w:r w:rsidR="001325CE">
        <w:t>:</w:t>
      </w:r>
    </w:p>
    <w:p w14:paraId="4576D401" w14:textId="77777777" w:rsidR="00EC2788" w:rsidRDefault="000C7163" w:rsidP="002B4B1E">
      <w:pPr>
        <w:spacing w:after="0" w:line="360" w:lineRule="auto"/>
      </w:pPr>
      <w:r w:rsidRPr="000C7163">
        <w:t>Th</w:t>
      </w:r>
      <w:r w:rsidR="004527D1">
        <w:t>e</w:t>
      </w:r>
      <w:r w:rsidRPr="000C7163">
        <w:t xml:space="preserve"> study </w:t>
      </w:r>
      <w:r>
        <w:t>was</w:t>
      </w:r>
      <w:r w:rsidRPr="000C7163">
        <w:t xml:space="preserve"> funded by the National Institute for Health Research (NIHR) Health Technology Assessment (HTA) Programme (project reference 09/55/63). </w:t>
      </w:r>
      <w:r w:rsidR="00F25D7D" w:rsidRPr="00F25D7D">
        <w:t>The views expressed are those of the authors and not necessarily those of the NIHR or the Department of Health and Social Care.</w:t>
      </w:r>
    </w:p>
    <w:p w14:paraId="4E65C375" w14:textId="77777777" w:rsidR="00333517" w:rsidRDefault="000C7163" w:rsidP="002B4B1E">
      <w:pPr>
        <w:spacing w:after="0" w:line="360" w:lineRule="auto"/>
      </w:pPr>
      <w:r>
        <w:t>Additional support for</w:t>
      </w:r>
      <w:r w:rsidR="00783CBF">
        <w:t xml:space="preserve"> National Health Service (NHS) Support Costs was provided by the NIHR Clinical Research Network (CRN). Excess Treatment Costs were met by NHS England</w:t>
      </w:r>
      <w:r w:rsidR="00F25D7D">
        <w:t xml:space="preserve"> in England</w:t>
      </w:r>
      <w:r w:rsidR="00B64881">
        <w:t>, the National Institute for Social Care and Health Research (NISCHR)</w:t>
      </w:r>
      <w:r w:rsidR="002239AB">
        <w:t xml:space="preserve"> in Wales</w:t>
      </w:r>
      <w:r w:rsidR="00D959FF">
        <w:t xml:space="preserve">, </w:t>
      </w:r>
      <w:r w:rsidR="002239AB">
        <w:t xml:space="preserve">and </w:t>
      </w:r>
      <w:r w:rsidR="00D959FF">
        <w:t>the Chief Scientist Office (CSO)</w:t>
      </w:r>
      <w:r w:rsidR="002239AB">
        <w:t xml:space="preserve"> and</w:t>
      </w:r>
      <w:r w:rsidR="00D959FF">
        <w:t xml:space="preserve"> </w:t>
      </w:r>
      <w:r w:rsidR="004527D1">
        <w:t xml:space="preserve">the </w:t>
      </w:r>
      <w:r w:rsidR="00D959FF">
        <w:t>NHS Research Scotland</w:t>
      </w:r>
      <w:r w:rsidR="00B64881">
        <w:t xml:space="preserve"> </w:t>
      </w:r>
      <w:r w:rsidR="002239AB">
        <w:t xml:space="preserve">Central Management Team in Scotland. </w:t>
      </w:r>
      <w:r w:rsidR="00B64881">
        <w:t>TAVI and surgical valves were procured through standard NHS commissioning processes.</w:t>
      </w:r>
    </w:p>
    <w:p w14:paraId="31082FE7" w14:textId="77777777" w:rsidR="00333517" w:rsidRDefault="00EE0775" w:rsidP="002B4B1E">
      <w:pPr>
        <w:spacing w:after="0" w:line="360" w:lineRule="auto"/>
      </w:pPr>
      <w:r>
        <w:t>The research governance sponsor for the study was the University of Leicester.</w:t>
      </w:r>
    </w:p>
    <w:p w14:paraId="219F6CBF" w14:textId="77777777" w:rsidR="00E17779" w:rsidRDefault="00E17779" w:rsidP="002B4B1E">
      <w:pPr>
        <w:pStyle w:val="Heading2"/>
        <w:spacing w:line="360" w:lineRule="auto"/>
      </w:pPr>
      <w:r>
        <w:t>Role of the Funder/Sponsor</w:t>
      </w:r>
      <w:r w:rsidR="001325CE">
        <w:t>:</w:t>
      </w:r>
    </w:p>
    <w:p w14:paraId="7C1BA0C4" w14:textId="77777777" w:rsidR="00EE0775" w:rsidRDefault="00EE0775" w:rsidP="002B4B1E">
      <w:pPr>
        <w:spacing w:line="360" w:lineRule="auto"/>
        <w:rPr>
          <w:rFonts w:eastAsia="Times New Roman"/>
        </w:rPr>
      </w:pPr>
      <w:r>
        <w:rPr>
          <w:rFonts w:eastAsia="Times New Roman"/>
        </w:rPr>
        <w:t xml:space="preserve">The funder of the study and the sponsor had no role in the design and conduct of the study; collection, management, analysis, and interpretation of the data; preparation, review, or approval of the manuscript; and decision to submit </w:t>
      </w:r>
      <w:r w:rsidR="00333517">
        <w:rPr>
          <w:rFonts w:eastAsia="Times New Roman"/>
        </w:rPr>
        <w:t>the manuscript for publication.</w:t>
      </w:r>
      <w:r>
        <w:rPr>
          <w:rFonts w:eastAsia="Times New Roman"/>
        </w:rPr>
        <w:t xml:space="preserve"> </w:t>
      </w:r>
      <w:r w:rsidR="00AF343E">
        <w:rPr>
          <w:rFonts w:eastAsia="Times New Roman"/>
        </w:rPr>
        <w:t>Neither t</w:t>
      </w:r>
      <w:r w:rsidR="00AF343E" w:rsidRPr="0056655F">
        <w:rPr>
          <w:rFonts w:eastAsia="Times New Roman"/>
        </w:rPr>
        <w:t xml:space="preserve">he </w:t>
      </w:r>
      <w:r w:rsidR="00AF343E">
        <w:rPr>
          <w:rFonts w:eastAsia="Times New Roman"/>
        </w:rPr>
        <w:t xml:space="preserve">funder nor the </w:t>
      </w:r>
      <w:r w:rsidR="00AF343E" w:rsidRPr="0056655F">
        <w:rPr>
          <w:rFonts w:eastAsia="Times New Roman"/>
        </w:rPr>
        <w:t xml:space="preserve">sponsor had </w:t>
      </w:r>
      <w:r w:rsidR="00AF343E">
        <w:rPr>
          <w:rFonts w:eastAsia="Times New Roman"/>
        </w:rPr>
        <w:t>a</w:t>
      </w:r>
      <w:r w:rsidR="00AF343E" w:rsidRPr="0056655F">
        <w:rPr>
          <w:rFonts w:eastAsia="Times New Roman"/>
        </w:rPr>
        <w:t xml:space="preserve"> right to veto publication or to control the decision regarding to which journal the paper was submitted.</w:t>
      </w:r>
    </w:p>
    <w:p w14:paraId="4AF3870C" w14:textId="77777777" w:rsidR="001325CE" w:rsidRDefault="001325CE" w:rsidP="002B4B1E">
      <w:pPr>
        <w:pStyle w:val="Heading2"/>
        <w:spacing w:line="360" w:lineRule="auto"/>
        <w:rPr>
          <w:rFonts w:eastAsia="Times New Roman"/>
        </w:rPr>
      </w:pPr>
      <w:r>
        <w:rPr>
          <w:rFonts w:eastAsia="Times New Roman"/>
        </w:rPr>
        <w:t>Group Information:</w:t>
      </w:r>
    </w:p>
    <w:p w14:paraId="7B90BD55" w14:textId="1D7AF868" w:rsidR="001325CE" w:rsidRPr="001325CE" w:rsidRDefault="001325CE" w:rsidP="002B4B1E">
      <w:pPr>
        <w:spacing w:line="360" w:lineRule="auto"/>
      </w:pPr>
      <w:r>
        <w:t>A complete list of the UK TAVI Trial Investigators</w:t>
      </w:r>
      <w:r w:rsidR="000D10F4">
        <w:t>, with</w:t>
      </w:r>
      <w:r>
        <w:t xml:space="preserve"> details of their contributions</w:t>
      </w:r>
      <w:r w:rsidR="000D10F4">
        <w:t>,</w:t>
      </w:r>
      <w:r>
        <w:t xml:space="preserve"> appears in Supplement 3. Study center staff and other individuals who participated in the conduct of the trial are listed in Supplement 4.</w:t>
      </w:r>
    </w:p>
    <w:p w14:paraId="29DE5735" w14:textId="77777777" w:rsidR="00E17779" w:rsidRDefault="00E17779" w:rsidP="002B4B1E">
      <w:pPr>
        <w:pStyle w:val="Heading2"/>
        <w:spacing w:line="360" w:lineRule="auto"/>
      </w:pPr>
      <w:r>
        <w:t>Data Sharing Statement</w:t>
      </w:r>
      <w:r w:rsidR="001325CE">
        <w:t>:</w:t>
      </w:r>
    </w:p>
    <w:p w14:paraId="51C44A85" w14:textId="77777777" w:rsidR="001325CE" w:rsidRDefault="001325CE" w:rsidP="002B4B1E">
      <w:pPr>
        <w:spacing w:after="0" w:line="360" w:lineRule="auto"/>
      </w:pPr>
      <w:r>
        <w:t>See Supplement 5</w:t>
      </w:r>
      <w:r w:rsidR="00AF343E">
        <w:t>.</w:t>
      </w:r>
    </w:p>
    <w:p w14:paraId="726BA7FB" w14:textId="77777777" w:rsidR="001325CE" w:rsidRDefault="001325CE" w:rsidP="002B4B1E">
      <w:pPr>
        <w:pStyle w:val="Heading2"/>
        <w:spacing w:line="360" w:lineRule="auto"/>
      </w:pPr>
      <w:r>
        <w:t>Meeting Presentation:</w:t>
      </w:r>
    </w:p>
    <w:p w14:paraId="271835F5" w14:textId="77777777" w:rsidR="001325CE" w:rsidRDefault="00FA7EA6" w:rsidP="002B4B1E">
      <w:pPr>
        <w:spacing w:after="0" w:line="360" w:lineRule="auto"/>
      </w:pPr>
      <w:r>
        <w:t>Presented at the American College of Cardiology Scientific Session/ World Congress of Cardiology virtual meeting; March 29, 2020. The data have been amended since the presentation.</w:t>
      </w:r>
    </w:p>
    <w:p w14:paraId="66DAAF86" w14:textId="77777777" w:rsidR="00FA7EA6" w:rsidRDefault="00FA7EA6" w:rsidP="002B4B1E">
      <w:pPr>
        <w:spacing w:after="0" w:line="360" w:lineRule="auto"/>
      </w:pPr>
    </w:p>
    <w:p w14:paraId="7AE49806" w14:textId="77777777" w:rsidR="00EC2788" w:rsidRDefault="009E43DC" w:rsidP="002B4B1E">
      <w:pPr>
        <w:spacing w:line="360" w:lineRule="auto"/>
      </w:pPr>
      <w:r>
        <w:br w:type="page"/>
      </w:r>
    </w:p>
    <w:p w14:paraId="2EA918EA" w14:textId="77777777" w:rsidR="00EA70D1" w:rsidRPr="00D4590F" w:rsidRDefault="00D8238F" w:rsidP="00DC16B2">
      <w:pPr>
        <w:pStyle w:val="Heading1"/>
        <w:jc w:val="center"/>
      </w:pPr>
      <w:r w:rsidRPr="00D4590F">
        <w:t>REFERENCES</w:t>
      </w:r>
    </w:p>
    <w:p w14:paraId="282D90DE" w14:textId="77777777" w:rsidR="00CA3019" w:rsidRDefault="00CA3019" w:rsidP="00E60E3A">
      <w:pPr>
        <w:tabs>
          <w:tab w:val="left" w:pos="3945"/>
        </w:tabs>
        <w:rPr>
          <w:b/>
        </w:rPr>
      </w:pPr>
    </w:p>
    <w:p w14:paraId="771B4F8A" w14:textId="290F5608" w:rsidR="00116C21" w:rsidRPr="00116C21" w:rsidRDefault="00116C21" w:rsidP="00893959">
      <w:pPr>
        <w:numPr>
          <w:ilvl w:val="0"/>
          <w:numId w:val="42"/>
        </w:numPr>
        <w:tabs>
          <w:tab w:val="left" w:pos="3945"/>
        </w:tabs>
        <w:spacing w:line="480" w:lineRule="auto"/>
        <w:ind w:left="357" w:hanging="357"/>
      </w:pPr>
      <w:r w:rsidRPr="00116C21">
        <w:t xml:space="preserve">Cribier A, Eltchaninoff H, Bash A, Borenstein N, et al. Percutaneous transcatheter implantation of an aortic valve prosthesis for calcific aortic stenosis: first human case description. </w:t>
      </w:r>
      <w:r w:rsidRPr="00F90585">
        <w:rPr>
          <w:i/>
        </w:rPr>
        <w:t>Circulation</w:t>
      </w:r>
      <w:r w:rsidR="00B14470">
        <w:rPr>
          <w:i/>
        </w:rPr>
        <w:t>.</w:t>
      </w:r>
      <w:r w:rsidRPr="00116C21">
        <w:t xml:space="preserve"> 2002;</w:t>
      </w:r>
      <w:r w:rsidRPr="002B4B1E">
        <w:t>106</w:t>
      </w:r>
      <w:r w:rsidR="00C44EAA">
        <w:t>(24)</w:t>
      </w:r>
      <w:r w:rsidRPr="002B4B1E">
        <w:t>:</w:t>
      </w:r>
      <w:r w:rsidRPr="00116C21">
        <w:t>3006-</w:t>
      </w:r>
      <w:r w:rsidR="003433C4">
        <w:t>300</w:t>
      </w:r>
      <w:r w:rsidRPr="00116C21">
        <w:t>8.</w:t>
      </w:r>
    </w:p>
    <w:p w14:paraId="6DC7587E" w14:textId="3D32C2F7" w:rsidR="00116C21" w:rsidRPr="00116C21" w:rsidRDefault="00116C21" w:rsidP="00893959">
      <w:pPr>
        <w:numPr>
          <w:ilvl w:val="0"/>
          <w:numId w:val="42"/>
        </w:numPr>
        <w:tabs>
          <w:tab w:val="left" w:pos="3945"/>
        </w:tabs>
        <w:spacing w:line="480" w:lineRule="auto"/>
        <w:ind w:left="357" w:hanging="357"/>
      </w:pPr>
      <w:r w:rsidRPr="00116C21">
        <w:t xml:space="preserve">Leon MB, Smith CR, Mack M, et al. Transcatheter aortic-valve implantation for aortic stenosis in patients who cannot undergo surgery. </w:t>
      </w:r>
      <w:r w:rsidRPr="00F90585">
        <w:rPr>
          <w:i/>
        </w:rPr>
        <w:t>N Engl J Med</w:t>
      </w:r>
      <w:r w:rsidR="00B14470">
        <w:rPr>
          <w:i/>
        </w:rPr>
        <w:t>.</w:t>
      </w:r>
      <w:r w:rsidRPr="00116C21">
        <w:t xml:space="preserve"> 2010;</w:t>
      </w:r>
      <w:r w:rsidRPr="002B4B1E">
        <w:t>363</w:t>
      </w:r>
      <w:r w:rsidR="00C44EAA">
        <w:t>(17)</w:t>
      </w:r>
      <w:r w:rsidRPr="002B4B1E">
        <w:t>:</w:t>
      </w:r>
      <w:r w:rsidRPr="00116C21">
        <w:t>1597-</w:t>
      </w:r>
      <w:r w:rsidR="003433C4">
        <w:t>1</w:t>
      </w:r>
      <w:r w:rsidRPr="00116C21">
        <w:t>607.</w:t>
      </w:r>
    </w:p>
    <w:p w14:paraId="139AC141" w14:textId="284A6064" w:rsidR="00116C21" w:rsidRPr="00116C21" w:rsidRDefault="00116C21" w:rsidP="00893959">
      <w:pPr>
        <w:numPr>
          <w:ilvl w:val="0"/>
          <w:numId w:val="42"/>
        </w:numPr>
        <w:tabs>
          <w:tab w:val="left" w:pos="3945"/>
        </w:tabs>
        <w:spacing w:line="480" w:lineRule="auto"/>
        <w:ind w:left="357" w:hanging="357"/>
      </w:pPr>
      <w:r w:rsidRPr="00116C21">
        <w:t xml:space="preserve">Smith CR, Leon MB, Mack MJ,  et al. Transcatheter versus surgical aortic-valve replacement in high-risk patients. </w:t>
      </w:r>
      <w:r w:rsidRPr="00F90585">
        <w:rPr>
          <w:i/>
        </w:rPr>
        <w:t>N Engl J Med</w:t>
      </w:r>
      <w:r w:rsidR="00B14470">
        <w:rPr>
          <w:i/>
        </w:rPr>
        <w:t>.</w:t>
      </w:r>
      <w:r w:rsidRPr="00116C21">
        <w:t xml:space="preserve"> 2011;</w:t>
      </w:r>
      <w:r w:rsidRPr="002B4B1E">
        <w:t>364</w:t>
      </w:r>
      <w:r w:rsidR="00704038">
        <w:t>(23)</w:t>
      </w:r>
      <w:r w:rsidRPr="002B4B1E">
        <w:t>:</w:t>
      </w:r>
      <w:r w:rsidRPr="00116C21">
        <w:t>2187-</w:t>
      </w:r>
      <w:r w:rsidR="003433C4">
        <w:t>21</w:t>
      </w:r>
      <w:r w:rsidRPr="00116C21">
        <w:t>98.</w:t>
      </w:r>
    </w:p>
    <w:p w14:paraId="32F4883F" w14:textId="40C94656" w:rsidR="00116C21" w:rsidRPr="00116C21" w:rsidRDefault="00116C21" w:rsidP="00893959">
      <w:pPr>
        <w:numPr>
          <w:ilvl w:val="0"/>
          <w:numId w:val="42"/>
        </w:numPr>
        <w:tabs>
          <w:tab w:val="left" w:pos="3945"/>
        </w:tabs>
        <w:spacing w:line="480" w:lineRule="auto"/>
        <w:ind w:left="357" w:hanging="357"/>
      </w:pPr>
      <w:r w:rsidRPr="00116C21">
        <w:t xml:space="preserve">Mack MJ, Leon MB, Smith CR, et al. 5-year outcomes of transcatheter aortic valve replacement or surgical aortic valve replacement for high surgical risk patients with aortic stenosis (PARTNER 1): a randomised controlled trial. </w:t>
      </w:r>
      <w:r w:rsidRPr="00F90585">
        <w:rPr>
          <w:i/>
        </w:rPr>
        <w:t>Lancet</w:t>
      </w:r>
      <w:r w:rsidR="00B14470">
        <w:rPr>
          <w:i/>
        </w:rPr>
        <w:t>.</w:t>
      </w:r>
      <w:r w:rsidRPr="00116C21">
        <w:t xml:space="preserve"> 2015;</w:t>
      </w:r>
      <w:r w:rsidRPr="002B4B1E">
        <w:t>385</w:t>
      </w:r>
      <w:r w:rsidR="00704038">
        <w:t>(9986)</w:t>
      </w:r>
      <w:r w:rsidRPr="002B4B1E">
        <w:t>:</w:t>
      </w:r>
      <w:r w:rsidRPr="00116C21">
        <w:t>2477-</w:t>
      </w:r>
      <w:r w:rsidR="003433C4">
        <w:t>24</w:t>
      </w:r>
      <w:r w:rsidRPr="00116C21">
        <w:t>84.</w:t>
      </w:r>
    </w:p>
    <w:p w14:paraId="6A1BA41D" w14:textId="77332A87" w:rsidR="00116C21" w:rsidRPr="00116C21" w:rsidRDefault="00116C21" w:rsidP="00893959">
      <w:pPr>
        <w:numPr>
          <w:ilvl w:val="0"/>
          <w:numId w:val="42"/>
        </w:numPr>
        <w:tabs>
          <w:tab w:val="left" w:pos="3945"/>
        </w:tabs>
        <w:spacing w:line="480" w:lineRule="auto"/>
        <w:ind w:left="357" w:hanging="357"/>
      </w:pPr>
      <w:r w:rsidRPr="00116C21">
        <w:t xml:space="preserve">Adams DH, Popma JJ, Reardon MJ, et al. Transcatheter aortic-valve replacement with a self-expanding prosthesis. </w:t>
      </w:r>
      <w:r w:rsidRPr="00F90585">
        <w:rPr>
          <w:i/>
        </w:rPr>
        <w:t>N Engl J Med</w:t>
      </w:r>
      <w:r w:rsidR="00B14470">
        <w:rPr>
          <w:i/>
        </w:rPr>
        <w:t>.</w:t>
      </w:r>
      <w:r w:rsidRPr="00116C21">
        <w:t xml:space="preserve"> 2014;</w:t>
      </w:r>
      <w:r w:rsidRPr="002B4B1E">
        <w:t>370</w:t>
      </w:r>
      <w:r w:rsidR="00704038">
        <w:t>(19)</w:t>
      </w:r>
      <w:r w:rsidRPr="002B4B1E">
        <w:t>:</w:t>
      </w:r>
      <w:r w:rsidRPr="00116C21">
        <w:t>1790-</w:t>
      </w:r>
      <w:r w:rsidR="003433C4">
        <w:t>179</w:t>
      </w:r>
      <w:r w:rsidRPr="00116C21">
        <w:t>8.</w:t>
      </w:r>
    </w:p>
    <w:p w14:paraId="4173D476" w14:textId="1951FD77" w:rsidR="00116C21" w:rsidRPr="00116C21" w:rsidRDefault="00116C21" w:rsidP="00893959">
      <w:pPr>
        <w:numPr>
          <w:ilvl w:val="0"/>
          <w:numId w:val="42"/>
        </w:numPr>
        <w:tabs>
          <w:tab w:val="left" w:pos="3945"/>
        </w:tabs>
        <w:spacing w:line="480" w:lineRule="auto"/>
        <w:ind w:left="357" w:hanging="357"/>
      </w:pPr>
      <w:r w:rsidRPr="00116C21">
        <w:t xml:space="preserve">Gleason TG, Reardon MJ, Popma JJ, et al. 5-year outcomes of self-expanding transcatheter versus surgical aortic valve replacement in high-risk patients. </w:t>
      </w:r>
      <w:r w:rsidRPr="00F90585">
        <w:rPr>
          <w:i/>
        </w:rPr>
        <w:t>J Am Coll Cardiol</w:t>
      </w:r>
      <w:r w:rsidR="00B14470">
        <w:rPr>
          <w:i/>
        </w:rPr>
        <w:t>.</w:t>
      </w:r>
      <w:r w:rsidRPr="00116C21">
        <w:t xml:space="preserve"> 2018;</w:t>
      </w:r>
      <w:r w:rsidRPr="002B4B1E">
        <w:t>72</w:t>
      </w:r>
      <w:r w:rsidR="00704038">
        <w:t>(22)</w:t>
      </w:r>
      <w:r w:rsidRPr="002B4B1E">
        <w:t>:</w:t>
      </w:r>
      <w:r w:rsidRPr="00116C21">
        <w:t>2687-</w:t>
      </w:r>
      <w:r w:rsidR="003433C4">
        <w:t>26</w:t>
      </w:r>
      <w:r w:rsidRPr="00116C21">
        <w:t>96.</w:t>
      </w:r>
    </w:p>
    <w:p w14:paraId="13AA8A3D" w14:textId="2B33176F" w:rsidR="00116C21" w:rsidRPr="00116C21" w:rsidRDefault="00116C21" w:rsidP="00893959">
      <w:pPr>
        <w:numPr>
          <w:ilvl w:val="0"/>
          <w:numId w:val="42"/>
        </w:numPr>
        <w:tabs>
          <w:tab w:val="left" w:pos="3945"/>
        </w:tabs>
        <w:spacing w:line="480" w:lineRule="auto"/>
        <w:ind w:left="357" w:hanging="357"/>
      </w:pPr>
      <w:r w:rsidRPr="00116C21">
        <w:t xml:space="preserve">Généreux P, Webb JG, Svensson LG, et al. Vascular Complications After Transcatheter Aortic Valve Replacement: Insights From the PARTNER (Placement of AoRTic TraNscathetER Valve) Trial. </w:t>
      </w:r>
      <w:r w:rsidRPr="00F90585">
        <w:rPr>
          <w:i/>
        </w:rPr>
        <w:t>J Am Coll Cardiol</w:t>
      </w:r>
      <w:r w:rsidR="00B14470">
        <w:rPr>
          <w:i/>
        </w:rPr>
        <w:t>.</w:t>
      </w:r>
      <w:r w:rsidRPr="00116C21">
        <w:t xml:space="preserve"> 2012;</w:t>
      </w:r>
      <w:r w:rsidRPr="002B4B1E">
        <w:t>60</w:t>
      </w:r>
      <w:r w:rsidR="00704038">
        <w:t>(12)</w:t>
      </w:r>
      <w:r w:rsidRPr="002B4B1E">
        <w:t>:</w:t>
      </w:r>
      <w:r w:rsidRPr="00116C21">
        <w:t>1043-</w:t>
      </w:r>
      <w:r w:rsidR="003433C4">
        <w:t>10</w:t>
      </w:r>
      <w:r w:rsidRPr="00116C21">
        <w:t>52.</w:t>
      </w:r>
    </w:p>
    <w:p w14:paraId="1085F1B2" w14:textId="215A7728" w:rsidR="00116C21" w:rsidRPr="00116C21" w:rsidRDefault="00116C21" w:rsidP="00893959">
      <w:pPr>
        <w:numPr>
          <w:ilvl w:val="0"/>
          <w:numId w:val="42"/>
        </w:numPr>
        <w:tabs>
          <w:tab w:val="left" w:pos="3945"/>
        </w:tabs>
        <w:spacing w:line="480" w:lineRule="auto"/>
        <w:ind w:left="357" w:hanging="357"/>
      </w:pPr>
      <w:r w:rsidRPr="00116C21">
        <w:t xml:space="preserve">Conte JV, Hermiller J, Resar JR, et al. Complications After Self-expanding Transcatheter or Surgical Aortic Valve Replacement. </w:t>
      </w:r>
      <w:r w:rsidRPr="00F90585">
        <w:rPr>
          <w:i/>
        </w:rPr>
        <w:t>Semin Thorac Cardiovasc Surg</w:t>
      </w:r>
      <w:r w:rsidR="00B14470">
        <w:rPr>
          <w:i/>
        </w:rPr>
        <w:t>.</w:t>
      </w:r>
      <w:r w:rsidRPr="00116C21">
        <w:t xml:space="preserve"> 2017;</w:t>
      </w:r>
      <w:r w:rsidRPr="002B4B1E">
        <w:t>29</w:t>
      </w:r>
      <w:r w:rsidR="00704038">
        <w:t>(3)</w:t>
      </w:r>
      <w:r w:rsidRPr="002B4B1E">
        <w:t>:</w:t>
      </w:r>
      <w:r w:rsidRPr="00116C21">
        <w:t>321-</w:t>
      </w:r>
      <w:r w:rsidR="003433C4">
        <w:t>3</w:t>
      </w:r>
      <w:r w:rsidRPr="00116C21">
        <w:t>30.</w:t>
      </w:r>
    </w:p>
    <w:p w14:paraId="7D960197" w14:textId="7C2020A2" w:rsidR="00116C21" w:rsidRPr="00116C21" w:rsidRDefault="00116C21" w:rsidP="00B24111">
      <w:pPr>
        <w:numPr>
          <w:ilvl w:val="0"/>
          <w:numId w:val="42"/>
        </w:numPr>
        <w:tabs>
          <w:tab w:val="left" w:pos="3945"/>
        </w:tabs>
        <w:spacing w:line="480" w:lineRule="auto"/>
        <w:ind w:left="357" w:hanging="357"/>
      </w:pPr>
      <w:r w:rsidRPr="00116C21">
        <w:t xml:space="preserve">O’Brien SM, Shahian DM, Filardo G, et al. The Society of Thoracic Surgeons 2008 cardiac surgery risk models: part 2 — isolated valve surgery. </w:t>
      </w:r>
      <w:r w:rsidRPr="00F90585">
        <w:rPr>
          <w:i/>
          <w:iCs/>
        </w:rPr>
        <w:t>Ann Thorac Surg</w:t>
      </w:r>
      <w:r w:rsidR="00B14470">
        <w:rPr>
          <w:i/>
          <w:iCs/>
        </w:rPr>
        <w:t>.</w:t>
      </w:r>
      <w:r w:rsidRPr="00116C21">
        <w:t xml:space="preserve"> 2009;</w:t>
      </w:r>
      <w:r w:rsidRPr="002B4B1E">
        <w:t>88(1 Suppl):</w:t>
      </w:r>
      <w:r w:rsidRPr="00116C21">
        <w:t>S23-S42.</w:t>
      </w:r>
    </w:p>
    <w:p w14:paraId="7EC80C71" w14:textId="77777777" w:rsidR="0042156D" w:rsidRDefault="0042156D" w:rsidP="002B4B1E">
      <w:pPr>
        <w:numPr>
          <w:ilvl w:val="0"/>
          <w:numId w:val="42"/>
        </w:numPr>
        <w:tabs>
          <w:tab w:val="left" w:pos="3945"/>
        </w:tabs>
        <w:spacing w:line="480" w:lineRule="auto"/>
      </w:pPr>
      <w:r>
        <w:t xml:space="preserve">The Society of Thoracic Surgeons. </w:t>
      </w:r>
      <w:r w:rsidR="00DD2242" w:rsidRPr="00116C21">
        <w:t xml:space="preserve">STS </w:t>
      </w:r>
      <w:r>
        <w:t>Short-Term Risk</w:t>
      </w:r>
      <w:r w:rsidR="00DD2242" w:rsidRPr="00116C21">
        <w:t xml:space="preserve"> Calculator. Available at:  </w:t>
      </w:r>
      <w:hyperlink r:id="rId9" w:history="1">
        <w:r w:rsidRPr="00B24111">
          <w:rPr>
            <w:rStyle w:val="Hyperlink"/>
          </w:rPr>
          <w:t>https://www.sts.org/resources/risk-calculato</w:t>
        </w:r>
        <w:r w:rsidRPr="00A73B85">
          <w:rPr>
            <w:rStyle w:val="Hyperlink"/>
          </w:rPr>
          <w:t>r</w:t>
        </w:r>
      </w:hyperlink>
      <w:r>
        <w:t>. Accessed February 5, 2022.</w:t>
      </w:r>
    </w:p>
    <w:p w14:paraId="5B923E5D" w14:textId="0D759068" w:rsidR="00116C21" w:rsidRDefault="00116C21" w:rsidP="00B24111">
      <w:pPr>
        <w:numPr>
          <w:ilvl w:val="0"/>
          <w:numId w:val="42"/>
        </w:numPr>
        <w:tabs>
          <w:tab w:val="left" w:pos="3945"/>
        </w:tabs>
        <w:spacing w:line="480" w:lineRule="auto"/>
        <w:ind w:left="357" w:hanging="357"/>
        <w:rPr>
          <w:color w:val="000000" w:themeColor="text1"/>
        </w:rPr>
      </w:pPr>
      <w:r w:rsidRPr="00F90585">
        <w:rPr>
          <w:color w:val="000000" w:themeColor="text1"/>
        </w:rPr>
        <w:t xml:space="preserve">Nashef SA, Roques F, Sharples LD, </w:t>
      </w:r>
      <w:r w:rsidRPr="00F90585">
        <w:rPr>
          <w:i/>
          <w:color w:val="000000" w:themeColor="text1"/>
        </w:rPr>
        <w:t>et al</w:t>
      </w:r>
      <w:r w:rsidRPr="00F90585">
        <w:rPr>
          <w:color w:val="000000" w:themeColor="text1"/>
        </w:rPr>
        <w:t xml:space="preserve">. EuroSCORE II. </w:t>
      </w:r>
      <w:r w:rsidRPr="00F90585">
        <w:rPr>
          <w:i/>
          <w:color w:val="000000" w:themeColor="text1"/>
        </w:rPr>
        <w:t>Eur J Cardiothorac Surg</w:t>
      </w:r>
      <w:r w:rsidR="00B14470">
        <w:rPr>
          <w:i/>
          <w:color w:val="000000" w:themeColor="text1"/>
        </w:rPr>
        <w:t>.</w:t>
      </w:r>
      <w:r w:rsidRPr="00F90585">
        <w:rPr>
          <w:color w:val="000000" w:themeColor="text1"/>
        </w:rPr>
        <w:t xml:space="preserve"> 2012</w:t>
      </w:r>
      <w:r w:rsidRPr="002B4B1E">
        <w:rPr>
          <w:b/>
          <w:color w:val="000000" w:themeColor="text1"/>
        </w:rPr>
        <w:t>;</w:t>
      </w:r>
      <w:r w:rsidRPr="002B4B1E">
        <w:rPr>
          <w:color w:val="000000" w:themeColor="text1"/>
        </w:rPr>
        <w:t>41</w:t>
      </w:r>
      <w:r w:rsidR="00C44EAA">
        <w:rPr>
          <w:color w:val="000000" w:themeColor="text1"/>
        </w:rPr>
        <w:t>(4)</w:t>
      </w:r>
      <w:r w:rsidRPr="002B4B1E">
        <w:rPr>
          <w:color w:val="000000" w:themeColor="text1"/>
        </w:rPr>
        <w:t>:</w:t>
      </w:r>
      <w:r w:rsidRPr="00F90585">
        <w:rPr>
          <w:color w:val="000000" w:themeColor="text1"/>
        </w:rPr>
        <w:t>734-</w:t>
      </w:r>
      <w:r w:rsidR="003433C4">
        <w:rPr>
          <w:color w:val="000000" w:themeColor="text1"/>
        </w:rPr>
        <w:t>7</w:t>
      </w:r>
      <w:r w:rsidRPr="00F90585">
        <w:rPr>
          <w:color w:val="000000" w:themeColor="text1"/>
        </w:rPr>
        <w:t>44.</w:t>
      </w:r>
    </w:p>
    <w:p w14:paraId="146F649B" w14:textId="77777777" w:rsidR="00DD2242" w:rsidRDefault="008A798A" w:rsidP="002B4B1E">
      <w:pPr>
        <w:numPr>
          <w:ilvl w:val="0"/>
          <w:numId w:val="42"/>
        </w:numPr>
        <w:tabs>
          <w:tab w:val="left" w:pos="3945"/>
        </w:tabs>
        <w:spacing w:line="480" w:lineRule="auto"/>
      </w:pPr>
      <w:r>
        <w:t xml:space="preserve">EuroSCORE Study Group. </w:t>
      </w:r>
      <w:r w:rsidR="00DD2242" w:rsidRPr="00116C21">
        <w:t xml:space="preserve">EuroSCORE II Calculator. Available at: </w:t>
      </w:r>
      <w:hyperlink r:id="rId10" w:history="1">
        <w:r w:rsidR="0042156D" w:rsidRPr="00B24111">
          <w:rPr>
            <w:rStyle w:val="Hyperlink"/>
          </w:rPr>
          <w:t>http://www.euroscore.org/calc.ht</w:t>
        </w:r>
        <w:r w:rsidR="0042156D" w:rsidRPr="00A73B85">
          <w:rPr>
            <w:rStyle w:val="Hyperlink"/>
          </w:rPr>
          <w:t>m</w:t>
        </w:r>
      </w:hyperlink>
      <w:r w:rsidR="0042156D">
        <w:t>. Accessed February 5, 2022.</w:t>
      </w:r>
    </w:p>
    <w:p w14:paraId="346702E3" w14:textId="71DD2126" w:rsidR="00116C21" w:rsidRPr="00116C21" w:rsidRDefault="00116C21">
      <w:pPr>
        <w:numPr>
          <w:ilvl w:val="0"/>
          <w:numId w:val="42"/>
        </w:numPr>
        <w:tabs>
          <w:tab w:val="left" w:pos="3945"/>
        </w:tabs>
        <w:spacing w:line="480" w:lineRule="auto"/>
        <w:ind w:left="357" w:hanging="357"/>
      </w:pPr>
      <w:r w:rsidRPr="00116C21">
        <w:rPr>
          <w:lang w:val="nl-NL"/>
        </w:rPr>
        <w:t xml:space="preserve">Fried LP, Tangen CM, Walston J, </w:t>
      </w:r>
      <w:r w:rsidRPr="00116C21">
        <w:rPr>
          <w:i/>
          <w:lang w:val="nl-NL"/>
        </w:rPr>
        <w:t>et al</w:t>
      </w:r>
      <w:r w:rsidRPr="00116C21">
        <w:rPr>
          <w:lang w:val="nl-NL"/>
        </w:rPr>
        <w:t xml:space="preserve">. </w:t>
      </w:r>
      <w:r w:rsidRPr="00116C21">
        <w:t xml:space="preserve">Frailty in older adults: evidence for a phenotype. </w:t>
      </w:r>
      <w:r w:rsidR="00104FA8" w:rsidRPr="00F90585">
        <w:rPr>
          <w:i/>
        </w:rPr>
        <w:t>J Gerontol A Biol Sci Med Sci</w:t>
      </w:r>
      <w:r w:rsidR="00B14470">
        <w:rPr>
          <w:i/>
        </w:rPr>
        <w:t>.</w:t>
      </w:r>
      <w:r w:rsidRPr="00116C21">
        <w:t xml:space="preserve"> 2001</w:t>
      </w:r>
      <w:r w:rsidRPr="002B4B1E">
        <w:rPr>
          <w:b/>
        </w:rPr>
        <w:t>;</w:t>
      </w:r>
      <w:r w:rsidRPr="002B4B1E">
        <w:t>56</w:t>
      </w:r>
      <w:r w:rsidR="00C44EAA">
        <w:t>(3)</w:t>
      </w:r>
      <w:r w:rsidRPr="002B4B1E">
        <w:t>:</w:t>
      </w:r>
      <w:r w:rsidRPr="00116C21">
        <w:t>M146-</w:t>
      </w:r>
      <w:r w:rsidR="003433C4">
        <w:t>1</w:t>
      </w:r>
      <w:r w:rsidRPr="00116C21">
        <w:t>56.</w:t>
      </w:r>
    </w:p>
    <w:p w14:paraId="6EE6827F" w14:textId="7C6846AE" w:rsidR="00116C21" w:rsidRPr="00116C21" w:rsidRDefault="00116C21" w:rsidP="00893959">
      <w:pPr>
        <w:numPr>
          <w:ilvl w:val="0"/>
          <w:numId w:val="42"/>
        </w:numPr>
        <w:tabs>
          <w:tab w:val="left" w:pos="3945"/>
        </w:tabs>
        <w:spacing w:line="480" w:lineRule="auto"/>
        <w:ind w:left="357" w:hanging="357"/>
      </w:pPr>
      <w:r w:rsidRPr="00116C21">
        <w:t xml:space="preserve">Rockwood K, Song X, MacKnight C, </w:t>
      </w:r>
      <w:r w:rsidRPr="00116C21">
        <w:rPr>
          <w:i/>
        </w:rPr>
        <w:t>et al</w:t>
      </w:r>
      <w:r w:rsidRPr="00116C21">
        <w:t xml:space="preserve">. A global clinical measure of fitness and frailty in elderly people. </w:t>
      </w:r>
      <w:r w:rsidRPr="00F90585">
        <w:rPr>
          <w:i/>
        </w:rPr>
        <w:t>CMAJ</w:t>
      </w:r>
      <w:r w:rsidR="00B14470">
        <w:rPr>
          <w:i/>
        </w:rPr>
        <w:t>.</w:t>
      </w:r>
      <w:r w:rsidRPr="00116C21">
        <w:t xml:space="preserve"> 2005</w:t>
      </w:r>
      <w:r w:rsidRPr="00B14470">
        <w:t>;</w:t>
      </w:r>
      <w:r w:rsidRPr="002B4B1E">
        <w:t>173</w:t>
      </w:r>
      <w:r w:rsidR="00C44EAA">
        <w:t>(5)</w:t>
      </w:r>
      <w:r w:rsidRPr="002B4B1E">
        <w:t>:</w:t>
      </w:r>
      <w:r w:rsidRPr="00116C21">
        <w:t>489-</w:t>
      </w:r>
      <w:r w:rsidR="003433C4">
        <w:t>4</w:t>
      </w:r>
      <w:r w:rsidRPr="00116C21">
        <w:t>95.</w:t>
      </w:r>
    </w:p>
    <w:p w14:paraId="1C293FA5" w14:textId="27743F6E" w:rsidR="00684D33" w:rsidRPr="00116C21" w:rsidRDefault="00684D33" w:rsidP="00893959">
      <w:pPr>
        <w:numPr>
          <w:ilvl w:val="0"/>
          <w:numId w:val="42"/>
        </w:numPr>
        <w:tabs>
          <w:tab w:val="left" w:pos="3945"/>
        </w:tabs>
        <w:spacing w:line="480" w:lineRule="auto"/>
        <w:ind w:left="357" w:hanging="357"/>
      </w:pPr>
      <w:r w:rsidRPr="00116C21">
        <w:t xml:space="preserve">Kappetein AP, Head SJ, Généreux P, </w:t>
      </w:r>
      <w:r w:rsidRPr="00116C21">
        <w:rPr>
          <w:i/>
        </w:rPr>
        <w:t>et al</w:t>
      </w:r>
      <w:r w:rsidRPr="00116C21">
        <w:t xml:space="preserve">. Updated standardized endpoint definitions for transcatheter aortic valve implantation. The Valve Academic Research Consortium-2 Consensus Document. </w:t>
      </w:r>
      <w:r w:rsidRPr="00715799">
        <w:rPr>
          <w:i/>
        </w:rPr>
        <w:t>J Am Coll Cardiol</w:t>
      </w:r>
      <w:r w:rsidR="00B14470">
        <w:rPr>
          <w:i/>
        </w:rPr>
        <w:t>.</w:t>
      </w:r>
      <w:r w:rsidRPr="00116C21">
        <w:t xml:space="preserve"> 2012;</w:t>
      </w:r>
      <w:r w:rsidRPr="002B4B1E">
        <w:t>60</w:t>
      </w:r>
      <w:r w:rsidR="00C44EAA">
        <w:t>(15)</w:t>
      </w:r>
      <w:r w:rsidRPr="002B4B1E">
        <w:t>:</w:t>
      </w:r>
      <w:r w:rsidRPr="00116C21">
        <w:t>1438-</w:t>
      </w:r>
      <w:r w:rsidR="003433C4">
        <w:t>14</w:t>
      </w:r>
      <w:r w:rsidRPr="00116C21">
        <w:t>54.</w:t>
      </w:r>
    </w:p>
    <w:p w14:paraId="757B5A01" w14:textId="17D3405A" w:rsidR="00116C21" w:rsidRPr="00116C21" w:rsidRDefault="00116C21" w:rsidP="00893959">
      <w:pPr>
        <w:numPr>
          <w:ilvl w:val="0"/>
          <w:numId w:val="42"/>
        </w:numPr>
        <w:tabs>
          <w:tab w:val="left" w:pos="3945"/>
        </w:tabs>
        <w:spacing w:line="480" w:lineRule="auto"/>
        <w:ind w:left="357" w:hanging="357"/>
      </w:pPr>
      <w:r w:rsidRPr="00116C21">
        <w:t xml:space="preserve">Bonita R, Beaglehole R. Modification of Rankin Scale: Recovery of motor function after stroke. </w:t>
      </w:r>
      <w:r w:rsidRPr="00F90585">
        <w:rPr>
          <w:bCs/>
          <w:i/>
          <w:iCs/>
        </w:rPr>
        <w:t>Stroke</w:t>
      </w:r>
      <w:r w:rsidR="00B14470">
        <w:rPr>
          <w:bCs/>
          <w:i/>
          <w:iCs/>
        </w:rPr>
        <w:t>.</w:t>
      </w:r>
      <w:r w:rsidRPr="00116C21">
        <w:rPr>
          <w:bCs/>
          <w:iCs/>
        </w:rPr>
        <w:t xml:space="preserve"> </w:t>
      </w:r>
      <w:r w:rsidRPr="00116C21">
        <w:rPr>
          <w:bCs/>
        </w:rPr>
        <w:t>1988;</w:t>
      </w:r>
      <w:r w:rsidRPr="002B4B1E">
        <w:rPr>
          <w:bCs/>
        </w:rPr>
        <w:t>19</w:t>
      </w:r>
      <w:r w:rsidR="00C44EAA">
        <w:rPr>
          <w:bCs/>
        </w:rPr>
        <w:t>(12)</w:t>
      </w:r>
      <w:r w:rsidRPr="002B4B1E">
        <w:rPr>
          <w:bCs/>
        </w:rPr>
        <w:t>:</w:t>
      </w:r>
      <w:r w:rsidRPr="00116C21">
        <w:rPr>
          <w:bCs/>
        </w:rPr>
        <w:t>1497-</w:t>
      </w:r>
      <w:r w:rsidR="003433C4">
        <w:rPr>
          <w:bCs/>
        </w:rPr>
        <w:t>1</w:t>
      </w:r>
      <w:r w:rsidRPr="00116C21">
        <w:rPr>
          <w:bCs/>
        </w:rPr>
        <w:t>500.</w:t>
      </w:r>
    </w:p>
    <w:p w14:paraId="260D154E" w14:textId="46568F03" w:rsidR="00CE6E56" w:rsidRDefault="00CE6E56" w:rsidP="00CE6E56">
      <w:pPr>
        <w:numPr>
          <w:ilvl w:val="0"/>
          <w:numId w:val="42"/>
        </w:numPr>
        <w:tabs>
          <w:tab w:val="left" w:pos="3945"/>
        </w:tabs>
        <w:spacing w:line="480" w:lineRule="auto"/>
      </w:pPr>
      <w:r w:rsidRPr="00CE6E56">
        <w:t xml:space="preserve">Campeau L. Grading of angina pectoris. </w:t>
      </w:r>
      <w:r w:rsidRPr="00CE6E56">
        <w:rPr>
          <w:i/>
        </w:rPr>
        <w:t>Circulation.</w:t>
      </w:r>
      <w:r w:rsidRPr="00CE6E56">
        <w:t xml:space="preserve"> 1976</w:t>
      </w:r>
      <w:r>
        <w:t>;</w:t>
      </w:r>
      <w:r w:rsidRPr="00CE6E56">
        <w:t>54(3):522-</w:t>
      </w:r>
      <w:r>
        <w:t>52</w:t>
      </w:r>
      <w:r w:rsidRPr="00CE6E56">
        <w:t>3</w:t>
      </w:r>
      <w:r>
        <w:t>.</w:t>
      </w:r>
    </w:p>
    <w:p w14:paraId="01B93A63" w14:textId="6546A05B" w:rsidR="00CE6E56" w:rsidRDefault="00CE6E56" w:rsidP="00CE6E56">
      <w:pPr>
        <w:numPr>
          <w:ilvl w:val="0"/>
          <w:numId w:val="42"/>
        </w:numPr>
        <w:tabs>
          <w:tab w:val="left" w:pos="3945"/>
        </w:tabs>
        <w:spacing w:line="480" w:lineRule="auto"/>
      </w:pPr>
      <w:r w:rsidRPr="00CE6E56">
        <w:t xml:space="preserve">Criteria Committee of the American Heart Association Affiliate NYC.  </w:t>
      </w:r>
      <w:r w:rsidRPr="00CE6E56">
        <w:rPr>
          <w:i/>
        </w:rPr>
        <w:t>Nomenclature and Criteria for Diagnosis of Diseases of the Heart and Great Vessels.</w:t>
      </w:r>
      <w:r w:rsidRPr="00CE6E56">
        <w:t xml:space="preserve"> 9th ed. Boston, MA: Little Brown &amp; Co; 1994</w:t>
      </w:r>
      <w:r>
        <w:t>.</w:t>
      </w:r>
    </w:p>
    <w:p w14:paraId="1838D9FE" w14:textId="0DD10081" w:rsidR="00116C21" w:rsidRPr="00116C21" w:rsidRDefault="00116C21" w:rsidP="00893959">
      <w:pPr>
        <w:numPr>
          <w:ilvl w:val="0"/>
          <w:numId w:val="42"/>
        </w:numPr>
        <w:tabs>
          <w:tab w:val="left" w:pos="3945"/>
        </w:tabs>
        <w:spacing w:line="480" w:lineRule="auto"/>
        <w:ind w:left="357" w:hanging="357"/>
      </w:pPr>
      <w:r w:rsidRPr="00116C21">
        <w:t xml:space="preserve">Lincoln NB Gladman JR. The extended activities of daily living scale: a further validation. </w:t>
      </w:r>
      <w:r w:rsidRPr="00F90585">
        <w:rPr>
          <w:i/>
          <w:lang w:val="fr-FR"/>
        </w:rPr>
        <w:t>Disabil Rehabil</w:t>
      </w:r>
      <w:r w:rsidR="00B14470">
        <w:rPr>
          <w:i/>
          <w:lang w:val="fr-FR"/>
        </w:rPr>
        <w:t>.</w:t>
      </w:r>
      <w:r w:rsidRPr="00116C21">
        <w:rPr>
          <w:lang w:val="fr-FR"/>
        </w:rPr>
        <w:t xml:space="preserve"> 1992;</w:t>
      </w:r>
      <w:r w:rsidRPr="002B4B1E">
        <w:rPr>
          <w:lang w:val="fr-FR"/>
        </w:rPr>
        <w:t>14</w:t>
      </w:r>
      <w:r w:rsidR="0082297B">
        <w:rPr>
          <w:lang w:val="fr-FR"/>
        </w:rPr>
        <w:t>(1)</w:t>
      </w:r>
      <w:r w:rsidRPr="002B4B1E">
        <w:rPr>
          <w:lang w:val="fr-FR"/>
        </w:rPr>
        <w:t>:</w:t>
      </w:r>
      <w:r w:rsidRPr="00116C21">
        <w:rPr>
          <w:lang w:val="fr-FR"/>
        </w:rPr>
        <w:t>41-</w:t>
      </w:r>
      <w:r w:rsidR="003433C4">
        <w:rPr>
          <w:lang w:val="fr-FR"/>
        </w:rPr>
        <w:t>4</w:t>
      </w:r>
      <w:r w:rsidRPr="00116C21">
        <w:rPr>
          <w:lang w:val="fr-FR"/>
        </w:rPr>
        <w:t>3.</w:t>
      </w:r>
    </w:p>
    <w:p w14:paraId="580FA20A" w14:textId="614360CA" w:rsidR="00116C21" w:rsidRPr="00116C21" w:rsidRDefault="00116C21" w:rsidP="00893959">
      <w:pPr>
        <w:numPr>
          <w:ilvl w:val="0"/>
          <w:numId w:val="42"/>
        </w:numPr>
        <w:tabs>
          <w:tab w:val="left" w:pos="3945"/>
        </w:tabs>
        <w:spacing w:line="480" w:lineRule="auto"/>
        <w:ind w:left="357" w:hanging="357"/>
      </w:pPr>
      <w:r w:rsidRPr="00116C21">
        <w:t xml:space="preserve">Lipkin DP, Scriven AJ, Crake T, </w:t>
      </w:r>
      <w:r w:rsidRPr="00116C21">
        <w:rPr>
          <w:i/>
        </w:rPr>
        <w:t>et al</w:t>
      </w:r>
      <w:r w:rsidRPr="00116C21">
        <w:t xml:space="preserve">. Six minute walking test for assessing exercise capacity in chronic heart failure. </w:t>
      </w:r>
      <w:r w:rsidRPr="00F90585">
        <w:rPr>
          <w:i/>
        </w:rPr>
        <w:t>B</w:t>
      </w:r>
      <w:r w:rsidR="003433C4">
        <w:rPr>
          <w:i/>
        </w:rPr>
        <w:t xml:space="preserve">r </w:t>
      </w:r>
      <w:r w:rsidRPr="00F90585">
        <w:rPr>
          <w:i/>
        </w:rPr>
        <w:t>M</w:t>
      </w:r>
      <w:r w:rsidR="003433C4">
        <w:rPr>
          <w:i/>
        </w:rPr>
        <w:t xml:space="preserve">ed </w:t>
      </w:r>
      <w:r w:rsidRPr="00F90585">
        <w:rPr>
          <w:i/>
        </w:rPr>
        <w:t>J</w:t>
      </w:r>
      <w:r w:rsidR="00B14470">
        <w:rPr>
          <w:i/>
        </w:rPr>
        <w:t>.</w:t>
      </w:r>
      <w:r w:rsidRPr="00116C21">
        <w:t xml:space="preserve"> 1986;</w:t>
      </w:r>
      <w:r w:rsidRPr="002B4B1E">
        <w:t>292</w:t>
      </w:r>
      <w:r w:rsidR="0082297B">
        <w:t>(6521)</w:t>
      </w:r>
      <w:r w:rsidRPr="002B4B1E">
        <w:t>:</w:t>
      </w:r>
      <w:r w:rsidRPr="00116C21">
        <w:t>653-</w:t>
      </w:r>
      <w:r w:rsidR="003433C4">
        <w:t>65</w:t>
      </w:r>
      <w:r w:rsidRPr="00116C21">
        <w:t>5.</w:t>
      </w:r>
    </w:p>
    <w:p w14:paraId="6AC83F62" w14:textId="20223136" w:rsidR="00116C21" w:rsidRPr="00116C21" w:rsidRDefault="00116C21" w:rsidP="00893959">
      <w:pPr>
        <w:numPr>
          <w:ilvl w:val="0"/>
          <w:numId w:val="42"/>
        </w:numPr>
        <w:tabs>
          <w:tab w:val="left" w:pos="3945"/>
        </w:tabs>
        <w:spacing w:line="480" w:lineRule="auto"/>
        <w:ind w:left="357" w:hanging="357"/>
      </w:pPr>
      <w:r w:rsidRPr="00116C21">
        <w:t xml:space="preserve">Folstein MF, Folstein SE, McHugh PR. "Mini-mental state". A practical method for grading the cognitive state of patients for the clinician. </w:t>
      </w:r>
      <w:r w:rsidRPr="00F90585">
        <w:rPr>
          <w:i/>
        </w:rPr>
        <w:t>J Psychiatr Res</w:t>
      </w:r>
      <w:r w:rsidR="00B14470">
        <w:rPr>
          <w:i/>
        </w:rPr>
        <w:t>.</w:t>
      </w:r>
      <w:r w:rsidRPr="00116C21">
        <w:t xml:space="preserve"> 1975;</w:t>
      </w:r>
      <w:r w:rsidRPr="002B4B1E">
        <w:t>12</w:t>
      </w:r>
      <w:r w:rsidR="0082297B">
        <w:t>(3)</w:t>
      </w:r>
      <w:r w:rsidRPr="002B4B1E">
        <w:t>:</w:t>
      </w:r>
      <w:r w:rsidRPr="00116C21">
        <w:t>189-</w:t>
      </w:r>
      <w:r w:rsidR="003433C4">
        <w:t>1</w:t>
      </w:r>
      <w:r w:rsidRPr="00116C21">
        <w:t>98.</w:t>
      </w:r>
    </w:p>
    <w:p w14:paraId="1F348612" w14:textId="786FB693" w:rsidR="00684D33" w:rsidRPr="00116C21" w:rsidRDefault="00116C21" w:rsidP="008A207D">
      <w:pPr>
        <w:numPr>
          <w:ilvl w:val="0"/>
          <w:numId w:val="42"/>
        </w:numPr>
        <w:tabs>
          <w:tab w:val="left" w:pos="3945"/>
        </w:tabs>
        <w:spacing w:line="480" w:lineRule="auto"/>
      </w:pPr>
      <w:r w:rsidRPr="00116C21">
        <w:t xml:space="preserve">EuroQol Group. EuroQol EQ-5D-5L. Available at: </w:t>
      </w:r>
      <w:hyperlink r:id="rId11" w:history="1">
        <w:r w:rsidR="008A207D" w:rsidRPr="008A207D">
          <w:rPr>
            <w:rStyle w:val="Hyperlink"/>
          </w:rPr>
          <w:t>https://euroqol.org/eq-5d-instruments</w:t>
        </w:r>
        <w:r w:rsidR="008A207D" w:rsidRPr="00C16AF6">
          <w:rPr>
            <w:rStyle w:val="Hyperlink"/>
          </w:rPr>
          <w:t>/</w:t>
        </w:r>
      </w:hyperlink>
      <w:r w:rsidR="008A207D">
        <w:t>. Acc</w:t>
      </w:r>
      <w:r w:rsidR="004542E5">
        <w:t xml:space="preserve">essed </w:t>
      </w:r>
      <w:r w:rsidR="008A207D">
        <w:t>February 5</w:t>
      </w:r>
      <w:r w:rsidR="004542E5">
        <w:t>, 202</w:t>
      </w:r>
      <w:r w:rsidR="008A207D">
        <w:t>2</w:t>
      </w:r>
      <w:r w:rsidR="004542E5">
        <w:t>.</w:t>
      </w:r>
    </w:p>
    <w:p w14:paraId="3D081092" w14:textId="7A3E1C9C" w:rsidR="00116C21" w:rsidRDefault="00116C21">
      <w:pPr>
        <w:numPr>
          <w:ilvl w:val="0"/>
          <w:numId w:val="42"/>
        </w:numPr>
        <w:tabs>
          <w:tab w:val="left" w:pos="3945"/>
        </w:tabs>
        <w:spacing w:line="480" w:lineRule="auto"/>
      </w:pPr>
      <w:r w:rsidRPr="00116C21">
        <w:t xml:space="preserve">Rector TS, Kubo SH, Cohn JN. Patients’ self-assessment of their congestive heart failure, part 2: content, reliability and validity of a new measure, the Minnesota Living with Heart Failure questionnaire. </w:t>
      </w:r>
      <w:r w:rsidRPr="00F90585">
        <w:rPr>
          <w:i/>
        </w:rPr>
        <w:t>Heart Failure</w:t>
      </w:r>
      <w:r w:rsidR="00B14470">
        <w:rPr>
          <w:i/>
        </w:rPr>
        <w:t>.</w:t>
      </w:r>
      <w:r w:rsidRPr="00116C21">
        <w:t xml:space="preserve"> 1987;</w:t>
      </w:r>
      <w:r w:rsidRPr="002B4B1E">
        <w:t>3:</w:t>
      </w:r>
      <w:r w:rsidRPr="00116C21">
        <w:t>198-209.</w:t>
      </w:r>
    </w:p>
    <w:p w14:paraId="625FACDD" w14:textId="0FC98991" w:rsidR="00113C23" w:rsidRDefault="00113C23" w:rsidP="00D602BC">
      <w:pPr>
        <w:numPr>
          <w:ilvl w:val="0"/>
          <w:numId w:val="42"/>
        </w:numPr>
        <w:tabs>
          <w:tab w:val="left" w:pos="3945"/>
        </w:tabs>
        <w:spacing w:line="480" w:lineRule="auto"/>
      </w:pPr>
      <w:r>
        <w:t xml:space="preserve">Bridgewater B, Kinsman R, Walton P, et al. </w:t>
      </w:r>
      <w:r w:rsidRPr="00113C23">
        <w:rPr>
          <w:i/>
        </w:rPr>
        <w:t>Demonstrating quality: the sixth National Adult Cardiac Surgery database report.</w:t>
      </w:r>
      <w:r>
        <w:t xml:space="preserve"> Henley-on-Thames, UK: Dendrite </w:t>
      </w:r>
      <w:r w:rsidR="007B3D0D">
        <w:t>Clinical Systems Ltd;</w:t>
      </w:r>
      <w:r>
        <w:t xml:space="preserve"> 2009.</w:t>
      </w:r>
    </w:p>
    <w:p w14:paraId="79707512" w14:textId="53AB015A" w:rsidR="00206B8A" w:rsidRPr="00116C21" w:rsidRDefault="00206B8A">
      <w:pPr>
        <w:numPr>
          <w:ilvl w:val="0"/>
          <w:numId w:val="42"/>
        </w:numPr>
        <w:tabs>
          <w:tab w:val="left" w:pos="3945"/>
        </w:tabs>
        <w:spacing w:line="480" w:lineRule="auto"/>
      </w:pPr>
      <w:r>
        <w:t xml:space="preserve">Kleinman LC, Norton EC. What’s the risk? A simple approach for estimating adjusted risk measures from nonlinear models including logistic regression. </w:t>
      </w:r>
      <w:r w:rsidR="00D16C01" w:rsidRPr="00D115DF">
        <w:rPr>
          <w:i/>
        </w:rPr>
        <w:t>Health Serv</w:t>
      </w:r>
      <w:r w:rsidRPr="002B4B1E">
        <w:rPr>
          <w:i/>
        </w:rPr>
        <w:t xml:space="preserve"> Res</w:t>
      </w:r>
      <w:r w:rsidR="00B14470">
        <w:rPr>
          <w:i/>
        </w:rPr>
        <w:t>.</w:t>
      </w:r>
      <w:r>
        <w:t xml:space="preserve"> 2009;</w:t>
      </w:r>
      <w:r w:rsidRPr="00B14470">
        <w:t>44</w:t>
      </w:r>
      <w:r w:rsidR="00EB5CA8">
        <w:t>(1)</w:t>
      </w:r>
      <w:r w:rsidRPr="00B14470">
        <w:t>:</w:t>
      </w:r>
      <w:r>
        <w:t>288</w:t>
      </w:r>
      <w:r w:rsidR="00D16C01">
        <w:t>-</w:t>
      </w:r>
      <w:r>
        <w:t>302.</w:t>
      </w:r>
    </w:p>
    <w:p w14:paraId="6A48310B" w14:textId="77777777" w:rsidR="008A207D" w:rsidRDefault="008A207D" w:rsidP="008A207D">
      <w:pPr>
        <w:numPr>
          <w:ilvl w:val="0"/>
          <w:numId w:val="42"/>
        </w:numPr>
        <w:tabs>
          <w:tab w:val="left" w:pos="3945"/>
        </w:tabs>
        <w:spacing w:line="480" w:lineRule="auto"/>
      </w:pPr>
      <w:r>
        <w:t xml:space="preserve">National Institute for Cardiovascular Outcomes Research (NICOR) (2020). National Adult Cardiac Surgery Audit (NACSA) 2020 Summary Report (2016/17-2018/19 Data). Available at: </w:t>
      </w:r>
      <w:hyperlink r:id="rId12" w:history="1">
        <w:r w:rsidRPr="00C16AF6">
          <w:rPr>
            <w:rStyle w:val="Hyperlink"/>
          </w:rPr>
          <w:t>https://www.nicor.org.uk/wp-content/uploads/2020/12/National-Adult-Cardiac-Surgery-Audit-NACSA-FINAL.pdf</w:t>
        </w:r>
      </w:hyperlink>
      <w:r>
        <w:t>. Accessed February 5, 2022.</w:t>
      </w:r>
    </w:p>
    <w:p w14:paraId="6E8E566C" w14:textId="77777777" w:rsidR="008A207D" w:rsidRDefault="008A207D" w:rsidP="008A207D">
      <w:pPr>
        <w:numPr>
          <w:ilvl w:val="0"/>
          <w:numId w:val="42"/>
        </w:numPr>
        <w:tabs>
          <w:tab w:val="left" w:pos="3945"/>
        </w:tabs>
        <w:spacing w:line="480" w:lineRule="auto"/>
      </w:pPr>
      <w:r>
        <w:t xml:space="preserve">Society for Cardiothoracic Surgery in Great Britain and Ireland (2020). National Cardiac Surgery Activity and Outcome Report 2002-2016. Available at: </w:t>
      </w:r>
      <w:hyperlink r:id="rId13" w:history="1">
        <w:r w:rsidRPr="00C16AF6">
          <w:rPr>
            <w:rStyle w:val="Hyperlink"/>
          </w:rPr>
          <w:t>https://scts.org/_userfiles/pages/files/sctscardiacbluebook2020_11_20tnv2.pdf</w:t>
        </w:r>
      </w:hyperlink>
      <w:r>
        <w:t>. Accessed February 5, 2022.</w:t>
      </w:r>
    </w:p>
    <w:p w14:paraId="65966EDC" w14:textId="77777777" w:rsidR="008A207D" w:rsidRDefault="008A207D" w:rsidP="002B4B1E">
      <w:pPr>
        <w:numPr>
          <w:ilvl w:val="0"/>
          <w:numId w:val="42"/>
        </w:numPr>
        <w:tabs>
          <w:tab w:val="left" w:pos="3945"/>
        </w:tabs>
        <w:spacing w:after="0" w:line="480" w:lineRule="auto"/>
        <w:ind w:left="357"/>
      </w:pPr>
      <w:r>
        <w:t>British Cardiova</w:t>
      </w:r>
      <w:r w:rsidR="004608BC">
        <w:t>scular Intervention Society (202</w:t>
      </w:r>
      <w:r>
        <w:t xml:space="preserve">1). United Kingdom National Audit of Transcatheter Aortic Valve Implantation. Available at: </w:t>
      </w:r>
      <w:hyperlink r:id="rId14" w:history="1">
        <w:r w:rsidRPr="00C16AF6">
          <w:rPr>
            <w:rStyle w:val="Hyperlink"/>
          </w:rPr>
          <w:t>https://www.bcis.org.uk/wp-content/uploads/2021/04/BCIS-Audit-2019-20-data-TAVI-subset-as-26-04-2020-for-web.pdf</w:t>
        </w:r>
      </w:hyperlink>
    </w:p>
    <w:p w14:paraId="5727D10D" w14:textId="77777777" w:rsidR="008A207D" w:rsidRDefault="008A207D" w:rsidP="002B4B1E">
      <w:pPr>
        <w:tabs>
          <w:tab w:val="left" w:pos="3945"/>
        </w:tabs>
        <w:spacing w:after="0" w:line="480" w:lineRule="auto"/>
        <w:ind w:left="357"/>
      </w:pPr>
      <w:r>
        <w:t>Accessed February 5, 2022.</w:t>
      </w:r>
    </w:p>
    <w:p w14:paraId="2D8BC57A" w14:textId="1388E7FE" w:rsidR="00771813" w:rsidRPr="00116C21" w:rsidRDefault="00116C21" w:rsidP="00893959">
      <w:pPr>
        <w:numPr>
          <w:ilvl w:val="0"/>
          <w:numId w:val="42"/>
        </w:numPr>
        <w:tabs>
          <w:tab w:val="left" w:pos="3945"/>
        </w:tabs>
        <w:spacing w:line="480" w:lineRule="auto"/>
        <w:ind w:left="357" w:hanging="357"/>
      </w:pPr>
      <w:r w:rsidRPr="00116C21">
        <w:t xml:space="preserve">Leon MB, Smith CR, Mack MJ, et al. Transcatheter or Surgical Aortic-Valve Replacement in Intermediate-Risk Patients. </w:t>
      </w:r>
      <w:r w:rsidRPr="00F90585">
        <w:rPr>
          <w:i/>
        </w:rPr>
        <w:t>N Engl J Med</w:t>
      </w:r>
      <w:r w:rsidR="00B14470">
        <w:rPr>
          <w:i/>
        </w:rPr>
        <w:t>.</w:t>
      </w:r>
      <w:r w:rsidRPr="00116C21">
        <w:t xml:space="preserve"> 2016;</w:t>
      </w:r>
      <w:r w:rsidRPr="002B4B1E">
        <w:t>374</w:t>
      </w:r>
      <w:r w:rsidR="00EB5CA8">
        <w:t>(17)</w:t>
      </w:r>
      <w:r w:rsidRPr="002B4B1E">
        <w:t>:</w:t>
      </w:r>
      <w:r w:rsidRPr="00116C21">
        <w:t>1609-</w:t>
      </w:r>
      <w:r w:rsidR="003433C4">
        <w:t>16</w:t>
      </w:r>
      <w:r w:rsidRPr="00116C21">
        <w:t>20.</w:t>
      </w:r>
    </w:p>
    <w:p w14:paraId="6623A66B" w14:textId="483E65CB" w:rsidR="00116C21" w:rsidRPr="00116C21" w:rsidRDefault="00116C21" w:rsidP="00893959">
      <w:pPr>
        <w:numPr>
          <w:ilvl w:val="0"/>
          <w:numId w:val="42"/>
        </w:numPr>
        <w:tabs>
          <w:tab w:val="left" w:pos="3945"/>
        </w:tabs>
        <w:spacing w:line="480" w:lineRule="auto"/>
        <w:ind w:left="357" w:hanging="357"/>
      </w:pPr>
      <w:r w:rsidRPr="00116C21">
        <w:t xml:space="preserve">Reardon MJ, Van Mieghem NM, Popma JJ, et al. Surgical or transcatheter aortic-valve replacement in intermediate-risk patients. </w:t>
      </w:r>
      <w:r w:rsidRPr="00F90585">
        <w:rPr>
          <w:i/>
        </w:rPr>
        <w:t>N Engl J Med</w:t>
      </w:r>
      <w:r w:rsidR="00B14470">
        <w:rPr>
          <w:i/>
        </w:rPr>
        <w:t>.</w:t>
      </w:r>
      <w:r w:rsidRPr="00116C21">
        <w:t xml:space="preserve"> 2017;</w:t>
      </w:r>
      <w:r w:rsidRPr="002B4B1E">
        <w:t>376</w:t>
      </w:r>
      <w:r w:rsidR="00EB5CA8">
        <w:t>(14)</w:t>
      </w:r>
      <w:r w:rsidRPr="002B4B1E">
        <w:t>:</w:t>
      </w:r>
      <w:r w:rsidRPr="00116C21">
        <w:t>1321-</w:t>
      </w:r>
      <w:r w:rsidR="00B14470">
        <w:t>13</w:t>
      </w:r>
      <w:r w:rsidRPr="00116C21">
        <w:t>31.</w:t>
      </w:r>
    </w:p>
    <w:p w14:paraId="00B4538E" w14:textId="08A52151" w:rsidR="00771813" w:rsidRPr="00116C21" w:rsidRDefault="00116C21" w:rsidP="00893959">
      <w:pPr>
        <w:numPr>
          <w:ilvl w:val="0"/>
          <w:numId w:val="42"/>
        </w:numPr>
        <w:tabs>
          <w:tab w:val="left" w:pos="3945"/>
        </w:tabs>
        <w:spacing w:line="480" w:lineRule="auto"/>
        <w:ind w:left="357" w:hanging="357"/>
      </w:pPr>
      <w:r w:rsidRPr="00116C21">
        <w:t xml:space="preserve">Thyregod HG, Steinbruchel DA, Ihlemann N, et al. Transcatheter versus surgical aortic valve replacement in patients with severe aortic valve stenosis: 1-year results from the all-comers NOTION randomized clinical trial. </w:t>
      </w:r>
      <w:r w:rsidRPr="00F90585">
        <w:rPr>
          <w:i/>
        </w:rPr>
        <w:t>J Am Coll Cardiol</w:t>
      </w:r>
      <w:r w:rsidR="00B14470">
        <w:rPr>
          <w:i/>
        </w:rPr>
        <w:t>.</w:t>
      </w:r>
      <w:r w:rsidRPr="00116C21">
        <w:t xml:space="preserve"> 2015;</w:t>
      </w:r>
      <w:r w:rsidRPr="002B4B1E">
        <w:t>65</w:t>
      </w:r>
      <w:r w:rsidR="00EB5CA8">
        <w:t>(20)</w:t>
      </w:r>
      <w:r w:rsidRPr="002B4B1E">
        <w:t>:</w:t>
      </w:r>
      <w:r w:rsidRPr="00116C21">
        <w:t>2184-</w:t>
      </w:r>
      <w:r w:rsidR="00B14470">
        <w:t>21</w:t>
      </w:r>
      <w:r w:rsidRPr="00116C21">
        <w:t>94.</w:t>
      </w:r>
    </w:p>
    <w:p w14:paraId="20F62BA8" w14:textId="763C283B" w:rsidR="00771813" w:rsidRPr="00116C21" w:rsidRDefault="00116C21" w:rsidP="00893959">
      <w:pPr>
        <w:numPr>
          <w:ilvl w:val="0"/>
          <w:numId w:val="42"/>
        </w:numPr>
        <w:tabs>
          <w:tab w:val="left" w:pos="3945"/>
        </w:tabs>
        <w:spacing w:line="480" w:lineRule="auto"/>
        <w:ind w:left="357" w:hanging="357"/>
      </w:pPr>
      <w:r w:rsidRPr="00116C21">
        <w:t xml:space="preserve">Mack MJ, Leon MB, Thourani VH, et al. Transcatheter Aortic-Valve Replacement with a Balloon-Expandable Valve in Low-Risk Patients. </w:t>
      </w:r>
      <w:r w:rsidRPr="00F90585">
        <w:rPr>
          <w:i/>
        </w:rPr>
        <w:t>N Engl J Med</w:t>
      </w:r>
      <w:r w:rsidR="00B14470">
        <w:rPr>
          <w:i/>
        </w:rPr>
        <w:t>.</w:t>
      </w:r>
      <w:r w:rsidRPr="00116C21">
        <w:t xml:space="preserve"> 2019;</w:t>
      </w:r>
      <w:r w:rsidRPr="002B4B1E">
        <w:t>380</w:t>
      </w:r>
      <w:r w:rsidR="00EB5CA8">
        <w:t>(18)</w:t>
      </w:r>
      <w:r w:rsidRPr="002B4B1E">
        <w:t>:</w:t>
      </w:r>
      <w:r w:rsidRPr="00116C21">
        <w:t>1695-</w:t>
      </w:r>
      <w:r w:rsidR="00B14470">
        <w:t>1</w:t>
      </w:r>
      <w:r w:rsidRPr="00116C21">
        <w:t>705.</w:t>
      </w:r>
    </w:p>
    <w:p w14:paraId="1EF580EF" w14:textId="47209D9E" w:rsidR="00771813" w:rsidRPr="00116C21" w:rsidRDefault="00116C21" w:rsidP="00893959">
      <w:pPr>
        <w:numPr>
          <w:ilvl w:val="0"/>
          <w:numId w:val="42"/>
        </w:numPr>
        <w:tabs>
          <w:tab w:val="left" w:pos="3945"/>
        </w:tabs>
        <w:spacing w:line="480" w:lineRule="auto"/>
        <w:ind w:left="357" w:hanging="357"/>
      </w:pPr>
      <w:r w:rsidRPr="00116C21">
        <w:t xml:space="preserve">Popma JJ, Deeb GM, Yakubov SJ, et al. Transcatheter aortic-valve replacement with a self-expanding valve in low-risk patients. </w:t>
      </w:r>
      <w:r w:rsidRPr="00F90585">
        <w:rPr>
          <w:i/>
        </w:rPr>
        <w:t>N Engl J Med</w:t>
      </w:r>
      <w:r w:rsidR="00B14470">
        <w:rPr>
          <w:i/>
        </w:rPr>
        <w:t>.</w:t>
      </w:r>
      <w:r w:rsidRPr="00116C21">
        <w:t xml:space="preserve"> 2019;</w:t>
      </w:r>
      <w:r w:rsidRPr="002B4B1E">
        <w:t>380</w:t>
      </w:r>
      <w:r w:rsidR="006764F5">
        <w:t>(18)</w:t>
      </w:r>
      <w:r w:rsidRPr="002B4B1E">
        <w:t>:</w:t>
      </w:r>
      <w:r w:rsidRPr="00116C21">
        <w:t>1706-</w:t>
      </w:r>
      <w:r w:rsidR="00B14470">
        <w:t>17</w:t>
      </w:r>
      <w:r w:rsidRPr="00116C21">
        <w:t>15.</w:t>
      </w:r>
    </w:p>
    <w:p w14:paraId="4B6018F1" w14:textId="7578A858" w:rsidR="00771813" w:rsidRPr="00116C21" w:rsidRDefault="00116C21" w:rsidP="00893959">
      <w:pPr>
        <w:numPr>
          <w:ilvl w:val="0"/>
          <w:numId w:val="42"/>
        </w:numPr>
        <w:tabs>
          <w:tab w:val="left" w:pos="3945"/>
        </w:tabs>
        <w:spacing w:line="480" w:lineRule="auto"/>
        <w:ind w:left="357" w:hanging="357"/>
      </w:pPr>
      <w:r w:rsidRPr="00116C21">
        <w:t xml:space="preserve">Siontis GCM,  Overtchouk P, Cahill TJ, et al. Transcatheter aortic valve implantation vs. surgical aortic valve replacement for treatment of symptomatic severe aortic stenosis: an updated meta-analysis. </w:t>
      </w:r>
      <w:r w:rsidRPr="00F90585">
        <w:rPr>
          <w:i/>
        </w:rPr>
        <w:t>Eur Heart J</w:t>
      </w:r>
      <w:r w:rsidR="00B14470">
        <w:rPr>
          <w:i/>
        </w:rPr>
        <w:t>.</w:t>
      </w:r>
      <w:r w:rsidRPr="00F90585">
        <w:rPr>
          <w:i/>
        </w:rPr>
        <w:t xml:space="preserve"> </w:t>
      </w:r>
      <w:r w:rsidRPr="00116C21">
        <w:t>2019;</w:t>
      </w:r>
      <w:r w:rsidRPr="002B4B1E">
        <w:t>40</w:t>
      </w:r>
      <w:r w:rsidR="006764F5">
        <w:t>(38)</w:t>
      </w:r>
      <w:r w:rsidRPr="002B4B1E">
        <w:t>:</w:t>
      </w:r>
      <w:r w:rsidRPr="00116C21">
        <w:t>3143-</w:t>
      </w:r>
      <w:r w:rsidR="00B14470">
        <w:t>31</w:t>
      </w:r>
      <w:r w:rsidRPr="00116C21">
        <w:t>53.</w:t>
      </w:r>
    </w:p>
    <w:p w14:paraId="40A9BC04" w14:textId="23704B81" w:rsidR="00771813" w:rsidRPr="00116C21" w:rsidRDefault="00116C21" w:rsidP="00893959">
      <w:pPr>
        <w:numPr>
          <w:ilvl w:val="0"/>
          <w:numId w:val="42"/>
        </w:numPr>
        <w:tabs>
          <w:tab w:val="left" w:pos="3945"/>
        </w:tabs>
        <w:spacing w:line="480" w:lineRule="auto"/>
        <w:ind w:left="357" w:hanging="357"/>
      </w:pPr>
      <w:r w:rsidRPr="00116C21">
        <w:t xml:space="preserve">Kolkailah AA, Doukky R, Pelletier MP, Volgman AS, Kaneko T, Nabhan AF. Transcatheter aortic valve implantation versus surgical aortic valve replacement for severe aortic stenosis in people with low surgical risk. </w:t>
      </w:r>
      <w:r w:rsidRPr="00F90585">
        <w:rPr>
          <w:i/>
        </w:rPr>
        <w:t>Cochrane Database Syst Rev</w:t>
      </w:r>
      <w:r w:rsidR="00B14470">
        <w:rPr>
          <w:i/>
        </w:rPr>
        <w:t>.</w:t>
      </w:r>
      <w:r w:rsidRPr="00116C21">
        <w:t xml:space="preserve"> 201</w:t>
      </w:r>
      <w:r w:rsidRPr="00B14470">
        <w:t xml:space="preserve">9, </w:t>
      </w:r>
      <w:r w:rsidR="006764F5">
        <w:t>12(12):</w:t>
      </w:r>
      <w:r w:rsidRPr="00116C21">
        <w:t>CD013319.</w:t>
      </w:r>
    </w:p>
    <w:p w14:paraId="4A9EBB2C" w14:textId="66DE219F" w:rsidR="00771813" w:rsidRPr="00116C21" w:rsidRDefault="00116C21" w:rsidP="00893959">
      <w:pPr>
        <w:numPr>
          <w:ilvl w:val="0"/>
          <w:numId w:val="42"/>
        </w:numPr>
        <w:tabs>
          <w:tab w:val="left" w:pos="3945"/>
        </w:tabs>
        <w:spacing w:line="480" w:lineRule="auto"/>
        <w:ind w:left="357" w:hanging="357"/>
      </w:pPr>
      <w:r w:rsidRPr="00116C21">
        <w:t xml:space="preserve">Makkar RR, Fontana G, Jilaihawi H, et al. Possible subclinical leaflet thrombosis in bioprosthetic aortic valves. </w:t>
      </w:r>
      <w:r w:rsidRPr="00F90585">
        <w:rPr>
          <w:i/>
        </w:rPr>
        <w:t>N Engl J Med</w:t>
      </w:r>
      <w:r w:rsidR="00B14470">
        <w:rPr>
          <w:i/>
        </w:rPr>
        <w:t>.</w:t>
      </w:r>
      <w:r w:rsidRPr="00116C21">
        <w:t xml:space="preserve"> 2015;</w:t>
      </w:r>
      <w:r w:rsidRPr="002B4B1E">
        <w:t>373</w:t>
      </w:r>
      <w:r w:rsidR="006764F5">
        <w:t>(21)</w:t>
      </w:r>
      <w:r w:rsidRPr="002B4B1E">
        <w:t>:</w:t>
      </w:r>
      <w:r w:rsidRPr="00116C21">
        <w:t>2015-</w:t>
      </w:r>
      <w:r w:rsidR="00B14470">
        <w:t>20</w:t>
      </w:r>
      <w:r w:rsidRPr="00116C21">
        <w:t>24.</w:t>
      </w:r>
    </w:p>
    <w:p w14:paraId="467F5908" w14:textId="4B9BDF99" w:rsidR="00771813" w:rsidRPr="00116C21" w:rsidRDefault="00116C21" w:rsidP="00893959">
      <w:pPr>
        <w:numPr>
          <w:ilvl w:val="0"/>
          <w:numId w:val="42"/>
        </w:numPr>
        <w:tabs>
          <w:tab w:val="left" w:pos="3945"/>
        </w:tabs>
        <w:spacing w:line="480" w:lineRule="auto"/>
        <w:ind w:left="357" w:hanging="357"/>
      </w:pPr>
      <w:r w:rsidRPr="00116C21">
        <w:t xml:space="preserve">Chakravarty T, Søndergaard L, Friedman J, et al. Subclinical leaflet thrombosis in surgical and transcatheter bioprosthetic aortic valves: an observational study. </w:t>
      </w:r>
      <w:r w:rsidRPr="00F90585">
        <w:rPr>
          <w:i/>
        </w:rPr>
        <w:t>Lancet</w:t>
      </w:r>
      <w:r w:rsidR="00B14470">
        <w:rPr>
          <w:i/>
        </w:rPr>
        <w:t>.</w:t>
      </w:r>
      <w:r w:rsidRPr="00116C21">
        <w:t xml:space="preserve"> 2017;</w:t>
      </w:r>
      <w:r w:rsidRPr="002B4B1E">
        <w:t>389</w:t>
      </w:r>
      <w:r w:rsidR="006764F5">
        <w:t>(10087)</w:t>
      </w:r>
      <w:r w:rsidRPr="002B4B1E">
        <w:t>:</w:t>
      </w:r>
      <w:r w:rsidRPr="00116C21">
        <w:t>2383-</w:t>
      </w:r>
      <w:r w:rsidR="00B14470">
        <w:t>23</w:t>
      </w:r>
      <w:r w:rsidRPr="00116C21">
        <w:t>92.</w:t>
      </w:r>
    </w:p>
    <w:p w14:paraId="1E875DC7" w14:textId="1A8E4D2F" w:rsidR="00771813" w:rsidRPr="00116C21" w:rsidRDefault="00630D43" w:rsidP="00893959">
      <w:pPr>
        <w:numPr>
          <w:ilvl w:val="0"/>
          <w:numId w:val="42"/>
        </w:numPr>
        <w:tabs>
          <w:tab w:val="left" w:pos="3945"/>
        </w:tabs>
        <w:spacing w:line="480" w:lineRule="auto"/>
        <w:ind w:left="357" w:hanging="357"/>
      </w:pPr>
      <w:r w:rsidRPr="00630D43">
        <w:t xml:space="preserve">Blackman DJ, Saraf S, MacCarthy PA, et al. Long-Term Durability of Transcatheter Aortic Valve Prostheses. </w:t>
      </w:r>
      <w:r w:rsidRPr="00F90585">
        <w:rPr>
          <w:i/>
        </w:rPr>
        <w:t>J Am Coll Cardiol</w:t>
      </w:r>
      <w:r w:rsidR="00B14470">
        <w:rPr>
          <w:i/>
        </w:rPr>
        <w:t>.</w:t>
      </w:r>
      <w:r w:rsidRPr="00630D43">
        <w:t xml:space="preserve"> 2019;</w:t>
      </w:r>
      <w:r w:rsidRPr="002B4B1E">
        <w:t>73</w:t>
      </w:r>
      <w:r w:rsidR="006764F5">
        <w:t>(5)</w:t>
      </w:r>
      <w:r w:rsidRPr="002B4B1E">
        <w:t>:</w:t>
      </w:r>
      <w:r w:rsidRPr="00630D43">
        <w:t>537-</w:t>
      </w:r>
      <w:r w:rsidR="00B14470">
        <w:t>5</w:t>
      </w:r>
      <w:r w:rsidRPr="00630D43">
        <w:t>45.</w:t>
      </w:r>
    </w:p>
    <w:p w14:paraId="4A2554EA" w14:textId="3ABF31C6" w:rsidR="00116C21" w:rsidRPr="00116C21" w:rsidRDefault="00116C21" w:rsidP="00893959">
      <w:pPr>
        <w:numPr>
          <w:ilvl w:val="0"/>
          <w:numId w:val="42"/>
        </w:numPr>
        <w:tabs>
          <w:tab w:val="left" w:pos="3945"/>
        </w:tabs>
        <w:spacing w:line="480" w:lineRule="auto"/>
        <w:ind w:left="357" w:hanging="357"/>
      </w:pPr>
      <w:r w:rsidRPr="00116C21">
        <w:t xml:space="preserve">Makkar RR, Thourani VH, Mack MJ, et al. Five-Year Outcomes of Transcatheter or Surgical Aortic-Valve Replacement.  </w:t>
      </w:r>
      <w:r w:rsidRPr="00F90585">
        <w:rPr>
          <w:i/>
        </w:rPr>
        <w:t>N Engl J Med</w:t>
      </w:r>
      <w:r w:rsidR="00B14470">
        <w:rPr>
          <w:i/>
        </w:rPr>
        <w:t>.</w:t>
      </w:r>
      <w:r w:rsidRPr="00116C21">
        <w:t xml:space="preserve"> 2020;</w:t>
      </w:r>
      <w:r w:rsidRPr="002B4B1E">
        <w:t>382</w:t>
      </w:r>
      <w:r w:rsidR="006764F5">
        <w:t>(9)</w:t>
      </w:r>
      <w:r w:rsidR="00E67000" w:rsidRPr="002B4B1E">
        <w:t>:</w:t>
      </w:r>
      <w:r w:rsidR="00E67000" w:rsidRPr="00B14470">
        <w:t>7</w:t>
      </w:r>
      <w:r w:rsidR="00E67000">
        <w:t>99-809</w:t>
      </w:r>
      <w:r w:rsidRPr="00116C21">
        <w:t>.</w:t>
      </w:r>
    </w:p>
    <w:p w14:paraId="153762A3" w14:textId="77777777" w:rsidR="000B762E" w:rsidRDefault="000B762E">
      <w:pPr>
        <w:sectPr w:rsidR="000B762E" w:rsidSect="008112C6">
          <w:footerReference w:type="default" r:id="rId15"/>
          <w:pgSz w:w="11906" w:h="16838" w:code="9"/>
          <w:pgMar w:top="1440" w:right="1440" w:bottom="1440" w:left="1440" w:header="709" w:footer="284" w:gutter="0"/>
          <w:cols w:space="708"/>
          <w:docGrid w:linePitch="360"/>
        </w:sectPr>
      </w:pPr>
    </w:p>
    <w:p w14:paraId="08CFC196" w14:textId="77777777" w:rsidR="00EC2788" w:rsidRPr="00D4590F" w:rsidRDefault="00D8238F" w:rsidP="00D4590F">
      <w:pPr>
        <w:pStyle w:val="Heading1"/>
        <w:spacing w:before="0"/>
        <w:jc w:val="center"/>
        <w:rPr>
          <w:sz w:val="27"/>
          <w:szCs w:val="27"/>
        </w:rPr>
      </w:pPr>
      <w:r w:rsidRPr="00D4590F">
        <w:rPr>
          <w:sz w:val="27"/>
          <w:szCs w:val="27"/>
        </w:rPr>
        <w:t>TABLES</w:t>
      </w:r>
    </w:p>
    <w:p w14:paraId="25425E14" w14:textId="77777777" w:rsidR="0007553F" w:rsidRDefault="00625E1B" w:rsidP="00294EB2">
      <w:pPr>
        <w:pStyle w:val="Heading2"/>
      </w:pPr>
      <w:r>
        <w:t>Table 1</w:t>
      </w:r>
      <w:r w:rsidR="003F077F">
        <w:t xml:space="preserve">. </w:t>
      </w:r>
      <w:r w:rsidR="003F077F" w:rsidRPr="003F077F">
        <w:t xml:space="preserve">Characteristics of the </w:t>
      </w:r>
      <w:r w:rsidR="00A01815">
        <w:t>Participants</w:t>
      </w:r>
      <w:r w:rsidR="003F077F" w:rsidRPr="003F077F">
        <w:t xml:space="preserve"> at Baseline</w:t>
      </w:r>
    </w:p>
    <w:p w14:paraId="2765FBB7" w14:textId="77777777" w:rsidR="00EC2788" w:rsidRDefault="00EC2788" w:rsidP="00D4590F">
      <w:pPr>
        <w:spacing w:after="0"/>
      </w:pPr>
    </w:p>
    <w:tbl>
      <w:tblPr>
        <w:tblStyle w:val="TableGrid"/>
        <w:tblW w:w="9923" w:type="dxa"/>
        <w:tblInd w:w="-34" w:type="dxa"/>
        <w:tblLayout w:type="fixed"/>
        <w:tblLook w:val="04A0" w:firstRow="1" w:lastRow="0" w:firstColumn="1" w:lastColumn="0" w:noHBand="0" w:noVBand="1"/>
      </w:tblPr>
      <w:tblGrid>
        <w:gridCol w:w="4678"/>
        <w:gridCol w:w="2622"/>
        <w:gridCol w:w="2623"/>
      </w:tblGrid>
      <w:tr w:rsidR="00107635" w14:paraId="17047ABC" w14:textId="77777777" w:rsidTr="002B4B1E">
        <w:trPr>
          <w:trHeight w:val="684"/>
        </w:trPr>
        <w:tc>
          <w:tcPr>
            <w:tcW w:w="4678" w:type="dxa"/>
            <w:vAlign w:val="center"/>
          </w:tcPr>
          <w:p w14:paraId="0E765627" w14:textId="77777777" w:rsidR="00107635" w:rsidRPr="00107635" w:rsidRDefault="00107635" w:rsidP="00107635">
            <w:pPr>
              <w:jc w:val="center"/>
              <w:rPr>
                <w:b/>
              </w:rPr>
            </w:pPr>
            <w:r w:rsidRPr="00107635">
              <w:rPr>
                <w:b/>
              </w:rPr>
              <w:t>Characteristic</w:t>
            </w:r>
          </w:p>
        </w:tc>
        <w:tc>
          <w:tcPr>
            <w:tcW w:w="2622" w:type="dxa"/>
            <w:vAlign w:val="center"/>
          </w:tcPr>
          <w:p w14:paraId="6CD3D242" w14:textId="77777777" w:rsidR="00107635" w:rsidRDefault="00107635" w:rsidP="00D63FE1">
            <w:pPr>
              <w:jc w:val="center"/>
              <w:rPr>
                <w:b/>
              </w:rPr>
            </w:pPr>
            <w:r w:rsidRPr="00107635">
              <w:rPr>
                <w:b/>
              </w:rPr>
              <w:t>TAVI</w:t>
            </w:r>
            <w:r w:rsidR="00F76675">
              <w:rPr>
                <w:b/>
                <w:vertAlign w:val="superscript"/>
              </w:rPr>
              <w:t>a</w:t>
            </w:r>
          </w:p>
          <w:p w14:paraId="153621BE" w14:textId="77777777" w:rsidR="00107635" w:rsidRPr="00107635" w:rsidRDefault="00107635" w:rsidP="00D63FE1">
            <w:pPr>
              <w:jc w:val="center"/>
              <w:rPr>
                <w:b/>
              </w:rPr>
            </w:pPr>
            <w:r>
              <w:rPr>
                <w:b/>
              </w:rPr>
              <w:t>(N=458)</w:t>
            </w:r>
          </w:p>
        </w:tc>
        <w:tc>
          <w:tcPr>
            <w:tcW w:w="2623" w:type="dxa"/>
            <w:vAlign w:val="center"/>
          </w:tcPr>
          <w:p w14:paraId="58B941ED" w14:textId="77777777" w:rsidR="00107635" w:rsidRDefault="00165F21" w:rsidP="00D63FE1">
            <w:pPr>
              <w:jc w:val="center"/>
              <w:rPr>
                <w:b/>
              </w:rPr>
            </w:pPr>
            <w:r>
              <w:rPr>
                <w:b/>
              </w:rPr>
              <w:t>Surgery</w:t>
            </w:r>
            <w:r w:rsidR="00F76675">
              <w:rPr>
                <w:b/>
                <w:vertAlign w:val="superscript"/>
              </w:rPr>
              <w:t>a</w:t>
            </w:r>
          </w:p>
          <w:p w14:paraId="5622FB03" w14:textId="77777777" w:rsidR="00107635" w:rsidRPr="00107635" w:rsidRDefault="00107635" w:rsidP="00D63FE1">
            <w:pPr>
              <w:jc w:val="center"/>
              <w:rPr>
                <w:b/>
              </w:rPr>
            </w:pPr>
            <w:r>
              <w:rPr>
                <w:b/>
              </w:rPr>
              <w:t>(N=455)</w:t>
            </w:r>
          </w:p>
        </w:tc>
      </w:tr>
      <w:tr w:rsidR="00107635" w14:paraId="0391FB2A" w14:textId="77777777" w:rsidTr="002B4B1E">
        <w:trPr>
          <w:trHeight w:val="340"/>
        </w:trPr>
        <w:tc>
          <w:tcPr>
            <w:tcW w:w="4678" w:type="dxa"/>
            <w:tcBorders>
              <w:bottom w:val="single" w:sz="4" w:space="0" w:color="000000" w:themeColor="text1"/>
            </w:tcBorders>
            <w:vAlign w:val="center"/>
          </w:tcPr>
          <w:p w14:paraId="7003F27D" w14:textId="1B144CB1" w:rsidR="003565C1" w:rsidRDefault="00107635">
            <w:pPr>
              <w:rPr>
                <w:lang w:val="en-GB"/>
              </w:rPr>
            </w:pPr>
            <w:r w:rsidRPr="00F82435">
              <w:t>Age</w:t>
            </w:r>
            <w:r w:rsidR="00AA7A0C">
              <w:t>, median (IQR),</w:t>
            </w:r>
            <w:r w:rsidR="007C7BFD" w:rsidRPr="00F82435">
              <w:t xml:space="preserve"> </w:t>
            </w:r>
            <w:r w:rsidR="00AA7A0C">
              <w:t>y</w:t>
            </w:r>
          </w:p>
        </w:tc>
        <w:tc>
          <w:tcPr>
            <w:tcW w:w="2622" w:type="dxa"/>
            <w:tcBorders>
              <w:bottom w:val="single" w:sz="4" w:space="0" w:color="000000" w:themeColor="text1"/>
            </w:tcBorders>
            <w:vAlign w:val="center"/>
          </w:tcPr>
          <w:p w14:paraId="138CC81A" w14:textId="03202766" w:rsidR="00E74D58" w:rsidRDefault="00E03E47">
            <w:pPr>
              <w:jc w:val="center"/>
            </w:pPr>
            <w:r>
              <w:t>81 (79 to 84)</w:t>
            </w:r>
          </w:p>
        </w:tc>
        <w:tc>
          <w:tcPr>
            <w:tcW w:w="2623" w:type="dxa"/>
            <w:tcBorders>
              <w:bottom w:val="single" w:sz="4" w:space="0" w:color="000000" w:themeColor="text1"/>
            </w:tcBorders>
            <w:vAlign w:val="center"/>
          </w:tcPr>
          <w:p w14:paraId="694E8004" w14:textId="6A5216DF" w:rsidR="00B04483" w:rsidRDefault="00E03E47">
            <w:pPr>
              <w:jc w:val="center"/>
            </w:pPr>
            <w:r>
              <w:t>81 (78 to 84)</w:t>
            </w:r>
          </w:p>
        </w:tc>
      </w:tr>
      <w:tr w:rsidR="00107635" w14:paraId="09A067BA" w14:textId="77777777" w:rsidTr="002B4B1E">
        <w:trPr>
          <w:trHeight w:val="283"/>
        </w:trPr>
        <w:tc>
          <w:tcPr>
            <w:tcW w:w="4678" w:type="dxa"/>
            <w:tcBorders>
              <w:bottom w:val="nil"/>
            </w:tcBorders>
            <w:vAlign w:val="center"/>
          </w:tcPr>
          <w:p w14:paraId="5337795B" w14:textId="02DB3B7B" w:rsidR="0039195F" w:rsidRPr="00F82435" w:rsidRDefault="00107635" w:rsidP="00084229">
            <w:r w:rsidRPr="00F82435">
              <w:t>Age group</w:t>
            </w:r>
            <w:r w:rsidR="00AA7A0C">
              <w:t>, No</w:t>
            </w:r>
            <w:r w:rsidR="0039195F" w:rsidRPr="00F82435">
              <w:t>. (%)</w:t>
            </w:r>
          </w:p>
        </w:tc>
        <w:tc>
          <w:tcPr>
            <w:tcW w:w="2622" w:type="dxa"/>
            <w:tcBorders>
              <w:bottom w:val="nil"/>
            </w:tcBorders>
            <w:vAlign w:val="center"/>
          </w:tcPr>
          <w:p w14:paraId="403A8ACA" w14:textId="31442D66" w:rsidR="0039195F" w:rsidRDefault="0039195F" w:rsidP="00084229">
            <w:pPr>
              <w:jc w:val="center"/>
            </w:pPr>
          </w:p>
        </w:tc>
        <w:tc>
          <w:tcPr>
            <w:tcW w:w="2623" w:type="dxa"/>
            <w:tcBorders>
              <w:bottom w:val="nil"/>
            </w:tcBorders>
            <w:vAlign w:val="center"/>
          </w:tcPr>
          <w:p w14:paraId="460359FF" w14:textId="784C9F47" w:rsidR="0039195F" w:rsidRDefault="0039195F" w:rsidP="00084229">
            <w:pPr>
              <w:jc w:val="center"/>
            </w:pPr>
          </w:p>
        </w:tc>
      </w:tr>
      <w:tr w:rsidR="00EB1471" w14:paraId="28347A5F" w14:textId="77777777" w:rsidTr="002B4B1E">
        <w:trPr>
          <w:trHeight w:val="283"/>
        </w:trPr>
        <w:tc>
          <w:tcPr>
            <w:tcW w:w="4678" w:type="dxa"/>
            <w:tcBorders>
              <w:top w:val="nil"/>
              <w:bottom w:val="nil"/>
            </w:tcBorders>
            <w:vAlign w:val="center"/>
          </w:tcPr>
          <w:p w14:paraId="69B8071C" w14:textId="77777777" w:rsidR="00EB1471" w:rsidRPr="00F82435" w:rsidRDefault="00EB1471">
            <w:r>
              <w:t xml:space="preserve">  </w:t>
            </w:r>
            <w:r w:rsidRPr="00F82435">
              <w:t>70-79</w:t>
            </w:r>
          </w:p>
        </w:tc>
        <w:tc>
          <w:tcPr>
            <w:tcW w:w="2622" w:type="dxa"/>
            <w:tcBorders>
              <w:top w:val="nil"/>
              <w:bottom w:val="nil"/>
            </w:tcBorders>
            <w:vAlign w:val="center"/>
          </w:tcPr>
          <w:p w14:paraId="53F5B462" w14:textId="77777777" w:rsidR="00EB1471" w:rsidRDefault="00EB1471">
            <w:pPr>
              <w:jc w:val="center"/>
            </w:pPr>
            <w:r>
              <w:t>143 (31.2)</w:t>
            </w:r>
          </w:p>
        </w:tc>
        <w:tc>
          <w:tcPr>
            <w:tcW w:w="2623" w:type="dxa"/>
            <w:tcBorders>
              <w:top w:val="nil"/>
              <w:bottom w:val="nil"/>
            </w:tcBorders>
            <w:vAlign w:val="center"/>
          </w:tcPr>
          <w:p w14:paraId="1415ED12" w14:textId="77777777" w:rsidR="00EB1471" w:rsidRDefault="00EB1471">
            <w:pPr>
              <w:jc w:val="center"/>
            </w:pPr>
            <w:r>
              <w:t>143 (31.4)</w:t>
            </w:r>
          </w:p>
        </w:tc>
      </w:tr>
      <w:tr w:rsidR="00EB1471" w14:paraId="39D68279" w14:textId="77777777" w:rsidTr="002B4B1E">
        <w:trPr>
          <w:trHeight w:val="283"/>
        </w:trPr>
        <w:tc>
          <w:tcPr>
            <w:tcW w:w="4678" w:type="dxa"/>
            <w:tcBorders>
              <w:top w:val="nil"/>
              <w:bottom w:val="single" w:sz="4" w:space="0" w:color="000000" w:themeColor="text1"/>
            </w:tcBorders>
            <w:vAlign w:val="center"/>
          </w:tcPr>
          <w:p w14:paraId="00475626" w14:textId="77777777" w:rsidR="00EB1471" w:rsidRPr="00F82435" w:rsidRDefault="00EB1471" w:rsidP="00084229">
            <w:r>
              <w:t xml:space="preserve">  </w:t>
            </w:r>
            <w:r w:rsidRPr="00F82435">
              <w:t>≥80</w:t>
            </w:r>
          </w:p>
        </w:tc>
        <w:tc>
          <w:tcPr>
            <w:tcW w:w="2622" w:type="dxa"/>
            <w:tcBorders>
              <w:top w:val="nil"/>
              <w:bottom w:val="single" w:sz="4" w:space="0" w:color="000000" w:themeColor="text1"/>
            </w:tcBorders>
            <w:vAlign w:val="center"/>
          </w:tcPr>
          <w:p w14:paraId="4BC095CB" w14:textId="77777777" w:rsidR="00EB1471" w:rsidRDefault="00EB1471" w:rsidP="00084229">
            <w:pPr>
              <w:jc w:val="center"/>
            </w:pPr>
            <w:r>
              <w:t>315 (68.8)</w:t>
            </w:r>
          </w:p>
        </w:tc>
        <w:tc>
          <w:tcPr>
            <w:tcW w:w="2623" w:type="dxa"/>
            <w:tcBorders>
              <w:top w:val="nil"/>
              <w:bottom w:val="single" w:sz="4" w:space="0" w:color="000000" w:themeColor="text1"/>
            </w:tcBorders>
            <w:vAlign w:val="center"/>
          </w:tcPr>
          <w:p w14:paraId="363F6A1C" w14:textId="77777777" w:rsidR="00EB1471" w:rsidRDefault="00EB1471" w:rsidP="00084229">
            <w:pPr>
              <w:jc w:val="center"/>
            </w:pPr>
            <w:r>
              <w:t>312 (68.6)</w:t>
            </w:r>
          </w:p>
        </w:tc>
      </w:tr>
      <w:tr w:rsidR="00107635" w14:paraId="6B64850B" w14:textId="77777777" w:rsidTr="002B4B1E">
        <w:trPr>
          <w:trHeight w:val="283"/>
        </w:trPr>
        <w:tc>
          <w:tcPr>
            <w:tcW w:w="4678" w:type="dxa"/>
            <w:tcBorders>
              <w:bottom w:val="nil"/>
            </w:tcBorders>
            <w:vAlign w:val="center"/>
          </w:tcPr>
          <w:p w14:paraId="4AE11A82" w14:textId="577C7C01" w:rsidR="00F71461" w:rsidRPr="00F82435" w:rsidRDefault="00F71461">
            <w:r>
              <w:t>Sex</w:t>
            </w:r>
            <w:r w:rsidR="00AA7A0C">
              <w:t>, N</w:t>
            </w:r>
            <w:r w:rsidR="00107635" w:rsidRPr="00F82435">
              <w:t>o. (%)</w:t>
            </w:r>
            <w:r>
              <w:t xml:space="preserve"> </w:t>
            </w:r>
          </w:p>
        </w:tc>
        <w:tc>
          <w:tcPr>
            <w:tcW w:w="2622" w:type="dxa"/>
            <w:tcBorders>
              <w:bottom w:val="nil"/>
            </w:tcBorders>
            <w:vAlign w:val="center"/>
          </w:tcPr>
          <w:p w14:paraId="49890EF4" w14:textId="7B9DBB76" w:rsidR="00F71461" w:rsidRPr="00625E1B" w:rsidRDefault="00F71461" w:rsidP="002B4B1E">
            <w:pPr>
              <w:rPr>
                <w:color w:val="000000" w:themeColor="text1"/>
              </w:rPr>
            </w:pPr>
          </w:p>
        </w:tc>
        <w:tc>
          <w:tcPr>
            <w:tcW w:w="2623" w:type="dxa"/>
            <w:tcBorders>
              <w:bottom w:val="nil"/>
            </w:tcBorders>
            <w:vAlign w:val="center"/>
          </w:tcPr>
          <w:p w14:paraId="00703316" w14:textId="090A9664" w:rsidR="00F71461" w:rsidRPr="00625E1B" w:rsidRDefault="00F71461" w:rsidP="002B4B1E">
            <w:pPr>
              <w:rPr>
                <w:color w:val="000000" w:themeColor="text1"/>
              </w:rPr>
            </w:pPr>
          </w:p>
        </w:tc>
      </w:tr>
      <w:tr w:rsidR="00EB1471" w14:paraId="51327FB5" w14:textId="77777777" w:rsidTr="002B4B1E">
        <w:trPr>
          <w:trHeight w:val="283"/>
        </w:trPr>
        <w:tc>
          <w:tcPr>
            <w:tcW w:w="4678" w:type="dxa"/>
            <w:tcBorders>
              <w:top w:val="nil"/>
              <w:bottom w:val="nil"/>
            </w:tcBorders>
            <w:vAlign w:val="center"/>
          </w:tcPr>
          <w:p w14:paraId="0A50DDBA" w14:textId="77777777" w:rsidR="00EB1471" w:rsidRDefault="00EB1471" w:rsidP="00084229">
            <w:r>
              <w:t xml:space="preserve">  Male</w:t>
            </w:r>
          </w:p>
        </w:tc>
        <w:tc>
          <w:tcPr>
            <w:tcW w:w="2622" w:type="dxa"/>
            <w:tcBorders>
              <w:top w:val="nil"/>
              <w:bottom w:val="nil"/>
            </w:tcBorders>
            <w:vAlign w:val="center"/>
          </w:tcPr>
          <w:p w14:paraId="5B56E8C8" w14:textId="77777777" w:rsidR="00EB1471" w:rsidRDefault="00EB1471">
            <w:pPr>
              <w:jc w:val="center"/>
              <w:rPr>
                <w:color w:val="000000" w:themeColor="text1"/>
              </w:rPr>
            </w:pPr>
            <w:r w:rsidRPr="00625E1B">
              <w:rPr>
                <w:color w:val="000000" w:themeColor="text1"/>
              </w:rPr>
              <w:t>247 (53.9)</w:t>
            </w:r>
          </w:p>
        </w:tc>
        <w:tc>
          <w:tcPr>
            <w:tcW w:w="2623" w:type="dxa"/>
            <w:tcBorders>
              <w:top w:val="nil"/>
              <w:bottom w:val="nil"/>
            </w:tcBorders>
            <w:vAlign w:val="center"/>
          </w:tcPr>
          <w:p w14:paraId="302D340C" w14:textId="77777777" w:rsidR="00EB1471" w:rsidRDefault="00EB1471">
            <w:pPr>
              <w:jc w:val="center"/>
              <w:rPr>
                <w:color w:val="000000" w:themeColor="text1"/>
              </w:rPr>
            </w:pPr>
            <w:r w:rsidRPr="00625E1B">
              <w:rPr>
                <w:color w:val="000000" w:themeColor="text1"/>
              </w:rPr>
              <w:t>242 (53.2)</w:t>
            </w:r>
          </w:p>
        </w:tc>
      </w:tr>
      <w:tr w:rsidR="00EB1471" w14:paraId="481BDFAD" w14:textId="77777777" w:rsidTr="002B4B1E">
        <w:trPr>
          <w:trHeight w:val="283"/>
        </w:trPr>
        <w:tc>
          <w:tcPr>
            <w:tcW w:w="4678" w:type="dxa"/>
            <w:tcBorders>
              <w:top w:val="nil"/>
              <w:bottom w:val="single" w:sz="4" w:space="0" w:color="000000" w:themeColor="text1"/>
            </w:tcBorders>
            <w:vAlign w:val="center"/>
          </w:tcPr>
          <w:p w14:paraId="195A2A4F" w14:textId="77777777" w:rsidR="00EB1471" w:rsidRDefault="00EB1471" w:rsidP="00084229">
            <w:r>
              <w:t xml:space="preserve">  Female</w:t>
            </w:r>
          </w:p>
        </w:tc>
        <w:tc>
          <w:tcPr>
            <w:tcW w:w="2622" w:type="dxa"/>
            <w:tcBorders>
              <w:top w:val="nil"/>
              <w:bottom w:val="single" w:sz="4" w:space="0" w:color="000000" w:themeColor="text1"/>
            </w:tcBorders>
            <w:vAlign w:val="center"/>
          </w:tcPr>
          <w:p w14:paraId="3315CD3A" w14:textId="77777777" w:rsidR="00EB1471" w:rsidRDefault="00EB1471" w:rsidP="00084229">
            <w:pPr>
              <w:jc w:val="center"/>
              <w:rPr>
                <w:color w:val="000000" w:themeColor="text1"/>
              </w:rPr>
            </w:pPr>
            <w:r>
              <w:rPr>
                <w:color w:val="000000" w:themeColor="text1"/>
              </w:rPr>
              <w:t>211 (46.1)</w:t>
            </w:r>
          </w:p>
        </w:tc>
        <w:tc>
          <w:tcPr>
            <w:tcW w:w="2623" w:type="dxa"/>
            <w:tcBorders>
              <w:top w:val="nil"/>
              <w:bottom w:val="single" w:sz="4" w:space="0" w:color="000000" w:themeColor="text1"/>
            </w:tcBorders>
            <w:vAlign w:val="center"/>
          </w:tcPr>
          <w:p w14:paraId="666EEA35" w14:textId="77777777" w:rsidR="00EB1471" w:rsidRDefault="00EB1471" w:rsidP="00084229">
            <w:pPr>
              <w:jc w:val="center"/>
              <w:rPr>
                <w:color w:val="000000" w:themeColor="text1"/>
              </w:rPr>
            </w:pPr>
            <w:r>
              <w:rPr>
                <w:color w:val="000000" w:themeColor="text1"/>
              </w:rPr>
              <w:t>213 (46.8)</w:t>
            </w:r>
          </w:p>
        </w:tc>
      </w:tr>
      <w:tr w:rsidR="00107635" w14:paraId="095EEAAD" w14:textId="77777777" w:rsidTr="002B4B1E">
        <w:trPr>
          <w:trHeight w:val="283"/>
        </w:trPr>
        <w:tc>
          <w:tcPr>
            <w:tcW w:w="4678" w:type="dxa"/>
            <w:tcBorders>
              <w:bottom w:val="nil"/>
            </w:tcBorders>
            <w:vAlign w:val="center"/>
          </w:tcPr>
          <w:p w14:paraId="7060C351" w14:textId="4DEC44A7" w:rsidR="00BB1A2B" w:rsidRPr="00F82435" w:rsidRDefault="00BB1A2B">
            <w:r>
              <w:t>Ethnicity</w:t>
            </w:r>
            <w:r w:rsidR="00AA7A0C">
              <w:t>, N</w:t>
            </w:r>
            <w:r w:rsidR="00107635" w:rsidRPr="00F82435">
              <w:t>o. (%)</w:t>
            </w:r>
            <w:r w:rsidR="00E037E5" w:rsidRPr="002B4B1E">
              <w:rPr>
                <w:vertAlign w:val="superscript"/>
              </w:rPr>
              <w:t>a</w:t>
            </w:r>
          </w:p>
        </w:tc>
        <w:tc>
          <w:tcPr>
            <w:tcW w:w="2622" w:type="dxa"/>
            <w:tcBorders>
              <w:bottom w:val="nil"/>
            </w:tcBorders>
            <w:vAlign w:val="center"/>
          </w:tcPr>
          <w:p w14:paraId="4B31E19A" w14:textId="7C12AB48" w:rsidR="00107635" w:rsidRPr="00625E1B" w:rsidRDefault="00107635" w:rsidP="00084229">
            <w:pPr>
              <w:jc w:val="center"/>
              <w:rPr>
                <w:color w:val="000000" w:themeColor="text1"/>
              </w:rPr>
            </w:pPr>
          </w:p>
        </w:tc>
        <w:tc>
          <w:tcPr>
            <w:tcW w:w="2623" w:type="dxa"/>
            <w:tcBorders>
              <w:bottom w:val="nil"/>
            </w:tcBorders>
            <w:vAlign w:val="center"/>
          </w:tcPr>
          <w:p w14:paraId="53A8AF6E" w14:textId="7341E995" w:rsidR="00107635" w:rsidRPr="00625E1B" w:rsidRDefault="00107635" w:rsidP="00084229">
            <w:pPr>
              <w:jc w:val="center"/>
              <w:rPr>
                <w:color w:val="000000" w:themeColor="text1"/>
              </w:rPr>
            </w:pPr>
          </w:p>
        </w:tc>
      </w:tr>
      <w:tr w:rsidR="00BB1A2B" w14:paraId="544FE149" w14:textId="77777777" w:rsidTr="002B4B1E">
        <w:trPr>
          <w:trHeight w:val="283"/>
        </w:trPr>
        <w:tc>
          <w:tcPr>
            <w:tcW w:w="4678" w:type="dxa"/>
            <w:tcBorders>
              <w:top w:val="nil"/>
              <w:bottom w:val="nil"/>
            </w:tcBorders>
            <w:vAlign w:val="center"/>
          </w:tcPr>
          <w:p w14:paraId="195DAEEA" w14:textId="77777777" w:rsidR="00BB1A2B" w:rsidRPr="00F82435" w:rsidDel="00BB1A2B" w:rsidRDefault="00EB1471">
            <w:r>
              <w:t xml:space="preserve">  Asian</w:t>
            </w:r>
            <w:r w:rsidR="00B210E8">
              <w:t>/Asian British</w:t>
            </w:r>
          </w:p>
        </w:tc>
        <w:tc>
          <w:tcPr>
            <w:tcW w:w="2622" w:type="dxa"/>
            <w:tcBorders>
              <w:top w:val="nil"/>
              <w:bottom w:val="nil"/>
            </w:tcBorders>
            <w:vAlign w:val="center"/>
          </w:tcPr>
          <w:p w14:paraId="3A0C0619" w14:textId="77777777" w:rsidR="00BB1A2B" w:rsidRPr="00625E1B" w:rsidRDefault="0086598E" w:rsidP="00084229">
            <w:pPr>
              <w:jc w:val="center"/>
              <w:rPr>
                <w:color w:val="000000" w:themeColor="text1"/>
              </w:rPr>
            </w:pPr>
            <w:r>
              <w:rPr>
                <w:color w:val="000000" w:themeColor="text1"/>
              </w:rPr>
              <w:t>5 (</w:t>
            </w:r>
            <w:r w:rsidR="00AA7A0C">
              <w:rPr>
                <w:color w:val="000000" w:themeColor="text1"/>
              </w:rPr>
              <w:t>1.1</w:t>
            </w:r>
            <w:r>
              <w:rPr>
                <w:color w:val="000000" w:themeColor="text1"/>
              </w:rPr>
              <w:t>)</w:t>
            </w:r>
          </w:p>
        </w:tc>
        <w:tc>
          <w:tcPr>
            <w:tcW w:w="2623" w:type="dxa"/>
            <w:tcBorders>
              <w:top w:val="nil"/>
              <w:bottom w:val="nil"/>
            </w:tcBorders>
            <w:vAlign w:val="center"/>
          </w:tcPr>
          <w:p w14:paraId="7A52C4AC" w14:textId="77777777" w:rsidR="00BB1A2B" w:rsidRPr="00625E1B" w:rsidRDefault="0086598E" w:rsidP="00084229">
            <w:pPr>
              <w:jc w:val="center"/>
              <w:rPr>
                <w:color w:val="000000" w:themeColor="text1"/>
              </w:rPr>
            </w:pPr>
            <w:r>
              <w:rPr>
                <w:color w:val="000000" w:themeColor="text1"/>
              </w:rPr>
              <w:t>6</w:t>
            </w:r>
            <w:r w:rsidR="00AA7A0C">
              <w:rPr>
                <w:color w:val="000000" w:themeColor="text1"/>
              </w:rPr>
              <w:t xml:space="preserve"> (1.3)</w:t>
            </w:r>
          </w:p>
        </w:tc>
      </w:tr>
      <w:tr w:rsidR="00BB1A2B" w14:paraId="0A7F964D" w14:textId="77777777" w:rsidTr="002B4B1E">
        <w:trPr>
          <w:trHeight w:val="283"/>
        </w:trPr>
        <w:tc>
          <w:tcPr>
            <w:tcW w:w="4678" w:type="dxa"/>
            <w:tcBorders>
              <w:top w:val="nil"/>
              <w:bottom w:val="nil"/>
            </w:tcBorders>
            <w:vAlign w:val="center"/>
          </w:tcPr>
          <w:p w14:paraId="17828F74" w14:textId="77777777" w:rsidR="00BB1A2B" w:rsidRPr="00F82435" w:rsidDel="00BB1A2B" w:rsidRDefault="00EB1471">
            <w:r>
              <w:t xml:space="preserve">  Black</w:t>
            </w:r>
            <w:r w:rsidR="00B210E8">
              <w:t>/African/Caribbean/Black British</w:t>
            </w:r>
          </w:p>
        </w:tc>
        <w:tc>
          <w:tcPr>
            <w:tcW w:w="2622" w:type="dxa"/>
            <w:tcBorders>
              <w:top w:val="nil"/>
              <w:bottom w:val="nil"/>
            </w:tcBorders>
            <w:vAlign w:val="center"/>
          </w:tcPr>
          <w:p w14:paraId="06C61821" w14:textId="77777777" w:rsidR="00BB1A2B" w:rsidRPr="00625E1B" w:rsidRDefault="0086598E" w:rsidP="00084229">
            <w:pPr>
              <w:jc w:val="center"/>
              <w:rPr>
                <w:color w:val="000000" w:themeColor="text1"/>
              </w:rPr>
            </w:pPr>
            <w:r>
              <w:rPr>
                <w:color w:val="000000" w:themeColor="text1"/>
              </w:rPr>
              <w:t>0 (</w:t>
            </w:r>
            <w:r w:rsidR="00AA7A0C">
              <w:rPr>
                <w:color w:val="000000" w:themeColor="text1"/>
              </w:rPr>
              <w:t>0</w:t>
            </w:r>
            <w:r>
              <w:rPr>
                <w:color w:val="000000" w:themeColor="text1"/>
              </w:rPr>
              <w:t>)</w:t>
            </w:r>
          </w:p>
        </w:tc>
        <w:tc>
          <w:tcPr>
            <w:tcW w:w="2623" w:type="dxa"/>
            <w:tcBorders>
              <w:top w:val="nil"/>
              <w:bottom w:val="nil"/>
            </w:tcBorders>
            <w:vAlign w:val="center"/>
          </w:tcPr>
          <w:p w14:paraId="78986C4C" w14:textId="77777777" w:rsidR="00BB1A2B" w:rsidRPr="00625E1B" w:rsidRDefault="0086598E" w:rsidP="00084229">
            <w:pPr>
              <w:jc w:val="center"/>
              <w:rPr>
                <w:color w:val="000000" w:themeColor="text1"/>
              </w:rPr>
            </w:pPr>
            <w:r>
              <w:rPr>
                <w:color w:val="000000" w:themeColor="text1"/>
              </w:rPr>
              <w:t>6</w:t>
            </w:r>
            <w:r w:rsidR="00AA7A0C">
              <w:rPr>
                <w:color w:val="000000" w:themeColor="text1"/>
              </w:rPr>
              <w:t xml:space="preserve"> (1.3)</w:t>
            </w:r>
          </w:p>
        </w:tc>
      </w:tr>
      <w:tr w:rsidR="00BB1A2B" w14:paraId="24079FA6" w14:textId="77777777" w:rsidTr="002B4B1E">
        <w:trPr>
          <w:trHeight w:val="283"/>
        </w:trPr>
        <w:tc>
          <w:tcPr>
            <w:tcW w:w="4678" w:type="dxa"/>
            <w:tcBorders>
              <w:top w:val="nil"/>
              <w:bottom w:val="nil"/>
            </w:tcBorders>
            <w:vAlign w:val="center"/>
          </w:tcPr>
          <w:p w14:paraId="5BB5B0A8" w14:textId="77777777" w:rsidR="00BB1A2B" w:rsidRPr="00F82435" w:rsidDel="00BB1A2B" w:rsidRDefault="00EB1471">
            <w:r>
              <w:t xml:space="preserve">  Mixed</w:t>
            </w:r>
            <w:r w:rsidR="00536BBF">
              <w:t>/Multiple Ethnic Groups</w:t>
            </w:r>
          </w:p>
        </w:tc>
        <w:tc>
          <w:tcPr>
            <w:tcW w:w="2622" w:type="dxa"/>
            <w:tcBorders>
              <w:top w:val="nil"/>
              <w:bottom w:val="nil"/>
            </w:tcBorders>
            <w:vAlign w:val="center"/>
          </w:tcPr>
          <w:p w14:paraId="64470F12" w14:textId="77777777" w:rsidR="00BB1A2B" w:rsidRPr="00625E1B" w:rsidRDefault="0086598E" w:rsidP="00084229">
            <w:pPr>
              <w:jc w:val="center"/>
              <w:rPr>
                <w:color w:val="000000" w:themeColor="text1"/>
              </w:rPr>
            </w:pPr>
            <w:r>
              <w:rPr>
                <w:color w:val="000000" w:themeColor="text1"/>
              </w:rPr>
              <w:t>1 (</w:t>
            </w:r>
            <w:r w:rsidR="00AA7A0C">
              <w:rPr>
                <w:color w:val="000000" w:themeColor="text1"/>
              </w:rPr>
              <w:t>0.2</w:t>
            </w:r>
            <w:r>
              <w:rPr>
                <w:color w:val="000000" w:themeColor="text1"/>
              </w:rPr>
              <w:t>)</w:t>
            </w:r>
          </w:p>
        </w:tc>
        <w:tc>
          <w:tcPr>
            <w:tcW w:w="2623" w:type="dxa"/>
            <w:tcBorders>
              <w:top w:val="nil"/>
              <w:bottom w:val="nil"/>
            </w:tcBorders>
            <w:vAlign w:val="center"/>
          </w:tcPr>
          <w:p w14:paraId="151A10EA" w14:textId="77777777" w:rsidR="00BB1A2B" w:rsidRPr="00625E1B" w:rsidRDefault="0086598E" w:rsidP="00084229">
            <w:pPr>
              <w:jc w:val="center"/>
              <w:rPr>
                <w:color w:val="000000" w:themeColor="text1"/>
              </w:rPr>
            </w:pPr>
            <w:r>
              <w:rPr>
                <w:color w:val="000000" w:themeColor="text1"/>
              </w:rPr>
              <w:t>1</w:t>
            </w:r>
            <w:r w:rsidR="00AA7A0C">
              <w:rPr>
                <w:color w:val="000000" w:themeColor="text1"/>
              </w:rPr>
              <w:t xml:space="preserve"> (0.2)</w:t>
            </w:r>
          </w:p>
        </w:tc>
      </w:tr>
      <w:tr w:rsidR="00EB1471" w14:paraId="605FC5E9" w14:textId="77777777" w:rsidTr="002B4B1E">
        <w:trPr>
          <w:trHeight w:val="283"/>
        </w:trPr>
        <w:tc>
          <w:tcPr>
            <w:tcW w:w="4678" w:type="dxa"/>
            <w:tcBorders>
              <w:top w:val="nil"/>
              <w:bottom w:val="nil"/>
            </w:tcBorders>
            <w:vAlign w:val="center"/>
          </w:tcPr>
          <w:p w14:paraId="53847773" w14:textId="77777777" w:rsidR="00EB1471" w:rsidRDefault="00EB1471">
            <w:r>
              <w:t xml:space="preserve">  White</w:t>
            </w:r>
          </w:p>
        </w:tc>
        <w:tc>
          <w:tcPr>
            <w:tcW w:w="2622" w:type="dxa"/>
            <w:tcBorders>
              <w:top w:val="nil"/>
              <w:bottom w:val="nil"/>
            </w:tcBorders>
            <w:vAlign w:val="center"/>
          </w:tcPr>
          <w:p w14:paraId="1BE74FF2" w14:textId="77777777" w:rsidR="00EB1471" w:rsidRPr="00625E1B" w:rsidRDefault="007B23D3" w:rsidP="00084229">
            <w:pPr>
              <w:jc w:val="center"/>
              <w:rPr>
                <w:color w:val="000000" w:themeColor="text1"/>
              </w:rPr>
            </w:pPr>
            <w:r>
              <w:rPr>
                <w:color w:val="000000" w:themeColor="text1"/>
              </w:rPr>
              <w:t>447</w:t>
            </w:r>
            <w:r w:rsidR="0086598E">
              <w:rPr>
                <w:color w:val="000000" w:themeColor="text1"/>
              </w:rPr>
              <w:t xml:space="preserve"> (</w:t>
            </w:r>
            <w:r w:rsidR="00AA7A0C">
              <w:rPr>
                <w:color w:val="000000" w:themeColor="text1"/>
              </w:rPr>
              <w:t>97.6</w:t>
            </w:r>
            <w:r w:rsidR="0086598E">
              <w:rPr>
                <w:color w:val="000000" w:themeColor="text1"/>
              </w:rPr>
              <w:t>)</w:t>
            </w:r>
          </w:p>
        </w:tc>
        <w:tc>
          <w:tcPr>
            <w:tcW w:w="2623" w:type="dxa"/>
            <w:tcBorders>
              <w:top w:val="nil"/>
              <w:bottom w:val="nil"/>
            </w:tcBorders>
            <w:vAlign w:val="center"/>
          </w:tcPr>
          <w:p w14:paraId="13F2B03D" w14:textId="77777777" w:rsidR="00EB1471" w:rsidRPr="00625E1B" w:rsidRDefault="007B23D3" w:rsidP="00084229">
            <w:pPr>
              <w:jc w:val="center"/>
              <w:rPr>
                <w:color w:val="000000" w:themeColor="text1"/>
              </w:rPr>
            </w:pPr>
            <w:r>
              <w:rPr>
                <w:color w:val="000000" w:themeColor="text1"/>
              </w:rPr>
              <w:t>434</w:t>
            </w:r>
            <w:r w:rsidR="00AA7A0C">
              <w:rPr>
                <w:color w:val="000000" w:themeColor="text1"/>
              </w:rPr>
              <w:t xml:space="preserve"> (95.4)</w:t>
            </w:r>
          </w:p>
        </w:tc>
      </w:tr>
      <w:tr w:rsidR="00BB1A2B" w14:paraId="4D45865C" w14:textId="77777777" w:rsidTr="002B4B1E">
        <w:trPr>
          <w:trHeight w:val="283"/>
        </w:trPr>
        <w:tc>
          <w:tcPr>
            <w:tcW w:w="4678" w:type="dxa"/>
            <w:tcBorders>
              <w:top w:val="nil"/>
              <w:bottom w:val="single" w:sz="4" w:space="0" w:color="auto"/>
            </w:tcBorders>
            <w:vAlign w:val="center"/>
          </w:tcPr>
          <w:p w14:paraId="55386CDC" w14:textId="77777777" w:rsidR="00BB1A2B" w:rsidRPr="00F82435" w:rsidDel="00BB1A2B" w:rsidRDefault="00EB1471">
            <w:r>
              <w:t xml:space="preserve">  Other</w:t>
            </w:r>
          </w:p>
        </w:tc>
        <w:tc>
          <w:tcPr>
            <w:tcW w:w="2622" w:type="dxa"/>
            <w:tcBorders>
              <w:top w:val="nil"/>
              <w:bottom w:val="single" w:sz="4" w:space="0" w:color="auto"/>
            </w:tcBorders>
            <w:vAlign w:val="center"/>
          </w:tcPr>
          <w:p w14:paraId="70B51F5E" w14:textId="77777777" w:rsidR="00BB1A2B" w:rsidRPr="00625E1B" w:rsidRDefault="0086598E" w:rsidP="00084229">
            <w:pPr>
              <w:jc w:val="center"/>
              <w:rPr>
                <w:color w:val="000000" w:themeColor="text1"/>
              </w:rPr>
            </w:pPr>
            <w:r>
              <w:rPr>
                <w:color w:val="000000" w:themeColor="text1"/>
              </w:rPr>
              <w:t>5 (</w:t>
            </w:r>
            <w:r w:rsidR="00AA7A0C">
              <w:rPr>
                <w:color w:val="000000" w:themeColor="text1"/>
              </w:rPr>
              <w:t>1.1</w:t>
            </w:r>
            <w:r>
              <w:rPr>
                <w:color w:val="000000" w:themeColor="text1"/>
              </w:rPr>
              <w:t>)</w:t>
            </w:r>
          </w:p>
        </w:tc>
        <w:tc>
          <w:tcPr>
            <w:tcW w:w="2623" w:type="dxa"/>
            <w:tcBorders>
              <w:top w:val="nil"/>
              <w:bottom w:val="single" w:sz="4" w:space="0" w:color="auto"/>
            </w:tcBorders>
            <w:vAlign w:val="center"/>
          </w:tcPr>
          <w:p w14:paraId="6F81451E" w14:textId="77777777" w:rsidR="00BB1A2B" w:rsidRPr="00625E1B" w:rsidRDefault="0086598E" w:rsidP="00084229">
            <w:pPr>
              <w:jc w:val="center"/>
              <w:rPr>
                <w:color w:val="000000" w:themeColor="text1"/>
              </w:rPr>
            </w:pPr>
            <w:r>
              <w:rPr>
                <w:color w:val="000000" w:themeColor="text1"/>
              </w:rPr>
              <w:t>8</w:t>
            </w:r>
            <w:r w:rsidR="00AA7A0C">
              <w:rPr>
                <w:color w:val="000000" w:themeColor="text1"/>
              </w:rPr>
              <w:t xml:space="preserve"> (1.8)</w:t>
            </w:r>
          </w:p>
        </w:tc>
      </w:tr>
      <w:tr w:rsidR="00107635" w14:paraId="58F85C28" w14:textId="77777777" w:rsidTr="002B4B1E">
        <w:trPr>
          <w:trHeight w:val="340"/>
        </w:trPr>
        <w:tc>
          <w:tcPr>
            <w:tcW w:w="4678" w:type="dxa"/>
            <w:tcBorders>
              <w:top w:val="single" w:sz="4" w:space="0" w:color="auto"/>
              <w:bottom w:val="single" w:sz="4" w:space="0" w:color="000000" w:themeColor="text1"/>
            </w:tcBorders>
            <w:vAlign w:val="center"/>
          </w:tcPr>
          <w:p w14:paraId="7F405800" w14:textId="305AAF99" w:rsidR="00107635" w:rsidRPr="00F82435" w:rsidRDefault="00107635">
            <w:r w:rsidRPr="00F82435">
              <w:t>Body-mass index</w:t>
            </w:r>
            <w:r w:rsidR="00AA7A0C">
              <w:t xml:space="preserve">, median (IQR), </w:t>
            </w:r>
            <w:r w:rsidRPr="00F82435">
              <w:t>kg/m</w:t>
            </w:r>
            <w:r w:rsidRPr="00F82435">
              <w:rPr>
                <w:vertAlign w:val="superscript"/>
              </w:rPr>
              <w:t>2</w:t>
            </w:r>
            <w:r w:rsidR="00AA7A0C">
              <w:rPr>
                <w:vertAlign w:val="superscript"/>
              </w:rPr>
              <w:t>,</w:t>
            </w:r>
            <w:r w:rsidR="00F76675">
              <w:rPr>
                <w:vertAlign w:val="superscript"/>
              </w:rPr>
              <w:t>b</w:t>
            </w:r>
          </w:p>
        </w:tc>
        <w:tc>
          <w:tcPr>
            <w:tcW w:w="2622" w:type="dxa"/>
            <w:tcBorders>
              <w:top w:val="single" w:sz="4" w:space="0" w:color="auto"/>
              <w:bottom w:val="single" w:sz="4" w:space="0" w:color="000000" w:themeColor="text1"/>
            </w:tcBorders>
            <w:vAlign w:val="center"/>
          </w:tcPr>
          <w:p w14:paraId="627CFD5F" w14:textId="220F4EA9" w:rsidR="00107635" w:rsidRDefault="00E03E47" w:rsidP="00084229">
            <w:pPr>
              <w:jc w:val="center"/>
            </w:pPr>
            <w:r>
              <w:t>27.1 (24.0 to 30.5)</w:t>
            </w:r>
            <w:r w:rsidR="00BF0FBE">
              <w:t xml:space="preserve"> [n=458]</w:t>
            </w:r>
          </w:p>
        </w:tc>
        <w:tc>
          <w:tcPr>
            <w:tcW w:w="2623" w:type="dxa"/>
            <w:tcBorders>
              <w:top w:val="single" w:sz="4" w:space="0" w:color="auto"/>
              <w:bottom w:val="single" w:sz="4" w:space="0" w:color="000000" w:themeColor="text1"/>
            </w:tcBorders>
            <w:vAlign w:val="center"/>
          </w:tcPr>
          <w:p w14:paraId="70110BA3" w14:textId="40496736" w:rsidR="00107635" w:rsidRDefault="00E03E47" w:rsidP="00084229">
            <w:pPr>
              <w:jc w:val="center"/>
            </w:pPr>
            <w:r>
              <w:t>27.7 (24.7 to 31.2)</w:t>
            </w:r>
            <w:r w:rsidR="00BF0FBE">
              <w:t xml:space="preserve"> [n=452]</w:t>
            </w:r>
          </w:p>
        </w:tc>
      </w:tr>
      <w:tr w:rsidR="001D34C7" w14:paraId="34030261" w14:textId="77777777" w:rsidTr="002B4B1E">
        <w:trPr>
          <w:trHeight w:val="283"/>
        </w:trPr>
        <w:tc>
          <w:tcPr>
            <w:tcW w:w="4678" w:type="dxa"/>
            <w:tcBorders>
              <w:bottom w:val="nil"/>
            </w:tcBorders>
            <w:vAlign w:val="center"/>
          </w:tcPr>
          <w:p w14:paraId="7E26032D" w14:textId="683EE857" w:rsidR="001D34C7" w:rsidRPr="00F82435" w:rsidRDefault="001D34C7">
            <w:r w:rsidRPr="00F82435">
              <w:t>STS risk score</w:t>
            </w:r>
            <w:r w:rsidR="00054AEA">
              <w:t>, median (IQR)</w:t>
            </w:r>
            <w:r w:rsidR="00F76675">
              <w:rPr>
                <w:vertAlign w:val="superscript"/>
              </w:rPr>
              <w:t>c</w:t>
            </w:r>
          </w:p>
        </w:tc>
        <w:tc>
          <w:tcPr>
            <w:tcW w:w="2622" w:type="dxa"/>
            <w:tcBorders>
              <w:bottom w:val="nil"/>
            </w:tcBorders>
            <w:vAlign w:val="center"/>
          </w:tcPr>
          <w:p w14:paraId="62EE1E29" w14:textId="6F2986F7" w:rsidR="001D34C7" w:rsidRDefault="00BF0FBE" w:rsidP="001D34C7">
            <w:pPr>
              <w:jc w:val="center"/>
            </w:pPr>
            <w:r>
              <w:t>[</w:t>
            </w:r>
            <w:r w:rsidR="005D2C30">
              <w:t>n</w:t>
            </w:r>
            <w:r>
              <w:t>=458]</w:t>
            </w:r>
          </w:p>
        </w:tc>
        <w:tc>
          <w:tcPr>
            <w:tcW w:w="2623" w:type="dxa"/>
            <w:tcBorders>
              <w:bottom w:val="nil"/>
            </w:tcBorders>
            <w:vAlign w:val="center"/>
          </w:tcPr>
          <w:p w14:paraId="6451DFC9" w14:textId="4F8562C9" w:rsidR="001D34C7" w:rsidRDefault="00BF0FBE" w:rsidP="001D34C7">
            <w:pPr>
              <w:jc w:val="center"/>
            </w:pPr>
            <w:r>
              <w:t>[</w:t>
            </w:r>
            <w:r w:rsidR="005D2C30">
              <w:t>n</w:t>
            </w:r>
            <w:r w:rsidR="00DE2348">
              <w:t>=454</w:t>
            </w:r>
            <w:r>
              <w:t>]</w:t>
            </w:r>
          </w:p>
        </w:tc>
      </w:tr>
      <w:tr w:rsidR="00EB1471" w14:paraId="1442A26A" w14:textId="77777777" w:rsidTr="002B4B1E">
        <w:trPr>
          <w:trHeight w:val="283"/>
        </w:trPr>
        <w:tc>
          <w:tcPr>
            <w:tcW w:w="4678" w:type="dxa"/>
            <w:tcBorders>
              <w:top w:val="nil"/>
              <w:bottom w:val="nil"/>
            </w:tcBorders>
            <w:vAlign w:val="center"/>
          </w:tcPr>
          <w:p w14:paraId="727F0D57" w14:textId="77777777" w:rsidR="00EB1471" w:rsidRPr="00F82435" w:rsidRDefault="00EB1471">
            <w:r w:rsidRPr="00F82435">
              <w:t xml:space="preserve">  </w:t>
            </w:r>
            <w:r>
              <w:t>Overall</w:t>
            </w:r>
          </w:p>
        </w:tc>
        <w:tc>
          <w:tcPr>
            <w:tcW w:w="2622" w:type="dxa"/>
            <w:tcBorders>
              <w:top w:val="nil"/>
              <w:bottom w:val="nil"/>
            </w:tcBorders>
            <w:vAlign w:val="center"/>
          </w:tcPr>
          <w:p w14:paraId="0F2FB519" w14:textId="77777777" w:rsidR="00EB1471" w:rsidRDefault="00EB1471">
            <w:pPr>
              <w:jc w:val="center"/>
            </w:pPr>
            <w:r>
              <w:t>2.6 (2.0, 3.5)</w:t>
            </w:r>
          </w:p>
        </w:tc>
        <w:tc>
          <w:tcPr>
            <w:tcW w:w="2623" w:type="dxa"/>
            <w:tcBorders>
              <w:top w:val="nil"/>
              <w:bottom w:val="nil"/>
            </w:tcBorders>
            <w:vAlign w:val="center"/>
          </w:tcPr>
          <w:p w14:paraId="3443488A" w14:textId="77777777" w:rsidR="00EB1471" w:rsidRDefault="00EB1471">
            <w:pPr>
              <w:jc w:val="center"/>
            </w:pPr>
            <w:r>
              <w:t>2.7 (2.0, 3.4)</w:t>
            </w:r>
          </w:p>
        </w:tc>
      </w:tr>
      <w:tr w:rsidR="00EB1471" w14:paraId="237AE232" w14:textId="77777777" w:rsidTr="002B4B1E">
        <w:trPr>
          <w:trHeight w:val="283"/>
        </w:trPr>
        <w:tc>
          <w:tcPr>
            <w:tcW w:w="4678" w:type="dxa"/>
            <w:tcBorders>
              <w:top w:val="nil"/>
              <w:bottom w:val="nil"/>
            </w:tcBorders>
            <w:vAlign w:val="center"/>
          </w:tcPr>
          <w:p w14:paraId="5B5D6C89" w14:textId="77777777" w:rsidR="00EB1471" w:rsidRPr="00F82435" w:rsidRDefault="00EB1471">
            <w:r>
              <w:t xml:space="preserve">  </w:t>
            </w:r>
            <w:r w:rsidR="00AA7A0C">
              <w:t>Age 70-79 y</w:t>
            </w:r>
          </w:p>
        </w:tc>
        <w:tc>
          <w:tcPr>
            <w:tcW w:w="2622" w:type="dxa"/>
            <w:tcBorders>
              <w:top w:val="nil"/>
              <w:bottom w:val="nil"/>
            </w:tcBorders>
            <w:vAlign w:val="center"/>
          </w:tcPr>
          <w:p w14:paraId="2A19AE2B" w14:textId="77777777" w:rsidR="00EB1471" w:rsidRDefault="00EB1471">
            <w:pPr>
              <w:jc w:val="center"/>
            </w:pPr>
            <w:r>
              <w:t>2.1 (1.6, 2.8)</w:t>
            </w:r>
          </w:p>
        </w:tc>
        <w:tc>
          <w:tcPr>
            <w:tcW w:w="2623" w:type="dxa"/>
            <w:tcBorders>
              <w:top w:val="nil"/>
              <w:bottom w:val="nil"/>
            </w:tcBorders>
            <w:vAlign w:val="center"/>
          </w:tcPr>
          <w:p w14:paraId="363B7EC3" w14:textId="77777777" w:rsidR="00EB1471" w:rsidRDefault="00EB1471">
            <w:pPr>
              <w:jc w:val="center"/>
            </w:pPr>
            <w:r>
              <w:t>2.0 (1.6, 2.8)</w:t>
            </w:r>
          </w:p>
        </w:tc>
      </w:tr>
      <w:tr w:rsidR="00EB1471" w14:paraId="0B580E9E" w14:textId="77777777" w:rsidTr="002B4B1E">
        <w:trPr>
          <w:trHeight w:val="283"/>
        </w:trPr>
        <w:tc>
          <w:tcPr>
            <w:tcW w:w="4678" w:type="dxa"/>
            <w:tcBorders>
              <w:top w:val="nil"/>
              <w:bottom w:val="single" w:sz="4" w:space="0" w:color="000000" w:themeColor="text1"/>
            </w:tcBorders>
            <w:vAlign w:val="center"/>
          </w:tcPr>
          <w:p w14:paraId="3C446C75" w14:textId="77777777" w:rsidR="00EB1471" w:rsidRPr="00F82435" w:rsidRDefault="00AA7A0C">
            <w:r>
              <w:t xml:space="preserve">  Age ≥80 y</w:t>
            </w:r>
          </w:p>
        </w:tc>
        <w:tc>
          <w:tcPr>
            <w:tcW w:w="2622" w:type="dxa"/>
            <w:tcBorders>
              <w:top w:val="nil"/>
              <w:bottom w:val="single" w:sz="4" w:space="0" w:color="000000" w:themeColor="text1"/>
            </w:tcBorders>
            <w:vAlign w:val="center"/>
          </w:tcPr>
          <w:p w14:paraId="2801AB9B" w14:textId="77777777" w:rsidR="00EB1471" w:rsidRDefault="00EB1471" w:rsidP="001D34C7">
            <w:pPr>
              <w:jc w:val="center"/>
            </w:pPr>
            <w:r>
              <w:t>2.9 (2.2, 3.7)</w:t>
            </w:r>
          </w:p>
        </w:tc>
        <w:tc>
          <w:tcPr>
            <w:tcW w:w="2623" w:type="dxa"/>
            <w:tcBorders>
              <w:top w:val="nil"/>
              <w:bottom w:val="single" w:sz="4" w:space="0" w:color="000000" w:themeColor="text1"/>
            </w:tcBorders>
            <w:vAlign w:val="center"/>
          </w:tcPr>
          <w:p w14:paraId="632130C0" w14:textId="77777777" w:rsidR="00EB1471" w:rsidRDefault="00EB1471" w:rsidP="001D34C7">
            <w:pPr>
              <w:jc w:val="center"/>
            </w:pPr>
            <w:r>
              <w:t>2.9 (2.3, 3.8)</w:t>
            </w:r>
          </w:p>
        </w:tc>
      </w:tr>
      <w:tr w:rsidR="00107635" w14:paraId="50AED347" w14:textId="77777777" w:rsidTr="002B4B1E">
        <w:trPr>
          <w:trHeight w:val="283"/>
        </w:trPr>
        <w:tc>
          <w:tcPr>
            <w:tcW w:w="4678" w:type="dxa"/>
            <w:tcBorders>
              <w:bottom w:val="nil"/>
            </w:tcBorders>
            <w:vAlign w:val="center"/>
          </w:tcPr>
          <w:p w14:paraId="1FAD45CB" w14:textId="1258D090" w:rsidR="00BD5985" w:rsidRPr="00F82435" w:rsidRDefault="00107635">
            <w:r w:rsidRPr="00F82435">
              <w:t>EuroSCORE II risk score</w:t>
            </w:r>
            <w:r w:rsidR="00054AEA">
              <w:t>, median (IQR)</w:t>
            </w:r>
            <w:r w:rsidR="00F76675">
              <w:rPr>
                <w:vertAlign w:val="superscript"/>
              </w:rPr>
              <w:t>d</w:t>
            </w:r>
          </w:p>
        </w:tc>
        <w:tc>
          <w:tcPr>
            <w:tcW w:w="2622" w:type="dxa"/>
            <w:tcBorders>
              <w:bottom w:val="nil"/>
            </w:tcBorders>
            <w:vAlign w:val="center"/>
          </w:tcPr>
          <w:p w14:paraId="1978171F" w14:textId="26462F20" w:rsidR="001D34C7" w:rsidRDefault="00BF0FBE" w:rsidP="00084229">
            <w:pPr>
              <w:jc w:val="center"/>
            </w:pPr>
            <w:r>
              <w:t>[</w:t>
            </w:r>
            <w:r w:rsidR="005D2C30">
              <w:t>n</w:t>
            </w:r>
            <w:r>
              <w:t>=458]</w:t>
            </w:r>
          </w:p>
        </w:tc>
        <w:tc>
          <w:tcPr>
            <w:tcW w:w="2623" w:type="dxa"/>
            <w:tcBorders>
              <w:bottom w:val="nil"/>
            </w:tcBorders>
            <w:vAlign w:val="center"/>
          </w:tcPr>
          <w:p w14:paraId="50365D87" w14:textId="03036521" w:rsidR="001D34C7" w:rsidRDefault="00BF0FBE" w:rsidP="00084229">
            <w:pPr>
              <w:jc w:val="center"/>
            </w:pPr>
            <w:r>
              <w:t>[</w:t>
            </w:r>
            <w:r w:rsidR="005D2C30">
              <w:t>n</w:t>
            </w:r>
            <w:r>
              <w:t>=454]</w:t>
            </w:r>
          </w:p>
        </w:tc>
      </w:tr>
      <w:tr w:rsidR="007B23D3" w14:paraId="4C102F64" w14:textId="77777777" w:rsidTr="002B4B1E">
        <w:trPr>
          <w:trHeight w:val="283"/>
        </w:trPr>
        <w:tc>
          <w:tcPr>
            <w:tcW w:w="4678" w:type="dxa"/>
            <w:tcBorders>
              <w:top w:val="nil"/>
              <w:bottom w:val="nil"/>
            </w:tcBorders>
            <w:vAlign w:val="center"/>
          </w:tcPr>
          <w:p w14:paraId="5DEC3B09" w14:textId="77777777" w:rsidR="007B23D3" w:rsidRPr="00F82435" w:rsidRDefault="007B23D3">
            <w:r w:rsidRPr="00F82435">
              <w:t xml:space="preserve">  </w:t>
            </w:r>
            <w:r>
              <w:t>Overall</w:t>
            </w:r>
          </w:p>
        </w:tc>
        <w:tc>
          <w:tcPr>
            <w:tcW w:w="2622" w:type="dxa"/>
            <w:tcBorders>
              <w:top w:val="nil"/>
              <w:bottom w:val="nil"/>
            </w:tcBorders>
            <w:vAlign w:val="center"/>
          </w:tcPr>
          <w:p w14:paraId="4AA1A5DB" w14:textId="77777777" w:rsidR="007B23D3" w:rsidRDefault="007B23D3">
            <w:pPr>
              <w:jc w:val="center"/>
            </w:pPr>
            <w:r>
              <w:t>2.0 (1.4, 3.0)</w:t>
            </w:r>
          </w:p>
        </w:tc>
        <w:tc>
          <w:tcPr>
            <w:tcW w:w="2623" w:type="dxa"/>
            <w:tcBorders>
              <w:top w:val="nil"/>
              <w:bottom w:val="nil"/>
            </w:tcBorders>
            <w:vAlign w:val="center"/>
          </w:tcPr>
          <w:p w14:paraId="36649761" w14:textId="77777777" w:rsidR="007B23D3" w:rsidRDefault="007B23D3">
            <w:pPr>
              <w:jc w:val="center"/>
            </w:pPr>
            <w:r>
              <w:t>2.0 (1.5, 3.3)</w:t>
            </w:r>
          </w:p>
        </w:tc>
      </w:tr>
      <w:tr w:rsidR="007B23D3" w14:paraId="5BEC24B4" w14:textId="77777777" w:rsidTr="002B4B1E">
        <w:trPr>
          <w:trHeight w:val="283"/>
        </w:trPr>
        <w:tc>
          <w:tcPr>
            <w:tcW w:w="4678" w:type="dxa"/>
            <w:tcBorders>
              <w:top w:val="nil"/>
              <w:bottom w:val="nil"/>
            </w:tcBorders>
            <w:vAlign w:val="center"/>
          </w:tcPr>
          <w:p w14:paraId="23F6F04A" w14:textId="77777777" w:rsidR="007B23D3" w:rsidRPr="00F82435" w:rsidRDefault="007B23D3">
            <w:r>
              <w:t xml:space="preserve">  </w:t>
            </w:r>
            <w:r w:rsidR="00AA7A0C">
              <w:t>Age 70-79 y</w:t>
            </w:r>
          </w:p>
        </w:tc>
        <w:tc>
          <w:tcPr>
            <w:tcW w:w="2622" w:type="dxa"/>
            <w:tcBorders>
              <w:top w:val="nil"/>
              <w:bottom w:val="nil"/>
            </w:tcBorders>
            <w:vAlign w:val="center"/>
          </w:tcPr>
          <w:p w14:paraId="536CFC02" w14:textId="77777777" w:rsidR="007B23D3" w:rsidRDefault="007B23D3">
            <w:pPr>
              <w:jc w:val="center"/>
            </w:pPr>
            <w:r>
              <w:t>1.7 (1.3, 2.6)</w:t>
            </w:r>
          </w:p>
        </w:tc>
        <w:tc>
          <w:tcPr>
            <w:tcW w:w="2623" w:type="dxa"/>
            <w:tcBorders>
              <w:top w:val="nil"/>
              <w:bottom w:val="nil"/>
            </w:tcBorders>
            <w:vAlign w:val="center"/>
          </w:tcPr>
          <w:p w14:paraId="170CAA40" w14:textId="77777777" w:rsidR="007B23D3" w:rsidRDefault="007B23D3">
            <w:pPr>
              <w:jc w:val="center"/>
            </w:pPr>
            <w:r>
              <w:t>1.8 (1.3, 2.8)</w:t>
            </w:r>
          </w:p>
        </w:tc>
      </w:tr>
      <w:tr w:rsidR="007B23D3" w14:paraId="5276BEA1" w14:textId="77777777" w:rsidTr="002B4B1E">
        <w:trPr>
          <w:trHeight w:val="283"/>
        </w:trPr>
        <w:tc>
          <w:tcPr>
            <w:tcW w:w="4678" w:type="dxa"/>
            <w:tcBorders>
              <w:top w:val="nil"/>
            </w:tcBorders>
            <w:vAlign w:val="center"/>
          </w:tcPr>
          <w:p w14:paraId="0D48E3DC" w14:textId="77777777" w:rsidR="007B23D3" w:rsidRPr="00F82435" w:rsidRDefault="00AA7A0C">
            <w:r>
              <w:t xml:space="preserve">  Age ≥80 y</w:t>
            </w:r>
          </w:p>
        </w:tc>
        <w:tc>
          <w:tcPr>
            <w:tcW w:w="2622" w:type="dxa"/>
            <w:tcBorders>
              <w:top w:val="nil"/>
            </w:tcBorders>
            <w:vAlign w:val="center"/>
          </w:tcPr>
          <w:p w14:paraId="405A39ED" w14:textId="77777777" w:rsidR="007B23D3" w:rsidRDefault="007B23D3" w:rsidP="00084229">
            <w:pPr>
              <w:jc w:val="center"/>
            </w:pPr>
            <w:r>
              <w:t>2.2 (1.5, 3.2)</w:t>
            </w:r>
          </w:p>
        </w:tc>
        <w:tc>
          <w:tcPr>
            <w:tcW w:w="2623" w:type="dxa"/>
            <w:tcBorders>
              <w:top w:val="nil"/>
            </w:tcBorders>
            <w:vAlign w:val="center"/>
          </w:tcPr>
          <w:p w14:paraId="606D0C1E" w14:textId="77777777" w:rsidR="007B23D3" w:rsidRDefault="007B23D3" w:rsidP="00084229">
            <w:pPr>
              <w:jc w:val="center"/>
            </w:pPr>
            <w:r>
              <w:t>2.3 (1.6, 3.4)</w:t>
            </w:r>
          </w:p>
        </w:tc>
      </w:tr>
      <w:tr w:rsidR="00107635" w14:paraId="4F04F4B5" w14:textId="77777777" w:rsidTr="002B4B1E">
        <w:trPr>
          <w:trHeight w:val="340"/>
        </w:trPr>
        <w:tc>
          <w:tcPr>
            <w:tcW w:w="4678" w:type="dxa"/>
            <w:vAlign w:val="center"/>
          </w:tcPr>
          <w:p w14:paraId="307BF743" w14:textId="344B5B8F" w:rsidR="00107635" w:rsidRPr="00F82435" w:rsidRDefault="00107635">
            <w:r w:rsidRPr="00F82435">
              <w:t>NYHA Class</w:t>
            </w:r>
            <w:r w:rsidR="00BE19F5" w:rsidRPr="00F82435">
              <w:t xml:space="preserve"> III or IV</w:t>
            </w:r>
            <w:r w:rsidR="00054AEA">
              <w:t>, N</w:t>
            </w:r>
            <w:r w:rsidR="00BE19F5" w:rsidRPr="00F82435">
              <w:t>o./total no.</w:t>
            </w:r>
            <w:r w:rsidR="00F82435">
              <w:t xml:space="preserve"> </w:t>
            </w:r>
            <w:r w:rsidR="00F76675">
              <w:t>(%)</w:t>
            </w:r>
            <w:r w:rsidR="00F76675">
              <w:rPr>
                <w:color w:val="000000" w:themeColor="text1"/>
                <w:vertAlign w:val="superscript"/>
              </w:rPr>
              <w:t>e</w:t>
            </w:r>
          </w:p>
        </w:tc>
        <w:tc>
          <w:tcPr>
            <w:tcW w:w="2622" w:type="dxa"/>
            <w:vAlign w:val="center"/>
          </w:tcPr>
          <w:p w14:paraId="1EC997D7" w14:textId="77777777" w:rsidR="003565C1" w:rsidRDefault="00BE19F5">
            <w:pPr>
              <w:jc w:val="center"/>
              <w:rPr>
                <w:lang w:val="en-GB"/>
              </w:rPr>
            </w:pPr>
            <w:r>
              <w:t>184/45</w:t>
            </w:r>
            <w:r w:rsidR="0071769C">
              <w:t>7</w:t>
            </w:r>
            <w:r>
              <w:t xml:space="preserve"> (40.</w:t>
            </w:r>
            <w:r w:rsidR="0071769C">
              <w:t>3</w:t>
            </w:r>
            <w:r>
              <w:t>)</w:t>
            </w:r>
          </w:p>
        </w:tc>
        <w:tc>
          <w:tcPr>
            <w:tcW w:w="2623" w:type="dxa"/>
            <w:vAlign w:val="center"/>
          </w:tcPr>
          <w:p w14:paraId="36D2C60F" w14:textId="77777777" w:rsidR="003565C1" w:rsidRDefault="00BE19F5">
            <w:pPr>
              <w:jc w:val="center"/>
              <w:rPr>
                <w:lang w:val="en-GB"/>
              </w:rPr>
            </w:pPr>
            <w:r>
              <w:t>2</w:t>
            </w:r>
            <w:r w:rsidR="0071769C">
              <w:t>0</w:t>
            </w:r>
            <w:r>
              <w:t>4/45</w:t>
            </w:r>
            <w:r w:rsidR="0071769C">
              <w:t>1</w:t>
            </w:r>
            <w:r>
              <w:t xml:space="preserve"> (</w:t>
            </w:r>
            <w:r w:rsidR="0071769C">
              <w:t>45.2</w:t>
            </w:r>
            <w:r>
              <w:t>)</w:t>
            </w:r>
          </w:p>
        </w:tc>
      </w:tr>
      <w:tr w:rsidR="00107635" w14:paraId="3BCD649A" w14:textId="77777777" w:rsidTr="002B4B1E">
        <w:trPr>
          <w:trHeight w:val="340"/>
        </w:trPr>
        <w:tc>
          <w:tcPr>
            <w:tcW w:w="4678" w:type="dxa"/>
            <w:tcBorders>
              <w:bottom w:val="single" w:sz="4" w:space="0" w:color="000000" w:themeColor="text1"/>
            </w:tcBorders>
            <w:vAlign w:val="center"/>
          </w:tcPr>
          <w:p w14:paraId="0C2C93A2" w14:textId="244E82E1" w:rsidR="00107635" w:rsidRPr="00F82435" w:rsidRDefault="00107635">
            <w:r w:rsidRPr="00F82435">
              <w:t>Frailty</w:t>
            </w:r>
            <w:r w:rsidR="00F82435">
              <w:t>:</w:t>
            </w:r>
            <w:r w:rsidRPr="00F82435">
              <w:t xml:space="preserve"> CSHA</w:t>
            </w:r>
            <w:r w:rsidR="00BF56BE" w:rsidRPr="00F82435">
              <w:t xml:space="preserve"> </w:t>
            </w:r>
            <w:r w:rsidR="00F47CDD">
              <w:t xml:space="preserve">CFS </w:t>
            </w:r>
            <w:r w:rsidR="00BF56BE" w:rsidRPr="00F82435">
              <w:t>≥5</w:t>
            </w:r>
            <w:r w:rsidR="00054AEA">
              <w:t>, N</w:t>
            </w:r>
            <w:r w:rsidR="00F82435" w:rsidRPr="00F82435">
              <w:t>o./total no.</w:t>
            </w:r>
            <w:r w:rsidR="00F82435">
              <w:t xml:space="preserve"> (%)</w:t>
            </w:r>
            <w:r w:rsidR="00E037E5" w:rsidRPr="002B4B1E">
              <w:rPr>
                <w:vertAlign w:val="superscript"/>
              </w:rPr>
              <w:t>f</w:t>
            </w:r>
          </w:p>
        </w:tc>
        <w:tc>
          <w:tcPr>
            <w:tcW w:w="2622" w:type="dxa"/>
            <w:tcBorders>
              <w:bottom w:val="single" w:sz="4" w:space="0" w:color="000000" w:themeColor="text1"/>
            </w:tcBorders>
            <w:vAlign w:val="center"/>
          </w:tcPr>
          <w:p w14:paraId="25285318" w14:textId="77777777" w:rsidR="00107635" w:rsidRDefault="00BF56BE" w:rsidP="00084229">
            <w:pPr>
              <w:jc w:val="center"/>
            </w:pPr>
            <w:r>
              <w:t>58/454 (12.8)</w:t>
            </w:r>
          </w:p>
        </w:tc>
        <w:tc>
          <w:tcPr>
            <w:tcW w:w="2623" w:type="dxa"/>
            <w:tcBorders>
              <w:bottom w:val="single" w:sz="4" w:space="0" w:color="000000" w:themeColor="text1"/>
            </w:tcBorders>
            <w:vAlign w:val="center"/>
          </w:tcPr>
          <w:p w14:paraId="17087DC3" w14:textId="77777777" w:rsidR="00107635" w:rsidRDefault="00BF56BE" w:rsidP="00084229">
            <w:pPr>
              <w:jc w:val="center"/>
            </w:pPr>
            <w:r>
              <w:t>60/449 (13.4)</w:t>
            </w:r>
          </w:p>
        </w:tc>
      </w:tr>
      <w:tr w:rsidR="00107635" w14:paraId="17DA1951" w14:textId="77777777" w:rsidTr="002B4B1E">
        <w:trPr>
          <w:trHeight w:val="283"/>
        </w:trPr>
        <w:tc>
          <w:tcPr>
            <w:tcW w:w="4678" w:type="dxa"/>
            <w:tcBorders>
              <w:bottom w:val="nil"/>
            </w:tcBorders>
            <w:vAlign w:val="center"/>
          </w:tcPr>
          <w:p w14:paraId="2A6A178C" w14:textId="190B933E" w:rsidR="00BF56BE" w:rsidRPr="00F82435" w:rsidRDefault="00107635" w:rsidP="007207C8">
            <w:r w:rsidRPr="00F82435">
              <w:t>Frailty</w:t>
            </w:r>
            <w:r w:rsidR="00F82435">
              <w:t>:</w:t>
            </w:r>
            <w:r w:rsidRPr="00F82435">
              <w:t xml:space="preserve"> Fried</w:t>
            </w:r>
            <w:r w:rsidR="00F82435">
              <w:t xml:space="preserve"> classification</w:t>
            </w:r>
            <w:r w:rsidR="00054AEA">
              <w:t>, N</w:t>
            </w:r>
            <w:r w:rsidR="0071262B" w:rsidRPr="00F82435">
              <w:t>o./total no.</w:t>
            </w:r>
            <w:r w:rsidR="0071262B">
              <w:t xml:space="preserve"> (%)</w:t>
            </w:r>
            <w:r w:rsidR="00E037E5" w:rsidRPr="002B4B1E">
              <w:rPr>
                <w:vertAlign w:val="superscript"/>
              </w:rPr>
              <w:t>g</w:t>
            </w:r>
          </w:p>
        </w:tc>
        <w:tc>
          <w:tcPr>
            <w:tcW w:w="2622" w:type="dxa"/>
            <w:tcBorders>
              <w:bottom w:val="nil"/>
            </w:tcBorders>
            <w:vAlign w:val="center"/>
          </w:tcPr>
          <w:p w14:paraId="4BD04CAA" w14:textId="1ABCE742" w:rsidR="00EA311A" w:rsidRDefault="00EA311A" w:rsidP="00084229">
            <w:pPr>
              <w:jc w:val="center"/>
            </w:pPr>
          </w:p>
        </w:tc>
        <w:tc>
          <w:tcPr>
            <w:tcW w:w="2623" w:type="dxa"/>
            <w:tcBorders>
              <w:bottom w:val="nil"/>
            </w:tcBorders>
            <w:vAlign w:val="center"/>
          </w:tcPr>
          <w:p w14:paraId="0F6B0637" w14:textId="1BDB5F55" w:rsidR="00EA311A" w:rsidRDefault="00EA311A" w:rsidP="00084229">
            <w:pPr>
              <w:jc w:val="center"/>
            </w:pPr>
          </w:p>
        </w:tc>
      </w:tr>
      <w:tr w:rsidR="007B23D3" w14:paraId="5DAB13F5" w14:textId="77777777" w:rsidTr="002B4B1E">
        <w:trPr>
          <w:trHeight w:val="283"/>
        </w:trPr>
        <w:tc>
          <w:tcPr>
            <w:tcW w:w="4678" w:type="dxa"/>
            <w:tcBorders>
              <w:top w:val="nil"/>
              <w:bottom w:val="nil"/>
            </w:tcBorders>
            <w:vAlign w:val="center"/>
          </w:tcPr>
          <w:p w14:paraId="2509E7C8" w14:textId="77777777" w:rsidR="007B23D3" w:rsidRPr="00F82435" w:rsidRDefault="007B23D3">
            <w:r w:rsidRPr="00F82435">
              <w:t xml:space="preserve">  Pre-Frail</w:t>
            </w:r>
            <w:r>
              <w:t xml:space="preserve"> </w:t>
            </w:r>
          </w:p>
        </w:tc>
        <w:tc>
          <w:tcPr>
            <w:tcW w:w="2622" w:type="dxa"/>
            <w:tcBorders>
              <w:top w:val="nil"/>
              <w:bottom w:val="nil"/>
            </w:tcBorders>
            <w:vAlign w:val="center"/>
          </w:tcPr>
          <w:p w14:paraId="080DB5B5" w14:textId="77777777" w:rsidR="007B23D3" w:rsidRDefault="007B23D3">
            <w:pPr>
              <w:jc w:val="center"/>
            </w:pPr>
            <w:r>
              <w:t>221/433 (51.0)</w:t>
            </w:r>
          </w:p>
        </w:tc>
        <w:tc>
          <w:tcPr>
            <w:tcW w:w="2623" w:type="dxa"/>
            <w:tcBorders>
              <w:top w:val="nil"/>
              <w:bottom w:val="nil"/>
            </w:tcBorders>
            <w:vAlign w:val="center"/>
          </w:tcPr>
          <w:p w14:paraId="11009043" w14:textId="77777777" w:rsidR="007B23D3" w:rsidRDefault="007B23D3">
            <w:pPr>
              <w:jc w:val="center"/>
            </w:pPr>
            <w:r>
              <w:t>204/417 (48.9)</w:t>
            </w:r>
          </w:p>
        </w:tc>
      </w:tr>
      <w:tr w:rsidR="007B23D3" w14:paraId="45AEA996" w14:textId="77777777" w:rsidTr="002B4B1E">
        <w:trPr>
          <w:trHeight w:val="283"/>
        </w:trPr>
        <w:tc>
          <w:tcPr>
            <w:tcW w:w="4678" w:type="dxa"/>
            <w:tcBorders>
              <w:top w:val="nil"/>
            </w:tcBorders>
            <w:vAlign w:val="center"/>
          </w:tcPr>
          <w:p w14:paraId="072991FF" w14:textId="77777777" w:rsidR="007B23D3" w:rsidRPr="00F82435" w:rsidRDefault="007B23D3" w:rsidP="007207C8">
            <w:r w:rsidRPr="00F82435">
              <w:t xml:space="preserve">  Frail</w:t>
            </w:r>
          </w:p>
        </w:tc>
        <w:tc>
          <w:tcPr>
            <w:tcW w:w="2622" w:type="dxa"/>
            <w:tcBorders>
              <w:top w:val="nil"/>
            </w:tcBorders>
            <w:vAlign w:val="center"/>
          </w:tcPr>
          <w:p w14:paraId="60D29E01" w14:textId="77777777" w:rsidR="007B23D3" w:rsidRDefault="007B23D3" w:rsidP="00084229">
            <w:pPr>
              <w:jc w:val="center"/>
            </w:pPr>
            <w:r>
              <w:t>122/433 (28.2)</w:t>
            </w:r>
          </w:p>
        </w:tc>
        <w:tc>
          <w:tcPr>
            <w:tcW w:w="2623" w:type="dxa"/>
            <w:tcBorders>
              <w:top w:val="nil"/>
            </w:tcBorders>
            <w:vAlign w:val="center"/>
          </w:tcPr>
          <w:p w14:paraId="0B047950" w14:textId="77777777" w:rsidR="007B23D3" w:rsidRDefault="007B23D3" w:rsidP="00084229">
            <w:pPr>
              <w:jc w:val="center"/>
            </w:pPr>
            <w:r>
              <w:t>124/417 (29.7)</w:t>
            </w:r>
          </w:p>
        </w:tc>
      </w:tr>
      <w:tr w:rsidR="00107635" w14:paraId="14B16871" w14:textId="77777777" w:rsidTr="002B4B1E">
        <w:trPr>
          <w:trHeight w:val="340"/>
        </w:trPr>
        <w:tc>
          <w:tcPr>
            <w:tcW w:w="4678" w:type="dxa"/>
            <w:vAlign w:val="center"/>
          </w:tcPr>
          <w:p w14:paraId="58ACA9D2" w14:textId="6F197E93" w:rsidR="00107635" w:rsidRPr="00F82435" w:rsidRDefault="00107635">
            <w:r w:rsidRPr="00F82435">
              <w:t>Coronary artery disease</w:t>
            </w:r>
            <w:r w:rsidR="00054AEA">
              <w:t>, N</w:t>
            </w:r>
            <w:r w:rsidR="00F82435" w:rsidRPr="00F82435">
              <w:t>o./total no.</w:t>
            </w:r>
            <w:r w:rsidR="00F82435">
              <w:t xml:space="preserve"> (%)</w:t>
            </w:r>
            <w:r w:rsidR="00E037E5" w:rsidRPr="002B4B1E">
              <w:rPr>
                <w:vertAlign w:val="superscript"/>
              </w:rPr>
              <w:t>h</w:t>
            </w:r>
          </w:p>
        </w:tc>
        <w:tc>
          <w:tcPr>
            <w:tcW w:w="2622" w:type="dxa"/>
            <w:vAlign w:val="center"/>
          </w:tcPr>
          <w:p w14:paraId="72FBBE52" w14:textId="77777777" w:rsidR="00EC2788" w:rsidRDefault="006A2C81" w:rsidP="00D4590F">
            <w:pPr>
              <w:jc w:val="center"/>
              <w:rPr>
                <w:lang w:val="en-GB"/>
              </w:rPr>
            </w:pPr>
            <w:r>
              <w:t>133</w:t>
            </w:r>
            <w:r w:rsidR="00625E1B">
              <w:t>/</w:t>
            </w:r>
            <w:r>
              <w:t xml:space="preserve">444 </w:t>
            </w:r>
            <w:r w:rsidR="00625E1B">
              <w:t>(</w:t>
            </w:r>
            <w:r>
              <w:t>30.0</w:t>
            </w:r>
            <w:r w:rsidR="00625E1B">
              <w:t>)</w:t>
            </w:r>
          </w:p>
        </w:tc>
        <w:tc>
          <w:tcPr>
            <w:tcW w:w="2623" w:type="dxa"/>
            <w:vAlign w:val="center"/>
          </w:tcPr>
          <w:p w14:paraId="3EC1323F" w14:textId="77777777" w:rsidR="00EC2788" w:rsidRDefault="006A2C81" w:rsidP="00D4590F">
            <w:pPr>
              <w:jc w:val="center"/>
              <w:rPr>
                <w:lang w:val="en-GB"/>
              </w:rPr>
            </w:pPr>
            <w:r>
              <w:t>145</w:t>
            </w:r>
            <w:r w:rsidR="00625E1B">
              <w:t>/</w:t>
            </w:r>
            <w:r>
              <w:t xml:space="preserve">435 </w:t>
            </w:r>
            <w:r w:rsidR="00625E1B">
              <w:t>(</w:t>
            </w:r>
            <w:r>
              <w:t>33.3</w:t>
            </w:r>
            <w:r w:rsidR="00625E1B">
              <w:t>)</w:t>
            </w:r>
          </w:p>
        </w:tc>
      </w:tr>
      <w:tr w:rsidR="00107635" w14:paraId="106457E8" w14:textId="77777777" w:rsidTr="002B4B1E">
        <w:trPr>
          <w:trHeight w:val="340"/>
        </w:trPr>
        <w:tc>
          <w:tcPr>
            <w:tcW w:w="4678" w:type="dxa"/>
            <w:vAlign w:val="center"/>
          </w:tcPr>
          <w:p w14:paraId="75006A73" w14:textId="4AB388F0" w:rsidR="00107635" w:rsidRPr="00F82435" w:rsidRDefault="00107635" w:rsidP="00B24111">
            <w:r w:rsidRPr="00F82435">
              <w:t>Aortic valve area</w:t>
            </w:r>
            <w:r w:rsidR="00054AEA">
              <w:t xml:space="preserve">, </w:t>
            </w:r>
            <w:r w:rsidR="005D2C30">
              <w:t xml:space="preserve">median (IQR), </w:t>
            </w:r>
            <w:r w:rsidR="00084229">
              <w:t>cm</w:t>
            </w:r>
            <w:r w:rsidR="00084229" w:rsidRPr="00084229">
              <w:rPr>
                <w:vertAlign w:val="superscript"/>
              </w:rPr>
              <w:t>2</w:t>
            </w:r>
            <w:r w:rsidR="00054AEA">
              <w:rPr>
                <w:vertAlign w:val="superscript"/>
              </w:rPr>
              <w:t>,</w:t>
            </w:r>
            <w:r w:rsidR="00E037E5">
              <w:rPr>
                <w:vertAlign w:val="superscript"/>
              </w:rPr>
              <w:t>i</w:t>
            </w:r>
          </w:p>
        </w:tc>
        <w:tc>
          <w:tcPr>
            <w:tcW w:w="2622" w:type="dxa"/>
            <w:vAlign w:val="center"/>
          </w:tcPr>
          <w:p w14:paraId="2C00AED8" w14:textId="649933EE" w:rsidR="00107635" w:rsidRDefault="00E03E47" w:rsidP="00084229">
            <w:pPr>
              <w:jc w:val="center"/>
            </w:pPr>
            <w:r>
              <w:t>0.7 (0.6 to 0.9)</w:t>
            </w:r>
            <w:r w:rsidR="005D2C30">
              <w:t xml:space="preserve"> [n=442]</w:t>
            </w:r>
          </w:p>
        </w:tc>
        <w:tc>
          <w:tcPr>
            <w:tcW w:w="2623" w:type="dxa"/>
            <w:vAlign w:val="center"/>
          </w:tcPr>
          <w:p w14:paraId="3140720E" w14:textId="646A1C02" w:rsidR="00107635" w:rsidRDefault="00E03E47" w:rsidP="00084229">
            <w:pPr>
              <w:jc w:val="center"/>
            </w:pPr>
            <w:r>
              <w:t>0.7 (0.6 to 0.8)</w:t>
            </w:r>
            <w:r w:rsidR="005D2C30">
              <w:t xml:space="preserve"> [n=434]</w:t>
            </w:r>
          </w:p>
        </w:tc>
      </w:tr>
      <w:tr w:rsidR="00107635" w14:paraId="73B4E934" w14:textId="77777777" w:rsidTr="002B4B1E">
        <w:trPr>
          <w:trHeight w:val="340"/>
        </w:trPr>
        <w:tc>
          <w:tcPr>
            <w:tcW w:w="4678" w:type="dxa"/>
            <w:vAlign w:val="center"/>
          </w:tcPr>
          <w:p w14:paraId="748D2A6E" w14:textId="71047951" w:rsidR="00107635" w:rsidRPr="00F82435" w:rsidRDefault="00107635" w:rsidP="00B24111">
            <w:r w:rsidRPr="00F82435">
              <w:t xml:space="preserve">Aortic valve </w:t>
            </w:r>
            <w:r w:rsidR="007557A6" w:rsidRPr="00F82435">
              <w:t xml:space="preserve">peak </w:t>
            </w:r>
            <w:r w:rsidRPr="00F82435">
              <w:t>gradient</w:t>
            </w:r>
            <w:r w:rsidR="00054AEA">
              <w:t xml:space="preserve">, </w:t>
            </w:r>
            <w:r w:rsidR="005D2C30">
              <w:t xml:space="preserve">median (IQR), </w:t>
            </w:r>
            <w:r w:rsidR="00084229">
              <w:t xml:space="preserve">mm </w:t>
            </w:r>
            <w:r w:rsidR="00E037E5">
              <w:t>Hg</w:t>
            </w:r>
            <w:r w:rsidR="00E037E5">
              <w:rPr>
                <w:vertAlign w:val="superscript"/>
              </w:rPr>
              <w:t>i</w:t>
            </w:r>
          </w:p>
        </w:tc>
        <w:tc>
          <w:tcPr>
            <w:tcW w:w="2622" w:type="dxa"/>
            <w:vAlign w:val="center"/>
          </w:tcPr>
          <w:p w14:paraId="66A1C548" w14:textId="53AF1EEC" w:rsidR="00107635" w:rsidRDefault="00E03E47" w:rsidP="00084229">
            <w:pPr>
              <w:jc w:val="center"/>
            </w:pPr>
            <w:r>
              <w:t>73 (59 to 89)</w:t>
            </w:r>
            <w:r w:rsidR="00BF0FBE">
              <w:t xml:space="preserve"> [n=453]</w:t>
            </w:r>
          </w:p>
        </w:tc>
        <w:tc>
          <w:tcPr>
            <w:tcW w:w="2623" w:type="dxa"/>
            <w:vAlign w:val="center"/>
          </w:tcPr>
          <w:p w14:paraId="671A36CB" w14:textId="00421F60" w:rsidR="00107635" w:rsidRDefault="00E03E47" w:rsidP="00084229">
            <w:pPr>
              <w:jc w:val="center"/>
            </w:pPr>
            <w:r>
              <w:t>74 (60 to 88)</w:t>
            </w:r>
            <w:r w:rsidR="00BF0FBE">
              <w:t xml:space="preserve"> [n=445]</w:t>
            </w:r>
          </w:p>
        </w:tc>
      </w:tr>
      <w:tr w:rsidR="00107635" w14:paraId="0BBBD899" w14:textId="77777777" w:rsidTr="002B4B1E">
        <w:trPr>
          <w:trHeight w:val="340"/>
        </w:trPr>
        <w:tc>
          <w:tcPr>
            <w:tcW w:w="4678" w:type="dxa"/>
            <w:vAlign w:val="center"/>
          </w:tcPr>
          <w:p w14:paraId="7E635976" w14:textId="1FDA39AC" w:rsidR="00107635" w:rsidRPr="00F82435" w:rsidRDefault="00107635">
            <w:r w:rsidRPr="00F82435">
              <w:t>L</w:t>
            </w:r>
            <w:r w:rsidR="00084229">
              <w:t>e</w:t>
            </w:r>
            <w:r w:rsidR="00CD773B">
              <w:t>f</w:t>
            </w:r>
            <w:r w:rsidR="00084229">
              <w:t>t ventricular ejection fraction</w:t>
            </w:r>
            <w:r w:rsidR="00054AEA">
              <w:t xml:space="preserve">, </w:t>
            </w:r>
            <w:r w:rsidR="005D2C30">
              <w:t xml:space="preserve">median (IQR), </w:t>
            </w:r>
            <w:r w:rsidR="00F76675" w:rsidRPr="00F82435">
              <w:t>%</w:t>
            </w:r>
            <w:r w:rsidR="00E037E5">
              <w:rPr>
                <w:vertAlign w:val="superscript"/>
              </w:rPr>
              <w:t>i</w:t>
            </w:r>
          </w:p>
        </w:tc>
        <w:tc>
          <w:tcPr>
            <w:tcW w:w="2622" w:type="dxa"/>
            <w:vAlign w:val="center"/>
          </w:tcPr>
          <w:p w14:paraId="446C0186" w14:textId="11E33AB7" w:rsidR="00107635" w:rsidRDefault="00E03E47" w:rsidP="00084229">
            <w:pPr>
              <w:jc w:val="center"/>
            </w:pPr>
            <w:r>
              <w:t>57 (55 to 64)</w:t>
            </w:r>
            <w:r w:rsidR="00BF0FBE">
              <w:t xml:space="preserve"> [n=438]</w:t>
            </w:r>
          </w:p>
        </w:tc>
        <w:tc>
          <w:tcPr>
            <w:tcW w:w="2623" w:type="dxa"/>
            <w:vAlign w:val="center"/>
          </w:tcPr>
          <w:p w14:paraId="7E833CAE" w14:textId="555026C1" w:rsidR="00107635" w:rsidRDefault="00E03E47" w:rsidP="00084229">
            <w:pPr>
              <w:jc w:val="center"/>
            </w:pPr>
            <w:r>
              <w:t>57 (55 to 64)</w:t>
            </w:r>
            <w:r w:rsidR="00BF0FBE">
              <w:t xml:space="preserve"> [n=437]</w:t>
            </w:r>
          </w:p>
        </w:tc>
      </w:tr>
      <w:tr w:rsidR="00107635" w14:paraId="02ACCBAA" w14:textId="77777777" w:rsidTr="002B4B1E">
        <w:trPr>
          <w:trHeight w:val="340"/>
        </w:trPr>
        <w:tc>
          <w:tcPr>
            <w:tcW w:w="4678" w:type="dxa"/>
            <w:vAlign w:val="center"/>
          </w:tcPr>
          <w:p w14:paraId="407122F3" w14:textId="2F59D09F" w:rsidR="00107635" w:rsidRPr="00F82435" w:rsidRDefault="00107635">
            <w:r w:rsidRPr="00F82435">
              <w:t>Moderate or severe AR</w:t>
            </w:r>
            <w:r w:rsidR="00054AEA">
              <w:t>, N</w:t>
            </w:r>
            <w:r w:rsidR="00084229" w:rsidRPr="00F82435">
              <w:t>o.</w:t>
            </w:r>
            <w:r w:rsidR="00084229">
              <w:t>/total no.</w:t>
            </w:r>
            <w:r w:rsidR="00084229" w:rsidRPr="00F82435">
              <w:t xml:space="preserve"> </w:t>
            </w:r>
            <w:r w:rsidR="00F76675" w:rsidRPr="00F82435">
              <w:t>(%)</w:t>
            </w:r>
            <w:r w:rsidR="00E037E5">
              <w:rPr>
                <w:vertAlign w:val="superscript"/>
              </w:rPr>
              <w:t>i</w:t>
            </w:r>
          </w:p>
        </w:tc>
        <w:tc>
          <w:tcPr>
            <w:tcW w:w="2622" w:type="dxa"/>
            <w:vAlign w:val="center"/>
          </w:tcPr>
          <w:p w14:paraId="4F56950D" w14:textId="77777777" w:rsidR="00107635" w:rsidRPr="0039195F" w:rsidRDefault="00784275" w:rsidP="00084229">
            <w:pPr>
              <w:jc w:val="center"/>
              <w:rPr>
                <w:color w:val="000000" w:themeColor="text1"/>
              </w:rPr>
            </w:pPr>
            <w:r w:rsidRPr="0039195F">
              <w:rPr>
                <w:color w:val="000000" w:themeColor="text1"/>
              </w:rPr>
              <w:t>47</w:t>
            </w:r>
            <w:r w:rsidR="004E71FD" w:rsidRPr="0039195F">
              <w:rPr>
                <w:color w:val="000000" w:themeColor="text1"/>
              </w:rPr>
              <w:t>/</w:t>
            </w:r>
            <w:r w:rsidR="0039195F" w:rsidRPr="0039195F">
              <w:rPr>
                <w:color w:val="000000" w:themeColor="text1"/>
              </w:rPr>
              <w:t>441</w:t>
            </w:r>
            <w:r w:rsidRPr="0039195F">
              <w:rPr>
                <w:color w:val="000000" w:themeColor="text1"/>
              </w:rPr>
              <w:t xml:space="preserve"> (10.</w:t>
            </w:r>
            <w:r w:rsidR="0039195F" w:rsidRPr="0039195F">
              <w:rPr>
                <w:color w:val="000000" w:themeColor="text1"/>
              </w:rPr>
              <w:t>7</w:t>
            </w:r>
            <w:r w:rsidRPr="0039195F">
              <w:rPr>
                <w:color w:val="000000" w:themeColor="text1"/>
              </w:rPr>
              <w:t>)</w:t>
            </w:r>
          </w:p>
        </w:tc>
        <w:tc>
          <w:tcPr>
            <w:tcW w:w="2623" w:type="dxa"/>
            <w:vAlign w:val="center"/>
          </w:tcPr>
          <w:p w14:paraId="47A0E638" w14:textId="77777777" w:rsidR="00107635" w:rsidRPr="0039195F" w:rsidRDefault="007557A6" w:rsidP="00084229">
            <w:pPr>
              <w:jc w:val="center"/>
              <w:rPr>
                <w:color w:val="000000" w:themeColor="text1"/>
              </w:rPr>
            </w:pPr>
            <w:r w:rsidRPr="0039195F">
              <w:rPr>
                <w:color w:val="000000" w:themeColor="text1"/>
              </w:rPr>
              <w:t>58</w:t>
            </w:r>
            <w:r w:rsidR="0039195F" w:rsidRPr="0039195F">
              <w:rPr>
                <w:color w:val="000000" w:themeColor="text1"/>
              </w:rPr>
              <w:t>/436</w:t>
            </w:r>
            <w:r w:rsidRPr="0039195F">
              <w:rPr>
                <w:color w:val="000000" w:themeColor="text1"/>
              </w:rPr>
              <w:t xml:space="preserve"> (</w:t>
            </w:r>
            <w:r w:rsidR="0039195F" w:rsidRPr="0039195F">
              <w:rPr>
                <w:color w:val="000000" w:themeColor="text1"/>
              </w:rPr>
              <w:t>13</w:t>
            </w:r>
            <w:r w:rsidRPr="0039195F">
              <w:rPr>
                <w:color w:val="000000" w:themeColor="text1"/>
              </w:rPr>
              <w:t>.</w:t>
            </w:r>
            <w:r w:rsidR="0039195F" w:rsidRPr="0039195F">
              <w:rPr>
                <w:color w:val="000000" w:themeColor="text1"/>
              </w:rPr>
              <w:t>3</w:t>
            </w:r>
            <w:r w:rsidRPr="0039195F">
              <w:rPr>
                <w:color w:val="000000" w:themeColor="text1"/>
              </w:rPr>
              <w:t>)</w:t>
            </w:r>
          </w:p>
        </w:tc>
      </w:tr>
    </w:tbl>
    <w:p w14:paraId="3A0DD9A7" w14:textId="77777777" w:rsidR="003F077F" w:rsidRDefault="003F077F" w:rsidP="003F077F">
      <w:pPr>
        <w:pStyle w:val="Heading3"/>
        <w:rPr>
          <w:vertAlign w:val="superscript"/>
        </w:rPr>
      </w:pPr>
    </w:p>
    <w:p w14:paraId="4063AB8B" w14:textId="77777777" w:rsidR="003F077F" w:rsidRDefault="003F077F">
      <w:pPr>
        <w:rPr>
          <w:rFonts w:ascii="Times New Roman" w:eastAsia="Times New Roman" w:hAnsi="Times New Roman" w:cs="Times New Roman"/>
          <w:b/>
          <w:bCs/>
          <w:sz w:val="27"/>
          <w:szCs w:val="27"/>
          <w:vertAlign w:val="superscript"/>
          <w:lang w:eastAsia="en-GB"/>
        </w:rPr>
      </w:pPr>
      <w:r>
        <w:rPr>
          <w:vertAlign w:val="superscript"/>
        </w:rPr>
        <w:br w:type="page"/>
      </w:r>
    </w:p>
    <w:p w14:paraId="4AB8D61A" w14:textId="77777777" w:rsidR="003F077F" w:rsidRPr="002B4B1E" w:rsidRDefault="003F077F" w:rsidP="002B4B1E">
      <w:pPr>
        <w:pStyle w:val="Heading3"/>
        <w:rPr>
          <w:i/>
          <w:sz w:val="22"/>
          <w:szCs w:val="22"/>
          <w:vertAlign w:val="superscript"/>
        </w:rPr>
      </w:pPr>
      <w:r>
        <w:rPr>
          <w:vertAlign w:val="superscript"/>
        </w:rPr>
        <w:t>FOOTNOTES TO TABLE 1:</w:t>
      </w:r>
    </w:p>
    <w:p w14:paraId="2FFA7EC9" w14:textId="77777777" w:rsidR="00E037E5" w:rsidRDefault="00E037E5" w:rsidP="00F67B9C">
      <w:pPr>
        <w:pStyle w:val="Heading4"/>
        <w:spacing w:before="0" w:line="240" w:lineRule="auto"/>
        <w:rPr>
          <w:rFonts w:asciiTheme="minorHAnsi" w:hAnsiTheme="minorHAnsi"/>
          <w:b w:val="0"/>
          <w:i w:val="0"/>
          <w:color w:val="000000" w:themeColor="text1"/>
          <w:sz w:val="20"/>
          <w:szCs w:val="20"/>
        </w:rPr>
      </w:pPr>
      <w:r>
        <w:rPr>
          <w:rFonts w:asciiTheme="minorHAnsi" w:hAnsiTheme="minorHAnsi"/>
          <w:b w:val="0"/>
          <w:i w:val="0"/>
          <w:color w:val="000000" w:themeColor="text1"/>
          <w:sz w:val="20"/>
          <w:szCs w:val="20"/>
        </w:rPr>
        <w:t xml:space="preserve">Table 1 </w:t>
      </w:r>
      <w:r w:rsidR="0032646A">
        <w:rPr>
          <w:rFonts w:asciiTheme="minorHAnsi" w:hAnsiTheme="minorHAnsi"/>
          <w:b w:val="0"/>
          <w:i w:val="0"/>
          <w:color w:val="000000" w:themeColor="text1"/>
          <w:sz w:val="20"/>
          <w:szCs w:val="20"/>
        </w:rPr>
        <w:t>reports</w:t>
      </w:r>
      <w:r>
        <w:rPr>
          <w:rFonts w:asciiTheme="minorHAnsi" w:hAnsiTheme="minorHAnsi"/>
          <w:b w:val="0"/>
          <w:i w:val="0"/>
          <w:color w:val="000000" w:themeColor="text1"/>
          <w:sz w:val="20"/>
          <w:szCs w:val="20"/>
        </w:rPr>
        <w:t xml:space="preserve"> </w:t>
      </w:r>
      <w:r w:rsidR="00D55AE8">
        <w:rPr>
          <w:rFonts w:asciiTheme="minorHAnsi" w:hAnsiTheme="minorHAnsi"/>
          <w:b w:val="0"/>
          <w:i w:val="0"/>
          <w:color w:val="000000" w:themeColor="text1"/>
          <w:sz w:val="20"/>
          <w:szCs w:val="20"/>
        </w:rPr>
        <w:t>key</w:t>
      </w:r>
      <w:r w:rsidR="003A7F67">
        <w:rPr>
          <w:rFonts w:asciiTheme="minorHAnsi" w:hAnsiTheme="minorHAnsi"/>
          <w:b w:val="0"/>
          <w:i w:val="0"/>
          <w:color w:val="000000" w:themeColor="text1"/>
          <w:sz w:val="20"/>
          <w:szCs w:val="20"/>
        </w:rPr>
        <w:t xml:space="preserve"> demographic, clinical and echocardiographic characteristics at baseline. Additional clinical details and past medical histo</w:t>
      </w:r>
      <w:r w:rsidR="00D55AE8">
        <w:rPr>
          <w:rFonts w:asciiTheme="minorHAnsi" w:hAnsiTheme="minorHAnsi"/>
          <w:b w:val="0"/>
          <w:i w:val="0"/>
          <w:color w:val="000000" w:themeColor="text1"/>
          <w:sz w:val="20"/>
          <w:szCs w:val="20"/>
        </w:rPr>
        <w:t xml:space="preserve">ry are </w:t>
      </w:r>
      <w:r w:rsidR="0032646A">
        <w:rPr>
          <w:rFonts w:asciiTheme="minorHAnsi" w:hAnsiTheme="minorHAnsi"/>
          <w:b w:val="0"/>
          <w:i w:val="0"/>
          <w:color w:val="000000" w:themeColor="text1"/>
          <w:sz w:val="20"/>
          <w:szCs w:val="20"/>
        </w:rPr>
        <w:t>reported</w:t>
      </w:r>
      <w:r w:rsidR="00D55AE8">
        <w:rPr>
          <w:rFonts w:asciiTheme="minorHAnsi" w:hAnsiTheme="minorHAnsi"/>
          <w:b w:val="0"/>
          <w:i w:val="0"/>
          <w:color w:val="000000" w:themeColor="text1"/>
          <w:sz w:val="20"/>
          <w:szCs w:val="20"/>
        </w:rPr>
        <w:t xml:space="preserve"> in e</w:t>
      </w:r>
      <w:r w:rsidR="003A7F67">
        <w:rPr>
          <w:rFonts w:asciiTheme="minorHAnsi" w:hAnsiTheme="minorHAnsi"/>
          <w:b w:val="0"/>
          <w:i w:val="0"/>
          <w:color w:val="000000" w:themeColor="text1"/>
          <w:sz w:val="20"/>
          <w:szCs w:val="20"/>
        </w:rPr>
        <w:t>Table 1 in Supplement 3.</w:t>
      </w:r>
    </w:p>
    <w:p w14:paraId="37DEA89B" w14:textId="77777777" w:rsidR="003A7F67" w:rsidRDefault="003A7F67" w:rsidP="00F67B9C">
      <w:pPr>
        <w:pStyle w:val="Heading4"/>
        <w:spacing w:before="0" w:line="240" w:lineRule="auto"/>
        <w:rPr>
          <w:rFonts w:asciiTheme="minorHAnsi" w:hAnsiTheme="minorHAnsi"/>
          <w:b w:val="0"/>
          <w:i w:val="0"/>
          <w:color w:val="000000" w:themeColor="text1"/>
          <w:sz w:val="20"/>
          <w:szCs w:val="20"/>
        </w:rPr>
      </w:pPr>
      <w:r w:rsidRPr="00747C3A">
        <w:rPr>
          <w:rFonts w:asciiTheme="minorHAnsi" w:hAnsiTheme="minorHAnsi"/>
          <w:b w:val="0"/>
          <w:i w:val="0"/>
          <w:color w:val="000000" w:themeColor="text1"/>
          <w:sz w:val="20"/>
          <w:szCs w:val="20"/>
        </w:rPr>
        <w:t>Abbreviations:</w:t>
      </w:r>
      <w:r>
        <w:rPr>
          <w:rFonts w:asciiTheme="minorHAnsi" w:hAnsiTheme="minorHAnsi"/>
          <w:b w:val="0"/>
          <w:i w:val="0"/>
          <w:color w:val="000000" w:themeColor="text1"/>
          <w:sz w:val="20"/>
          <w:szCs w:val="20"/>
        </w:rPr>
        <w:t xml:space="preserve"> STS, Society of Thoracic Surgeons Predicted Risk of Mortality; EuroSCORE, European System for Cardiac Operative Risk Evaluation; NYHA, New York Heart Association; CSHA, Canadian Study of Health and</w:t>
      </w:r>
      <w:r w:rsidRPr="00D45FE1">
        <w:rPr>
          <w:rFonts w:asciiTheme="minorHAnsi" w:hAnsiTheme="minorHAnsi"/>
          <w:b w:val="0"/>
          <w:i w:val="0"/>
          <w:color w:val="000000" w:themeColor="text1"/>
          <w:sz w:val="20"/>
          <w:szCs w:val="20"/>
        </w:rPr>
        <w:t xml:space="preserve"> Aging</w:t>
      </w:r>
      <w:r>
        <w:rPr>
          <w:rFonts w:asciiTheme="minorHAnsi" w:hAnsiTheme="minorHAnsi"/>
          <w:b w:val="0"/>
          <w:i w:val="0"/>
          <w:color w:val="000000" w:themeColor="text1"/>
          <w:sz w:val="20"/>
          <w:szCs w:val="20"/>
        </w:rPr>
        <w:t xml:space="preserve">; CFS, Clinical Frailty Scale. </w:t>
      </w:r>
    </w:p>
    <w:p w14:paraId="73F71600" w14:textId="77777777" w:rsidR="00D45FE1" w:rsidRPr="002B4B1E" w:rsidRDefault="00D45FE1" w:rsidP="002B4B1E">
      <w:pPr>
        <w:spacing w:after="0" w:line="240" w:lineRule="auto"/>
        <w:rPr>
          <w:b/>
          <w:i/>
        </w:rPr>
      </w:pPr>
    </w:p>
    <w:p w14:paraId="3E6DC9AD" w14:textId="6D6F99F2" w:rsidR="00E037E5" w:rsidRDefault="00E037E5" w:rsidP="00F67B9C">
      <w:pPr>
        <w:pStyle w:val="Heading4"/>
        <w:spacing w:before="0" w:line="240" w:lineRule="auto"/>
        <w:ind w:left="142" w:hanging="142"/>
        <w:rPr>
          <w:rFonts w:asciiTheme="minorHAnsi" w:hAnsiTheme="minorHAnsi"/>
          <w:b w:val="0"/>
          <w:i w:val="0"/>
          <w:color w:val="000000" w:themeColor="text1"/>
          <w:sz w:val="20"/>
          <w:szCs w:val="20"/>
          <w:vertAlign w:val="superscript"/>
        </w:rPr>
      </w:pPr>
      <w:r>
        <w:rPr>
          <w:rFonts w:asciiTheme="minorHAnsi" w:hAnsiTheme="minorHAnsi"/>
          <w:b w:val="0"/>
          <w:i w:val="0"/>
          <w:color w:val="000000" w:themeColor="text1"/>
          <w:sz w:val="20"/>
          <w:szCs w:val="20"/>
          <w:vertAlign w:val="superscript"/>
        </w:rPr>
        <w:t>a</w:t>
      </w:r>
      <w:r w:rsidR="009747E1">
        <w:rPr>
          <w:rFonts w:asciiTheme="minorHAnsi" w:hAnsiTheme="minorHAnsi"/>
          <w:b w:val="0"/>
          <w:i w:val="0"/>
          <w:color w:val="000000" w:themeColor="text1"/>
          <w:sz w:val="20"/>
          <w:szCs w:val="20"/>
        </w:rPr>
        <w:t xml:space="preserve"> Ethnicity data were recorded </w:t>
      </w:r>
      <w:r w:rsidR="00CD2847">
        <w:rPr>
          <w:rFonts w:asciiTheme="minorHAnsi" w:hAnsiTheme="minorHAnsi"/>
          <w:b w:val="0"/>
          <w:i w:val="0"/>
          <w:color w:val="000000" w:themeColor="text1"/>
          <w:sz w:val="20"/>
          <w:szCs w:val="20"/>
        </w:rPr>
        <w:t xml:space="preserve">in order to </w:t>
      </w:r>
      <w:r w:rsidR="002C793B">
        <w:rPr>
          <w:rFonts w:asciiTheme="minorHAnsi" w:hAnsiTheme="minorHAnsi"/>
          <w:b w:val="0"/>
          <w:i w:val="0"/>
          <w:color w:val="000000" w:themeColor="text1"/>
          <w:sz w:val="20"/>
          <w:szCs w:val="20"/>
        </w:rPr>
        <w:t>assess</w:t>
      </w:r>
      <w:r w:rsidR="00CD2847">
        <w:rPr>
          <w:rFonts w:asciiTheme="minorHAnsi" w:hAnsiTheme="minorHAnsi"/>
          <w:b w:val="0"/>
          <w:i w:val="0"/>
          <w:color w:val="000000" w:themeColor="text1"/>
          <w:sz w:val="20"/>
          <w:szCs w:val="20"/>
        </w:rPr>
        <w:t xml:space="preserve"> the diversity of the study population</w:t>
      </w:r>
      <w:r w:rsidR="002C793B">
        <w:rPr>
          <w:rFonts w:asciiTheme="minorHAnsi" w:hAnsiTheme="minorHAnsi"/>
          <w:b w:val="0"/>
          <w:i w:val="0"/>
          <w:color w:val="000000" w:themeColor="text1"/>
          <w:sz w:val="20"/>
          <w:szCs w:val="20"/>
        </w:rPr>
        <w:t>, which may have implications for the external validity of the trial in different ethnic groups. Ethnicity was determined by the site</w:t>
      </w:r>
      <w:r w:rsidR="009747E1">
        <w:rPr>
          <w:rFonts w:asciiTheme="minorHAnsi" w:hAnsiTheme="minorHAnsi"/>
          <w:b w:val="0"/>
          <w:i w:val="0"/>
          <w:color w:val="000000" w:themeColor="text1"/>
          <w:sz w:val="20"/>
          <w:szCs w:val="20"/>
        </w:rPr>
        <w:t xml:space="preserve"> staff based on discussion with the participant or review of hospital records</w:t>
      </w:r>
      <w:r w:rsidR="00536BBF">
        <w:rPr>
          <w:rFonts w:asciiTheme="minorHAnsi" w:hAnsiTheme="minorHAnsi"/>
          <w:b w:val="0"/>
          <w:i w:val="0"/>
          <w:color w:val="000000" w:themeColor="text1"/>
          <w:sz w:val="20"/>
          <w:szCs w:val="20"/>
        </w:rPr>
        <w:t>,</w:t>
      </w:r>
      <w:r w:rsidR="009747E1">
        <w:rPr>
          <w:rFonts w:asciiTheme="minorHAnsi" w:hAnsiTheme="minorHAnsi"/>
          <w:b w:val="0"/>
          <w:i w:val="0"/>
          <w:color w:val="000000" w:themeColor="text1"/>
          <w:sz w:val="20"/>
          <w:szCs w:val="20"/>
        </w:rPr>
        <w:t xml:space="preserve"> using a list of </w:t>
      </w:r>
      <w:r w:rsidR="002C793B">
        <w:rPr>
          <w:rFonts w:asciiTheme="minorHAnsi" w:hAnsiTheme="minorHAnsi"/>
          <w:b w:val="0"/>
          <w:i w:val="0"/>
          <w:color w:val="000000" w:themeColor="text1"/>
          <w:sz w:val="20"/>
          <w:szCs w:val="20"/>
        </w:rPr>
        <w:t xml:space="preserve">prespecified </w:t>
      </w:r>
      <w:r w:rsidR="009747E1">
        <w:rPr>
          <w:rFonts w:asciiTheme="minorHAnsi" w:hAnsiTheme="minorHAnsi"/>
          <w:b w:val="0"/>
          <w:i w:val="0"/>
          <w:color w:val="000000" w:themeColor="text1"/>
          <w:sz w:val="20"/>
          <w:szCs w:val="20"/>
        </w:rPr>
        <w:t xml:space="preserve">options corresponding to </w:t>
      </w:r>
      <w:r w:rsidR="00B210E8">
        <w:rPr>
          <w:rFonts w:asciiTheme="minorHAnsi" w:hAnsiTheme="minorHAnsi"/>
          <w:b w:val="0"/>
          <w:i w:val="0"/>
          <w:color w:val="000000" w:themeColor="text1"/>
          <w:sz w:val="20"/>
          <w:szCs w:val="20"/>
        </w:rPr>
        <w:t>t</w:t>
      </w:r>
      <w:r w:rsidR="00536BBF">
        <w:rPr>
          <w:rFonts w:asciiTheme="minorHAnsi" w:hAnsiTheme="minorHAnsi"/>
          <w:b w:val="0"/>
          <w:i w:val="0"/>
          <w:color w:val="000000" w:themeColor="text1"/>
          <w:sz w:val="20"/>
          <w:szCs w:val="20"/>
        </w:rPr>
        <w:t>hose</w:t>
      </w:r>
      <w:r w:rsidR="00B210E8">
        <w:rPr>
          <w:rFonts w:asciiTheme="minorHAnsi" w:hAnsiTheme="minorHAnsi"/>
          <w:b w:val="0"/>
          <w:i w:val="0"/>
          <w:color w:val="000000" w:themeColor="text1"/>
          <w:sz w:val="20"/>
          <w:szCs w:val="20"/>
        </w:rPr>
        <w:t xml:space="preserve"> used by the</w:t>
      </w:r>
      <w:r w:rsidR="009747E1">
        <w:rPr>
          <w:rFonts w:asciiTheme="minorHAnsi" w:hAnsiTheme="minorHAnsi"/>
          <w:b w:val="0"/>
          <w:i w:val="0"/>
          <w:color w:val="000000" w:themeColor="text1"/>
          <w:sz w:val="20"/>
          <w:szCs w:val="20"/>
        </w:rPr>
        <w:t xml:space="preserve"> UK Office for National Statistics</w:t>
      </w:r>
      <w:r w:rsidR="00B210E8">
        <w:rPr>
          <w:rFonts w:asciiTheme="minorHAnsi" w:hAnsiTheme="minorHAnsi"/>
          <w:b w:val="0"/>
          <w:i w:val="0"/>
          <w:color w:val="000000" w:themeColor="text1"/>
          <w:sz w:val="20"/>
          <w:szCs w:val="20"/>
        </w:rPr>
        <w:t>.</w:t>
      </w:r>
      <w:r w:rsidR="009747E1">
        <w:rPr>
          <w:rFonts w:asciiTheme="minorHAnsi" w:hAnsiTheme="minorHAnsi"/>
          <w:b w:val="0"/>
          <w:i w:val="0"/>
          <w:color w:val="000000" w:themeColor="text1"/>
          <w:sz w:val="20"/>
          <w:szCs w:val="20"/>
        </w:rPr>
        <w:t xml:space="preserve"> </w:t>
      </w:r>
      <w:r w:rsidR="00133394">
        <w:rPr>
          <w:rFonts w:asciiTheme="minorHAnsi" w:hAnsiTheme="minorHAnsi"/>
          <w:b w:val="0"/>
          <w:i w:val="0"/>
          <w:color w:val="000000" w:themeColor="text1"/>
          <w:sz w:val="20"/>
          <w:szCs w:val="20"/>
        </w:rPr>
        <w:t xml:space="preserve">Ethnicity reported as ‘other’ in the TAVI group </w:t>
      </w:r>
      <w:r w:rsidR="000C7C65">
        <w:rPr>
          <w:rFonts w:asciiTheme="minorHAnsi" w:hAnsiTheme="minorHAnsi"/>
          <w:b w:val="0"/>
          <w:i w:val="0"/>
          <w:color w:val="000000" w:themeColor="text1"/>
          <w:sz w:val="20"/>
          <w:szCs w:val="20"/>
        </w:rPr>
        <w:t xml:space="preserve">was </w:t>
      </w:r>
      <w:r w:rsidR="00133394">
        <w:rPr>
          <w:rFonts w:asciiTheme="minorHAnsi" w:hAnsiTheme="minorHAnsi"/>
          <w:b w:val="0"/>
          <w:i w:val="0"/>
          <w:color w:val="000000" w:themeColor="text1"/>
          <w:sz w:val="20"/>
          <w:szCs w:val="20"/>
        </w:rPr>
        <w:t xml:space="preserve">specified as Italian (2), Maltese (1) </w:t>
      </w:r>
      <w:r w:rsidR="000C7C65">
        <w:rPr>
          <w:rFonts w:asciiTheme="minorHAnsi" w:hAnsiTheme="minorHAnsi"/>
          <w:b w:val="0"/>
          <w:i w:val="0"/>
          <w:color w:val="000000" w:themeColor="text1"/>
          <w:sz w:val="20"/>
          <w:szCs w:val="20"/>
        </w:rPr>
        <w:t>and</w:t>
      </w:r>
      <w:r w:rsidR="00133394">
        <w:rPr>
          <w:rFonts w:asciiTheme="minorHAnsi" w:hAnsiTheme="minorHAnsi"/>
          <w:b w:val="0"/>
          <w:i w:val="0"/>
          <w:color w:val="000000" w:themeColor="text1"/>
          <w:sz w:val="20"/>
          <w:szCs w:val="20"/>
        </w:rPr>
        <w:t xml:space="preserve"> Polish (1). </w:t>
      </w:r>
      <w:r w:rsidR="000C7C65">
        <w:rPr>
          <w:rFonts w:asciiTheme="minorHAnsi" w:hAnsiTheme="minorHAnsi"/>
          <w:b w:val="0"/>
          <w:i w:val="0"/>
          <w:color w:val="000000" w:themeColor="text1"/>
          <w:sz w:val="20"/>
          <w:szCs w:val="20"/>
        </w:rPr>
        <w:t>Ethnicity reported as ‘other’ in the surgery group was specified as Arab (1), French (1), German (1), Greek Armenian (1), Greek Cypriot (1), Polish (1) and White Italian (1); no further details were reported for one participant.</w:t>
      </w:r>
      <w:r w:rsidR="00133394">
        <w:rPr>
          <w:rFonts w:asciiTheme="minorHAnsi" w:hAnsiTheme="minorHAnsi"/>
          <w:b w:val="0"/>
          <w:i w:val="0"/>
          <w:color w:val="000000" w:themeColor="text1"/>
          <w:sz w:val="20"/>
          <w:szCs w:val="20"/>
        </w:rPr>
        <w:t xml:space="preserve"> </w:t>
      </w:r>
    </w:p>
    <w:p w14:paraId="41A09777" w14:textId="561734B7" w:rsidR="00BF0FBE" w:rsidRDefault="00E037E5" w:rsidP="00F67B9C">
      <w:pPr>
        <w:pStyle w:val="Heading4"/>
        <w:spacing w:before="0" w:line="240" w:lineRule="auto"/>
        <w:ind w:left="142" w:hanging="142"/>
        <w:rPr>
          <w:rFonts w:asciiTheme="minorHAnsi" w:hAnsiTheme="minorHAnsi"/>
          <w:b w:val="0"/>
          <w:i w:val="0"/>
          <w:color w:val="000000" w:themeColor="text1"/>
          <w:sz w:val="20"/>
          <w:szCs w:val="20"/>
          <w:vertAlign w:val="superscript"/>
        </w:rPr>
      </w:pPr>
      <w:r>
        <w:rPr>
          <w:rFonts w:asciiTheme="minorHAnsi" w:hAnsiTheme="minorHAnsi"/>
          <w:b w:val="0"/>
          <w:i w:val="0"/>
          <w:color w:val="000000" w:themeColor="text1"/>
          <w:sz w:val="20"/>
          <w:szCs w:val="20"/>
          <w:vertAlign w:val="superscript"/>
        </w:rPr>
        <w:t xml:space="preserve">b </w:t>
      </w:r>
      <w:r w:rsidR="00C82CDE">
        <w:rPr>
          <w:rFonts w:asciiTheme="minorHAnsi" w:hAnsiTheme="minorHAnsi"/>
          <w:b w:val="0"/>
          <w:i w:val="0"/>
          <w:color w:val="000000" w:themeColor="text1"/>
          <w:sz w:val="20"/>
          <w:szCs w:val="20"/>
        </w:rPr>
        <w:t>Body</w:t>
      </w:r>
      <w:r w:rsidR="00D8238F" w:rsidRPr="00D4590F">
        <w:rPr>
          <w:rFonts w:asciiTheme="minorHAnsi" w:hAnsiTheme="minorHAnsi"/>
          <w:b w:val="0"/>
          <w:i w:val="0"/>
          <w:color w:val="000000" w:themeColor="text1"/>
          <w:sz w:val="20"/>
          <w:szCs w:val="20"/>
        </w:rPr>
        <w:t xml:space="preserve">-mass index is the weight in kilograms divided by the square of the height in </w:t>
      </w:r>
      <w:r w:rsidR="00D55AE8">
        <w:rPr>
          <w:rFonts w:asciiTheme="minorHAnsi" w:hAnsiTheme="minorHAnsi"/>
          <w:b w:val="0"/>
          <w:i w:val="0"/>
          <w:color w:val="000000" w:themeColor="text1"/>
          <w:sz w:val="20"/>
          <w:szCs w:val="20"/>
        </w:rPr>
        <w:t>meters</w:t>
      </w:r>
      <w:r w:rsidR="00D8238F" w:rsidRPr="00D4590F">
        <w:rPr>
          <w:rFonts w:asciiTheme="minorHAnsi" w:hAnsiTheme="minorHAnsi"/>
          <w:b w:val="0"/>
          <w:i w:val="0"/>
          <w:color w:val="000000" w:themeColor="text1"/>
          <w:sz w:val="20"/>
          <w:szCs w:val="20"/>
        </w:rPr>
        <w:t>.</w:t>
      </w:r>
    </w:p>
    <w:p w14:paraId="48DF7DDB" w14:textId="6204F925" w:rsidR="00EC2788" w:rsidRPr="00D4590F" w:rsidRDefault="00E037E5" w:rsidP="00F67B9C">
      <w:pPr>
        <w:pStyle w:val="Heading4"/>
        <w:spacing w:before="0" w:line="240" w:lineRule="auto"/>
        <w:ind w:left="142" w:hanging="142"/>
        <w:rPr>
          <w:rFonts w:asciiTheme="minorHAnsi" w:hAnsiTheme="minorHAnsi"/>
          <w:b w:val="0"/>
          <w:i w:val="0"/>
          <w:color w:val="000000" w:themeColor="text1"/>
          <w:sz w:val="20"/>
          <w:szCs w:val="20"/>
        </w:rPr>
      </w:pPr>
      <w:r>
        <w:rPr>
          <w:rFonts w:asciiTheme="minorHAnsi" w:hAnsiTheme="minorHAnsi"/>
          <w:b w:val="0"/>
          <w:i w:val="0"/>
          <w:color w:val="000000" w:themeColor="text1"/>
          <w:sz w:val="20"/>
          <w:szCs w:val="20"/>
          <w:vertAlign w:val="superscript"/>
        </w:rPr>
        <w:t>c</w:t>
      </w:r>
      <w:r w:rsidRPr="00893959">
        <w:rPr>
          <w:rFonts w:asciiTheme="minorHAnsi" w:hAnsiTheme="minorHAnsi"/>
          <w:b w:val="0"/>
          <w:i w:val="0"/>
          <w:color w:val="000000" w:themeColor="text1"/>
          <w:sz w:val="20"/>
          <w:szCs w:val="20"/>
          <w:vertAlign w:val="superscript"/>
        </w:rPr>
        <w:t xml:space="preserve"> </w:t>
      </w:r>
      <w:r w:rsidR="009044B8">
        <w:rPr>
          <w:rFonts w:asciiTheme="minorHAnsi" w:hAnsiTheme="minorHAnsi"/>
          <w:b w:val="0"/>
          <w:i w:val="0"/>
          <w:color w:val="000000" w:themeColor="text1"/>
          <w:sz w:val="20"/>
          <w:szCs w:val="20"/>
        </w:rPr>
        <w:t xml:space="preserve">The </w:t>
      </w:r>
      <w:r w:rsidR="00A0058A" w:rsidRPr="00A0058A">
        <w:rPr>
          <w:rFonts w:asciiTheme="minorHAnsi" w:hAnsiTheme="minorHAnsi"/>
          <w:b w:val="0"/>
          <w:i w:val="0"/>
          <w:color w:val="000000" w:themeColor="text1"/>
          <w:sz w:val="20"/>
          <w:szCs w:val="20"/>
        </w:rPr>
        <w:t xml:space="preserve">Society of Thoracic Surgeons Predicted Risk of Mortality </w:t>
      </w:r>
      <w:r w:rsidR="00A0058A">
        <w:rPr>
          <w:rFonts w:asciiTheme="minorHAnsi" w:hAnsiTheme="minorHAnsi"/>
          <w:b w:val="0"/>
          <w:i w:val="0"/>
          <w:color w:val="000000" w:themeColor="text1"/>
          <w:sz w:val="20"/>
          <w:szCs w:val="20"/>
        </w:rPr>
        <w:t>(</w:t>
      </w:r>
      <w:r w:rsidR="009044B8">
        <w:rPr>
          <w:rFonts w:asciiTheme="minorHAnsi" w:hAnsiTheme="minorHAnsi"/>
          <w:b w:val="0"/>
          <w:i w:val="0"/>
          <w:color w:val="000000" w:themeColor="text1"/>
          <w:sz w:val="20"/>
          <w:szCs w:val="20"/>
        </w:rPr>
        <w:t>STS</w:t>
      </w:r>
      <w:r w:rsidR="00A0058A">
        <w:rPr>
          <w:rFonts w:asciiTheme="minorHAnsi" w:hAnsiTheme="minorHAnsi"/>
          <w:b w:val="0"/>
          <w:i w:val="0"/>
          <w:color w:val="000000" w:themeColor="text1"/>
          <w:sz w:val="20"/>
          <w:szCs w:val="20"/>
        </w:rPr>
        <w:t>)</w:t>
      </w:r>
      <w:r w:rsidR="00D8238F" w:rsidRPr="00D4590F">
        <w:rPr>
          <w:rFonts w:asciiTheme="minorHAnsi" w:hAnsiTheme="minorHAnsi"/>
          <w:b w:val="0"/>
          <w:i w:val="0"/>
          <w:color w:val="000000" w:themeColor="text1"/>
          <w:sz w:val="20"/>
          <w:szCs w:val="20"/>
        </w:rPr>
        <w:t xml:space="preserve"> score provides an estimate of the predicted 30-day mortality, expressed as a percentage, among patients undergoing surgical aortic valve replacement on the basis of a number of demographic and procedural variables.</w:t>
      </w:r>
      <w:r w:rsidR="00536BBF" w:rsidRPr="002B4B1E">
        <w:rPr>
          <w:rFonts w:asciiTheme="minorHAnsi" w:hAnsiTheme="minorHAnsi"/>
          <w:b w:val="0"/>
          <w:i w:val="0"/>
          <w:color w:val="000000" w:themeColor="text1"/>
          <w:sz w:val="20"/>
          <w:szCs w:val="20"/>
          <w:vertAlign w:val="superscript"/>
        </w:rPr>
        <w:t>9,10</w:t>
      </w:r>
      <w:r w:rsidR="003B1F56">
        <w:rPr>
          <w:rFonts w:asciiTheme="minorHAnsi" w:hAnsiTheme="minorHAnsi"/>
          <w:b w:val="0"/>
          <w:i w:val="0"/>
          <w:color w:val="000000" w:themeColor="text1"/>
          <w:sz w:val="20"/>
          <w:szCs w:val="20"/>
        </w:rPr>
        <w:t xml:space="preserve"> </w:t>
      </w:r>
    </w:p>
    <w:p w14:paraId="3CDFD2D4" w14:textId="45D38977" w:rsidR="00DE2348" w:rsidRDefault="00E037E5" w:rsidP="00F67B9C">
      <w:pPr>
        <w:pStyle w:val="Heading4"/>
        <w:spacing w:before="0" w:line="240" w:lineRule="auto"/>
        <w:ind w:left="170" w:hanging="170"/>
        <w:rPr>
          <w:rFonts w:asciiTheme="minorHAnsi" w:hAnsiTheme="minorHAnsi"/>
          <w:b w:val="0"/>
          <w:i w:val="0"/>
          <w:color w:val="000000" w:themeColor="text1"/>
          <w:sz w:val="20"/>
          <w:szCs w:val="20"/>
          <w:vertAlign w:val="superscript"/>
        </w:rPr>
      </w:pPr>
      <w:r>
        <w:rPr>
          <w:rFonts w:asciiTheme="minorHAnsi" w:hAnsiTheme="minorHAnsi"/>
          <w:b w:val="0"/>
          <w:i w:val="0"/>
          <w:color w:val="000000" w:themeColor="text1"/>
          <w:sz w:val="20"/>
          <w:szCs w:val="20"/>
          <w:vertAlign w:val="superscript"/>
        </w:rPr>
        <w:t>d</w:t>
      </w:r>
      <w:r w:rsidR="00C82CDE">
        <w:rPr>
          <w:rFonts w:asciiTheme="minorHAnsi" w:hAnsiTheme="minorHAnsi"/>
          <w:b w:val="0"/>
          <w:i w:val="0"/>
          <w:color w:val="000000" w:themeColor="text1"/>
          <w:sz w:val="20"/>
          <w:szCs w:val="20"/>
          <w:vertAlign w:val="superscript"/>
        </w:rPr>
        <w:t xml:space="preserve"> </w:t>
      </w:r>
      <w:r w:rsidR="00D8238F" w:rsidRPr="00D4590F">
        <w:rPr>
          <w:rFonts w:asciiTheme="minorHAnsi" w:hAnsiTheme="minorHAnsi"/>
          <w:b w:val="0"/>
          <w:i w:val="0"/>
          <w:color w:val="000000" w:themeColor="text1"/>
          <w:sz w:val="20"/>
          <w:szCs w:val="20"/>
        </w:rPr>
        <w:t xml:space="preserve">EuroSCORE II is a risk model for estimating the predicted in-hospital mortality after cardiac surgery, expressed as a percentage. </w:t>
      </w:r>
      <w:r w:rsidR="00536BBF">
        <w:rPr>
          <w:rFonts w:asciiTheme="minorHAnsi" w:hAnsiTheme="minorHAnsi"/>
          <w:b w:val="0"/>
          <w:i w:val="0"/>
          <w:color w:val="000000" w:themeColor="text1"/>
          <w:sz w:val="20"/>
          <w:szCs w:val="20"/>
        </w:rPr>
        <w:t>The score is based on a combination of patient-related factors, cardiac-related factors and operation-related factors. A higher score denotes a higher operative risk.</w:t>
      </w:r>
      <w:r w:rsidR="00F01CFD" w:rsidRPr="008A207D">
        <w:rPr>
          <w:b w:val="0"/>
          <w:i w:val="0"/>
          <w:color w:val="000000" w:themeColor="text1"/>
          <w:sz w:val="20"/>
          <w:szCs w:val="20"/>
          <w:vertAlign w:val="superscript"/>
        </w:rPr>
        <w:t>11,12</w:t>
      </w:r>
      <w:r w:rsidR="00536BBF">
        <w:rPr>
          <w:rFonts w:asciiTheme="minorHAnsi" w:hAnsiTheme="minorHAnsi"/>
          <w:b w:val="0"/>
          <w:i w:val="0"/>
          <w:color w:val="000000" w:themeColor="text1"/>
          <w:sz w:val="20"/>
          <w:szCs w:val="20"/>
        </w:rPr>
        <w:t xml:space="preserve"> </w:t>
      </w:r>
    </w:p>
    <w:p w14:paraId="71A7ECE6" w14:textId="48A8C9AB" w:rsidR="00314C35" w:rsidRDefault="00E037E5" w:rsidP="00F67B9C">
      <w:pPr>
        <w:pStyle w:val="Heading4"/>
        <w:spacing w:before="0" w:line="240" w:lineRule="auto"/>
        <w:ind w:left="170" w:hanging="170"/>
        <w:rPr>
          <w:rFonts w:asciiTheme="minorHAnsi" w:hAnsiTheme="minorHAnsi"/>
          <w:b w:val="0"/>
          <w:i w:val="0"/>
          <w:color w:val="000000" w:themeColor="text1"/>
          <w:sz w:val="20"/>
          <w:szCs w:val="20"/>
        </w:rPr>
      </w:pPr>
      <w:r>
        <w:rPr>
          <w:rFonts w:asciiTheme="minorHAnsi" w:hAnsiTheme="minorHAnsi"/>
          <w:b w:val="0"/>
          <w:i w:val="0"/>
          <w:color w:val="000000" w:themeColor="text1"/>
          <w:sz w:val="20"/>
          <w:szCs w:val="20"/>
          <w:vertAlign w:val="superscript"/>
        </w:rPr>
        <w:t>e</w:t>
      </w:r>
      <w:r w:rsidRPr="002B4B1E">
        <w:rPr>
          <w:rFonts w:asciiTheme="minorHAnsi" w:hAnsiTheme="minorHAnsi"/>
          <w:b w:val="0"/>
          <w:i w:val="0"/>
          <w:color w:val="000000" w:themeColor="text1"/>
          <w:sz w:val="20"/>
          <w:szCs w:val="20"/>
        </w:rPr>
        <w:t xml:space="preserve"> </w:t>
      </w:r>
      <w:r w:rsidR="00A0058A">
        <w:rPr>
          <w:rFonts w:asciiTheme="minorHAnsi" w:hAnsiTheme="minorHAnsi"/>
          <w:b w:val="0"/>
          <w:i w:val="0"/>
          <w:color w:val="000000" w:themeColor="text1"/>
          <w:sz w:val="20"/>
          <w:szCs w:val="20"/>
        </w:rPr>
        <w:t xml:space="preserve">The </w:t>
      </w:r>
      <w:r w:rsidR="00A0058A" w:rsidRPr="00A0058A">
        <w:rPr>
          <w:rFonts w:asciiTheme="minorHAnsi" w:hAnsiTheme="minorHAnsi"/>
          <w:b w:val="0"/>
          <w:i w:val="0"/>
          <w:color w:val="000000" w:themeColor="text1"/>
          <w:sz w:val="20"/>
          <w:szCs w:val="20"/>
        </w:rPr>
        <w:t xml:space="preserve">New York Heart Association </w:t>
      </w:r>
      <w:r w:rsidR="00A0058A">
        <w:rPr>
          <w:rFonts w:asciiTheme="minorHAnsi" w:hAnsiTheme="minorHAnsi"/>
          <w:b w:val="0"/>
          <w:i w:val="0"/>
          <w:color w:val="000000" w:themeColor="text1"/>
          <w:sz w:val="20"/>
          <w:szCs w:val="20"/>
        </w:rPr>
        <w:t>(</w:t>
      </w:r>
      <w:r w:rsidR="00D8238F" w:rsidRPr="00D4590F">
        <w:rPr>
          <w:rFonts w:asciiTheme="minorHAnsi" w:hAnsiTheme="minorHAnsi"/>
          <w:b w:val="0"/>
          <w:i w:val="0"/>
          <w:color w:val="000000" w:themeColor="text1"/>
          <w:sz w:val="20"/>
          <w:szCs w:val="20"/>
        </w:rPr>
        <w:t>NYHA</w:t>
      </w:r>
      <w:r w:rsidR="00A0058A">
        <w:rPr>
          <w:rFonts w:asciiTheme="minorHAnsi" w:hAnsiTheme="minorHAnsi"/>
          <w:b w:val="0"/>
          <w:i w:val="0"/>
          <w:color w:val="000000" w:themeColor="text1"/>
          <w:sz w:val="20"/>
          <w:szCs w:val="20"/>
        </w:rPr>
        <w:t>)</w:t>
      </w:r>
      <w:r w:rsidR="00D8238F" w:rsidRPr="00D4590F">
        <w:rPr>
          <w:rFonts w:asciiTheme="minorHAnsi" w:hAnsiTheme="minorHAnsi"/>
          <w:b w:val="0"/>
          <w:i w:val="0"/>
          <w:color w:val="000000" w:themeColor="text1"/>
          <w:sz w:val="20"/>
          <w:szCs w:val="20"/>
        </w:rPr>
        <w:t xml:space="preserve"> </w:t>
      </w:r>
      <w:r w:rsidR="008A798A">
        <w:rPr>
          <w:rFonts w:asciiTheme="minorHAnsi" w:hAnsiTheme="minorHAnsi"/>
          <w:b w:val="0"/>
          <w:i w:val="0"/>
          <w:color w:val="000000" w:themeColor="text1"/>
          <w:sz w:val="20"/>
          <w:szCs w:val="20"/>
        </w:rPr>
        <w:t>class</w:t>
      </w:r>
      <w:r w:rsidR="00C74654" w:rsidRPr="00C74654">
        <w:rPr>
          <w:rFonts w:asciiTheme="minorHAnsi" w:hAnsiTheme="minorHAnsi"/>
          <w:b w:val="0"/>
          <w:i w:val="0"/>
          <w:color w:val="000000" w:themeColor="text1"/>
          <w:sz w:val="20"/>
          <w:szCs w:val="20"/>
          <w:vertAlign w:val="superscript"/>
        </w:rPr>
        <w:t>18</w:t>
      </w:r>
      <w:r w:rsidR="008A798A">
        <w:rPr>
          <w:rFonts w:asciiTheme="minorHAnsi" w:hAnsiTheme="minorHAnsi"/>
          <w:b w:val="0"/>
          <w:i w:val="0"/>
          <w:color w:val="000000" w:themeColor="text1"/>
          <w:sz w:val="20"/>
          <w:szCs w:val="20"/>
        </w:rPr>
        <w:t xml:space="preserve"> was determined by site staff during the baseline clinical assessment</w:t>
      </w:r>
      <w:r w:rsidR="00FA38DD">
        <w:rPr>
          <w:rFonts w:asciiTheme="minorHAnsi" w:hAnsiTheme="minorHAnsi"/>
          <w:b w:val="0"/>
          <w:i w:val="0"/>
          <w:color w:val="000000" w:themeColor="text1"/>
          <w:sz w:val="20"/>
          <w:szCs w:val="20"/>
        </w:rPr>
        <w:t>. It is a functional classification based on the extent to which the patient is limited by their symptoms (Class I, no limitation of physical activity; Class II,</w:t>
      </w:r>
      <w:r w:rsidR="008A798A">
        <w:rPr>
          <w:rFonts w:asciiTheme="minorHAnsi" w:hAnsiTheme="minorHAnsi"/>
          <w:b w:val="0"/>
          <w:i w:val="0"/>
          <w:color w:val="000000" w:themeColor="text1"/>
          <w:sz w:val="20"/>
          <w:szCs w:val="20"/>
        </w:rPr>
        <w:t xml:space="preserve"> </w:t>
      </w:r>
      <w:r w:rsidR="00FA38DD">
        <w:rPr>
          <w:rFonts w:asciiTheme="minorHAnsi" w:hAnsiTheme="minorHAnsi"/>
          <w:b w:val="0"/>
          <w:i w:val="0"/>
          <w:color w:val="000000" w:themeColor="text1"/>
          <w:sz w:val="20"/>
          <w:szCs w:val="20"/>
        </w:rPr>
        <w:t xml:space="preserve">slight limitation of ordinary physical activity; Class III, marked limitation of ordinary physical activity; Class IV, symptoms at rest or </w:t>
      </w:r>
      <w:r w:rsidR="00D55AE8">
        <w:rPr>
          <w:rFonts w:asciiTheme="minorHAnsi" w:hAnsiTheme="minorHAnsi"/>
          <w:b w:val="0"/>
          <w:i w:val="0"/>
          <w:color w:val="000000" w:themeColor="text1"/>
          <w:sz w:val="20"/>
          <w:szCs w:val="20"/>
        </w:rPr>
        <w:t xml:space="preserve">with </w:t>
      </w:r>
      <w:r w:rsidR="00FA38DD">
        <w:rPr>
          <w:rFonts w:asciiTheme="minorHAnsi" w:hAnsiTheme="minorHAnsi"/>
          <w:b w:val="0"/>
          <w:i w:val="0"/>
          <w:color w:val="000000" w:themeColor="text1"/>
          <w:sz w:val="20"/>
          <w:szCs w:val="20"/>
        </w:rPr>
        <w:t>minimal activity).</w:t>
      </w:r>
      <w:r w:rsidR="00B24111">
        <w:rPr>
          <w:rFonts w:asciiTheme="minorHAnsi" w:hAnsiTheme="minorHAnsi"/>
          <w:b w:val="0"/>
          <w:i w:val="0"/>
          <w:color w:val="000000" w:themeColor="text1"/>
          <w:sz w:val="20"/>
          <w:szCs w:val="20"/>
        </w:rPr>
        <w:t xml:space="preserve"> </w:t>
      </w:r>
    </w:p>
    <w:p w14:paraId="5238243F" w14:textId="3FF485E4" w:rsidR="00E037E5" w:rsidRPr="002B4B1E" w:rsidRDefault="00E037E5" w:rsidP="002B4B1E">
      <w:pPr>
        <w:spacing w:after="0" w:line="240" w:lineRule="auto"/>
        <w:ind w:left="142" w:hanging="142"/>
        <w:rPr>
          <w:sz w:val="20"/>
          <w:szCs w:val="20"/>
        </w:rPr>
      </w:pPr>
      <w:r>
        <w:rPr>
          <w:vertAlign w:val="superscript"/>
        </w:rPr>
        <w:t>f</w:t>
      </w:r>
      <w:r w:rsidR="00F96B92">
        <w:t xml:space="preserve"> </w:t>
      </w:r>
      <w:r w:rsidR="00F96B92" w:rsidRPr="002B4B1E">
        <w:rPr>
          <w:sz w:val="20"/>
          <w:szCs w:val="20"/>
        </w:rPr>
        <w:t xml:space="preserve">The </w:t>
      </w:r>
      <w:r w:rsidR="00A0058A" w:rsidRPr="00A0058A">
        <w:rPr>
          <w:sz w:val="20"/>
          <w:szCs w:val="20"/>
        </w:rPr>
        <w:t>Canadian Study of Health and Aging Clinical Frailty Scale</w:t>
      </w:r>
      <w:r w:rsidR="00A0058A">
        <w:rPr>
          <w:sz w:val="20"/>
          <w:szCs w:val="20"/>
        </w:rPr>
        <w:t xml:space="preserve"> (</w:t>
      </w:r>
      <w:r w:rsidR="00F96B92" w:rsidRPr="002B4B1E">
        <w:rPr>
          <w:sz w:val="20"/>
          <w:szCs w:val="20"/>
        </w:rPr>
        <w:t>CSHA</w:t>
      </w:r>
      <w:r w:rsidR="00F96B92">
        <w:rPr>
          <w:sz w:val="20"/>
          <w:szCs w:val="20"/>
        </w:rPr>
        <w:t xml:space="preserve"> CFS</w:t>
      </w:r>
      <w:r w:rsidR="00A0058A">
        <w:rPr>
          <w:sz w:val="20"/>
          <w:szCs w:val="20"/>
        </w:rPr>
        <w:t>)</w:t>
      </w:r>
      <w:r w:rsidR="00F96B92">
        <w:rPr>
          <w:sz w:val="20"/>
          <w:szCs w:val="20"/>
        </w:rPr>
        <w:t xml:space="preserve"> </w:t>
      </w:r>
      <w:r w:rsidR="00267173" w:rsidRPr="00267173">
        <w:rPr>
          <w:sz w:val="20"/>
          <w:szCs w:val="20"/>
        </w:rPr>
        <w:t xml:space="preserve">evaluates </w:t>
      </w:r>
      <w:r w:rsidR="00F01CFD">
        <w:rPr>
          <w:sz w:val="20"/>
          <w:szCs w:val="20"/>
        </w:rPr>
        <w:t>function</w:t>
      </w:r>
      <w:r w:rsidR="00267173">
        <w:rPr>
          <w:sz w:val="20"/>
          <w:szCs w:val="20"/>
        </w:rPr>
        <w:t xml:space="preserve"> </w:t>
      </w:r>
      <w:r w:rsidR="00267173" w:rsidRPr="00267173">
        <w:rPr>
          <w:sz w:val="20"/>
          <w:szCs w:val="20"/>
        </w:rPr>
        <w:t>to generate a frailty score</w:t>
      </w:r>
      <w:r w:rsidR="00267173">
        <w:rPr>
          <w:sz w:val="20"/>
          <w:szCs w:val="20"/>
        </w:rPr>
        <w:t xml:space="preserve">, </w:t>
      </w:r>
      <w:r w:rsidR="00F96B92">
        <w:rPr>
          <w:sz w:val="20"/>
          <w:szCs w:val="20"/>
        </w:rPr>
        <w:t xml:space="preserve">determined by the interviewer during clinical assessment. Scores range from 1 </w:t>
      </w:r>
      <w:r w:rsidR="00267173">
        <w:rPr>
          <w:sz w:val="20"/>
          <w:szCs w:val="20"/>
        </w:rPr>
        <w:t xml:space="preserve">(very fit) </w:t>
      </w:r>
      <w:r w:rsidR="00F96B92">
        <w:rPr>
          <w:sz w:val="20"/>
          <w:szCs w:val="20"/>
        </w:rPr>
        <w:t xml:space="preserve">to 7 </w:t>
      </w:r>
      <w:r w:rsidR="00267173">
        <w:rPr>
          <w:sz w:val="20"/>
          <w:szCs w:val="20"/>
        </w:rPr>
        <w:t xml:space="preserve">(severely frail), </w:t>
      </w:r>
      <w:r w:rsidR="00F96B92">
        <w:rPr>
          <w:sz w:val="20"/>
          <w:szCs w:val="20"/>
        </w:rPr>
        <w:t>with a higher score indicating greater frailty</w:t>
      </w:r>
      <w:r w:rsidR="00267173">
        <w:rPr>
          <w:sz w:val="20"/>
          <w:szCs w:val="20"/>
        </w:rPr>
        <w:t xml:space="preserve"> and an increased risk of death and other adverse outcomes</w:t>
      </w:r>
      <w:r w:rsidR="00F96B92">
        <w:rPr>
          <w:sz w:val="20"/>
          <w:szCs w:val="20"/>
        </w:rPr>
        <w:t>.</w:t>
      </w:r>
      <w:r w:rsidR="00B24111" w:rsidRPr="002B4B1E">
        <w:rPr>
          <w:sz w:val="20"/>
          <w:szCs w:val="20"/>
          <w:vertAlign w:val="superscript"/>
        </w:rPr>
        <w:t>14</w:t>
      </w:r>
      <w:r w:rsidR="00F96B92">
        <w:rPr>
          <w:sz w:val="20"/>
          <w:szCs w:val="20"/>
        </w:rPr>
        <w:t xml:space="preserve"> </w:t>
      </w:r>
    </w:p>
    <w:p w14:paraId="4ED365EB" w14:textId="77777777" w:rsidR="00E037E5" w:rsidRDefault="00E037E5" w:rsidP="002B4B1E">
      <w:pPr>
        <w:spacing w:after="0" w:line="240" w:lineRule="auto"/>
        <w:ind w:left="142" w:hanging="142"/>
      </w:pPr>
      <w:r>
        <w:rPr>
          <w:vertAlign w:val="superscript"/>
        </w:rPr>
        <w:t>g</w:t>
      </w:r>
      <w:r w:rsidR="004E7A66">
        <w:t xml:space="preserve"> </w:t>
      </w:r>
      <w:r w:rsidR="004E7A66" w:rsidRPr="002B4B1E">
        <w:rPr>
          <w:sz w:val="20"/>
          <w:szCs w:val="20"/>
        </w:rPr>
        <w:t>The Fried classification identifies a frailty phenotype based on five criteria: unintentional weight loss, self-reported exhaustion, weakness (</w:t>
      </w:r>
      <w:r w:rsidR="004E7A66">
        <w:rPr>
          <w:sz w:val="20"/>
          <w:szCs w:val="20"/>
        </w:rPr>
        <w:t xml:space="preserve">based on </w:t>
      </w:r>
      <w:r w:rsidR="004E7A66" w:rsidRPr="002B4B1E">
        <w:rPr>
          <w:sz w:val="20"/>
          <w:szCs w:val="20"/>
        </w:rPr>
        <w:t>grip strength), slow walking speed and low physical activity level.</w:t>
      </w:r>
      <w:r w:rsidR="00F01CFD">
        <w:rPr>
          <w:sz w:val="20"/>
          <w:szCs w:val="20"/>
        </w:rPr>
        <w:t xml:space="preserve"> </w:t>
      </w:r>
      <w:r w:rsidR="004E7A66">
        <w:rPr>
          <w:sz w:val="20"/>
          <w:szCs w:val="20"/>
        </w:rPr>
        <w:t xml:space="preserve">Patients are classified as non-frail (no frailty criteria), pre-frail (one or two criteria) or frail (three or more criteria). </w:t>
      </w:r>
      <w:r w:rsidR="00B24111" w:rsidRPr="00B24111">
        <w:rPr>
          <w:sz w:val="20"/>
          <w:szCs w:val="20"/>
        </w:rPr>
        <w:t>The frailty phenotype is independently predictive of incident falls, worsening mobility or disability, hospitalizat</w:t>
      </w:r>
      <w:r w:rsidR="00B24111">
        <w:rPr>
          <w:sz w:val="20"/>
          <w:szCs w:val="20"/>
        </w:rPr>
        <w:t>ion, and death.</w:t>
      </w:r>
      <w:r w:rsidR="00F01CFD" w:rsidRPr="004B3823">
        <w:rPr>
          <w:sz w:val="20"/>
          <w:szCs w:val="20"/>
          <w:vertAlign w:val="superscript"/>
        </w:rPr>
        <w:t>13</w:t>
      </w:r>
    </w:p>
    <w:p w14:paraId="1EF9CAD4" w14:textId="77777777" w:rsidR="00E037E5" w:rsidRPr="002B4B1E" w:rsidRDefault="00E037E5" w:rsidP="002B4B1E">
      <w:pPr>
        <w:spacing w:after="0" w:line="240" w:lineRule="auto"/>
        <w:ind w:left="142" w:hanging="142"/>
        <w:rPr>
          <w:b/>
          <w:i/>
        </w:rPr>
      </w:pPr>
      <w:r>
        <w:rPr>
          <w:vertAlign w:val="superscript"/>
        </w:rPr>
        <w:t>h</w:t>
      </w:r>
      <w:r w:rsidR="00FA38DD">
        <w:t xml:space="preserve"> </w:t>
      </w:r>
      <w:r w:rsidR="00B24111">
        <w:t>“</w:t>
      </w:r>
      <w:r w:rsidR="00FA38DD" w:rsidRPr="002B4B1E">
        <w:rPr>
          <w:sz w:val="20"/>
          <w:szCs w:val="20"/>
        </w:rPr>
        <w:t>Coronary artery disease</w:t>
      </w:r>
      <w:r w:rsidR="00B24111">
        <w:rPr>
          <w:sz w:val="20"/>
          <w:szCs w:val="20"/>
        </w:rPr>
        <w:t>”</w:t>
      </w:r>
      <w:r w:rsidR="00FA38DD" w:rsidRPr="002B4B1E">
        <w:rPr>
          <w:sz w:val="20"/>
          <w:szCs w:val="20"/>
        </w:rPr>
        <w:t xml:space="preserve"> </w:t>
      </w:r>
      <w:r w:rsidR="00B24111">
        <w:rPr>
          <w:sz w:val="20"/>
          <w:szCs w:val="20"/>
        </w:rPr>
        <w:t>denotes</w:t>
      </w:r>
      <w:r w:rsidR="00FA38DD" w:rsidRPr="002B4B1E">
        <w:rPr>
          <w:sz w:val="20"/>
          <w:szCs w:val="20"/>
        </w:rPr>
        <w:t xml:space="preserve"> </w:t>
      </w:r>
      <w:r w:rsidR="00FA38DD">
        <w:rPr>
          <w:sz w:val="20"/>
          <w:szCs w:val="20"/>
        </w:rPr>
        <w:t>the presence of great</w:t>
      </w:r>
      <w:r w:rsidR="00990C32">
        <w:rPr>
          <w:sz w:val="20"/>
          <w:szCs w:val="20"/>
        </w:rPr>
        <w:t>er than 50% diameter stenosis in</w:t>
      </w:r>
      <w:r w:rsidR="00FA38DD">
        <w:rPr>
          <w:sz w:val="20"/>
          <w:szCs w:val="20"/>
        </w:rPr>
        <w:t xml:space="preserve"> one or more coronary arteries on angiography.</w:t>
      </w:r>
    </w:p>
    <w:p w14:paraId="6FE6F46A" w14:textId="22DE221C" w:rsidR="00556A70" w:rsidRDefault="00E037E5" w:rsidP="002B4B1E">
      <w:pPr>
        <w:pStyle w:val="Heading4"/>
        <w:spacing w:before="0" w:line="240" w:lineRule="auto"/>
        <w:ind w:left="113" w:hanging="113"/>
        <w:jc w:val="both"/>
        <w:rPr>
          <w:rFonts w:asciiTheme="minorHAnsi" w:hAnsiTheme="minorHAnsi"/>
          <w:b w:val="0"/>
          <w:i w:val="0"/>
          <w:color w:val="000000" w:themeColor="text1"/>
          <w:sz w:val="20"/>
          <w:szCs w:val="20"/>
        </w:rPr>
      </w:pPr>
      <w:r>
        <w:rPr>
          <w:rFonts w:asciiTheme="minorHAnsi" w:hAnsiTheme="minorHAnsi"/>
          <w:b w:val="0"/>
          <w:i w:val="0"/>
          <w:color w:val="000000" w:themeColor="text1"/>
          <w:sz w:val="20"/>
          <w:szCs w:val="20"/>
          <w:vertAlign w:val="superscript"/>
        </w:rPr>
        <w:t>i</w:t>
      </w:r>
      <w:r w:rsidR="00F76675" w:rsidRPr="002B4B1E">
        <w:rPr>
          <w:rFonts w:asciiTheme="minorHAnsi" w:hAnsiTheme="minorHAnsi"/>
          <w:b w:val="0"/>
          <w:i w:val="0"/>
          <w:color w:val="000000" w:themeColor="text1"/>
          <w:sz w:val="20"/>
          <w:szCs w:val="20"/>
        </w:rPr>
        <w:t xml:space="preserve"> </w:t>
      </w:r>
      <w:r w:rsidR="00D8238F" w:rsidRPr="00D4590F">
        <w:rPr>
          <w:rFonts w:asciiTheme="minorHAnsi" w:hAnsiTheme="minorHAnsi"/>
          <w:b w:val="0"/>
          <w:i w:val="0"/>
          <w:color w:val="000000" w:themeColor="text1"/>
          <w:sz w:val="20"/>
          <w:szCs w:val="20"/>
        </w:rPr>
        <w:t>Echocardiographic parameters in this table are as reported by the site.</w:t>
      </w:r>
      <w:r w:rsidR="003B1F56">
        <w:rPr>
          <w:rFonts w:asciiTheme="minorHAnsi" w:hAnsiTheme="minorHAnsi"/>
          <w:b w:val="0"/>
          <w:i w:val="0"/>
          <w:color w:val="000000" w:themeColor="text1"/>
          <w:sz w:val="20"/>
          <w:szCs w:val="20"/>
        </w:rPr>
        <w:t xml:space="preserve"> </w:t>
      </w:r>
    </w:p>
    <w:p w14:paraId="3ECF4185" w14:textId="77777777" w:rsidR="00556A70" w:rsidRDefault="00556A70">
      <w:pPr>
        <w:rPr>
          <w:rFonts w:eastAsiaTheme="majorEastAsia" w:cstheme="majorBidi"/>
          <w:bCs/>
          <w:iCs/>
          <w:color w:val="000000" w:themeColor="text1"/>
          <w:sz w:val="20"/>
          <w:szCs w:val="20"/>
        </w:rPr>
      </w:pPr>
      <w:r>
        <w:rPr>
          <w:b/>
          <w:i/>
          <w:color w:val="000000" w:themeColor="text1"/>
          <w:sz w:val="20"/>
          <w:szCs w:val="20"/>
        </w:rPr>
        <w:br w:type="page"/>
      </w:r>
    </w:p>
    <w:p w14:paraId="6A0541AA" w14:textId="60DADF90" w:rsidR="00556A70" w:rsidRDefault="00556A70" w:rsidP="00556A70">
      <w:pPr>
        <w:pStyle w:val="Heading2"/>
      </w:pPr>
      <w:r>
        <w:t xml:space="preserve">Table 2. Noninferiority Analysis of Death From Any Cause at One Year </w:t>
      </w:r>
      <w:r>
        <w:tab/>
      </w:r>
      <w:r>
        <w:tab/>
        <w:t xml:space="preserve">     (Primary Endpoint)</w:t>
      </w:r>
    </w:p>
    <w:p w14:paraId="31D8773D" w14:textId="51F0149A" w:rsidR="000B762E" w:rsidRDefault="000B762E" w:rsidP="00BD4515">
      <w:pPr>
        <w:spacing w:after="0"/>
      </w:pPr>
    </w:p>
    <w:p w14:paraId="02532CB1" w14:textId="77777777" w:rsidR="00A943D1" w:rsidRDefault="00A943D1" w:rsidP="00BD4515">
      <w:pPr>
        <w:spacing w:after="0"/>
      </w:pPr>
    </w:p>
    <w:tbl>
      <w:tblPr>
        <w:tblStyle w:val="TableGrid1"/>
        <w:tblW w:w="9351" w:type="dxa"/>
        <w:tblLook w:val="04A0" w:firstRow="1" w:lastRow="0" w:firstColumn="1" w:lastColumn="0" w:noHBand="0" w:noVBand="1"/>
      </w:tblPr>
      <w:tblGrid>
        <w:gridCol w:w="2972"/>
        <w:gridCol w:w="1488"/>
        <w:gridCol w:w="1489"/>
        <w:gridCol w:w="1701"/>
        <w:gridCol w:w="1701"/>
      </w:tblGrid>
      <w:tr w:rsidR="00A943D1" w:rsidRPr="002F1857" w14:paraId="1800F7E7" w14:textId="77777777" w:rsidTr="00884EBD">
        <w:trPr>
          <w:trHeight w:val="454"/>
        </w:trPr>
        <w:tc>
          <w:tcPr>
            <w:tcW w:w="2972" w:type="dxa"/>
            <w:vMerge w:val="restart"/>
            <w:vAlign w:val="center"/>
          </w:tcPr>
          <w:p w14:paraId="292A98D4" w14:textId="77777777" w:rsidR="00A943D1" w:rsidRPr="002F1857" w:rsidRDefault="00A943D1" w:rsidP="00D602BC">
            <w:pPr>
              <w:spacing w:line="276" w:lineRule="auto"/>
              <w:jc w:val="center"/>
              <w:rPr>
                <w:rFonts w:ascii="Calibri" w:eastAsia="Calibri" w:hAnsi="Calibri" w:cs="Times New Roman"/>
                <w:b/>
              </w:rPr>
            </w:pPr>
            <w:r w:rsidRPr="002F1857">
              <w:rPr>
                <w:rFonts w:ascii="Calibri" w:eastAsia="Calibri" w:hAnsi="Calibri" w:cs="Times New Roman"/>
                <w:b/>
              </w:rPr>
              <w:t>Analysis Population</w:t>
            </w:r>
          </w:p>
        </w:tc>
        <w:tc>
          <w:tcPr>
            <w:tcW w:w="1488" w:type="dxa"/>
            <w:vMerge w:val="restart"/>
            <w:vAlign w:val="center"/>
          </w:tcPr>
          <w:p w14:paraId="0E17E8C2" w14:textId="77777777" w:rsidR="00EF62F0" w:rsidRDefault="00A943D1" w:rsidP="00D602BC">
            <w:pPr>
              <w:spacing w:line="276" w:lineRule="auto"/>
              <w:jc w:val="center"/>
              <w:rPr>
                <w:rFonts w:ascii="Calibri" w:eastAsia="Calibri" w:hAnsi="Calibri" w:cs="Times New Roman"/>
                <w:b/>
              </w:rPr>
            </w:pPr>
            <w:r>
              <w:rPr>
                <w:rFonts w:ascii="Calibri" w:eastAsia="Calibri" w:hAnsi="Calibri" w:cs="Times New Roman"/>
                <w:b/>
              </w:rPr>
              <w:t>TAVI</w:t>
            </w:r>
          </w:p>
          <w:p w14:paraId="6235C099" w14:textId="09A7BF40" w:rsidR="00A943D1" w:rsidRPr="002F1857" w:rsidRDefault="00EF62F0" w:rsidP="00087D69">
            <w:pPr>
              <w:spacing w:line="276" w:lineRule="auto"/>
              <w:jc w:val="center"/>
              <w:rPr>
                <w:rFonts w:ascii="Calibri" w:eastAsia="Calibri" w:hAnsi="Calibri" w:cs="Times New Roman"/>
                <w:b/>
              </w:rPr>
            </w:pPr>
            <w:r>
              <w:rPr>
                <w:rFonts w:ascii="Calibri" w:eastAsia="Calibri" w:hAnsi="Calibri" w:cs="Times New Roman"/>
                <w:b/>
              </w:rPr>
              <w:t>No.</w:t>
            </w:r>
            <w:r w:rsidR="00884EBD">
              <w:rPr>
                <w:rFonts w:ascii="Calibri" w:eastAsia="Calibri" w:hAnsi="Calibri" w:cs="Times New Roman"/>
                <w:b/>
              </w:rPr>
              <w:t>/total</w:t>
            </w:r>
            <w:r>
              <w:rPr>
                <w:rFonts w:ascii="Calibri" w:eastAsia="Calibri" w:hAnsi="Calibri" w:cs="Times New Roman"/>
                <w:b/>
              </w:rPr>
              <w:t xml:space="preserve"> (%)</w:t>
            </w:r>
            <w:r w:rsidR="00087D69" w:rsidRPr="00087D69">
              <w:rPr>
                <w:rFonts w:ascii="Calibri" w:eastAsia="Calibri" w:hAnsi="Calibri" w:cs="Times New Roman"/>
                <w:b/>
                <w:vertAlign w:val="superscript"/>
              </w:rPr>
              <w:t>a</w:t>
            </w:r>
          </w:p>
        </w:tc>
        <w:tc>
          <w:tcPr>
            <w:tcW w:w="1489" w:type="dxa"/>
            <w:vMerge w:val="restart"/>
            <w:vAlign w:val="center"/>
          </w:tcPr>
          <w:p w14:paraId="76006560" w14:textId="77777777" w:rsidR="00087D69" w:rsidRDefault="00A943D1" w:rsidP="00D602BC">
            <w:pPr>
              <w:spacing w:line="276" w:lineRule="auto"/>
              <w:jc w:val="center"/>
              <w:rPr>
                <w:rFonts w:ascii="Calibri" w:eastAsia="Calibri" w:hAnsi="Calibri" w:cs="Times New Roman"/>
                <w:b/>
              </w:rPr>
            </w:pPr>
            <w:r>
              <w:rPr>
                <w:rFonts w:ascii="Calibri" w:eastAsia="Calibri" w:hAnsi="Calibri" w:cs="Times New Roman"/>
                <w:b/>
              </w:rPr>
              <w:t>Surgery</w:t>
            </w:r>
          </w:p>
          <w:p w14:paraId="432AA7A4" w14:textId="0408AD53" w:rsidR="00A943D1" w:rsidRPr="002F1857" w:rsidRDefault="00087D69" w:rsidP="00D602BC">
            <w:pPr>
              <w:spacing w:line="276" w:lineRule="auto"/>
              <w:jc w:val="center"/>
              <w:rPr>
                <w:rFonts w:ascii="Calibri" w:eastAsia="Calibri" w:hAnsi="Calibri" w:cs="Times New Roman"/>
                <w:b/>
              </w:rPr>
            </w:pPr>
            <w:r>
              <w:rPr>
                <w:rFonts w:ascii="Calibri" w:eastAsia="Calibri" w:hAnsi="Calibri" w:cs="Times New Roman"/>
                <w:b/>
              </w:rPr>
              <w:t>No./total (%)</w:t>
            </w:r>
            <w:r w:rsidR="008674C4" w:rsidRPr="008674C4">
              <w:rPr>
                <w:rFonts w:ascii="Calibri" w:eastAsia="Calibri" w:hAnsi="Calibri" w:cs="Times New Roman"/>
                <w:b/>
                <w:vertAlign w:val="superscript"/>
              </w:rPr>
              <w:t>a</w:t>
            </w:r>
          </w:p>
        </w:tc>
        <w:tc>
          <w:tcPr>
            <w:tcW w:w="3402" w:type="dxa"/>
            <w:gridSpan w:val="2"/>
            <w:vAlign w:val="center"/>
          </w:tcPr>
          <w:p w14:paraId="566E144C" w14:textId="77777777" w:rsidR="00A943D1" w:rsidRDefault="00A943D1" w:rsidP="00D602BC">
            <w:pPr>
              <w:spacing w:line="276" w:lineRule="auto"/>
              <w:jc w:val="center"/>
              <w:rPr>
                <w:rFonts w:ascii="Calibri" w:eastAsia="Calibri" w:hAnsi="Calibri" w:cs="Times New Roman"/>
                <w:b/>
              </w:rPr>
            </w:pPr>
            <w:r w:rsidRPr="002F1857">
              <w:rPr>
                <w:rFonts w:ascii="Calibri" w:eastAsia="Calibri" w:hAnsi="Calibri" w:cs="Times New Roman"/>
                <w:b/>
              </w:rPr>
              <w:t>Absolute Risk Difference in Death</w:t>
            </w:r>
          </w:p>
          <w:p w14:paraId="580D79A8" w14:textId="77777777" w:rsidR="00A943D1" w:rsidRPr="002F1857" w:rsidRDefault="00A943D1" w:rsidP="00D602BC">
            <w:pPr>
              <w:spacing w:line="276" w:lineRule="auto"/>
              <w:jc w:val="center"/>
              <w:rPr>
                <w:rFonts w:ascii="Calibri" w:eastAsia="Calibri" w:hAnsi="Calibri" w:cs="Times New Roman"/>
                <w:b/>
              </w:rPr>
            </w:pPr>
            <w:r w:rsidRPr="002F1857">
              <w:rPr>
                <w:rFonts w:ascii="Calibri" w:eastAsia="Calibri" w:hAnsi="Calibri" w:cs="Times New Roman"/>
                <w:b/>
              </w:rPr>
              <w:t>From Any Cause at One Year</w:t>
            </w:r>
          </w:p>
        </w:tc>
      </w:tr>
      <w:tr w:rsidR="00A943D1" w:rsidRPr="002F1857" w14:paraId="6425C893" w14:textId="77777777" w:rsidTr="00884EBD">
        <w:trPr>
          <w:trHeight w:val="454"/>
        </w:trPr>
        <w:tc>
          <w:tcPr>
            <w:tcW w:w="2972" w:type="dxa"/>
            <w:vMerge/>
          </w:tcPr>
          <w:p w14:paraId="78331289" w14:textId="77777777" w:rsidR="00A943D1" w:rsidRPr="002F1857" w:rsidRDefault="00A943D1" w:rsidP="00D602BC">
            <w:pPr>
              <w:spacing w:after="200" w:line="276" w:lineRule="auto"/>
              <w:rPr>
                <w:rFonts w:ascii="Calibri" w:eastAsia="Calibri" w:hAnsi="Calibri" w:cs="Times New Roman"/>
                <w:b/>
              </w:rPr>
            </w:pPr>
          </w:p>
        </w:tc>
        <w:tc>
          <w:tcPr>
            <w:tcW w:w="1488" w:type="dxa"/>
            <w:vMerge/>
            <w:vAlign w:val="center"/>
          </w:tcPr>
          <w:p w14:paraId="5A5B05C2" w14:textId="77777777" w:rsidR="00A943D1" w:rsidRPr="002F1857" w:rsidRDefault="00A943D1" w:rsidP="00D602BC">
            <w:pPr>
              <w:spacing w:after="200" w:line="276" w:lineRule="auto"/>
              <w:jc w:val="center"/>
              <w:rPr>
                <w:rFonts w:ascii="Calibri" w:eastAsia="Calibri" w:hAnsi="Calibri" w:cs="Times New Roman"/>
                <w:b/>
              </w:rPr>
            </w:pPr>
          </w:p>
        </w:tc>
        <w:tc>
          <w:tcPr>
            <w:tcW w:w="1489" w:type="dxa"/>
            <w:vMerge/>
            <w:vAlign w:val="center"/>
          </w:tcPr>
          <w:p w14:paraId="70F8C435" w14:textId="77777777" w:rsidR="00A943D1" w:rsidRPr="002F1857" w:rsidRDefault="00A943D1" w:rsidP="00D602BC">
            <w:pPr>
              <w:spacing w:after="200" w:line="276" w:lineRule="auto"/>
              <w:jc w:val="center"/>
              <w:rPr>
                <w:rFonts w:ascii="Calibri" w:eastAsia="Calibri" w:hAnsi="Calibri" w:cs="Times New Roman"/>
                <w:b/>
              </w:rPr>
            </w:pPr>
          </w:p>
        </w:tc>
        <w:tc>
          <w:tcPr>
            <w:tcW w:w="1701" w:type="dxa"/>
            <w:vAlign w:val="center"/>
          </w:tcPr>
          <w:p w14:paraId="128C1234" w14:textId="77777777" w:rsidR="00A943D1" w:rsidRPr="002F1857" w:rsidRDefault="00A943D1" w:rsidP="00D602BC">
            <w:pPr>
              <w:spacing w:line="276" w:lineRule="auto"/>
              <w:jc w:val="center"/>
              <w:rPr>
                <w:rFonts w:ascii="Calibri" w:eastAsia="Calibri" w:hAnsi="Calibri" w:cs="Times New Roman"/>
                <w:b/>
              </w:rPr>
            </w:pPr>
            <w:r w:rsidRPr="002F1857">
              <w:rPr>
                <w:rFonts w:ascii="Calibri" w:eastAsia="Calibri" w:hAnsi="Calibri" w:cs="Times New Roman"/>
                <w:b/>
              </w:rPr>
              <w:t>Unadjusted (97.5% CI)</w:t>
            </w:r>
          </w:p>
        </w:tc>
        <w:tc>
          <w:tcPr>
            <w:tcW w:w="1701" w:type="dxa"/>
            <w:vAlign w:val="center"/>
          </w:tcPr>
          <w:p w14:paraId="22A30C91" w14:textId="77777777" w:rsidR="00A943D1" w:rsidRPr="002F1857" w:rsidRDefault="00A943D1" w:rsidP="00D602BC">
            <w:pPr>
              <w:spacing w:line="276" w:lineRule="auto"/>
              <w:jc w:val="center"/>
              <w:rPr>
                <w:rFonts w:ascii="Calibri" w:eastAsia="Calibri" w:hAnsi="Calibri" w:cs="Times New Roman"/>
                <w:b/>
              </w:rPr>
            </w:pPr>
            <w:r w:rsidRPr="002F1857">
              <w:rPr>
                <w:rFonts w:ascii="Calibri" w:eastAsia="Calibri" w:hAnsi="Calibri" w:cs="Times New Roman"/>
                <w:b/>
              </w:rPr>
              <w:t>Adjusted (97.5% CI)</w:t>
            </w:r>
          </w:p>
        </w:tc>
      </w:tr>
      <w:tr w:rsidR="00A943D1" w:rsidRPr="002F1857" w14:paraId="2958728E" w14:textId="77777777" w:rsidTr="00884EBD">
        <w:trPr>
          <w:trHeight w:val="806"/>
        </w:trPr>
        <w:tc>
          <w:tcPr>
            <w:tcW w:w="2972" w:type="dxa"/>
            <w:vAlign w:val="center"/>
          </w:tcPr>
          <w:p w14:paraId="188CAE8F" w14:textId="2F03D46F" w:rsidR="00A943D1" w:rsidRPr="002F1857" w:rsidRDefault="00A943D1" w:rsidP="00D602BC">
            <w:pPr>
              <w:spacing w:line="276" w:lineRule="auto"/>
              <w:rPr>
                <w:rFonts w:ascii="Calibri" w:eastAsia="Calibri" w:hAnsi="Calibri" w:cs="Times New Roman"/>
              </w:rPr>
            </w:pPr>
            <w:r w:rsidRPr="002F1857">
              <w:rPr>
                <w:rFonts w:ascii="Calibri" w:eastAsia="Calibri" w:hAnsi="Calibri" w:cs="Times New Roman"/>
              </w:rPr>
              <w:t>Primary analysis of population based on randomly assigned group</w:t>
            </w:r>
            <w:r w:rsidR="00087D69" w:rsidRPr="00087D69">
              <w:rPr>
                <w:rFonts w:ascii="Calibri" w:eastAsia="Calibri" w:hAnsi="Calibri" w:cs="Times New Roman"/>
                <w:vertAlign w:val="superscript"/>
              </w:rPr>
              <w:t>b</w:t>
            </w:r>
          </w:p>
        </w:tc>
        <w:tc>
          <w:tcPr>
            <w:tcW w:w="1488" w:type="dxa"/>
            <w:vAlign w:val="center"/>
          </w:tcPr>
          <w:p w14:paraId="681160CA" w14:textId="5A7BD607" w:rsidR="00A943D1" w:rsidRPr="002F1857" w:rsidRDefault="00A943D1" w:rsidP="00EF62F0">
            <w:pPr>
              <w:spacing w:line="276" w:lineRule="auto"/>
              <w:jc w:val="center"/>
              <w:rPr>
                <w:rFonts w:ascii="Calibri" w:eastAsia="Calibri" w:hAnsi="Calibri" w:cs="Times New Roman"/>
              </w:rPr>
            </w:pPr>
            <w:r>
              <w:rPr>
                <w:rFonts w:ascii="Calibri" w:eastAsia="Calibri" w:hAnsi="Calibri" w:cs="Times New Roman"/>
              </w:rPr>
              <w:t>21/458 (4.6)</w:t>
            </w:r>
          </w:p>
        </w:tc>
        <w:tc>
          <w:tcPr>
            <w:tcW w:w="1489" w:type="dxa"/>
            <w:vAlign w:val="center"/>
          </w:tcPr>
          <w:p w14:paraId="7DBB121A" w14:textId="64E03416" w:rsidR="00A943D1" w:rsidRPr="002F1857" w:rsidRDefault="00A943D1" w:rsidP="00EF62F0">
            <w:pPr>
              <w:spacing w:line="276" w:lineRule="auto"/>
              <w:jc w:val="center"/>
              <w:rPr>
                <w:rFonts w:ascii="Calibri" w:eastAsia="Calibri" w:hAnsi="Calibri" w:cs="Times New Roman"/>
              </w:rPr>
            </w:pPr>
            <w:r>
              <w:rPr>
                <w:rFonts w:ascii="Calibri" w:eastAsia="Calibri" w:hAnsi="Calibri" w:cs="Times New Roman"/>
              </w:rPr>
              <w:t>30/454 (6.6)</w:t>
            </w:r>
          </w:p>
        </w:tc>
        <w:tc>
          <w:tcPr>
            <w:tcW w:w="1701" w:type="dxa"/>
            <w:vAlign w:val="center"/>
          </w:tcPr>
          <w:p w14:paraId="0CB25ECB" w14:textId="77777777" w:rsidR="00A943D1" w:rsidRPr="002F1857" w:rsidRDefault="00A943D1" w:rsidP="00D602BC">
            <w:pPr>
              <w:spacing w:line="276" w:lineRule="auto"/>
              <w:jc w:val="center"/>
              <w:rPr>
                <w:rFonts w:ascii="Calibri" w:eastAsia="Calibri" w:hAnsi="Calibri" w:cs="Times New Roman"/>
              </w:rPr>
            </w:pPr>
            <w:r w:rsidRPr="002F1857">
              <w:rPr>
                <w:rFonts w:ascii="Calibri" w:eastAsia="Calibri" w:hAnsi="Calibri" w:cs="Times New Roman"/>
              </w:rPr>
              <w:t>-2.0% (-∞, 1.0%)</w:t>
            </w:r>
          </w:p>
        </w:tc>
        <w:tc>
          <w:tcPr>
            <w:tcW w:w="1701" w:type="dxa"/>
            <w:vAlign w:val="center"/>
          </w:tcPr>
          <w:p w14:paraId="31EB423A" w14:textId="77777777" w:rsidR="00A943D1" w:rsidRPr="002F1857" w:rsidRDefault="00A943D1" w:rsidP="00D602BC">
            <w:pPr>
              <w:spacing w:line="276" w:lineRule="auto"/>
              <w:jc w:val="center"/>
              <w:rPr>
                <w:rFonts w:ascii="Calibri" w:eastAsia="Calibri" w:hAnsi="Calibri" w:cs="Times New Roman"/>
              </w:rPr>
            </w:pPr>
            <w:r w:rsidRPr="002F1857">
              <w:rPr>
                <w:rFonts w:ascii="Calibri" w:eastAsia="Calibri" w:hAnsi="Calibri" w:cs="Times New Roman"/>
              </w:rPr>
              <w:t>-2.0% (-∞, 1.2%)</w:t>
            </w:r>
          </w:p>
        </w:tc>
      </w:tr>
      <w:tr w:rsidR="00A943D1" w:rsidRPr="002F1857" w14:paraId="0FA66D29" w14:textId="77777777" w:rsidTr="00884EBD">
        <w:trPr>
          <w:trHeight w:val="806"/>
        </w:trPr>
        <w:tc>
          <w:tcPr>
            <w:tcW w:w="2972" w:type="dxa"/>
            <w:vAlign w:val="center"/>
          </w:tcPr>
          <w:p w14:paraId="412F7000" w14:textId="77777777" w:rsidR="00A943D1" w:rsidRPr="002F1857" w:rsidRDefault="00A943D1" w:rsidP="00D602BC">
            <w:pPr>
              <w:spacing w:line="276" w:lineRule="auto"/>
              <w:rPr>
                <w:rFonts w:ascii="Calibri" w:eastAsia="Calibri" w:hAnsi="Calibri" w:cs="Times New Roman"/>
              </w:rPr>
            </w:pPr>
            <w:r w:rsidRPr="002F1857">
              <w:rPr>
                <w:rFonts w:ascii="Calibri" w:eastAsia="Calibri" w:hAnsi="Calibri" w:cs="Times New Roman"/>
              </w:rPr>
              <w:t>Sensitivity analysis of population based on randomly assigned group with allowance for missing data</w:t>
            </w:r>
          </w:p>
        </w:tc>
        <w:tc>
          <w:tcPr>
            <w:tcW w:w="1488" w:type="dxa"/>
            <w:vAlign w:val="center"/>
          </w:tcPr>
          <w:p w14:paraId="53E8959A" w14:textId="0ECF4D90" w:rsidR="00A943D1" w:rsidRPr="002F1857" w:rsidRDefault="00EF62F0" w:rsidP="00D602BC">
            <w:pPr>
              <w:spacing w:line="276" w:lineRule="auto"/>
              <w:jc w:val="center"/>
              <w:rPr>
                <w:rFonts w:ascii="Calibri" w:eastAsia="Calibri" w:hAnsi="Calibri" w:cs="Times New Roman"/>
              </w:rPr>
            </w:pPr>
            <w:r>
              <w:rPr>
                <w:rFonts w:ascii="Calibri" w:eastAsia="Calibri" w:hAnsi="Calibri" w:cs="Times New Roman"/>
              </w:rPr>
              <w:t>21/458 (4.6</w:t>
            </w:r>
            <w:r w:rsidR="00A943D1">
              <w:rPr>
                <w:rFonts w:ascii="Calibri" w:eastAsia="Calibri" w:hAnsi="Calibri" w:cs="Times New Roman"/>
              </w:rPr>
              <w:t>)</w:t>
            </w:r>
          </w:p>
        </w:tc>
        <w:tc>
          <w:tcPr>
            <w:tcW w:w="1489" w:type="dxa"/>
            <w:vAlign w:val="center"/>
          </w:tcPr>
          <w:p w14:paraId="1CC01A7A" w14:textId="46EC03F1" w:rsidR="00A943D1" w:rsidRPr="002F1857" w:rsidRDefault="00A943D1" w:rsidP="00EF62F0">
            <w:pPr>
              <w:spacing w:line="276" w:lineRule="auto"/>
              <w:jc w:val="center"/>
              <w:rPr>
                <w:rFonts w:ascii="Calibri" w:eastAsia="Calibri" w:hAnsi="Calibri" w:cs="Times New Roman"/>
              </w:rPr>
            </w:pPr>
            <w:r>
              <w:rPr>
                <w:rFonts w:ascii="Calibri" w:eastAsia="Calibri" w:hAnsi="Calibri" w:cs="Times New Roman"/>
              </w:rPr>
              <w:t>30/455 (6.6)</w:t>
            </w:r>
          </w:p>
        </w:tc>
        <w:tc>
          <w:tcPr>
            <w:tcW w:w="1701" w:type="dxa"/>
            <w:vAlign w:val="center"/>
          </w:tcPr>
          <w:p w14:paraId="10C47285" w14:textId="77777777" w:rsidR="00A943D1" w:rsidRPr="002F1857" w:rsidRDefault="00A943D1" w:rsidP="00D602BC">
            <w:pPr>
              <w:spacing w:line="276" w:lineRule="auto"/>
              <w:jc w:val="center"/>
              <w:rPr>
                <w:rFonts w:ascii="Calibri" w:eastAsia="Calibri" w:hAnsi="Calibri" w:cs="Times New Roman"/>
              </w:rPr>
            </w:pPr>
            <w:r w:rsidRPr="002F1857">
              <w:rPr>
                <w:rFonts w:ascii="Calibri" w:eastAsia="Calibri" w:hAnsi="Calibri" w:cs="Times New Roman"/>
              </w:rPr>
              <w:t>-2.0% (-∞, 1.0%)</w:t>
            </w:r>
          </w:p>
        </w:tc>
        <w:tc>
          <w:tcPr>
            <w:tcW w:w="1701" w:type="dxa"/>
            <w:vAlign w:val="center"/>
          </w:tcPr>
          <w:p w14:paraId="5B6A14A2" w14:textId="77777777" w:rsidR="00A943D1" w:rsidRPr="002F1857" w:rsidRDefault="00A943D1" w:rsidP="00D602BC">
            <w:pPr>
              <w:spacing w:line="276" w:lineRule="auto"/>
              <w:jc w:val="center"/>
              <w:rPr>
                <w:rFonts w:ascii="Calibri" w:eastAsia="Calibri" w:hAnsi="Calibri" w:cs="Times New Roman"/>
              </w:rPr>
            </w:pPr>
            <w:r w:rsidRPr="002F1857">
              <w:rPr>
                <w:rFonts w:ascii="Calibri" w:eastAsia="Calibri" w:hAnsi="Calibri" w:cs="Times New Roman"/>
              </w:rPr>
              <w:t>-2.0% (-∞, 1.2%)</w:t>
            </w:r>
          </w:p>
        </w:tc>
      </w:tr>
      <w:tr w:rsidR="00A943D1" w:rsidRPr="002F1857" w14:paraId="1B991F64" w14:textId="77777777" w:rsidTr="00884EBD">
        <w:trPr>
          <w:trHeight w:val="806"/>
        </w:trPr>
        <w:tc>
          <w:tcPr>
            <w:tcW w:w="2972" w:type="dxa"/>
            <w:vAlign w:val="center"/>
          </w:tcPr>
          <w:p w14:paraId="7EB67D5B" w14:textId="77777777" w:rsidR="00A943D1" w:rsidRPr="002F1857" w:rsidRDefault="00A943D1" w:rsidP="00D602BC">
            <w:pPr>
              <w:spacing w:line="276" w:lineRule="auto"/>
              <w:rPr>
                <w:rFonts w:ascii="Calibri" w:eastAsia="Calibri" w:hAnsi="Calibri" w:cs="Times New Roman"/>
              </w:rPr>
            </w:pPr>
            <w:r w:rsidRPr="002F1857">
              <w:rPr>
                <w:rFonts w:ascii="Calibri" w:eastAsia="Calibri" w:hAnsi="Calibri" w:cs="Times New Roman"/>
              </w:rPr>
              <w:t>Per-protocol population</w:t>
            </w:r>
          </w:p>
        </w:tc>
        <w:tc>
          <w:tcPr>
            <w:tcW w:w="1488" w:type="dxa"/>
            <w:vAlign w:val="center"/>
          </w:tcPr>
          <w:p w14:paraId="39F4067E" w14:textId="6EC08B7F" w:rsidR="00A943D1" w:rsidRPr="002F1857" w:rsidRDefault="00A943D1" w:rsidP="00D602BC">
            <w:pPr>
              <w:spacing w:line="276" w:lineRule="auto"/>
              <w:jc w:val="center"/>
              <w:rPr>
                <w:rFonts w:ascii="Calibri" w:eastAsia="Calibri" w:hAnsi="Calibri" w:cs="Times New Roman"/>
              </w:rPr>
            </w:pPr>
            <w:r>
              <w:rPr>
                <w:rFonts w:ascii="Calibri" w:eastAsia="Calibri" w:hAnsi="Calibri" w:cs="Times New Roman"/>
              </w:rPr>
              <w:t>19/450 (</w:t>
            </w:r>
            <w:r w:rsidR="00EF62F0">
              <w:rPr>
                <w:rFonts w:ascii="Calibri" w:eastAsia="Calibri" w:hAnsi="Calibri" w:cs="Times New Roman"/>
              </w:rPr>
              <w:t>4.2</w:t>
            </w:r>
            <w:r>
              <w:rPr>
                <w:rFonts w:ascii="Calibri" w:eastAsia="Calibri" w:hAnsi="Calibri" w:cs="Times New Roman"/>
              </w:rPr>
              <w:t>)</w:t>
            </w:r>
          </w:p>
        </w:tc>
        <w:tc>
          <w:tcPr>
            <w:tcW w:w="1489" w:type="dxa"/>
            <w:vAlign w:val="center"/>
          </w:tcPr>
          <w:p w14:paraId="61A9E21E" w14:textId="4D078DD1" w:rsidR="00A943D1" w:rsidRPr="002F1857" w:rsidRDefault="00EF62F0" w:rsidP="00D602BC">
            <w:pPr>
              <w:spacing w:line="276" w:lineRule="auto"/>
              <w:jc w:val="center"/>
              <w:rPr>
                <w:rFonts w:ascii="Calibri" w:eastAsia="Calibri" w:hAnsi="Calibri" w:cs="Times New Roman"/>
              </w:rPr>
            </w:pPr>
            <w:r>
              <w:rPr>
                <w:rFonts w:ascii="Calibri" w:eastAsia="Calibri" w:hAnsi="Calibri" w:cs="Times New Roman"/>
              </w:rPr>
              <w:t>21/416 (5.0</w:t>
            </w:r>
            <w:r w:rsidR="00A943D1">
              <w:rPr>
                <w:rFonts w:ascii="Calibri" w:eastAsia="Calibri" w:hAnsi="Calibri" w:cs="Times New Roman"/>
              </w:rPr>
              <w:t>)</w:t>
            </w:r>
          </w:p>
        </w:tc>
        <w:tc>
          <w:tcPr>
            <w:tcW w:w="1701" w:type="dxa"/>
            <w:vAlign w:val="center"/>
          </w:tcPr>
          <w:p w14:paraId="4D548AA4" w14:textId="77777777" w:rsidR="00A943D1" w:rsidRPr="002F1857" w:rsidRDefault="00A943D1" w:rsidP="00D602BC">
            <w:pPr>
              <w:spacing w:line="276" w:lineRule="auto"/>
              <w:jc w:val="center"/>
              <w:rPr>
                <w:rFonts w:ascii="Calibri" w:eastAsia="Calibri" w:hAnsi="Calibri" w:cs="Times New Roman"/>
              </w:rPr>
            </w:pPr>
            <w:r w:rsidRPr="002F1857">
              <w:rPr>
                <w:rFonts w:ascii="Calibri" w:eastAsia="Calibri" w:hAnsi="Calibri" w:cs="Times New Roman"/>
              </w:rPr>
              <w:t>-0.8% (-∞, 2.0%)</w:t>
            </w:r>
          </w:p>
        </w:tc>
        <w:tc>
          <w:tcPr>
            <w:tcW w:w="1701" w:type="dxa"/>
            <w:vAlign w:val="center"/>
          </w:tcPr>
          <w:p w14:paraId="3F578514" w14:textId="77777777" w:rsidR="00A943D1" w:rsidRPr="002F1857" w:rsidRDefault="00A943D1" w:rsidP="00D602BC">
            <w:pPr>
              <w:spacing w:line="276" w:lineRule="auto"/>
              <w:jc w:val="center"/>
              <w:rPr>
                <w:rFonts w:ascii="Calibri" w:eastAsia="Calibri" w:hAnsi="Calibri" w:cs="Times New Roman"/>
              </w:rPr>
            </w:pPr>
            <w:r w:rsidRPr="002F1857">
              <w:rPr>
                <w:rFonts w:ascii="Calibri" w:eastAsia="Calibri" w:hAnsi="Calibri" w:cs="Times New Roman"/>
              </w:rPr>
              <w:t>-0.9% (-∞, 2.0%)</w:t>
            </w:r>
          </w:p>
        </w:tc>
      </w:tr>
    </w:tbl>
    <w:p w14:paraId="0544560D" w14:textId="77777777" w:rsidR="00A943D1" w:rsidRDefault="00A943D1" w:rsidP="00BD4515">
      <w:pPr>
        <w:spacing w:after="0"/>
      </w:pPr>
    </w:p>
    <w:p w14:paraId="7C12666D" w14:textId="44B7A5B3" w:rsidR="00584229" w:rsidRDefault="00584229" w:rsidP="00BD4515">
      <w:pPr>
        <w:spacing w:after="0"/>
      </w:pPr>
    </w:p>
    <w:p w14:paraId="0BDAB848" w14:textId="77777777" w:rsidR="00584229" w:rsidRPr="002B4B1E" w:rsidRDefault="00584229" w:rsidP="00584229">
      <w:pPr>
        <w:pStyle w:val="Heading3"/>
        <w:rPr>
          <w:bCs w:val="0"/>
          <w:sz w:val="22"/>
          <w:szCs w:val="22"/>
          <w:vertAlign w:val="superscript"/>
        </w:rPr>
      </w:pPr>
      <w:r>
        <w:rPr>
          <w:vertAlign w:val="superscript"/>
        </w:rPr>
        <w:t>FOOTNOTES TO TABLE 2:</w:t>
      </w:r>
    </w:p>
    <w:p w14:paraId="2B13869E" w14:textId="77777777" w:rsidR="0054280C" w:rsidRDefault="0054280C" w:rsidP="0054280C">
      <w:pPr>
        <w:spacing w:after="0"/>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 xml:space="preserve">Table 2 reports </w:t>
      </w:r>
      <w:r w:rsidRPr="00584229">
        <w:rPr>
          <w:rFonts w:ascii="Calibri" w:eastAsia="Times New Roman" w:hAnsi="Calibri" w:cs="Times New Roman"/>
          <w:bCs/>
          <w:sz w:val="20"/>
          <w:szCs w:val="20"/>
          <w:lang w:eastAsia="en-GB"/>
        </w:rPr>
        <w:t>the absolute risk difference in the primary endpoint of death from any cause between TAVI and surgery, with a one-sided 97</w:t>
      </w:r>
      <w:r>
        <w:rPr>
          <w:rFonts w:ascii="Calibri" w:eastAsia="Times New Roman" w:hAnsi="Calibri" w:cs="Times New Roman"/>
          <w:bCs/>
          <w:sz w:val="20"/>
          <w:szCs w:val="20"/>
          <w:lang w:eastAsia="en-GB"/>
        </w:rPr>
        <w:t>.5% confidence interval, for</w:t>
      </w:r>
      <w:r w:rsidRPr="00584229">
        <w:rPr>
          <w:rFonts w:ascii="Calibri" w:eastAsia="Times New Roman" w:hAnsi="Calibri" w:cs="Times New Roman"/>
          <w:bCs/>
          <w:sz w:val="20"/>
          <w:szCs w:val="20"/>
          <w:lang w:eastAsia="en-GB"/>
        </w:rPr>
        <w:t xml:space="preserve"> </w:t>
      </w:r>
      <w:r>
        <w:rPr>
          <w:rFonts w:ascii="Calibri" w:eastAsia="Times New Roman" w:hAnsi="Calibri" w:cs="Times New Roman"/>
          <w:bCs/>
          <w:sz w:val="20"/>
          <w:szCs w:val="20"/>
          <w:lang w:eastAsia="en-GB"/>
        </w:rPr>
        <w:t xml:space="preserve">each of three analysis populations. These comprised the </w:t>
      </w:r>
      <w:r w:rsidRPr="00584229">
        <w:rPr>
          <w:rFonts w:ascii="Calibri" w:eastAsia="Times New Roman" w:hAnsi="Calibri" w:cs="Times New Roman"/>
          <w:bCs/>
          <w:sz w:val="20"/>
          <w:szCs w:val="20"/>
          <w:lang w:eastAsia="en-GB"/>
        </w:rPr>
        <w:t xml:space="preserve">population based on randomly assigned group </w:t>
      </w:r>
      <w:r>
        <w:rPr>
          <w:rFonts w:ascii="Calibri" w:eastAsia="Times New Roman" w:hAnsi="Calibri" w:cs="Times New Roman"/>
          <w:bCs/>
          <w:sz w:val="20"/>
          <w:szCs w:val="20"/>
          <w:lang w:eastAsia="en-GB"/>
        </w:rPr>
        <w:t xml:space="preserve">(the primary analysis), the </w:t>
      </w:r>
      <w:r w:rsidRPr="00584229">
        <w:rPr>
          <w:rFonts w:ascii="Calibri" w:eastAsia="Times New Roman" w:hAnsi="Calibri" w:cs="Times New Roman"/>
          <w:bCs/>
          <w:sz w:val="20"/>
          <w:szCs w:val="20"/>
          <w:lang w:eastAsia="en-GB"/>
        </w:rPr>
        <w:t>population based on randomly assigned group</w:t>
      </w:r>
      <w:r>
        <w:rPr>
          <w:rFonts w:ascii="Calibri" w:eastAsia="Times New Roman" w:hAnsi="Calibri" w:cs="Times New Roman"/>
          <w:bCs/>
          <w:sz w:val="20"/>
          <w:szCs w:val="20"/>
          <w:lang w:eastAsia="en-GB"/>
        </w:rPr>
        <w:t xml:space="preserve"> with allowance for missing data (a sensitivity analysis), and the per-protocol population, comprising</w:t>
      </w:r>
      <w:r w:rsidRPr="00584229">
        <w:rPr>
          <w:rFonts w:ascii="Calibri" w:eastAsia="Times New Roman" w:hAnsi="Calibri" w:cs="Times New Roman"/>
          <w:bCs/>
          <w:sz w:val="20"/>
          <w:szCs w:val="20"/>
          <w:lang w:eastAsia="en-GB"/>
        </w:rPr>
        <w:t xml:space="preserve"> all participants who received their randomly assigned intervention, including those in whom the procedure was commenced but subsequently abandoned or converted to an alternative procedure. </w:t>
      </w:r>
    </w:p>
    <w:p w14:paraId="2720171E" w14:textId="753525EC" w:rsidR="0054280C" w:rsidRDefault="0054280C" w:rsidP="0054280C">
      <w:pPr>
        <w:spacing w:after="0"/>
      </w:pPr>
      <w:r>
        <w:rPr>
          <w:rFonts w:ascii="Calibri" w:eastAsia="Times New Roman" w:hAnsi="Calibri" w:cs="Times New Roman"/>
          <w:bCs/>
          <w:sz w:val="20"/>
          <w:szCs w:val="20"/>
          <w:lang w:eastAsia="en-GB"/>
        </w:rPr>
        <w:t>For the sensitivity analysis, there</w:t>
      </w:r>
      <w:r w:rsidRPr="00584229">
        <w:rPr>
          <w:rFonts w:ascii="Calibri" w:eastAsia="Times New Roman" w:hAnsi="Calibri" w:cs="Times New Roman"/>
          <w:bCs/>
          <w:sz w:val="20"/>
          <w:szCs w:val="20"/>
          <w:lang w:eastAsia="en-GB"/>
        </w:rPr>
        <w:t xml:space="preserve"> was only one </w:t>
      </w:r>
      <w:r w:rsidR="009F74F9">
        <w:rPr>
          <w:rFonts w:ascii="Calibri" w:eastAsia="Times New Roman" w:hAnsi="Calibri" w:cs="Times New Roman"/>
          <w:bCs/>
          <w:sz w:val="20"/>
          <w:szCs w:val="20"/>
          <w:lang w:eastAsia="en-GB"/>
        </w:rPr>
        <w:t>participant</w:t>
      </w:r>
      <w:r w:rsidRPr="00584229">
        <w:rPr>
          <w:rFonts w:ascii="Calibri" w:eastAsia="Times New Roman" w:hAnsi="Calibri" w:cs="Times New Roman"/>
          <w:bCs/>
          <w:sz w:val="20"/>
          <w:szCs w:val="20"/>
          <w:lang w:eastAsia="en-GB"/>
        </w:rPr>
        <w:t xml:space="preserve"> with missing data for the primary endpoint; the </w:t>
      </w:r>
      <w:r w:rsidR="009F74F9">
        <w:rPr>
          <w:rFonts w:ascii="Calibri" w:eastAsia="Times New Roman" w:hAnsi="Calibri" w:cs="Times New Roman"/>
          <w:bCs/>
          <w:sz w:val="20"/>
          <w:szCs w:val="20"/>
          <w:lang w:eastAsia="en-GB"/>
        </w:rPr>
        <w:t>participant</w:t>
      </w:r>
      <w:r w:rsidRPr="00584229">
        <w:rPr>
          <w:rFonts w:ascii="Calibri" w:eastAsia="Times New Roman" w:hAnsi="Calibri" w:cs="Times New Roman"/>
          <w:bCs/>
          <w:sz w:val="20"/>
          <w:szCs w:val="20"/>
          <w:lang w:eastAsia="en-GB"/>
        </w:rPr>
        <w:t xml:space="preserve"> was in the surgery group and was assumed to be alive at one year.</w:t>
      </w:r>
      <w:r>
        <w:rPr>
          <w:rFonts w:ascii="Calibri" w:eastAsia="Times New Roman" w:hAnsi="Calibri" w:cs="Times New Roman"/>
          <w:bCs/>
          <w:sz w:val="20"/>
          <w:szCs w:val="20"/>
          <w:lang w:eastAsia="en-GB"/>
        </w:rPr>
        <w:t xml:space="preserve"> </w:t>
      </w:r>
      <w:r w:rsidRPr="00584229">
        <w:rPr>
          <w:rFonts w:ascii="Calibri" w:eastAsia="Times New Roman" w:hAnsi="Calibri" w:cs="Times New Roman"/>
          <w:bCs/>
          <w:sz w:val="20"/>
          <w:szCs w:val="20"/>
          <w:lang w:eastAsia="en-GB"/>
        </w:rPr>
        <w:t xml:space="preserve">Data are shown </w:t>
      </w:r>
      <w:r>
        <w:rPr>
          <w:rFonts w:ascii="Calibri" w:eastAsia="Times New Roman" w:hAnsi="Calibri" w:cs="Times New Roman"/>
          <w:bCs/>
          <w:sz w:val="20"/>
          <w:szCs w:val="20"/>
          <w:lang w:eastAsia="en-GB"/>
        </w:rPr>
        <w:t>both unadjusted and with</w:t>
      </w:r>
      <w:r w:rsidRPr="00584229">
        <w:rPr>
          <w:rFonts w:ascii="Calibri" w:eastAsia="Times New Roman" w:hAnsi="Calibri" w:cs="Times New Roman"/>
          <w:bCs/>
          <w:sz w:val="20"/>
          <w:szCs w:val="20"/>
          <w:lang w:eastAsia="en-GB"/>
        </w:rPr>
        <w:t xml:space="preserve"> adjustment for randomization minimization factors (age as a continuous variable, presence of coronary artery disease which was considered to require revascularization if the patient was assigned to receive surgery, and clustering within sites).</w:t>
      </w:r>
    </w:p>
    <w:p w14:paraId="38934B14" w14:textId="409E6507" w:rsidR="00087D69" w:rsidRDefault="008674C4" w:rsidP="008674C4">
      <w:pPr>
        <w:spacing w:after="0" w:line="240" w:lineRule="auto"/>
        <w:ind w:hanging="113"/>
        <w:outlineLvl w:val="2"/>
        <w:rPr>
          <w:rFonts w:ascii="Calibri" w:eastAsia="Times New Roman" w:hAnsi="Calibri" w:cs="Times New Roman"/>
          <w:bCs/>
          <w:sz w:val="20"/>
          <w:szCs w:val="20"/>
          <w:lang w:eastAsia="en-GB"/>
        </w:rPr>
      </w:pPr>
      <w:r>
        <w:rPr>
          <w:rFonts w:ascii="Calibri" w:eastAsia="Times New Roman" w:hAnsi="Calibri" w:cs="Times New Roman"/>
          <w:bCs/>
          <w:sz w:val="20"/>
          <w:szCs w:val="20"/>
          <w:vertAlign w:val="superscript"/>
          <w:lang w:eastAsia="en-GB"/>
        </w:rPr>
        <w:t>a</w:t>
      </w:r>
      <w:r w:rsidRPr="00D4784E">
        <w:rPr>
          <w:rFonts w:ascii="Calibri" w:eastAsia="Times New Roman" w:hAnsi="Calibri" w:cs="Times New Roman"/>
          <w:bCs/>
          <w:sz w:val="20"/>
          <w:szCs w:val="20"/>
          <w:lang w:eastAsia="en-GB"/>
        </w:rPr>
        <w:t xml:space="preserve"> </w:t>
      </w:r>
      <w:r>
        <w:rPr>
          <w:rFonts w:ascii="Calibri" w:eastAsia="Times New Roman" w:hAnsi="Calibri" w:cs="Times New Roman"/>
          <w:bCs/>
          <w:sz w:val="20"/>
          <w:szCs w:val="20"/>
          <w:lang w:eastAsia="en-GB"/>
        </w:rPr>
        <w:t>Number</w:t>
      </w:r>
      <w:r w:rsidRPr="000035B1">
        <w:rPr>
          <w:rFonts w:ascii="Calibri" w:eastAsia="Times New Roman" w:hAnsi="Calibri" w:cs="Times New Roman"/>
          <w:bCs/>
          <w:sz w:val="20"/>
          <w:szCs w:val="20"/>
          <w:lang w:eastAsia="en-GB"/>
        </w:rPr>
        <w:t xml:space="preserve"> of participants with an event</w:t>
      </w:r>
      <w:r w:rsidR="00087D69">
        <w:rPr>
          <w:rFonts w:ascii="Calibri" w:eastAsia="Times New Roman" w:hAnsi="Calibri" w:cs="Times New Roman"/>
          <w:bCs/>
          <w:sz w:val="20"/>
          <w:szCs w:val="20"/>
          <w:lang w:eastAsia="en-GB"/>
        </w:rPr>
        <w:t>/number</w:t>
      </w:r>
      <w:r w:rsidR="00087D69" w:rsidRPr="00087D69">
        <w:rPr>
          <w:rFonts w:ascii="Calibri" w:eastAsia="Times New Roman" w:hAnsi="Calibri" w:cs="Times New Roman"/>
          <w:bCs/>
          <w:sz w:val="20"/>
          <w:szCs w:val="20"/>
          <w:lang w:eastAsia="en-GB"/>
        </w:rPr>
        <w:t xml:space="preserve"> </w:t>
      </w:r>
      <w:r w:rsidR="00087D69">
        <w:rPr>
          <w:rFonts w:ascii="Calibri" w:eastAsia="Times New Roman" w:hAnsi="Calibri" w:cs="Times New Roman"/>
          <w:bCs/>
          <w:sz w:val="20"/>
          <w:szCs w:val="20"/>
          <w:lang w:eastAsia="en-GB"/>
        </w:rPr>
        <w:t>in the relevant analysis population</w:t>
      </w:r>
      <w:r>
        <w:rPr>
          <w:rFonts w:ascii="Calibri" w:eastAsia="Times New Roman" w:hAnsi="Calibri" w:cs="Times New Roman"/>
          <w:bCs/>
          <w:sz w:val="20"/>
          <w:szCs w:val="20"/>
          <w:lang w:eastAsia="en-GB"/>
        </w:rPr>
        <w:t xml:space="preserve"> (</w:t>
      </w:r>
      <w:r w:rsidR="00087D69">
        <w:rPr>
          <w:rFonts w:ascii="Calibri" w:eastAsia="Times New Roman" w:hAnsi="Calibri" w:cs="Times New Roman"/>
          <w:bCs/>
          <w:sz w:val="20"/>
          <w:szCs w:val="20"/>
          <w:lang w:eastAsia="en-GB"/>
        </w:rPr>
        <w:t>percentage)</w:t>
      </w:r>
      <w:r w:rsidR="00E42503">
        <w:rPr>
          <w:rFonts w:ascii="Calibri" w:eastAsia="Times New Roman" w:hAnsi="Calibri" w:cs="Times New Roman"/>
          <w:bCs/>
          <w:sz w:val="20"/>
          <w:szCs w:val="20"/>
          <w:lang w:eastAsia="en-GB"/>
        </w:rPr>
        <w:t>.</w:t>
      </w:r>
    </w:p>
    <w:p w14:paraId="257C7778" w14:textId="412568E0" w:rsidR="008674C4" w:rsidRDefault="008674C4" w:rsidP="008674C4">
      <w:pPr>
        <w:spacing w:after="0" w:line="240" w:lineRule="auto"/>
        <w:ind w:hanging="113"/>
        <w:outlineLvl w:val="2"/>
        <w:rPr>
          <w:rFonts w:ascii="Calibri" w:eastAsia="Times New Roman" w:hAnsi="Calibri" w:cs="Times New Roman"/>
          <w:bCs/>
          <w:sz w:val="20"/>
          <w:szCs w:val="20"/>
          <w:lang w:eastAsia="en-GB"/>
        </w:rPr>
      </w:pPr>
      <w:r w:rsidRPr="00A122F6">
        <w:rPr>
          <w:rFonts w:ascii="Calibri" w:eastAsia="Times New Roman" w:hAnsi="Calibri" w:cs="Times New Roman"/>
          <w:bCs/>
          <w:sz w:val="20"/>
          <w:szCs w:val="20"/>
          <w:vertAlign w:val="superscript"/>
          <w:lang w:eastAsia="en-GB"/>
        </w:rPr>
        <w:t>b</w:t>
      </w:r>
      <w:r>
        <w:rPr>
          <w:rFonts w:ascii="Calibri" w:eastAsia="Times New Roman" w:hAnsi="Calibri" w:cs="Times New Roman"/>
          <w:bCs/>
          <w:sz w:val="20"/>
          <w:szCs w:val="20"/>
          <w:lang w:eastAsia="en-GB"/>
        </w:rPr>
        <w:t xml:space="preserve"> </w:t>
      </w:r>
      <w:r w:rsidRPr="009944FA">
        <w:rPr>
          <w:rFonts w:ascii="Calibri" w:eastAsia="Times New Roman" w:hAnsi="Calibri" w:cs="Times New Roman"/>
          <w:bCs/>
          <w:sz w:val="20"/>
          <w:szCs w:val="20"/>
          <w:lang w:eastAsia="en-GB"/>
        </w:rPr>
        <w:t>One participant in the surgery group who withdrew was excluded from the noninferiority analysis of the primary outcome</w:t>
      </w:r>
      <w:r w:rsidR="00087D69">
        <w:rPr>
          <w:rFonts w:ascii="Calibri" w:eastAsia="Times New Roman" w:hAnsi="Calibri" w:cs="Times New Roman"/>
          <w:bCs/>
          <w:sz w:val="20"/>
          <w:szCs w:val="20"/>
          <w:lang w:eastAsia="en-GB"/>
        </w:rPr>
        <w:t>.</w:t>
      </w:r>
    </w:p>
    <w:p w14:paraId="094C3082" w14:textId="4AEDA2AC" w:rsidR="00584229" w:rsidRDefault="00584229" w:rsidP="00BD4515">
      <w:pPr>
        <w:spacing w:after="0"/>
      </w:pPr>
    </w:p>
    <w:p w14:paraId="19868A36" w14:textId="77777777" w:rsidR="00584229" w:rsidRDefault="00584229" w:rsidP="00BD4515">
      <w:pPr>
        <w:spacing w:after="0"/>
        <w:sectPr w:rsidR="00584229" w:rsidSect="008112C6">
          <w:footerReference w:type="default" r:id="rId16"/>
          <w:pgSz w:w="11906" w:h="16838" w:code="9"/>
          <w:pgMar w:top="1440" w:right="1440" w:bottom="1440" w:left="1440" w:header="709" w:footer="284" w:gutter="0"/>
          <w:cols w:space="708"/>
          <w:docGrid w:linePitch="360"/>
        </w:sectPr>
      </w:pPr>
    </w:p>
    <w:p w14:paraId="58633148" w14:textId="77777777" w:rsidR="00D83C3E" w:rsidRDefault="00D83C3E" w:rsidP="00C33BEB">
      <w:pPr>
        <w:pStyle w:val="Heading2"/>
        <w:rPr>
          <w:rFonts w:asciiTheme="minorHAnsi" w:hAnsiTheme="minorHAnsi"/>
          <w:b w:val="0"/>
          <w:sz w:val="20"/>
          <w:szCs w:val="20"/>
        </w:rPr>
      </w:pPr>
    </w:p>
    <w:p w14:paraId="706673FD" w14:textId="5FA8247B" w:rsidR="003F077F" w:rsidRPr="007A66E2" w:rsidRDefault="003F077F" w:rsidP="00A21D81">
      <w:pPr>
        <w:keepNext/>
        <w:keepLines/>
        <w:spacing w:before="200" w:after="0"/>
        <w:ind w:right="-567"/>
        <w:outlineLvl w:val="1"/>
        <w:rPr>
          <w:rFonts w:ascii="Cambria" w:eastAsia="Times New Roman" w:hAnsi="Cambria" w:cs="Times New Roman"/>
          <w:b/>
          <w:color w:val="243F60"/>
          <w:sz w:val="26"/>
          <w:szCs w:val="26"/>
        </w:rPr>
      </w:pPr>
      <w:r w:rsidRPr="007A66E2">
        <w:rPr>
          <w:rFonts w:ascii="Cambria" w:eastAsia="Times New Roman" w:hAnsi="Cambria" w:cs="Times New Roman"/>
          <w:b/>
          <w:bCs/>
          <w:color w:val="4F81BD"/>
          <w:sz w:val="26"/>
          <w:szCs w:val="26"/>
        </w:rPr>
        <w:t xml:space="preserve">Table </w:t>
      </w:r>
      <w:r w:rsidR="0043047D">
        <w:rPr>
          <w:rFonts w:ascii="Cambria" w:eastAsia="Times New Roman" w:hAnsi="Cambria" w:cs="Times New Roman"/>
          <w:b/>
          <w:bCs/>
          <w:color w:val="4F81BD"/>
          <w:sz w:val="26"/>
          <w:szCs w:val="26"/>
        </w:rPr>
        <w:t>3</w:t>
      </w:r>
      <w:r w:rsidRPr="007A66E2">
        <w:rPr>
          <w:rFonts w:ascii="Cambria" w:eastAsia="Times New Roman" w:hAnsi="Cambria" w:cs="Times New Roman"/>
          <w:b/>
          <w:bCs/>
          <w:color w:val="4F81BD"/>
          <w:sz w:val="26"/>
          <w:szCs w:val="26"/>
        </w:rPr>
        <w:t xml:space="preserve">. </w:t>
      </w:r>
      <w:r w:rsidR="00336308">
        <w:rPr>
          <w:rFonts w:ascii="Cambria" w:eastAsia="Times New Roman" w:hAnsi="Cambria" w:cs="Times New Roman"/>
          <w:b/>
          <w:bCs/>
          <w:color w:val="4F81BD"/>
          <w:sz w:val="26"/>
          <w:szCs w:val="26"/>
        </w:rPr>
        <w:t xml:space="preserve">Primary </w:t>
      </w:r>
      <w:r w:rsidR="00A21D81">
        <w:rPr>
          <w:rFonts w:ascii="Cambria" w:eastAsia="Times New Roman" w:hAnsi="Cambria" w:cs="Times New Roman"/>
          <w:b/>
          <w:bCs/>
          <w:color w:val="4F81BD"/>
          <w:sz w:val="26"/>
          <w:szCs w:val="26"/>
        </w:rPr>
        <w:t xml:space="preserve">Outcome </w:t>
      </w:r>
      <w:r w:rsidR="00336308">
        <w:rPr>
          <w:rFonts w:ascii="Cambria" w:eastAsia="Times New Roman" w:hAnsi="Cambria" w:cs="Times New Roman"/>
          <w:b/>
          <w:bCs/>
          <w:color w:val="4F81BD"/>
          <w:sz w:val="26"/>
          <w:szCs w:val="26"/>
        </w:rPr>
        <w:t xml:space="preserve">and </w:t>
      </w:r>
      <w:r>
        <w:rPr>
          <w:rFonts w:ascii="Cambria" w:eastAsia="Times New Roman" w:hAnsi="Cambria" w:cs="Times New Roman"/>
          <w:b/>
          <w:color w:val="4F81BD"/>
          <w:sz w:val="26"/>
          <w:szCs w:val="26"/>
        </w:rPr>
        <w:t>Secondary Clinical Outcomes</w:t>
      </w:r>
      <w:r w:rsidRPr="007A66E2">
        <w:rPr>
          <w:rFonts w:ascii="Cambria" w:eastAsia="Times New Roman" w:hAnsi="Cambria" w:cs="Times New Roman"/>
          <w:b/>
          <w:color w:val="4F81BD"/>
          <w:sz w:val="26"/>
          <w:szCs w:val="26"/>
        </w:rPr>
        <w:t xml:space="preserve"> </w:t>
      </w:r>
      <w:r w:rsidR="00A21D81" w:rsidRPr="007A66E2">
        <w:rPr>
          <w:rFonts w:ascii="Cambria" w:eastAsia="Times New Roman" w:hAnsi="Cambria" w:cs="Times New Roman"/>
          <w:b/>
          <w:color w:val="4F81BD"/>
          <w:sz w:val="26"/>
          <w:szCs w:val="26"/>
        </w:rPr>
        <w:t xml:space="preserve">One-Year Post-Randomization </w:t>
      </w:r>
      <w:r w:rsidR="00A21D81">
        <w:rPr>
          <w:rFonts w:ascii="Cambria" w:eastAsia="Times New Roman" w:hAnsi="Cambria" w:cs="Times New Roman"/>
          <w:b/>
          <w:color w:val="4F81BD"/>
          <w:sz w:val="26"/>
          <w:szCs w:val="26"/>
        </w:rPr>
        <w:t xml:space="preserve">and </w:t>
      </w:r>
      <w:r w:rsidRPr="007A66E2">
        <w:rPr>
          <w:rFonts w:ascii="Cambria" w:eastAsia="Times New Roman" w:hAnsi="Cambria" w:cs="Times New Roman"/>
          <w:b/>
          <w:color w:val="4F81BD"/>
          <w:sz w:val="26"/>
          <w:szCs w:val="26"/>
        </w:rPr>
        <w:t xml:space="preserve">30 Days Post-Procedure </w:t>
      </w:r>
    </w:p>
    <w:p w14:paraId="257CB323" w14:textId="77777777" w:rsidR="003F077F" w:rsidRDefault="003F077F" w:rsidP="003F077F">
      <w:pPr>
        <w:spacing w:after="0" w:line="240" w:lineRule="auto"/>
        <w:ind w:hanging="113"/>
        <w:outlineLvl w:val="2"/>
        <w:rPr>
          <w:rFonts w:ascii="Calibri" w:eastAsia="Times New Roman" w:hAnsi="Calibri" w:cs="Times New Roman"/>
          <w:bCs/>
          <w:sz w:val="20"/>
          <w:szCs w:val="20"/>
          <w:vertAlign w:val="superscript"/>
          <w:lang w:eastAsia="en-GB"/>
        </w:rPr>
      </w:pPr>
    </w:p>
    <w:tbl>
      <w:tblPr>
        <w:tblStyle w:val="TableGrid"/>
        <w:tblW w:w="15451" w:type="dxa"/>
        <w:tblInd w:w="-714" w:type="dxa"/>
        <w:tblLook w:val="04A0" w:firstRow="1" w:lastRow="0" w:firstColumn="1" w:lastColumn="0" w:noHBand="0" w:noVBand="1"/>
      </w:tblPr>
      <w:tblGrid>
        <w:gridCol w:w="4678"/>
        <w:gridCol w:w="1205"/>
        <w:gridCol w:w="1205"/>
        <w:gridCol w:w="1984"/>
        <w:gridCol w:w="1985"/>
        <w:gridCol w:w="1843"/>
        <w:gridCol w:w="1701"/>
        <w:gridCol w:w="850"/>
      </w:tblGrid>
      <w:tr w:rsidR="003F077F" w:rsidRPr="00316F57" w14:paraId="58B0E945" w14:textId="77777777" w:rsidTr="004E7A66">
        <w:tc>
          <w:tcPr>
            <w:tcW w:w="4678" w:type="dxa"/>
            <w:vAlign w:val="center"/>
          </w:tcPr>
          <w:p w14:paraId="3BF113DE" w14:textId="77777777" w:rsidR="003F077F" w:rsidRPr="00316F57"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Outcome</w:t>
            </w:r>
          </w:p>
        </w:tc>
        <w:tc>
          <w:tcPr>
            <w:tcW w:w="1205" w:type="dxa"/>
            <w:vAlign w:val="center"/>
          </w:tcPr>
          <w:p w14:paraId="2A93F06F" w14:textId="77777777" w:rsidR="003F077F" w:rsidRPr="00316F57" w:rsidRDefault="003F077F" w:rsidP="004E7A66">
            <w:pPr>
              <w:jc w:val="center"/>
              <w:rPr>
                <w:rFonts w:eastAsia="Times New Roman" w:cs="Times New Roman"/>
                <w:b/>
                <w:bCs/>
                <w:sz w:val="19"/>
                <w:szCs w:val="19"/>
                <w:lang w:eastAsia="en-GB"/>
              </w:rPr>
            </w:pPr>
            <w:r>
              <w:rPr>
                <w:rFonts w:eastAsia="Times New Roman" w:cs="Times New Roman"/>
                <w:b/>
                <w:bCs/>
                <w:sz w:val="19"/>
                <w:szCs w:val="19"/>
                <w:lang w:eastAsia="en-GB"/>
              </w:rPr>
              <w:t>TAVI</w:t>
            </w:r>
            <w:r w:rsidRPr="00D4784E">
              <w:rPr>
                <w:rFonts w:eastAsia="Times New Roman" w:cs="Times New Roman"/>
                <w:b/>
                <w:bCs/>
                <w:sz w:val="19"/>
                <w:szCs w:val="19"/>
                <w:vertAlign w:val="superscript"/>
                <w:lang w:eastAsia="en-GB"/>
              </w:rPr>
              <w:t>a</w:t>
            </w:r>
          </w:p>
        </w:tc>
        <w:tc>
          <w:tcPr>
            <w:tcW w:w="1205" w:type="dxa"/>
            <w:vAlign w:val="center"/>
          </w:tcPr>
          <w:p w14:paraId="087BA26D" w14:textId="77777777" w:rsidR="003F077F" w:rsidRPr="00316F57"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Surgery</w:t>
            </w:r>
            <w:r w:rsidRPr="00D4784E">
              <w:rPr>
                <w:rFonts w:eastAsia="Times New Roman" w:cs="Times New Roman"/>
                <w:b/>
                <w:bCs/>
                <w:sz w:val="19"/>
                <w:szCs w:val="19"/>
                <w:vertAlign w:val="superscript"/>
                <w:lang w:eastAsia="en-GB"/>
              </w:rPr>
              <w:t>a</w:t>
            </w:r>
          </w:p>
        </w:tc>
        <w:tc>
          <w:tcPr>
            <w:tcW w:w="1984" w:type="dxa"/>
            <w:vAlign w:val="center"/>
          </w:tcPr>
          <w:p w14:paraId="0A12E9BF" w14:textId="508C7A0B" w:rsidR="003F077F" w:rsidRPr="00316F57" w:rsidRDefault="003F077F" w:rsidP="00184718">
            <w:pPr>
              <w:jc w:val="center"/>
              <w:rPr>
                <w:rFonts w:eastAsia="Times New Roman" w:cs="Times New Roman"/>
                <w:b/>
                <w:bCs/>
                <w:sz w:val="19"/>
                <w:szCs w:val="19"/>
                <w:lang w:eastAsia="en-GB"/>
              </w:rPr>
            </w:pPr>
            <w:r w:rsidRPr="00316F57">
              <w:rPr>
                <w:rFonts w:eastAsia="Times New Roman" w:cs="Times New Roman"/>
                <w:b/>
                <w:bCs/>
                <w:sz w:val="19"/>
                <w:szCs w:val="19"/>
                <w:lang w:eastAsia="en-GB"/>
              </w:rPr>
              <w:t>Risk Difference Unadjusted</w:t>
            </w:r>
            <w:r w:rsidR="002B633F">
              <w:rPr>
                <w:rFonts w:eastAsia="Times New Roman" w:cs="Times New Roman"/>
                <w:b/>
                <w:bCs/>
                <w:sz w:val="19"/>
                <w:szCs w:val="19"/>
                <w:lang w:eastAsia="en-GB"/>
              </w:rPr>
              <w:t xml:space="preserve"> (95% CI)</w:t>
            </w:r>
          </w:p>
        </w:tc>
        <w:tc>
          <w:tcPr>
            <w:tcW w:w="1985" w:type="dxa"/>
            <w:vAlign w:val="center"/>
          </w:tcPr>
          <w:p w14:paraId="129DF611" w14:textId="2F192A1C" w:rsidR="003F077F"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Risk Difference</w:t>
            </w:r>
            <w:r w:rsidR="00565091">
              <w:rPr>
                <w:rFonts w:eastAsia="Times New Roman" w:cs="Times New Roman"/>
                <w:b/>
                <w:bCs/>
                <w:sz w:val="19"/>
                <w:szCs w:val="19"/>
                <w:vertAlign w:val="superscript"/>
                <w:lang w:eastAsia="en-GB"/>
              </w:rPr>
              <w:t>d</w:t>
            </w:r>
          </w:p>
          <w:p w14:paraId="50F5AE0F" w14:textId="77777777" w:rsidR="003F077F" w:rsidRPr="00316F57"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 xml:space="preserve"> Adjusted</w:t>
            </w:r>
            <w:r w:rsidR="002B633F">
              <w:rPr>
                <w:rFonts w:eastAsia="Times New Roman" w:cs="Times New Roman"/>
                <w:b/>
                <w:bCs/>
                <w:sz w:val="19"/>
                <w:szCs w:val="19"/>
                <w:lang w:eastAsia="en-GB"/>
              </w:rPr>
              <w:t xml:space="preserve"> (95% CI)</w:t>
            </w:r>
          </w:p>
        </w:tc>
        <w:tc>
          <w:tcPr>
            <w:tcW w:w="1843" w:type="dxa"/>
            <w:vAlign w:val="center"/>
          </w:tcPr>
          <w:p w14:paraId="7C236504" w14:textId="59B6FE32" w:rsidR="003F077F"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 xml:space="preserve">Hazard </w:t>
            </w:r>
            <w:r w:rsidR="00565091" w:rsidRPr="00316F57">
              <w:rPr>
                <w:rFonts w:eastAsia="Times New Roman" w:cs="Times New Roman"/>
                <w:b/>
                <w:bCs/>
                <w:sz w:val="19"/>
                <w:szCs w:val="19"/>
                <w:lang w:eastAsia="en-GB"/>
              </w:rPr>
              <w:t>Ratio</w:t>
            </w:r>
            <w:r w:rsidR="00565091">
              <w:rPr>
                <w:rFonts w:eastAsia="Times New Roman" w:cs="Times New Roman"/>
                <w:b/>
                <w:bCs/>
                <w:sz w:val="19"/>
                <w:szCs w:val="19"/>
                <w:vertAlign w:val="superscript"/>
                <w:lang w:eastAsia="en-GB"/>
              </w:rPr>
              <w:t>e</w:t>
            </w:r>
          </w:p>
          <w:p w14:paraId="74E7360C" w14:textId="77777777" w:rsidR="003F077F" w:rsidRPr="00316F57"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Unadjusted</w:t>
            </w:r>
            <w:r w:rsidR="002B633F">
              <w:rPr>
                <w:rFonts w:eastAsia="Times New Roman" w:cs="Times New Roman"/>
                <w:b/>
                <w:bCs/>
                <w:sz w:val="19"/>
                <w:szCs w:val="19"/>
                <w:lang w:eastAsia="en-GB"/>
              </w:rPr>
              <w:t xml:space="preserve"> (95% CI)</w:t>
            </w:r>
          </w:p>
        </w:tc>
        <w:tc>
          <w:tcPr>
            <w:tcW w:w="1701" w:type="dxa"/>
            <w:tcBorders>
              <w:right w:val="nil"/>
            </w:tcBorders>
            <w:vAlign w:val="center"/>
          </w:tcPr>
          <w:p w14:paraId="65116444" w14:textId="67F1B10A" w:rsidR="003F077F"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 xml:space="preserve">Hazard </w:t>
            </w:r>
            <w:r w:rsidR="00565091" w:rsidRPr="00316F57">
              <w:rPr>
                <w:rFonts w:eastAsia="Times New Roman" w:cs="Times New Roman"/>
                <w:b/>
                <w:bCs/>
                <w:sz w:val="19"/>
                <w:szCs w:val="19"/>
                <w:lang w:eastAsia="en-GB"/>
              </w:rPr>
              <w:t>Ratio</w:t>
            </w:r>
            <w:r w:rsidR="00565091">
              <w:rPr>
                <w:rFonts w:eastAsia="Times New Roman" w:cs="Times New Roman"/>
                <w:b/>
                <w:bCs/>
                <w:sz w:val="19"/>
                <w:szCs w:val="19"/>
                <w:vertAlign w:val="superscript"/>
                <w:lang w:eastAsia="en-GB"/>
              </w:rPr>
              <w:t>d</w:t>
            </w:r>
            <w:r w:rsidR="00DA7897">
              <w:rPr>
                <w:rFonts w:eastAsia="Times New Roman" w:cs="Times New Roman"/>
                <w:b/>
                <w:bCs/>
                <w:sz w:val="19"/>
                <w:szCs w:val="19"/>
                <w:vertAlign w:val="superscript"/>
                <w:lang w:eastAsia="en-GB"/>
              </w:rPr>
              <w:t>,</w:t>
            </w:r>
            <w:r w:rsidR="00565091">
              <w:rPr>
                <w:rFonts w:eastAsia="Times New Roman" w:cs="Times New Roman"/>
                <w:b/>
                <w:bCs/>
                <w:sz w:val="19"/>
                <w:szCs w:val="19"/>
                <w:vertAlign w:val="superscript"/>
                <w:lang w:eastAsia="en-GB"/>
              </w:rPr>
              <w:t>e</w:t>
            </w:r>
          </w:p>
          <w:p w14:paraId="674072EC" w14:textId="77777777" w:rsidR="003F077F" w:rsidRPr="00316F57" w:rsidRDefault="003F077F" w:rsidP="004E7A66">
            <w:pPr>
              <w:jc w:val="center"/>
              <w:rPr>
                <w:rFonts w:eastAsia="Times New Roman" w:cs="Times New Roman"/>
                <w:b/>
                <w:bCs/>
                <w:sz w:val="19"/>
                <w:szCs w:val="19"/>
                <w:lang w:eastAsia="en-GB"/>
              </w:rPr>
            </w:pPr>
            <w:r w:rsidRPr="00316F57">
              <w:rPr>
                <w:rFonts w:eastAsia="Times New Roman" w:cs="Times New Roman"/>
                <w:b/>
                <w:bCs/>
                <w:sz w:val="19"/>
                <w:szCs w:val="19"/>
                <w:lang w:eastAsia="en-GB"/>
              </w:rPr>
              <w:t xml:space="preserve"> Adjusted</w:t>
            </w:r>
            <w:r w:rsidR="002B633F">
              <w:rPr>
                <w:rFonts w:eastAsia="Times New Roman" w:cs="Times New Roman"/>
                <w:b/>
                <w:bCs/>
                <w:sz w:val="19"/>
                <w:szCs w:val="19"/>
                <w:lang w:eastAsia="en-GB"/>
              </w:rPr>
              <w:t xml:space="preserve"> (95% CI)</w:t>
            </w:r>
          </w:p>
        </w:tc>
        <w:tc>
          <w:tcPr>
            <w:tcW w:w="850" w:type="dxa"/>
            <w:tcBorders>
              <w:left w:val="nil"/>
            </w:tcBorders>
            <w:vAlign w:val="center"/>
          </w:tcPr>
          <w:p w14:paraId="2E85A8FE" w14:textId="77777777" w:rsidR="003F077F" w:rsidRPr="00316F57" w:rsidRDefault="003F077F" w:rsidP="004E7A66">
            <w:pPr>
              <w:jc w:val="center"/>
              <w:rPr>
                <w:rFonts w:eastAsia="Times New Roman" w:cs="Times New Roman"/>
                <w:b/>
                <w:bCs/>
                <w:sz w:val="19"/>
                <w:szCs w:val="19"/>
                <w:lang w:eastAsia="en-GB"/>
              </w:rPr>
            </w:pPr>
            <w:r w:rsidRPr="002B4B1E">
              <w:rPr>
                <w:rFonts w:eastAsia="Times New Roman" w:cs="Times New Roman"/>
                <w:b/>
                <w:bCs/>
                <w:i/>
                <w:sz w:val="19"/>
                <w:szCs w:val="19"/>
                <w:lang w:eastAsia="en-GB"/>
              </w:rPr>
              <w:t xml:space="preserve">P </w:t>
            </w:r>
            <w:r w:rsidRPr="00316F57">
              <w:rPr>
                <w:rFonts w:eastAsia="Times New Roman" w:cs="Times New Roman"/>
                <w:b/>
                <w:bCs/>
                <w:sz w:val="19"/>
                <w:szCs w:val="19"/>
                <w:lang w:eastAsia="en-GB"/>
              </w:rPr>
              <w:t>Value</w:t>
            </w:r>
          </w:p>
        </w:tc>
      </w:tr>
      <w:tr w:rsidR="001C5298" w:rsidRPr="00316F57" w14:paraId="3080E8A3" w14:textId="77777777" w:rsidTr="00BD0CE0">
        <w:trPr>
          <w:trHeight w:val="272"/>
        </w:trPr>
        <w:tc>
          <w:tcPr>
            <w:tcW w:w="4678" w:type="dxa"/>
            <w:shd w:val="clear" w:color="auto" w:fill="EEECE1" w:themeFill="background2"/>
            <w:vAlign w:val="center"/>
          </w:tcPr>
          <w:p w14:paraId="6C94C5D6" w14:textId="21BB660C" w:rsidR="001C5298" w:rsidRPr="00571668" w:rsidRDefault="001C5298" w:rsidP="00316FF5">
            <w:pPr>
              <w:rPr>
                <w:rFonts w:eastAsia="Times New Roman" w:cs="Times New Roman"/>
                <w:b/>
                <w:bCs/>
                <w:sz w:val="19"/>
                <w:szCs w:val="19"/>
                <w:lang w:eastAsia="en-GB"/>
              </w:rPr>
            </w:pPr>
            <w:r>
              <w:rPr>
                <w:rFonts w:eastAsia="Times New Roman" w:cs="Times New Roman"/>
                <w:b/>
                <w:bCs/>
                <w:sz w:val="19"/>
                <w:szCs w:val="19"/>
                <w:lang w:eastAsia="en-GB"/>
              </w:rPr>
              <w:t xml:space="preserve">Primary Outcome: </w:t>
            </w:r>
            <w:r w:rsidRPr="00571668">
              <w:rPr>
                <w:rFonts w:eastAsia="Times New Roman" w:cs="Times New Roman"/>
                <w:b/>
                <w:bCs/>
                <w:sz w:val="19"/>
                <w:szCs w:val="19"/>
                <w:lang w:eastAsia="en-GB"/>
              </w:rPr>
              <w:t>One Year Post-Randomization</w:t>
            </w:r>
            <w:r w:rsidR="00565091" w:rsidRPr="00565091">
              <w:rPr>
                <w:rFonts w:eastAsia="Times New Roman" w:cs="Times New Roman"/>
                <w:b/>
                <w:bCs/>
                <w:sz w:val="19"/>
                <w:szCs w:val="19"/>
                <w:vertAlign w:val="superscript"/>
                <w:lang w:eastAsia="en-GB"/>
              </w:rPr>
              <w:t>b</w:t>
            </w:r>
          </w:p>
        </w:tc>
        <w:tc>
          <w:tcPr>
            <w:tcW w:w="1205" w:type="dxa"/>
            <w:shd w:val="clear" w:color="auto" w:fill="EEECE1" w:themeFill="background2"/>
            <w:vAlign w:val="center"/>
          </w:tcPr>
          <w:p w14:paraId="227694EF" w14:textId="1783B603" w:rsidR="001C5298" w:rsidRPr="00433F46" w:rsidRDefault="001C5298" w:rsidP="00316FF5">
            <w:pPr>
              <w:jc w:val="center"/>
              <w:rPr>
                <w:rFonts w:eastAsia="Times New Roman" w:cs="Times New Roman"/>
                <w:b/>
                <w:bCs/>
                <w:sz w:val="19"/>
                <w:szCs w:val="19"/>
                <w:lang w:eastAsia="en-GB"/>
              </w:rPr>
            </w:pPr>
            <w:r w:rsidRPr="00433F46">
              <w:rPr>
                <w:rFonts w:eastAsia="Times New Roman" w:cs="Times New Roman"/>
                <w:b/>
                <w:bCs/>
                <w:sz w:val="19"/>
                <w:szCs w:val="19"/>
                <w:lang w:eastAsia="en-GB"/>
              </w:rPr>
              <w:t>(n=458)</w:t>
            </w:r>
          </w:p>
        </w:tc>
        <w:tc>
          <w:tcPr>
            <w:tcW w:w="1205" w:type="dxa"/>
            <w:shd w:val="clear" w:color="auto" w:fill="EEECE1" w:themeFill="background2"/>
            <w:vAlign w:val="center"/>
          </w:tcPr>
          <w:p w14:paraId="3A3C67C5" w14:textId="002E7F87" w:rsidR="001C5298" w:rsidRPr="00433F46" w:rsidRDefault="001C5298" w:rsidP="00316FF5">
            <w:pPr>
              <w:jc w:val="center"/>
              <w:rPr>
                <w:rFonts w:eastAsia="Times New Roman" w:cs="Times New Roman"/>
                <w:b/>
                <w:bCs/>
                <w:sz w:val="19"/>
                <w:szCs w:val="19"/>
                <w:lang w:eastAsia="en-GB"/>
              </w:rPr>
            </w:pPr>
            <w:r w:rsidRPr="00433F46">
              <w:rPr>
                <w:rFonts w:eastAsia="Times New Roman" w:cs="Times New Roman"/>
                <w:b/>
                <w:bCs/>
                <w:sz w:val="19"/>
                <w:szCs w:val="19"/>
                <w:lang w:eastAsia="en-GB"/>
              </w:rPr>
              <w:t>(n=455)</w:t>
            </w:r>
          </w:p>
        </w:tc>
        <w:tc>
          <w:tcPr>
            <w:tcW w:w="1984" w:type="dxa"/>
            <w:shd w:val="clear" w:color="auto" w:fill="EEECE1" w:themeFill="background2"/>
            <w:vAlign w:val="center"/>
          </w:tcPr>
          <w:p w14:paraId="3A65CD54" w14:textId="77777777" w:rsidR="001C5298" w:rsidRPr="00316F57" w:rsidRDefault="001C5298" w:rsidP="00316FF5">
            <w:pPr>
              <w:jc w:val="center"/>
              <w:rPr>
                <w:rFonts w:eastAsia="Times New Roman" w:cs="Times New Roman"/>
                <w:bCs/>
                <w:sz w:val="19"/>
                <w:szCs w:val="19"/>
                <w:lang w:eastAsia="en-GB"/>
              </w:rPr>
            </w:pPr>
          </w:p>
        </w:tc>
        <w:tc>
          <w:tcPr>
            <w:tcW w:w="1985" w:type="dxa"/>
            <w:shd w:val="clear" w:color="auto" w:fill="EEECE1" w:themeFill="background2"/>
            <w:vAlign w:val="center"/>
          </w:tcPr>
          <w:p w14:paraId="6E82E468" w14:textId="77777777" w:rsidR="001C5298" w:rsidRPr="00316F57" w:rsidRDefault="001C5298" w:rsidP="00316FF5">
            <w:pPr>
              <w:jc w:val="center"/>
              <w:rPr>
                <w:rFonts w:eastAsia="Times New Roman" w:cs="Times New Roman"/>
                <w:bCs/>
                <w:sz w:val="19"/>
                <w:szCs w:val="19"/>
                <w:lang w:eastAsia="en-GB"/>
              </w:rPr>
            </w:pPr>
          </w:p>
        </w:tc>
        <w:tc>
          <w:tcPr>
            <w:tcW w:w="1843" w:type="dxa"/>
            <w:shd w:val="clear" w:color="auto" w:fill="EEECE1" w:themeFill="background2"/>
            <w:vAlign w:val="center"/>
          </w:tcPr>
          <w:p w14:paraId="2E816244" w14:textId="77777777" w:rsidR="001C5298" w:rsidRPr="00316F57" w:rsidRDefault="001C5298" w:rsidP="00316FF5">
            <w:pPr>
              <w:jc w:val="center"/>
              <w:rPr>
                <w:rFonts w:eastAsia="Times New Roman" w:cs="Times New Roman"/>
                <w:bCs/>
                <w:sz w:val="19"/>
                <w:szCs w:val="19"/>
                <w:lang w:eastAsia="en-GB"/>
              </w:rPr>
            </w:pPr>
          </w:p>
        </w:tc>
        <w:tc>
          <w:tcPr>
            <w:tcW w:w="1701" w:type="dxa"/>
            <w:tcBorders>
              <w:right w:val="nil"/>
            </w:tcBorders>
            <w:shd w:val="clear" w:color="auto" w:fill="EEECE1" w:themeFill="background2"/>
            <w:vAlign w:val="center"/>
          </w:tcPr>
          <w:p w14:paraId="34A3A78A" w14:textId="77777777" w:rsidR="001C5298" w:rsidRPr="00316F57" w:rsidRDefault="001C5298" w:rsidP="00316FF5">
            <w:pPr>
              <w:jc w:val="center"/>
              <w:rPr>
                <w:rFonts w:eastAsia="Times New Roman" w:cs="Times New Roman"/>
                <w:bCs/>
                <w:sz w:val="19"/>
                <w:szCs w:val="19"/>
                <w:lang w:eastAsia="en-GB"/>
              </w:rPr>
            </w:pPr>
          </w:p>
        </w:tc>
        <w:tc>
          <w:tcPr>
            <w:tcW w:w="850" w:type="dxa"/>
            <w:tcBorders>
              <w:left w:val="nil"/>
            </w:tcBorders>
            <w:shd w:val="clear" w:color="auto" w:fill="EEECE1" w:themeFill="background2"/>
            <w:vAlign w:val="center"/>
          </w:tcPr>
          <w:p w14:paraId="055F3500" w14:textId="77777777" w:rsidR="001C5298" w:rsidRPr="00316F57" w:rsidRDefault="001C5298" w:rsidP="00316FF5">
            <w:pPr>
              <w:jc w:val="center"/>
              <w:rPr>
                <w:rFonts w:eastAsia="Times New Roman" w:cs="Times New Roman"/>
                <w:bCs/>
                <w:sz w:val="19"/>
                <w:szCs w:val="19"/>
                <w:lang w:eastAsia="en-GB"/>
              </w:rPr>
            </w:pPr>
          </w:p>
        </w:tc>
      </w:tr>
      <w:tr w:rsidR="001C5298" w14:paraId="419D3AE5" w14:textId="77777777" w:rsidTr="00BD0CE0">
        <w:trPr>
          <w:trHeight w:val="272"/>
        </w:trPr>
        <w:tc>
          <w:tcPr>
            <w:tcW w:w="4678" w:type="dxa"/>
            <w:vAlign w:val="center"/>
          </w:tcPr>
          <w:p w14:paraId="5C69926D" w14:textId="77777777" w:rsidR="001C5298" w:rsidRPr="00316F57" w:rsidRDefault="001C5298" w:rsidP="00316FF5">
            <w:pPr>
              <w:rPr>
                <w:rFonts w:eastAsia="Calibri" w:cs="Calibri"/>
                <w:color w:val="000000"/>
                <w:sz w:val="19"/>
                <w:szCs w:val="19"/>
              </w:rPr>
            </w:pPr>
            <w:r>
              <w:rPr>
                <w:rFonts w:eastAsia="Calibri" w:cs="Calibri"/>
                <w:color w:val="000000"/>
                <w:sz w:val="19"/>
                <w:szCs w:val="19"/>
              </w:rPr>
              <w:t>Death from any cause [Primary outcome]</w:t>
            </w:r>
          </w:p>
        </w:tc>
        <w:tc>
          <w:tcPr>
            <w:tcW w:w="1205" w:type="dxa"/>
            <w:vAlign w:val="center"/>
          </w:tcPr>
          <w:p w14:paraId="592337F0" w14:textId="77777777" w:rsidR="001C5298" w:rsidRDefault="001C5298" w:rsidP="00316FF5">
            <w:pPr>
              <w:jc w:val="center"/>
              <w:rPr>
                <w:rFonts w:eastAsia="Calibri" w:cs="Calibri"/>
                <w:color w:val="000000"/>
                <w:sz w:val="19"/>
                <w:szCs w:val="19"/>
              </w:rPr>
            </w:pPr>
            <w:r>
              <w:rPr>
                <w:rFonts w:eastAsia="Calibri" w:cs="Calibri"/>
                <w:color w:val="000000"/>
                <w:sz w:val="19"/>
                <w:szCs w:val="19"/>
              </w:rPr>
              <w:t>21 (4.6%)</w:t>
            </w:r>
          </w:p>
        </w:tc>
        <w:tc>
          <w:tcPr>
            <w:tcW w:w="1205" w:type="dxa"/>
            <w:vAlign w:val="center"/>
          </w:tcPr>
          <w:p w14:paraId="3725D1F2" w14:textId="77777777" w:rsidR="001C5298" w:rsidRPr="00316F57" w:rsidRDefault="001C5298" w:rsidP="00316FF5">
            <w:pPr>
              <w:jc w:val="center"/>
              <w:rPr>
                <w:rFonts w:eastAsia="Calibri" w:cs="Calibri"/>
                <w:color w:val="000000"/>
                <w:sz w:val="19"/>
                <w:szCs w:val="19"/>
              </w:rPr>
            </w:pPr>
            <w:r>
              <w:rPr>
                <w:rFonts w:eastAsia="Calibri" w:cs="Calibri"/>
                <w:color w:val="000000"/>
                <w:sz w:val="19"/>
                <w:szCs w:val="19"/>
              </w:rPr>
              <w:t>30 (6.6%)</w:t>
            </w:r>
          </w:p>
        </w:tc>
        <w:tc>
          <w:tcPr>
            <w:tcW w:w="1984" w:type="dxa"/>
            <w:vAlign w:val="center"/>
          </w:tcPr>
          <w:p w14:paraId="40F41000" w14:textId="77777777" w:rsidR="001C5298" w:rsidRPr="008B6E0C" w:rsidRDefault="001C5298" w:rsidP="00316FF5">
            <w:pPr>
              <w:jc w:val="center"/>
              <w:rPr>
                <w:sz w:val="19"/>
                <w:szCs w:val="19"/>
              </w:rPr>
            </w:pPr>
            <w:r w:rsidRPr="002B4B1E">
              <w:rPr>
                <w:rFonts w:ascii="Calibri" w:hAnsi="Calibri" w:cs="Calibri"/>
                <w:sz w:val="19"/>
                <w:szCs w:val="19"/>
              </w:rPr>
              <w:t>-2.0% (-5.0%, 1.0%)</w:t>
            </w:r>
          </w:p>
        </w:tc>
        <w:tc>
          <w:tcPr>
            <w:tcW w:w="1985" w:type="dxa"/>
            <w:vAlign w:val="center"/>
          </w:tcPr>
          <w:p w14:paraId="6E1696BB" w14:textId="77777777" w:rsidR="001C5298" w:rsidRPr="008B6E0C" w:rsidRDefault="001C5298" w:rsidP="00316FF5">
            <w:pPr>
              <w:jc w:val="center"/>
              <w:rPr>
                <w:sz w:val="19"/>
                <w:szCs w:val="19"/>
              </w:rPr>
            </w:pPr>
            <w:r w:rsidRPr="002B4B1E">
              <w:rPr>
                <w:rFonts w:ascii="Calibri" w:hAnsi="Calibri" w:cs="Calibri"/>
                <w:sz w:val="19"/>
                <w:szCs w:val="19"/>
              </w:rPr>
              <w:t>-2.0% (-5.2%, 1.2%)</w:t>
            </w:r>
          </w:p>
        </w:tc>
        <w:tc>
          <w:tcPr>
            <w:tcW w:w="1843" w:type="dxa"/>
            <w:vAlign w:val="center"/>
          </w:tcPr>
          <w:p w14:paraId="73A16FC1" w14:textId="77777777" w:rsidR="001C5298" w:rsidRPr="008B6E0C" w:rsidRDefault="001C5298" w:rsidP="00316FF5">
            <w:pPr>
              <w:jc w:val="center"/>
              <w:rPr>
                <w:sz w:val="19"/>
                <w:szCs w:val="19"/>
              </w:rPr>
            </w:pPr>
            <w:r w:rsidRPr="002B4B1E">
              <w:rPr>
                <w:rFonts w:ascii="Calibri" w:hAnsi="Calibri" w:cs="Calibri"/>
                <w:sz w:val="19"/>
                <w:szCs w:val="19"/>
              </w:rPr>
              <w:t>0.69 (0.39, 1.20)</w:t>
            </w:r>
          </w:p>
        </w:tc>
        <w:tc>
          <w:tcPr>
            <w:tcW w:w="1701" w:type="dxa"/>
            <w:tcBorders>
              <w:right w:val="nil"/>
            </w:tcBorders>
            <w:vAlign w:val="center"/>
          </w:tcPr>
          <w:p w14:paraId="134927A4" w14:textId="77777777" w:rsidR="001C5298" w:rsidRPr="008B6E0C" w:rsidRDefault="001C5298" w:rsidP="00316FF5">
            <w:pPr>
              <w:jc w:val="center"/>
              <w:rPr>
                <w:sz w:val="19"/>
                <w:szCs w:val="19"/>
              </w:rPr>
            </w:pPr>
            <w:r w:rsidRPr="002B4B1E">
              <w:rPr>
                <w:rFonts w:ascii="Calibri" w:hAnsi="Calibri" w:cs="Calibri"/>
                <w:sz w:val="19"/>
                <w:szCs w:val="19"/>
              </w:rPr>
              <w:t>0.69 (0.38, 1.26)</w:t>
            </w:r>
          </w:p>
        </w:tc>
        <w:tc>
          <w:tcPr>
            <w:tcW w:w="850" w:type="dxa"/>
            <w:tcBorders>
              <w:left w:val="nil"/>
            </w:tcBorders>
            <w:vAlign w:val="center"/>
          </w:tcPr>
          <w:p w14:paraId="78828109" w14:textId="77777777" w:rsidR="001C5298" w:rsidRPr="008B6E0C" w:rsidRDefault="001C5298" w:rsidP="00316FF5">
            <w:pPr>
              <w:jc w:val="center"/>
              <w:rPr>
                <w:sz w:val="19"/>
                <w:szCs w:val="19"/>
              </w:rPr>
            </w:pPr>
            <w:r w:rsidRPr="002B4B1E">
              <w:rPr>
                <w:rFonts w:ascii="Calibri" w:hAnsi="Calibri" w:cs="Calibri"/>
                <w:sz w:val="19"/>
                <w:szCs w:val="19"/>
              </w:rPr>
              <w:t>0.23</w:t>
            </w:r>
          </w:p>
        </w:tc>
      </w:tr>
      <w:tr w:rsidR="001C5298" w:rsidRPr="00316F57" w14:paraId="75BD02F0" w14:textId="77777777" w:rsidTr="00BD0CE0">
        <w:trPr>
          <w:trHeight w:val="272"/>
        </w:trPr>
        <w:tc>
          <w:tcPr>
            <w:tcW w:w="4678" w:type="dxa"/>
            <w:shd w:val="clear" w:color="auto" w:fill="EEECE1" w:themeFill="background2"/>
            <w:vAlign w:val="center"/>
          </w:tcPr>
          <w:p w14:paraId="0F53643B" w14:textId="37EF874E" w:rsidR="001C5298" w:rsidRPr="00571668" w:rsidRDefault="001C5298" w:rsidP="00316FF5">
            <w:pPr>
              <w:rPr>
                <w:rFonts w:eastAsia="Times New Roman" w:cs="Times New Roman"/>
                <w:b/>
                <w:bCs/>
                <w:sz w:val="19"/>
                <w:szCs w:val="19"/>
                <w:lang w:eastAsia="en-GB"/>
              </w:rPr>
            </w:pPr>
            <w:r>
              <w:rPr>
                <w:rFonts w:eastAsia="Times New Roman" w:cs="Times New Roman"/>
                <w:b/>
                <w:bCs/>
                <w:sz w:val="19"/>
                <w:szCs w:val="19"/>
                <w:lang w:eastAsia="en-GB"/>
              </w:rPr>
              <w:t xml:space="preserve">Secondary Outcomes: </w:t>
            </w:r>
            <w:r w:rsidRPr="00571668">
              <w:rPr>
                <w:rFonts w:eastAsia="Times New Roman" w:cs="Times New Roman"/>
                <w:b/>
                <w:bCs/>
                <w:sz w:val="19"/>
                <w:szCs w:val="19"/>
                <w:lang w:eastAsia="en-GB"/>
              </w:rPr>
              <w:t>One Year Post-Randomization</w:t>
            </w:r>
            <w:r w:rsidR="00565091" w:rsidRPr="00565091">
              <w:rPr>
                <w:rFonts w:eastAsia="Times New Roman" w:cs="Times New Roman"/>
                <w:b/>
                <w:bCs/>
                <w:sz w:val="19"/>
                <w:szCs w:val="19"/>
                <w:vertAlign w:val="superscript"/>
                <w:lang w:eastAsia="en-GB"/>
              </w:rPr>
              <w:t>b</w:t>
            </w:r>
          </w:p>
        </w:tc>
        <w:tc>
          <w:tcPr>
            <w:tcW w:w="1205" w:type="dxa"/>
            <w:shd w:val="clear" w:color="auto" w:fill="EEECE1" w:themeFill="background2"/>
            <w:vAlign w:val="center"/>
          </w:tcPr>
          <w:p w14:paraId="0D38D53F" w14:textId="77777777" w:rsidR="001C5298" w:rsidRPr="00433F46" w:rsidRDefault="001C5298" w:rsidP="00316FF5">
            <w:pPr>
              <w:jc w:val="center"/>
              <w:rPr>
                <w:rFonts w:eastAsia="Times New Roman" w:cs="Times New Roman"/>
                <w:b/>
                <w:bCs/>
                <w:sz w:val="19"/>
                <w:szCs w:val="19"/>
                <w:lang w:eastAsia="en-GB"/>
              </w:rPr>
            </w:pPr>
            <w:r w:rsidRPr="00433F46">
              <w:rPr>
                <w:rFonts w:eastAsia="Times New Roman" w:cs="Times New Roman"/>
                <w:b/>
                <w:bCs/>
                <w:sz w:val="19"/>
                <w:szCs w:val="19"/>
                <w:lang w:eastAsia="en-GB"/>
              </w:rPr>
              <w:t>(n=458)</w:t>
            </w:r>
          </w:p>
        </w:tc>
        <w:tc>
          <w:tcPr>
            <w:tcW w:w="1205" w:type="dxa"/>
            <w:shd w:val="clear" w:color="auto" w:fill="EEECE1" w:themeFill="background2"/>
            <w:vAlign w:val="center"/>
          </w:tcPr>
          <w:p w14:paraId="58599300" w14:textId="5DC7E914" w:rsidR="001C5298" w:rsidRPr="00433F46" w:rsidRDefault="001C5298" w:rsidP="00316FF5">
            <w:pPr>
              <w:jc w:val="center"/>
              <w:rPr>
                <w:rFonts w:eastAsia="Times New Roman" w:cs="Times New Roman"/>
                <w:b/>
                <w:bCs/>
                <w:sz w:val="19"/>
                <w:szCs w:val="19"/>
                <w:lang w:eastAsia="en-GB"/>
              </w:rPr>
            </w:pPr>
            <w:r w:rsidRPr="00433F46">
              <w:rPr>
                <w:rFonts w:eastAsia="Times New Roman" w:cs="Times New Roman"/>
                <w:b/>
                <w:bCs/>
                <w:sz w:val="19"/>
                <w:szCs w:val="19"/>
                <w:lang w:eastAsia="en-GB"/>
              </w:rPr>
              <w:t>(n=455)</w:t>
            </w:r>
          </w:p>
        </w:tc>
        <w:tc>
          <w:tcPr>
            <w:tcW w:w="1984" w:type="dxa"/>
            <w:shd w:val="clear" w:color="auto" w:fill="EEECE1" w:themeFill="background2"/>
            <w:vAlign w:val="center"/>
          </w:tcPr>
          <w:p w14:paraId="7F693AEB" w14:textId="77777777" w:rsidR="001C5298" w:rsidRPr="00316F57" w:rsidRDefault="001C5298" w:rsidP="00316FF5">
            <w:pPr>
              <w:jc w:val="center"/>
              <w:rPr>
                <w:rFonts w:eastAsia="Times New Roman" w:cs="Times New Roman"/>
                <w:bCs/>
                <w:sz w:val="19"/>
                <w:szCs w:val="19"/>
                <w:lang w:eastAsia="en-GB"/>
              </w:rPr>
            </w:pPr>
          </w:p>
        </w:tc>
        <w:tc>
          <w:tcPr>
            <w:tcW w:w="1985" w:type="dxa"/>
            <w:shd w:val="clear" w:color="auto" w:fill="EEECE1" w:themeFill="background2"/>
            <w:vAlign w:val="center"/>
          </w:tcPr>
          <w:p w14:paraId="03063400" w14:textId="77777777" w:rsidR="001C5298" w:rsidRPr="00316F57" w:rsidRDefault="001C5298" w:rsidP="00316FF5">
            <w:pPr>
              <w:jc w:val="center"/>
              <w:rPr>
                <w:rFonts w:eastAsia="Times New Roman" w:cs="Times New Roman"/>
                <w:bCs/>
                <w:sz w:val="19"/>
                <w:szCs w:val="19"/>
                <w:lang w:eastAsia="en-GB"/>
              </w:rPr>
            </w:pPr>
          </w:p>
        </w:tc>
        <w:tc>
          <w:tcPr>
            <w:tcW w:w="1843" w:type="dxa"/>
            <w:shd w:val="clear" w:color="auto" w:fill="EEECE1" w:themeFill="background2"/>
            <w:vAlign w:val="center"/>
          </w:tcPr>
          <w:p w14:paraId="20058366" w14:textId="77777777" w:rsidR="001C5298" w:rsidRPr="00316F57" w:rsidRDefault="001C5298" w:rsidP="00316FF5">
            <w:pPr>
              <w:jc w:val="center"/>
              <w:rPr>
                <w:rFonts w:eastAsia="Times New Roman" w:cs="Times New Roman"/>
                <w:bCs/>
                <w:sz w:val="19"/>
                <w:szCs w:val="19"/>
                <w:lang w:eastAsia="en-GB"/>
              </w:rPr>
            </w:pPr>
          </w:p>
        </w:tc>
        <w:tc>
          <w:tcPr>
            <w:tcW w:w="1701" w:type="dxa"/>
            <w:tcBorders>
              <w:right w:val="nil"/>
            </w:tcBorders>
            <w:shd w:val="clear" w:color="auto" w:fill="EEECE1" w:themeFill="background2"/>
            <w:vAlign w:val="center"/>
          </w:tcPr>
          <w:p w14:paraId="0E8E97A8" w14:textId="77777777" w:rsidR="001C5298" w:rsidRPr="00316F57" w:rsidRDefault="001C5298" w:rsidP="00316FF5">
            <w:pPr>
              <w:jc w:val="center"/>
              <w:rPr>
                <w:rFonts w:eastAsia="Times New Roman" w:cs="Times New Roman"/>
                <w:bCs/>
                <w:sz w:val="19"/>
                <w:szCs w:val="19"/>
                <w:lang w:eastAsia="en-GB"/>
              </w:rPr>
            </w:pPr>
          </w:p>
        </w:tc>
        <w:tc>
          <w:tcPr>
            <w:tcW w:w="850" w:type="dxa"/>
            <w:tcBorders>
              <w:left w:val="nil"/>
            </w:tcBorders>
            <w:shd w:val="clear" w:color="auto" w:fill="EEECE1" w:themeFill="background2"/>
            <w:vAlign w:val="center"/>
          </w:tcPr>
          <w:p w14:paraId="0F5CC9F9" w14:textId="77777777" w:rsidR="001C5298" w:rsidRPr="00316F57" w:rsidRDefault="001C5298" w:rsidP="00316FF5">
            <w:pPr>
              <w:jc w:val="center"/>
              <w:rPr>
                <w:rFonts w:eastAsia="Times New Roman" w:cs="Times New Roman"/>
                <w:bCs/>
                <w:sz w:val="19"/>
                <w:szCs w:val="19"/>
                <w:lang w:eastAsia="en-GB"/>
              </w:rPr>
            </w:pPr>
          </w:p>
        </w:tc>
      </w:tr>
      <w:tr w:rsidR="001C5298" w14:paraId="27919146" w14:textId="77777777" w:rsidTr="00BD0CE0">
        <w:trPr>
          <w:trHeight w:val="272"/>
        </w:trPr>
        <w:tc>
          <w:tcPr>
            <w:tcW w:w="4678" w:type="dxa"/>
            <w:vAlign w:val="center"/>
          </w:tcPr>
          <w:p w14:paraId="47E92A26"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Cardiovascular death</w:t>
            </w:r>
          </w:p>
        </w:tc>
        <w:tc>
          <w:tcPr>
            <w:tcW w:w="1205" w:type="dxa"/>
            <w:vAlign w:val="center"/>
          </w:tcPr>
          <w:p w14:paraId="5702CE2B" w14:textId="77777777" w:rsidR="001C5298" w:rsidRPr="00316F57" w:rsidRDefault="001C5298" w:rsidP="00316FF5">
            <w:pPr>
              <w:jc w:val="center"/>
              <w:rPr>
                <w:rFonts w:eastAsia="Calibri" w:cs="Times New Roman"/>
                <w:sz w:val="19"/>
                <w:szCs w:val="19"/>
              </w:rPr>
            </w:pPr>
            <w:r>
              <w:rPr>
                <w:rFonts w:eastAsia="Calibri" w:cs="Calibri"/>
                <w:color w:val="000000"/>
                <w:sz w:val="19"/>
                <w:szCs w:val="19"/>
              </w:rPr>
              <w:t xml:space="preserve">13 </w:t>
            </w:r>
            <w:r w:rsidRPr="00316F57">
              <w:rPr>
                <w:rFonts w:eastAsia="Calibri" w:cs="Calibri"/>
                <w:color w:val="000000"/>
                <w:sz w:val="19"/>
                <w:szCs w:val="19"/>
              </w:rPr>
              <w:t>(2.8%)</w:t>
            </w:r>
          </w:p>
        </w:tc>
        <w:tc>
          <w:tcPr>
            <w:tcW w:w="1205" w:type="dxa"/>
            <w:vAlign w:val="center"/>
          </w:tcPr>
          <w:p w14:paraId="21AC23B6"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15 (3.3%)</w:t>
            </w:r>
          </w:p>
        </w:tc>
        <w:tc>
          <w:tcPr>
            <w:tcW w:w="1984" w:type="dxa"/>
            <w:vAlign w:val="center"/>
          </w:tcPr>
          <w:p w14:paraId="63E2B9A8" w14:textId="77777777" w:rsidR="001C5298" w:rsidRPr="00316F57" w:rsidRDefault="001C5298" w:rsidP="00316FF5">
            <w:pPr>
              <w:jc w:val="center"/>
              <w:rPr>
                <w:sz w:val="19"/>
                <w:szCs w:val="19"/>
              </w:rPr>
            </w:pPr>
            <w:r w:rsidRPr="00316F57">
              <w:rPr>
                <w:sz w:val="19"/>
                <w:szCs w:val="19"/>
              </w:rPr>
              <w:t>-0.5% (-2.7%, 1.8%)</w:t>
            </w:r>
          </w:p>
        </w:tc>
        <w:tc>
          <w:tcPr>
            <w:tcW w:w="1985" w:type="dxa"/>
            <w:vAlign w:val="center"/>
          </w:tcPr>
          <w:p w14:paraId="0BF9593F" w14:textId="77777777" w:rsidR="001C5298" w:rsidRPr="00316F57" w:rsidRDefault="001C5298" w:rsidP="00316FF5">
            <w:pPr>
              <w:jc w:val="center"/>
              <w:rPr>
                <w:sz w:val="19"/>
                <w:szCs w:val="19"/>
              </w:rPr>
            </w:pPr>
            <w:r w:rsidRPr="00316F57">
              <w:rPr>
                <w:sz w:val="19"/>
                <w:szCs w:val="19"/>
              </w:rPr>
              <w:t>-0.5% (-2.8%, 1.9%)</w:t>
            </w:r>
          </w:p>
        </w:tc>
        <w:tc>
          <w:tcPr>
            <w:tcW w:w="1843" w:type="dxa"/>
            <w:vAlign w:val="center"/>
          </w:tcPr>
          <w:p w14:paraId="77E178FC" w14:textId="77777777" w:rsidR="001C5298" w:rsidRPr="00316F57" w:rsidRDefault="001C5298" w:rsidP="00316FF5">
            <w:pPr>
              <w:jc w:val="center"/>
              <w:rPr>
                <w:sz w:val="19"/>
                <w:szCs w:val="19"/>
              </w:rPr>
            </w:pPr>
            <w:r w:rsidRPr="00316F57">
              <w:rPr>
                <w:sz w:val="19"/>
                <w:szCs w:val="19"/>
              </w:rPr>
              <w:t>0.85 (0.41, 1.80)</w:t>
            </w:r>
          </w:p>
        </w:tc>
        <w:tc>
          <w:tcPr>
            <w:tcW w:w="1701" w:type="dxa"/>
            <w:tcBorders>
              <w:right w:val="nil"/>
            </w:tcBorders>
            <w:vAlign w:val="center"/>
          </w:tcPr>
          <w:p w14:paraId="1FEB571B" w14:textId="77777777" w:rsidR="001C5298" w:rsidRPr="00316F57" w:rsidRDefault="001C5298" w:rsidP="00316FF5">
            <w:pPr>
              <w:jc w:val="center"/>
              <w:rPr>
                <w:sz w:val="19"/>
                <w:szCs w:val="19"/>
              </w:rPr>
            </w:pPr>
            <w:r w:rsidRPr="00316F57">
              <w:rPr>
                <w:sz w:val="19"/>
                <w:szCs w:val="19"/>
              </w:rPr>
              <w:t>0.86 (0.40, 1.83)</w:t>
            </w:r>
          </w:p>
        </w:tc>
        <w:tc>
          <w:tcPr>
            <w:tcW w:w="850" w:type="dxa"/>
            <w:tcBorders>
              <w:left w:val="nil"/>
            </w:tcBorders>
            <w:vAlign w:val="center"/>
          </w:tcPr>
          <w:p w14:paraId="22796E84" w14:textId="77777777" w:rsidR="001C5298" w:rsidRPr="00316F57" w:rsidRDefault="001C5298" w:rsidP="00316FF5">
            <w:pPr>
              <w:jc w:val="center"/>
              <w:rPr>
                <w:sz w:val="19"/>
                <w:szCs w:val="19"/>
              </w:rPr>
            </w:pPr>
            <w:r w:rsidRPr="00316F57">
              <w:rPr>
                <w:sz w:val="19"/>
                <w:szCs w:val="19"/>
              </w:rPr>
              <w:t>0.69</w:t>
            </w:r>
          </w:p>
        </w:tc>
      </w:tr>
      <w:tr w:rsidR="001C5298" w14:paraId="539C7D6F" w14:textId="77777777" w:rsidTr="00BD0CE0">
        <w:trPr>
          <w:trHeight w:val="272"/>
        </w:trPr>
        <w:tc>
          <w:tcPr>
            <w:tcW w:w="4678" w:type="dxa"/>
            <w:vAlign w:val="center"/>
          </w:tcPr>
          <w:p w14:paraId="167F03AC"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Stroke</w:t>
            </w:r>
            <w:r>
              <w:rPr>
                <w:rFonts w:eastAsia="Calibri" w:cs="Calibri"/>
                <w:color w:val="000000"/>
                <w:sz w:val="19"/>
                <w:szCs w:val="19"/>
              </w:rPr>
              <w:t xml:space="preserve"> (fatal or non-fatal)</w:t>
            </w:r>
          </w:p>
        </w:tc>
        <w:tc>
          <w:tcPr>
            <w:tcW w:w="1205" w:type="dxa"/>
            <w:vAlign w:val="center"/>
          </w:tcPr>
          <w:p w14:paraId="21BC9DC6"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24 (5.2%)</w:t>
            </w:r>
          </w:p>
        </w:tc>
        <w:tc>
          <w:tcPr>
            <w:tcW w:w="1205" w:type="dxa"/>
            <w:vAlign w:val="center"/>
          </w:tcPr>
          <w:p w14:paraId="5BFD88EC"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12 (2.6%)</w:t>
            </w:r>
          </w:p>
        </w:tc>
        <w:tc>
          <w:tcPr>
            <w:tcW w:w="1984" w:type="dxa"/>
            <w:vAlign w:val="center"/>
          </w:tcPr>
          <w:p w14:paraId="287AB754" w14:textId="77777777" w:rsidR="001C5298" w:rsidRPr="00316F57" w:rsidRDefault="001C5298" w:rsidP="00316FF5">
            <w:pPr>
              <w:jc w:val="center"/>
              <w:rPr>
                <w:sz w:val="19"/>
                <w:szCs w:val="19"/>
              </w:rPr>
            </w:pPr>
            <w:r w:rsidRPr="00316F57">
              <w:rPr>
                <w:sz w:val="19"/>
                <w:szCs w:val="19"/>
              </w:rPr>
              <w:t>2.6% (0.1%, 5.1%)</w:t>
            </w:r>
          </w:p>
        </w:tc>
        <w:tc>
          <w:tcPr>
            <w:tcW w:w="1985" w:type="dxa"/>
            <w:vAlign w:val="center"/>
          </w:tcPr>
          <w:p w14:paraId="06D7D315" w14:textId="77777777" w:rsidR="001C5298" w:rsidRPr="00316F57" w:rsidRDefault="001C5298" w:rsidP="00316FF5">
            <w:pPr>
              <w:jc w:val="center"/>
              <w:rPr>
                <w:sz w:val="19"/>
                <w:szCs w:val="19"/>
              </w:rPr>
            </w:pPr>
            <w:r w:rsidRPr="00316F57">
              <w:rPr>
                <w:sz w:val="19"/>
                <w:szCs w:val="19"/>
              </w:rPr>
              <w:t>2.6% (0.0%, 5.2%)</w:t>
            </w:r>
          </w:p>
        </w:tc>
        <w:tc>
          <w:tcPr>
            <w:tcW w:w="1843" w:type="dxa"/>
            <w:vAlign w:val="center"/>
          </w:tcPr>
          <w:p w14:paraId="20C97DA2" w14:textId="77777777" w:rsidR="001C5298" w:rsidRPr="00316F57" w:rsidRDefault="001C5298" w:rsidP="00316FF5">
            <w:pPr>
              <w:jc w:val="center"/>
              <w:rPr>
                <w:sz w:val="19"/>
                <w:szCs w:val="19"/>
              </w:rPr>
            </w:pPr>
            <w:r w:rsidRPr="00316F57">
              <w:rPr>
                <w:sz w:val="19"/>
                <w:szCs w:val="19"/>
              </w:rPr>
              <w:t>1.98 (0.99, 3.95)</w:t>
            </w:r>
          </w:p>
        </w:tc>
        <w:tc>
          <w:tcPr>
            <w:tcW w:w="1701" w:type="dxa"/>
            <w:tcBorders>
              <w:right w:val="nil"/>
            </w:tcBorders>
            <w:vAlign w:val="center"/>
          </w:tcPr>
          <w:p w14:paraId="6CE581BF" w14:textId="77777777" w:rsidR="001C5298" w:rsidRPr="00316F57" w:rsidRDefault="001C5298" w:rsidP="00316FF5">
            <w:pPr>
              <w:jc w:val="center"/>
              <w:rPr>
                <w:sz w:val="19"/>
                <w:szCs w:val="19"/>
              </w:rPr>
            </w:pPr>
            <w:r w:rsidRPr="00316F57">
              <w:rPr>
                <w:sz w:val="19"/>
                <w:szCs w:val="19"/>
              </w:rPr>
              <w:t>1.98 (0.95, 4.11)</w:t>
            </w:r>
          </w:p>
        </w:tc>
        <w:tc>
          <w:tcPr>
            <w:tcW w:w="850" w:type="dxa"/>
            <w:tcBorders>
              <w:left w:val="nil"/>
            </w:tcBorders>
            <w:vAlign w:val="center"/>
          </w:tcPr>
          <w:p w14:paraId="3BAF6AAF" w14:textId="77777777" w:rsidR="001C5298" w:rsidRPr="00316F57" w:rsidRDefault="001C5298" w:rsidP="00316FF5">
            <w:pPr>
              <w:jc w:val="center"/>
              <w:rPr>
                <w:sz w:val="19"/>
                <w:szCs w:val="19"/>
              </w:rPr>
            </w:pPr>
            <w:r w:rsidRPr="00316F57">
              <w:rPr>
                <w:sz w:val="19"/>
                <w:szCs w:val="19"/>
              </w:rPr>
              <w:t>0.07</w:t>
            </w:r>
          </w:p>
        </w:tc>
      </w:tr>
      <w:tr w:rsidR="001C5298" w14:paraId="433141B5" w14:textId="77777777" w:rsidTr="00BD0CE0">
        <w:trPr>
          <w:trHeight w:val="272"/>
        </w:trPr>
        <w:tc>
          <w:tcPr>
            <w:tcW w:w="4678" w:type="dxa"/>
            <w:vAlign w:val="center"/>
          </w:tcPr>
          <w:p w14:paraId="3584FE91"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Death from any cause or non-fatal stroke</w:t>
            </w:r>
          </w:p>
        </w:tc>
        <w:tc>
          <w:tcPr>
            <w:tcW w:w="1205" w:type="dxa"/>
            <w:vAlign w:val="center"/>
          </w:tcPr>
          <w:p w14:paraId="4A26C216"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39 (8.5%)</w:t>
            </w:r>
          </w:p>
        </w:tc>
        <w:tc>
          <w:tcPr>
            <w:tcW w:w="1205" w:type="dxa"/>
            <w:vAlign w:val="center"/>
          </w:tcPr>
          <w:p w14:paraId="4BF0B5C9"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40 (8.8%)</w:t>
            </w:r>
          </w:p>
        </w:tc>
        <w:tc>
          <w:tcPr>
            <w:tcW w:w="1984" w:type="dxa"/>
            <w:vAlign w:val="center"/>
          </w:tcPr>
          <w:p w14:paraId="6C7ABA28" w14:textId="77777777" w:rsidR="001C5298" w:rsidRPr="00316F57" w:rsidRDefault="001C5298" w:rsidP="00316FF5">
            <w:pPr>
              <w:jc w:val="center"/>
              <w:rPr>
                <w:sz w:val="19"/>
                <w:szCs w:val="19"/>
              </w:rPr>
            </w:pPr>
            <w:r w:rsidRPr="00316F57">
              <w:rPr>
                <w:sz w:val="19"/>
                <w:szCs w:val="19"/>
              </w:rPr>
              <w:t>-0.3% (-3.9%, 3.4%)</w:t>
            </w:r>
          </w:p>
        </w:tc>
        <w:tc>
          <w:tcPr>
            <w:tcW w:w="1985" w:type="dxa"/>
            <w:vAlign w:val="center"/>
          </w:tcPr>
          <w:p w14:paraId="3B447E14" w14:textId="77777777" w:rsidR="001C5298" w:rsidRPr="00316F57" w:rsidRDefault="001C5298" w:rsidP="00316FF5">
            <w:pPr>
              <w:jc w:val="center"/>
              <w:rPr>
                <w:sz w:val="19"/>
                <w:szCs w:val="19"/>
              </w:rPr>
            </w:pPr>
            <w:r w:rsidRPr="00316F57">
              <w:rPr>
                <w:sz w:val="19"/>
                <w:szCs w:val="19"/>
              </w:rPr>
              <w:t>-0.3% (-4.4%, 3.9%)</w:t>
            </w:r>
          </w:p>
        </w:tc>
        <w:tc>
          <w:tcPr>
            <w:tcW w:w="1843" w:type="dxa"/>
            <w:vAlign w:val="center"/>
          </w:tcPr>
          <w:p w14:paraId="4DA58E52" w14:textId="77777777" w:rsidR="001C5298" w:rsidRPr="00316F57" w:rsidRDefault="001C5298" w:rsidP="00316FF5">
            <w:pPr>
              <w:jc w:val="center"/>
              <w:rPr>
                <w:sz w:val="19"/>
                <w:szCs w:val="19"/>
              </w:rPr>
            </w:pPr>
            <w:r w:rsidRPr="00316F57">
              <w:rPr>
                <w:sz w:val="19"/>
                <w:szCs w:val="19"/>
              </w:rPr>
              <w:t>0.96 (0.62, 1.50)</w:t>
            </w:r>
          </w:p>
        </w:tc>
        <w:tc>
          <w:tcPr>
            <w:tcW w:w="1701" w:type="dxa"/>
            <w:tcBorders>
              <w:right w:val="nil"/>
            </w:tcBorders>
            <w:vAlign w:val="center"/>
          </w:tcPr>
          <w:p w14:paraId="6351BD73" w14:textId="77777777" w:rsidR="001C5298" w:rsidRPr="00316F57" w:rsidRDefault="001C5298" w:rsidP="00316FF5">
            <w:pPr>
              <w:jc w:val="center"/>
              <w:rPr>
                <w:sz w:val="19"/>
                <w:szCs w:val="19"/>
              </w:rPr>
            </w:pPr>
            <w:r w:rsidRPr="00316F57">
              <w:rPr>
                <w:sz w:val="19"/>
                <w:szCs w:val="19"/>
              </w:rPr>
              <w:t>0.96 (0.58, 1.59)</w:t>
            </w:r>
          </w:p>
        </w:tc>
        <w:tc>
          <w:tcPr>
            <w:tcW w:w="850" w:type="dxa"/>
            <w:tcBorders>
              <w:left w:val="nil"/>
            </w:tcBorders>
            <w:vAlign w:val="center"/>
          </w:tcPr>
          <w:p w14:paraId="51DDC090" w14:textId="77777777" w:rsidR="001C5298" w:rsidRPr="00316F57" w:rsidRDefault="001C5298" w:rsidP="00316FF5">
            <w:pPr>
              <w:jc w:val="center"/>
              <w:rPr>
                <w:sz w:val="19"/>
                <w:szCs w:val="19"/>
              </w:rPr>
            </w:pPr>
            <w:r w:rsidRPr="00316F57">
              <w:rPr>
                <w:sz w:val="19"/>
                <w:szCs w:val="19"/>
              </w:rPr>
              <w:t>0.88</w:t>
            </w:r>
          </w:p>
        </w:tc>
      </w:tr>
      <w:tr w:rsidR="001C5298" w14:paraId="078D7DCE" w14:textId="77777777" w:rsidTr="00BD0CE0">
        <w:trPr>
          <w:trHeight w:val="272"/>
        </w:trPr>
        <w:tc>
          <w:tcPr>
            <w:tcW w:w="4678" w:type="dxa"/>
            <w:vAlign w:val="center"/>
          </w:tcPr>
          <w:p w14:paraId="53B29E16"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Death from any cause or non-fatal disabling stroke</w:t>
            </w:r>
          </w:p>
        </w:tc>
        <w:tc>
          <w:tcPr>
            <w:tcW w:w="1205" w:type="dxa"/>
            <w:vAlign w:val="center"/>
          </w:tcPr>
          <w:p w14:paraId="066789F6"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30 (6.6%)</w:t>
            </w:r>
          </w:p>
        </w:tc>
        <w:tc>
          <w:tcPr>
            <w:tcW w:w="1205" w:type="dxa"/>
            <w:vAlign w:val="center"/>
          </w:tcPr>
          <w:p w14:paraId="4D245F49"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35 (7.7%)</w:t>
            </w:r>
          </w:p>
        </w:tc>
        <w:tc>
          <w:tcPr>
            <w:tcW w:w="1984" w:type="dxa"/>
            <w:vAlign w:val="center"/>
          </w:tcPr>
          <w:p w14:paraId="076840D9" w14:textId="77777777" w:rsidR="001C5298" w:rsidRPr="00316F57" w:rsidRDefault="001C5298" w:rsidP="00316FF5">
            <w:pPr>
              <w:jc w:val="center"/>
              <w:rPr>
                <w:sz w:val="19"/>
                <w:szCs w:val="19"/>
              </w:rPr>
            </w:pPr>
            <w:r w:rsidRPr="00316F57">
              <w:rPr>
                <w:sz w:val="19"/>
                <w:szCs w:val="19"/>
              </w:rPr>
              <w:t>-1.1% (-4.5%, 2.2%)</w:t>
            </w:r>
          </w:p>
        </w:tc>
        <w:tc>
          <w:tcPr>
            <w:tcW w:w="1985" w:type="dxa"/>
            <w:vAlign w:val="center"/>
          </w:tcPr>
          <w:p w14:paraId="458C89B1" w14:textId="77777777" w:rsidR="001C5298" w:rsidRPr="00316F57" w:rsidRDefault="001C5298" w:rsidP="00316FF5">
            <w:pPr>
              <w:jc w:val="center"/>
              <w:rPr>
                <w:sz w:val="19"/>
                <w:szCs w:val="19"/>
              </w:rPr>
            </w:pPr>
            <w:r w:rsidRPr="00316F57">
              <w:rPr>
                <w:sz w:val="19"/>
                <w:szCs w:val="19"/>
              </w:rPr>
              <w:t>-1.1% (-5.4%, 3.1%)</w:t>
            </w:r>
          </w:p>
        </w:tc>
        <w:tc>
          <w:tcPr>
            <w:tcW w:w="1843" w:type="dxa"/>
            <w:vAlign w:val="center"/>
          </w:tcPr>
          <w:p w14:paraId="3B8B225E" w14:textId="77777777" w:rsidR="001C5298" w:rsidRPr="00316F57" w:rsidRDefault="001C5298" w:rsidP="00316FF5">
            <w:pPr>
              <w:jc w:val="center"/>
              <w:rPr>
                <w:sz w:val="19"/>
                <w:szCs w:val="19"/>
              </w:rPr>
            </w:pPr>
            <w:r w:rsidRPr="00316F57">
              <w:rPr>
                <w:sz w:val="19"/>
                <w:szCs w:val="19"/>
              </w:rPr>
              <w:t>0.84 (0.52, 1.38)</w:t>
            </w:r>
          </w:p>
        </w:tc>
        <w:tc>
          <w:tcPr>
            <w:tcW w:w="1701" w:type="dxa"/>
            <w:tcBorders>
              <w:right w:val="nil"/>
            </w:tcBorders>
            <w:vAlign w:val="center"/>
          </w:tcPr>
          <w:p w14:paraId="63B24C88" w14:textId="77777777" w:rsidR="001C5298" w:rsidRPr="00316F57" w:rsidRDefault="001C5298" w:rsidP="00316FF5">
            <w:pPr>
              <w:jc w:val="center"/>
              <w:rPr>
                <w:sz w:val="19"/>
                <w:szCs w:val="19"/>
              </w:rPr>
            </w:pPr>
            <w:r w:rsidRPr="00316F57">
              <w:rPr>
                <w:sz w:val="19"/>
                <w:szCs w:val="19"/>
              </w:rPr>
              <w:t>0.84 (0.45, 1.58)</w:t>
            </w:r>
          </w:p>
        </w:tc>
        <w:tc>
          <w:tcPr>
            <w:tcW w:w="850" w:type="dxa"/>
            <w:tcBorders>
              <w:left w:val="nil"/>
            </w:tcBorders>
            <w:vAlign w:val="center"/>
          </w:tcPr>
          <w:p w14:paraId="4A2EFC2F" w14:textId="77777777" w:rsidR="001C5298" w:rsidRPr="00316F57" w:rsidRDefault="001C5298" w:rsidP="00316FF5">
            <w:pPr>
              <w:jc w:val="center"/>
              <w:rPr>
                <w:sz w:val="19"/>
                <w:szCs w:val="19"/>
              </w:rPr>
            </w:pPr>
            <w:r w:rsidRPr="00316F57">
              <w:rPr>
                <w:sz w:val="19"/>
                <w:szCs w:val="19"/>
              </w:rPr>
              <w:t>0.59</w:t>
            </w:r>
          </w:p>
        </w:tc>
      </w:tr>
      <w:tr w:rsidR="001C5298" w14:paraId="1474C8C8" w14:textId="77777777" w:rsidTr="00BD0CE0">
        <w:trPr>
          <w:trHeight w:val="272"/>
        </w:trPr>
        <w:tc>
          <w:tcPr>
            <w:tcW w:w="4678" w:type="dxa"/>
            <w:vAlign w:val="center"/>
          </w:tcPr>
          <w:p w14:paraId="5A1FFC6F"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Death from any cause, non-fatal stroke or re-intervention</w:t>
            </w:r>
          </w:p>
        </w:tc>
        <w:tc>
          <w:tcPr>
            <w:tcW w:w="1205" w:type="dxa"/>
            <w:vAlign w:val="center"/>
          </w:tcPr>
          <w:p w14:paraId="18241BCC"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65 (14.2%)</w:t>
            </w:r>
          </w:p>
        </w:tc>
        <w:tc>
          <w:tcPr>
            <w:tcW w:w="1205" w:type="dxa"/>
            <w:vAlign w:val="center"/>
          </w:tcPr>
          <w:p w14:paraId="3C4B230C"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74 (16.3%)</w:t>
            </w:r>
          </w:p>
        </w:tc>
        <w:tc>
          <w:tcPr>
            <w:tcW w:w="1984" w:type="dxa"/>
            <w:vAlign w:val="center"/>
          </w:tcPr>
          <w:p w14:paraId="298C5735" w14:textId="77777777" w:rsidR="001C5298" w:rsidRPr="00316F57" w:rsidRDefault="001C5298" w:rsidP="00316FF5">
            <w:pPr>
              <w:jc w:val="center"/>
              <w:rPr>
                <w:sz w:val="19"/>
                <w:szCs w:val="19"/>
              </w:rPr>
            </w:pPr>
            <w:r w:rsidRPr="00316F57">
              <w:rPr>
                <w:sz w:val="19"/>
                <w:szCs w:val="19"/>
              </w:rPr>
              <w:t>-2.1% (-6.7%, 2.6%)</w:t>
            </w:r>
          </w:p>
        </w:tc>
        <w:tc>
          <w:tcPr>
            <w:tcW w:w="1985" w:type="dxa"/>
            <w:vAlign w:val="center"/>
          </w:tcPr>
          <w:p w14:paraId="07FA498D" w14:textId="77777777" w:rsidR="001C5298" w:rsidRPr="00316F57" w:rsidRDefault="001C5298" w:rsidP="00316FF5">
            <w:pPr>
              <w:jc w:val="center"/>
              <w:rPr>
                <w:sz w:val="19"/>
                <w:szCs w:val="19"/>
              </w:rPr>
            </w:pPr>
            <w:r w:rsidRPr="00316F57">
              <w:rPr>
                <w:sz w:val="19"/>
                <w:szCs w:val="19"/>
              </w:rPr>
              <w:t>-2.1% (-7.1%, 3.0%)</w:t>
            </w:r>
          </w:p>
        </w:tc>
        <w:tc>
          <w:tcPr>
            <w:tcW w:w="1843" w:type="dxa"/>
            <w:vAlign w:val="center"/>
          </w:tcPr>
          <w:p w14:paraId="27E449AA" w14:textId="77777777" w:rsidR="001C5298" w:rsidRPr="00316F57" w:rsidRDefault="001C5298" w:rsidP="00316FF5">
            <w:pPr>
              <w:jc w:val="center"/>
              <w:rPr>
                <w:sz w:val="19"/>
                <w:szCs w:val="19"/>
              </w:rPr>
            </w:pPr>
            <w:r w:rsidRPr="00316F57">
              <w:rPr>
                <w:sz w:val="19"/>
                <w:szCs w:val="19"/>
              </w:rPr>
              <w:t>0.86 (0.62, 1.20)</w:t>
            </w:r>
          </w:p>
        </w:tc>
        <w:tc>
          <w:tcPr>
            <w:tcW w:w="1701" w:type="dxa"/>
            <w:tcBorders>
              <w:right w:val="nil"/>
            </w:tcBorders>
            <w:vAlign w:val="center"/>
          </w:tcPr>
          <w:p w14:paraId="7BEAD55F" w14:textId="77777777" w:rsidR="001C5298" w:rsidRPr="00316F57" w:rsidRDefault="001C5298" w:rsidP="00316FF5">
            <w:pPr>
              <w:jc w:val="center"/>
              <w:rPr>
                <w:sz w:val="19"/>
                <w:szCs w:val="19"/>
              </w:rPr>
            </w:pPr>
            <w:r w:rsidRPr="00316F57">
              <w:rPr>
                <w:sz w:val="19"/>
                <w:szCs w:val="19"/>
              </w:rPr>
              <w:t>0.86 (0.60, 1.24)</w:t>
            </w:r>
          </w:p>
        </w:tc>
        <w:tc>
          <w:tcPr>
            <w:tcW w:w="850" w:type="dxa"/>
            <w:tcBorders>
              <w:left w:val="nil"/>
            </w:tcBorders>
            <w:vAlign w:val="center"/>
          </w:tcPr>
          <w:p w14:paraId="7B089CD0" w14:textId="77777777" w:rsidR="001C5298" w:rsidRPr="00316F57" w:rsidRDefault="001C5298" w:rsidP="00316FF5">
            <w:pPr>
              <w:jc w:val="center"/>
              <w:rPr>
                <w:sz w:val="19"/>
                <w:szCs w:val="19"/>
              </w:rPr>
            </w:pPr>
            <w:r w:rsidRPr="00316F57">
              <w:rPr>
                <w:sz w:val="19"/>
                <w:szCs w:val="19"/>
              </w:rPr>
              <w:t>0.41</w:t>
            </w:r>
          </w:p>
        </w:tc>
      </w:tr>
      <w:tr w:rsidR="001C5298" w14:paraId="38E609E0" w14:textId="77777777" w:rsidTr="00BD0CE0">
        <w:trPr>
          <w:trHeight w:val="272"/>
        </w:trPr>
        <w:tc>
          <w:tcPr>
            <w:tcW w:w="4678" w:type="dxa"/>
            <w:vAlign w:val="center"/>
          </w:tcPr>
          <w:p w14:paraId="5F4765D0"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Major bleeding</w:t>
            </w:r>
          </w:p>
        </w:tc>
        <w:tc>
          <w:tcPr>
            <w:tcW w:w="1205" w:type="dxa"/>
            <w:vAlign w:val="center"/>
          </w:tcPr>
          <w:p w14:paraId="5119CF80"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33 (7.2%)</w:t>
            </w:r>
          </w:p>
        </w:tc>
        <w:tc>
          <w:tcPr>
            <w:tcW w:w="1205" w:type="dxa"/>
            <w:vAlign w:val="center"/>
          </w:tcPr>
          <w:p w14:paraId="663A53C3"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92 (20.2%)</w:t>
            </w:r>
          </w:p>
        </w:tc>
        <w:tc>
          <w:tcPr>
            <w:tcW w:w="1984" w:type="dxa"/>
            <w:vAlign w:val="center"/>
          </w:tcPr>
          <w:p w14:paraId="66AC601D" w14:textId="77777777" w:rsidR="001C5298" w:rsidRPr="00316F57" w:rsidRDefault="001C5298" w:rsidP="00316FF5">
            <w:pPr>
              <w:jc w:val="center"/>
              <w:rPr>
                <w:sz w:val="19"/>
                <w:szCs w:val="19"/>
              </w:rPr>
            </w:pPr>
            <w:r w:rsidRPr="00316F57">
              <w:rPr>
                <w:sz w:val="19"/>
                <w:szCs w:val="19"/>
              </w:rPr>
              <w:t>-13.0% (-17.4%, -8.6%)</w:t>
            </w:r>
          </w:p>
        </w:tc>
        <w:tc>
          <w:tcPr>
            <w:tcW w:w="1985" w:type="dxa"/>
            <w:vAlign w:val="center"/>
          </w:tcPr>
          <w:p w14:paraId="7DF03789" w14:textId="77777777" w:rsidR="001C5298" w:rsidRPr="00316F57" w:rsidRDefault="001C5298" w:rsidP="00316FF5">
            <w:pPr>
              <w:jc w:val="center"/>
              <w:rPr>
                <w:sz w:val="19"/>
                <w:szCs w:val="19"/>
              </w:rPr>
            </w:pPr>
            <w:r w:rsidRPr="00316F57">
              <w:rPr>
                <w:sz w:val="19"/>
                <w:szCs w:val="19"/>
              </w:rPr>
              <w:t>-13.0% (-18.3%, -7.7%)</w:t>
            </w:r>
          </w:p>
        </w:tc>
        <w:tc>
          <w:tcPr>
            <w:tcW w:w="1843" w:type="dxa"/>
            <w:vAlign w:val="center"/>
          </w:tcPr>
          <w:p w14:paraId="038F7E68" w14:textId="77777777" w:rsidR="001C5298" w:rsidRPr="00316F57" w:rsidRDefault="001C5298" w:rsidP="00316FF5">
            <w:pPr>
              <w:jc w:val="center"/>
              <w:rPr>
                <w:sz w:val="19"/>
                <w:szCs w:val="19"/>
              </w:rPr>
            </w:pPr>
            <w:r w:rsidRPr="00316F57">
              <w:rPr>
                <w:sz w:val="19"/>
                <w:szCs w:val="19"/>
              </w:rPr>
              <w:t>0.33 (0.22, 0.49)</w:t>
            </w:r>
          </w:p>
        </w:tc>
        <w:tc>
          <w:tcPr>
            <w:tcW w:w="1701" w:type="dxa"/>
            <w:tcBorders>
              <w:right w:val="nil"/>
            </w:tcBorders>
            <w:vAlign w:val="center"/>
          </w:tcPr>
          <w:p w14:paraId="32F1042B" w14:textId="77777777" w:rsidR="001C5298" w:rsidRPr="00316F57" w:rsidRDefault="001C5298" w:rsidP="00316FF5">
            <w:pPr>
              <w:jc w:val="center"/>
              <w:rPr>
                <w:sz w:val="19"/>
                <w:szCs w:val="19"/>
              </w:rPr>
            </w:pPr>
            <w:r w:rsidRPr="00316F57">
              <w:rPr>
                <w:sz w:val="19"/>
                <w:szCs w:val="19"/>
              </w:rPr>
              <w:t>0.33 (0.24, 0.45)</w:t>
            </w:r>
          </w:p>
        </w:tc>
        <w:tc>
          <w:tcPr>
            <w:tcW w:w="850" w:type="dxa"/>
            <w:tcBorders>
              <w:left w:val="nil"/>
            </w:tcBorders>
            <w:vAlign w:val="center"/>
          </w:tcPr>
          <w:p w14:paraId="6339BBC9" w14:textId="77777777" w:rsidR="001C5298" w:rsidRPr="00316F57" w:rsidRDefault="001C5298" w:rsidP="00316FF5">
            <w:pPr>
              <w:jc w:val="center"/>
              <w:rPr>
                <w:sz w:val="19"/>
                <w:szCs w:val="19"/>
              </w:rPr>
            </w:pPr>
            <w:r w:rsidRPr="00316F57">
              <w:rPr>
                <w:sz w:val="19"/>
                <w:szCs w:val="19"/>
              </w:rPr>
              <w:t>&lt;0.001</w:t>
            </w:r>
          </w:p>
        </w:tc>
      </w:tr>
      <w:tr w:rsidR="001C5298" w14:paraId="62608B16" w14:textId="77777777" w:rsidTr="00BD0CE0">
        <w:trPr>
          <w:trHeight w:val="272"/>
        </w:trPr>
        <w:tc>
          <w:tcPr>
            <w:tcW w:w="4678" w:type="dxa"/>
            <w:vAlign w:val="center"/>
          </w:tcPr>
          <w:p w14:paraId="6C15B9E1"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Conduction disturbance requiring permanent pacing</w:t>
            </w:r>
          </w:p>
        </w:tc>
        <w:tc>
          <w:tcPr>
            <w:tcW w:w="1205" w:type="dxa"/>
            <w:vAlign w:val="center"/>
          </w:tcPr>
          <w:p w14:paraId="1888CEF9"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65 (14.2%)</w:t>
            </w:r>
          </w:p>
        </w:tc>
        <w:tc>
          <w:tcPr>
            <w:tcW w:w="1205" w:type="dxa"/>
            <w:vAlign w:val="center"/>
          </w:tcPr>
          <w:p w14:paraId="5378DF07"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33 (7.3%)</w:t>
            </w:r>
          </w:p>
        </w:tc>
        <w:tc>
          <w:tcPr>
            <w:tcW w:w="1984" w:type="dxa"/>
            <w:vAlign w:val="center"/>
          </w:tcPr>
          <w:p w14:paraId="5F10EEB3" w14:textId="77777777" w:rsidR="001C5298" w:rsidRPr="00316F57" w:rsidRDefault="001C5298" w:rsidP="00316FF5">
            <w:pPr>
              <w:jc w:val="center"/>
              <w:rPr>
                <w:sz w:val="19"/>
                <w:szCs w:val="19"/>
              </w:rPr>
            </w:pPr>
            <w:r w:rsidRPr="00316F57">
              <w:rPr>
                <w:sz w:val="19"/>
                <w:szCs w:val="19"/>
              </w:rPr>
              <w:t>6.9% (3.0%, 10.9%)</w:t>
            </w:r>
          </w:p>
        </w:tc>
        <w:tc>
          <w:tcPr>
            <w:tcW w:w="1985" w:type="dxa"/>
            <w:vAlign w:val="center"/>
          </w:tcPr>
          <w:p w14:paraId="27A23D18" w14:textId="77777777" w:rsidR="001C5298" w:rsidRPr="00316F57" w:rsidRDefault="001C5298" w:rsidP="00316FF5">
            <w:pPr>
              <w:jc w:val="center"/>
              <w:rPr>
                <w:sz w:val="19"/>
                <w:szCs w:val="19"/>
              </w:rPr>
            </w:pPr>
            <w:r w:rsidRPr="00316F57">
              <w:rPr>
                <w:sz w:val="19"/>
                <w:szCs w:val="19"/>
              </w:rPr>
              <w:t>6.9% (2.9%, 11.0%)</w:t>
            </w:r>
          </w:p>
        </w:tc>
        <w:tc>
          <w:tcPr>
            <w:tcW w:w="1843" w:type="dxa"/>
            <w:vAlign w:val="center"/>
          </w:tcPr>
          <w:p w14:paraId="160E830F" w14:textId="77777777" w:rsidR="001C5298" w:rsidRPr="00316F57" w:rsidRDefault="001C5298" w:rsidP="00316FF5">
            <w:pPr>
              <w:jc w:val="center"/>
              <w:rPr>
                <w:sz w:val="19"/>
                <w:szCs w:val="19"/>
              </w:rPr>
            </w:pPr>
            <w:r w:rsidRPr="00316F57">
              <w:rPr>
                <w:sz w:val="19"/>
                <w:szCs w:val="19"/>
              </w:rPr>
              <w:t>2.04 (1.34, 3.11)</w:t>
            </w:r>
          </w:p>
        </w:tc>
        <w:tc>
          <w:tcPr>
            <w:tcW w:w="1701" w:type="dxa"/>
            <w:tcBorders>
              <w:right w:val="nil"/>
            </w:tcBorders>
            <w:vAlign w:val="center"/>
          </w:tcPr>
          <w:p w14:paraId="45C698E9" w14:textId="77777777" w:rsidR="001C5298" w:rsidRPr="00316F57" w:rsidRDefault="001C5298" w:rsidP="00316FF5">
            <w:pPr>
              <w:jc w:val="center"/>
              <w:rPr>
                <w:sz w:val="19"/>
                <w:szCs w:val="19"/>
              </w:rPr>
            </w:pPr>
            <w:r w:rsidRPr="00316F57">
              <w:rPr>
                <w:sz w:val="19"/>
                <w:szCs w:val="19"/>
              </w:rPr>
              <w:t>2.05 (1.43, 2.94)</w:t>
            </w:r>
          </w:p>
        </w:tc>
        <w:tc>
          <w:tcPr>
            <w:tcW w:w="850" w:type="dxa"/>
            <w:tcBorders>
              <w:left w:val="nil"/>
            </w:tcBorders>
            <w:vAlign w:val="center"/>
          </w:tcPr>
          <w:p w14:paraId="6EE500E7" w14:textId="77777777" w:rsidR="001C5298" w:rsidRPr="00316F57" w:rsidRDefault="001C5298" w:rsidP="00316FF5">
            <w:pPr>
              <w:jc w:val="center"/>
              <w:rPr>
                <w:sz w:val="19"/>
                <w:szCs w:val="19"/>
              </w:rPr>
            </w:pPr>
            <w:r w:rsidRPr="00316F57">
              <w:rPr>
                <w:sz w:val="19"/>
                <w:szCs w:val="19"/>
              </w:rPr>
              <w:t>&lt;0.001</w:t>
            </w:r>
          </w:p>
        </w:tc>
      </w:tr>
      <w:tr w:rsidR="001C5298" w14:paraId="549DB0F3" w14:textId="77777777" w:rsidTr="00BD0CE0">
        <w:trPr>
          <w:trHeight w:val="272"/>
        </w:trPr>
        <w:tc>
          <w:tcPr>
            <w:tcW w:w="4678" w:type="dxa"/>
            <w:vAlign w:val="center"/>
          </w:tcPr>
          <w:p w14:paraId="2CC4BDDC"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Infective endocarditis</w:t>
            </w:r>
          </w:p>
        </w:tc>
        <w:tc>
          <w:tcPr>
            <w:tcW w:w="1205" w:type="dxa"/>
            <w:vAlign w:val="center"/>
          </w:tcPr>
          <w:p w14:paraId="12B465DC" w14:textId="77777777" w:rsidR="001C5298" w:rsidRPr="00316F57" w:rsidRDefault="001C5298" w:rsidP="00316FF5">
            <w:pPr>
              <w:jc w:val="center"/>
              <w:rPr>
                <w:rFonts w:eastAsia="Calibri" w:cs="Times New Roman"/>
                <w:sz w:val="19"/>
                <w:szCs w:val="19"/>
              </w:rPr>
            </w:pPr>
            <w:r>
              <w:rPr>
                <w:rFonts w:eastAsia="Calibri" w:cs="Calibri"/>
                <w:color w:val="000000"/>
                <w:sz w:val="19"/>
                <w:szCs w:val="19"/>
              </w:rPr>
              <w:t>5</w:t>
            </w:r>
            <w:r w:rsidRPr="00316F57">
              <w:rPr>
                <w:rFonts w:eastAsia="Calibri" w:cs="Calibri"/>
                <w:color w:val="000000"/>
                <w:sz w:val="19"/>
                <w:szCs w:val="19"/>
              </w:rPr>
              <w:t xml:space="preserve"> (1.1%)</w:t>
            </w:r>
          </w:p>
        </w:tc>
        <w:tc>
          <w:tcPr>
            <w:tcW w:w="1205" w:type="dxa"/>
            <w:vAlign w:val="center"/>
          </w:tcPr>
          <w:p w14:paraId="2DB46098" w14:textId="77777777" w:rsidR="001C5298" w:rsidRPr="00316F57" w:rsidRDefault="001C5298" w:rsidP="00316FF5">
            <w:pPr>
              <w:jc w:val="center"/>
              <w:rPr>
                <w:rFonts w:eastAsia="Calibri" w:cs="Times New Roman"/>
                <w:sz w:val="19"/>
                <w:szCs w:val="19"/>
              </w:rPr>
            </w:pPr>
            <w:r>
              <w:rPr>
                <w:rFonts w:eastAsia="Calibri" w:cs="Calibri"/>
                <w:color w:val="000000"/>
                <w:sz w:val="19"/>
                <w:szCs w:val="19"/>
              </w:rPr>
              <w:t>2</w:t>
            </w:r>
            <w:r w:rsidRPr="00316F57">
              <w:rPr>
                <w:rFonts w:eastAsia="Calibri" w:cs="Calibri"/>
                <w:color w:val="000000"/>
                <w:sz w:val="19"/>
                <w:szCs w:val="19"/>
              </w:rPr>
              <w:t xml:space="preserve"> (0.4%)</w:t>
            </w:r>
          </w:p>
        </w:tc>
        <w:tc>
          <w:tcPr>
            <w:tcW w:w="1984" w:type="dxa"/>
            <w:vAlign w:val="center"/>
          </w:tcPr>
          <w:p w14:paraId="7BEA7F7B" w14:textId="77777777" w:rsidR="001C5298" w:rsidRPr="00316F57" w:rsidRDefault="001C5298" w:rsidP="00316FF5">
            <w:pPr>
              <w:jc w:val="center"/>
              <w:rPr>
                <w:sz w:val="19"/>
                <w:szCs w:val="19"/>
              </w:rPr>
            </w:pPr>
            <w:r w:rsidRPr="00316F57">
              <w:rPr>
                <w:sz w:val="19"/>
                <w:szCs w:val="19"/>
              </w:rPr>
              <w:t>0.7% (-0.5%, 1.8%)</w:t>
            </w:r>
          </w:p>
        </w:tc>
        <w:tc>
          <w:tcPr>
            <w:tcW w:w="1985" w:type="dxa"/>
            <w:vAlign w:val="center"/>
          </w:tcPr>
          <w:p w14:paraId="6E2990D6" w14:textId="77777777" w:rsidR="001C5298" w:rsidRPr="00316F57" w:rsidRDefault="001C5298" w:rsidP="00316FF5">
            <w:pPr>
              <w:jc w:val="center"/>
              <w:rPr>
                <w:sz w:val="19"/>
                <w:szCs w:val="19"/>
              </w:rPr>
            </w:pPr>
            <w:r w:rsidRPr="00316F57">
              <w:rPr>
                <w:sz w:val="19"/>
                <w:szCs w:val="19"/>
              </w:rPr>
              <w:t>0.7% (-0.5%, 1.8%)</w:t>
            </w:r>
          </w:p>
        </w:tc>
        <w:tc>
          <w:tcPr>
            <w:tcW w:w="1843" w:type="dxa"/>
            <w:vAlign w:val="center"/>
          </w:tcPr>
          <w:p w14:paraId="4BA64506" w14:textId="77777777" w:rsidR="001C5298" w:rsidRPr="00316F57" w:rsidRDefault="001C5298" w:rsidP="00316FF5">
            <w:pPr>
              <w:jc w:val="center"/>
              <w:rPr>
                <w:sz w:val="19"/>
                <w:szCs w:val="19"/>
              </w:rPr>
            </w:pPr>
            <w:r w:rsidRPr="00316F57">
              <w:rPr>
                <w:sz w:val="19"/>
                <w:szCs w:val="19"/>
              </w:rPr>
              <w:t>2.44 (0.47, 12.60)</w:t>
            </w:r>
          </w:p>
        </w:tc>
        <w:tc>
          <w:tcPr>
            <w:tcW w:w="1701" w:type="dxa"/>
            <w:tcBorders>
              <w:right w:val="nil"/>
            </w:tcBorders>
            <w:vAlign w:val="center"/>
          </w:tcPr>
          <w:p w14:paraId="44B2C495" w14:textId="77777777" w:rsidR="001C5298" w:rsidRPr="00316F57" w:rsidRDefault="001C5298" w:rsidP="00316FF5">
            <w:pPr>
              <w:jc w:val="center"/>
              <w:rPr>
                <w:sz w:val="19"/>
                <w:szCs w:val="19"/>
              </w:rPr>
            </w:pPr>
            <w:r w:rsidRPr="00316F57">
              <w:rPr>
                <w:sz w:val="19"/>
                <w:szCs w:val="19"/>
              </w:rPr>
              <w:t>2.46 (0.54, 11.17)</w:t>
            </w:r>
          </w:p>
        </w:tc>
        <w:tc>
          <w:tcPr>
            <w:tcW w:w="850" w:type="dxa"/>
            <w:tcBorders>
              <w:left w:val="nil"/>
            </w:tcBorders>
            <w:vAlign w:val="center"/>
          </w:tcPr>
          <w:p w14:paraId="192C53F6" w14:textId="77777777" w:rsidR="001C5298" w:rsidRPr="00316F57" w:rsidRDefault="001C5298" w:rsidP="00316FF5">
            <w:pPr>
              <w:jc w:val="center"/>
              <w:rPr>
                <w:sz w:val="19"/>
                <w:szCs w:val="19"/>
              </w:rPr>
            </w:pPr>
            <w:r w:rsidRPr="00316F57">
              <w:rPr>
                <w:sz w:val="19"/>
                <w:szCs w:val="19"/>
              </w:rPr>
              <w:t>0.24</w:t>
            </w:r>
          </w:p>
        </w:tc>
      </w:tr>
      <w:tr w:rsidR="001C5298" w14:paraId="28323D8E" w14:textId="77777777" w:rsidTr="00BD0CE0">
        <w:trPr>
          <w:trHeight w:val="272"/>
        </w:trPr>
        <w:tc>
          <w:tcPr>
            <w:tcW w:w="4678" w:type="dxa"/>
            <w:vAlign w:val="center"/>
          </w:tcPr>
          <w:p w14:paraId="409A370A" w14:textId="77777777" w:rsidR="001C5298" w:rsidRPr="00316F57" w:rsidRDefault="001C5298" w:rsidP="00316FF5">
            <w:pPr>
              <w:rPr>
                <w:rFonts w:eastAsia="Calibri" w:cs="Times New Roman"/>
                <w:sz w:val="19"/>
                <w:szCs w:val="19"/>
              </w:rPr>
            </w:pPr>
            <w:r>
              <w:rPr>
                <w:rFonts w:eastAsia="Calibri" w:cs="Calibri"/>
                <w:color w:val="000000"/>
                <w:sz w:val="19"/>
                <w:szCs w:val="19"/>
              </w:rPr>
              <w:t>Kidney</w:t>
            </w:r>
            <w:r w:rsidRPr="00316F57">
              <w:rPr>
                <w:rFonts w:eastAsia="Calibri" w:cs="Calibri"/>
                <w:color w:val="000000"/>
                <w:sz w:val="19"/>
                <w:szCs w:val="19"/>
              </w:rPr>
              <w:t xml:space="preserve"> replacement therapy</w:t>
            </w:r>
          </w:p>
        </w:tc>
        <w:tc>
          <w:tcPr>
            <w:tcW w:w="1205" w:type="dxa"/>
            <w:vAlign w:val="center"/>
          </w:tcPr>
          <w:p w14:paraId="773E4F86"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3 (0.7%)</w:t>
            </w:r>
          </w:p>
        </w:tc>
        <w:tc>
          <w:tcPr>
            <w:tcW w:w="1205" w:type="dxa"/>
            <w:vAlign w:val="center"/>
          </w:tcPr>
          <w:p w14:paraId="2C7DC02A" w14:textId="77777777" w:rsidR="001C5298" w:rsidRPr="00316F57" w:rsidRDefault="001C5298" w:rsidP="00316FF5">
            <w:pPr>
              <w:jc w:val="center"/>
              <w:rPr>
                <w:rFonts w:eastAsia="Calibri" w:cs="Times New Roman"/>
                <w:sz w:val="19"/>
                <w:szCs w:val="19"/>
              </w:rPr>
            </w:pPr>
            <w:r>
              <w:rPr>
                <w:rFonts w:eastAsia="Calibri" w:cs="Calibri"/>
                <w:color w:val="000000"/>
                <w:sz w:val="19"/>
                <w:szCs w:val="19"/>
              </w:rPr>
              <w:t>8</w:t>
            </w:r>
            <w:r w:rsidRPr="00316F57">
              <w:rPr>
                <w:rFonts w:eastAsia="Calibri" w:cs="Calibri"/>
                <w:color w:val="000000"/>
                <w:sz w:val="19"/>
                <w:szCs w:val="19"/>
              </w:rPr>
              <w:t xml:space="preserve"> (1.8%)</w:t>
            </w:r>
          </w:p>
        </w:tc>
        <w:tc>
          <w:tcPr>
            <w:tcW w:w="1984" w:type="dxa"/>
            <w:vAlign w:val="center"/>
          </w:tcPr>
          <w:p w14:paraId="6F41E817" w14:textId="77777777" w:rsidR="001C5298" w:rsidRPr="00316F57" w:rsidRDefault="001C5298" w:rsidP="00316FF5">
            <w:pPr>
              <w:jc w:val="center"/>
              <w:rPr>
                <w:sz w:val="19"/>
                <w:szCs w:val="19"/>
              </w:rPr>
            </w:pPr>
            <w:r w:rsidRPr="00316F57">
              <w:rPr>
                <w:sz w:val="19"/>
                <w:szCs w:val="19"/>
              </w:rPr>
              <w:t>-1.1% (-2.5%, 0.3%)</w:t>
            </w:r>
          </w:p>
        </w:tc>
        <w:tc>
          <w:tcPr>
            <w:tcW w:w="1985" w:type="dxa"/>
            <w:vAlign w:val="center"/>
          </w:tcPr>
          <w:p w14:paraId="4E71BC95" w14:textId="77777777" w:rsidR="001C5298" w:rsidRPr="00316F57" w:rsidRDefault="001C5298" w:rsidP="00316FF5">
            <w:pPr>
              <w:jc w:val="center"/>
              <w:rPr>
                <w:sz w:val="19"/>
                <w:szCs w:val="19"/>
              </w:rPr>
            </w:pPr>
            <w:r w:rsidRPr="00316F57">
              <w:rPr>
                <w:sz w:val="19"/>
                <w:szCs w:val="19"/>
              </w:rPr>
              <w:t>-1.1% (-2.4%, 0.2%)</w:t>
            </w:r>
          </w:p>
        </w:tc>
        <w:tc>
          <w:tcPr>
            <w:tcW w:w="1843" w:type="dxa"/>
            <w:vAlign w:val="center"/>
          </w:tcPr>
          <w:p w14:paraId="7C5C6E47" w14:textId="77777777" w:rsidR="001C5298" w:rsidRPr="00316F57" w:rsidRDefault="001C5298" w:rsidP="00316FF5">
            <w:pPr>
              <w:jc w:val="center"/>
              <w:rPr>
                <w:sz w:val="19"/>
                <w:szCs w:val="19"/>
              </w:rPr>
            </w:pPr>
            <w:r w:rsidRPr="00316F57">
              <w:rPr>
                <w:sz w:val="19"/>
                <w:szCs w:val="19"/>
              </w:rPr>
              <w:t>0.37 (0.10, 1.39)</w:t>
            </w:r>
          </w:p>
        </w:tc>
        <w:tc>
          <w:tcPr>
            <w:tcW w:w="1701" w:type="dxa"/>
            <w:tcBorders>
              <w:right w:val="nil"/>
            </w:tcBorders>
            <w:vAlign w:val="center"/>
          </w:tcPr>
          <w:p w14:paraId="00FF84F2" w14:textId="77777777" w:rsidR="001C5298" w:rsidRPr="00316F57" w:rsidRDefault="001C5298" w:rsidP="00316FF5">
            <w:pPr>
              <w:jc w:val="center"/>
              <w:rPr>
                <w:sz w:val="19"/>
                <w:szCs w:val="19"/>
              </w:rPr>
            </w:pPr>
            <w:r w:rsidRPr="00316F57">
              <w:rPr>
                <w:sz w:val="19"/>
                <w:szCs w:val="19"/>
              </w:rPr>
              <w:t>0.37 (0.11, 1.23)</w:t>
            </w:r>
          </w:p>
        </w:tc>
        <w:tc>
          <w:tcPr>
            <w:tcW w:w="850" w:type="dxa"/>
            <w:tcBorders>
              <w:left w:val="nil"/>
            </w:tcBorders>
            <w:vAlign w:val="center"/>
          </w:tcPr>
          <w:p w14:paraId="659BE1CC" w14:textId="77777777" w:rsidR="001C5298" w:rsidRPr="00316F57" w:rsidRDefault="001C5298" w:rsidP="00316FF5">
            <w:pPr>
              <w:jc w:val="center"/>
              <w:rPr>
                <w:sz w:val="19"/>
                <w:szCs w:val="19"/>
              </w:rPr>
            </w:pPr>
            <w:r w:rsidRPr="00316F57">
              <w:rPr>
                <w:sz w:val="19"/>
                <w:szCs w:val="19"/>
              </w:rPr>
              <w:t>0.11</w:t>
            </w:r>
          </w:p>
        </w:tc>
      </w:tr>
      <w:tr w:rsidR="001C5298" w14:paraId="3F3F9922" w14:textId="77777777" w:rsidTr="00BD0CE0">
        <w:trPr>
          <w:trHeight w:val="272"/>
        </w:trPr>
        <w:tc>
          <w:tcPr>
            <w:tcW w:w="4678" w:type="dxa"/>
            <w:vAlign w:val="center"/>
          </w:tcPr>
          <w:p w14:paraId="2A704BDA"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Vascular complications</w:t>
            </w:r>
          </w:p>
        </w:tc>
        <w:tc>
          <w:tcPr>
            <w:tcW w:w="1205" w:type="dxa"/>
            <w:vAlign w:val="center"/>
          </w:tcPr>
          <w:p w14:paraId="311AA6D0"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47 (10.3%)</w:t>
            </w:r>
          </w:p>
        </w:tc>
        <w:tc>
          <w:tcPr>
            <w:tcW w:w="1205" w:type="dxa"/>
            <w:vAlign w:val="center"/>
          </w:tcPr>
          <w:p w14:paraId="667E5160"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11 (2.4%)</w:t>
            </w:r>
          </w:p>
        </w:tc>
        <w:tc>
          <w:tcPr>
            <w:tcW w:w="1984" w:type="dxa"/>
            <w:vAlign w:val="center"/>
          </w:tcPr>
          <w:p w14:paraId="1704CB96" w14:textId="77777777" w:rsidR="001C5298" w:rsidRPr="00316F57" w:rsidRDefault="001C5298" w:rsidP="00316FF5">
            <w:pPr>
              <w:jc w:val="center"/>
              <w:rPr>
                <w:sz w:val="19"/>
                <w:szCs w:val="19"/>
              </w:rPr>
            </w:pPr>
            <w:r w:rsidRPr="00316F57">
              <w:rPr>
                <w:sz w:val="19"/>
                <w:szCs w:val="19"/>
              </w:rPr>
              <w:t>7.8% (4.7%, 11.0%)</w:t>
            </w:r>
          </w:p>
        </w:tc>
        <w:tc>
          <w:tcPr>
            <w:tcW w:w="1985" w:type="dxa"/>
            <w:vAlign w:val="center"/>
          </w:tcPr>
          <w:p w14:paraId="2E02E8B3" w14:textId="77777777" w:rsidR="001C5298" w:rsidRPr="00316F57" w:rsidRDefault="001C5298" w:rsidP="00316FF5">
            <w:pPr>
              <w:jc w:val="center"/>
              <w:rPr>
                <w:sz w:val="19"/>
                <w:szCs w:val="19"/>
              </w:rPr>
            </w:pPr>
            <w:r w:rsidRPr="00316F57">
              <w:rPr>
                <w:sz w:val="19"/>
                <w:szCs w:val="19"/>
              </w:rPr>
              <w:t>7.8% (4.2%, 11.4%)</w:t>
            </w:r>
          </w:p>
        </w:tc>
        <w:tc>
          <w:tcPr>
            <w:tcW w:w="1843" w:type="dxa"/>
            <w:vAlign w:val="center"/>
          </w:tcPr>
          <w:p w14:paraId="40A5DF23" w14:textId="77777777" w:rsidR="001C5298" w:rsidRPr="00316F57" w:rsidRDefault="001C5298" w:rsidP="00316FF5">
            <w:pPr>
              <w:jc w:val="center"/>
              <w:rPr>
                <w:sz w:val="19"/>
                <w:szCs w:val="19"/>
              </w:rPr>
            </w:pPr>
            <w:r w:rsidRPr="00316F57">
              <w:rPr>
                <w:sz w:val="19"/>
                <w:szCs w:val="19"/>
              </w:rPr>
              <w:t>4.43 (2.30, 8.55)</w:t>
            </w:r>
          </w:p>
        </w:tc>
        <w:tc>
          <w:tcPr>
            <w:tcW w:w="1701" w:type="dxa"/>
            <w:tcBorders>
              <w:right w:val="nil"/>
            </w:tcBorders>
            <w:vAlign w:val="center"/>
          </w:tcPr>
          <w:p w14:paraId="366E1FD3" w14:textId="77777777" w:rsidR="001C5298" w:rsidRPr="00316F57" w:rsidRDefault="001C5298" w:rsidP="00316FF5">
            <w:pPr>
              <w:jc w:val="center"/>
              <w:rPr>
                <w:sz w:val="19"/>
                <w:szCs w:val="19"/>
              </w:rPr>
            </w:pPr>
            <w:r w:rsidRPr="00316F57">
              <w:rPr>
                <w:sz w:val="19"/>
                <w:szCs w:val="19"/>
              </w:rPr>
              <w:t>4.42 (2.54, 7.71)</w:t>
            </w:r>
          </w:p>
        </w:tc>
        <w:tc>
          <w:tcPr>
            <w:tcW w:w="850" w:type="dxa"/>
            <w:tcBorders>
              <w:left w:val="nil"/>
            </w:tcBorders>
            <w:vAlign w:val="center"/>
          </w:tcPr>
          <w:p w14:paraId="39C7C0E3" w14:textId="77777777" w:rsidR="001C5298" w:rsidRPr="00316F57" w:rsidRDefault="001C5298" w:rsidP="00316FF5">
            <w:pPr>
              <w:jc w:val="center"/>
              <w:rPr>
                <w:sz w:val="19"/>
                <w:szCs w:val="19"/>
              </w:rPr>
            </w:pPr>
            <w:r w:rsidRPr="00316F57">
              <w:rPr>
                <w:sz w:val="19"/>
                <w:szCs w:val="19"/>
              </w:rPr>
              <w:t>&lt;0.001</w:t>
            </w:r>
          </w:p>
        </w:tc>
      </w:tr>
      <w:tr w:rsidR="001C5298" w14:paraId="11C8D3F6" w14:textId="77777777" w:rsidTr="00BD0CE0">
        <w:trPr>
          <w:trHeight w:val="272"/>
        </w:trPr>
        <w:tc>
          <w:tcPr>
            <w:tcW w:w="4678" w:type="dxa"/>
            <w:vAlign w:val="center"/>
          </w:tcPr>
          <w:p w14:paraId="05E290EF" w14:textId="77777777" w:rsidR="001C5298" w:rsidRPr="00316F57" w:rsidRDefault="001C5298" w:rsidP="00316FF5">
            <w:pPr>
              <w:rPr>
                <w:rFonts w:eastAsia="Calibri" w:cs="Times New Roman"/>
                <w:sz w:val="19"/>
                <w:szCs w:val="19"/>
              </w:rPr>
            </w:pPr>
            <w:r w:rsidRPr="00316F57">
              <w:rPr>
                <w:rFonts w:eastAsia="Calibri" w:cs="Calibri"/>
                <w:color w:val="000000"/>
                <w:sz w:val="19"/>
                <w:szCs w:val="19"/>
              </w:rPr>
              <w:t>Myocardial infarction</w:t>
            </w:r>
          </w:p>
        </w:tc>
        <w:tc>
          <w:tcPr>
            <w:tcW w:w="1205" w:type="dxa"/>
            <w:vAlign w:val="center"/>
          </w:tcPr>
          <w:p w14:paraId="5FDEE3A9"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6 (1.3%)</w:t>
            </w:r>
          </w:p>
        </w:tc>
        <w:tc>
          <w:tcPr>
            <w:tcW w:w="1205" w:type="dxa"/>
            <w:vAlign w:val="center"/>
          </w:tcPr>
          <w:p w14:paraId="04D0A523"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5 (1.1%)</w:t>
            </w:r>
          </w:p>
        </w:tc>
        <w:tc>
          <w:tcPr>
            <w:tcW w:w="1984" w:type="dxa"/>
            <w:vAlign w:val="center"/>
          </w:tcPr>
          <w:p w14:paraId="535BE1EA" w14:textId="77777777" w:rsidR="001C5298" w:rsidRPr="00316F57" w:rsidRDefault="001C5298" w:rsidP="00316FF5">
            <w:pPr>
              <w:jc w:val="center"/>
              <w:rPr>
                <w:sz w:val="19"/>
                <w:szCs w:val="19"/>
              </w:rPr>
            </w:pPr>
            <w:r w:rsidRPr="00316F57">
              <w:rPr>
                <w:sz w:val="19"/>
                <w:szCs w:val="19"/>
              </w:rPr>
              <w:t>0.2% (-1.2%, 1.6%)</w:t>
            </w:r>
          </w:p>
        </w:tc>
        <w:tc>
          <w:tcPr>
            <w:tcW w:w="1985" w:type="dxa"/>
            <w:vAlign w:val="center"/>
          </w:tcPr>
          <w:p w14:paraId="06F6C2AD" w14:textId="77777777" w:rsidR="001C5298" w:rsidRPr="00316F57" w:rsidRDefault="001C5298" w:rsidP="00316FF5">
            <w:pPr>
              <w:jc w:val="center"/>
              <w:rPr>
                <w:sz w:val="19"/>
                <w:szCs w:val="19"/>
              </w:rPr>
            </w:pPr>
            <w:r w:rsidRPr="00316F57">
              <w:rPr>
                <w:sz w:val="19"/>
                <w:szCs w:val="19"/>
              </w:rPr>
              <w:t>0.2% (-1.3%, 1.7%)</w:t>
            </w:r>
          </w:p>
        </w:tc>
        <w:tc>
          <w:tcPr>
            <w:tcW w:w="1843" w:type="dxa"/>
            <w:vAlign w:val="center"/>
          </w:tcPr>
          <w:p w14:paraId="43971335" w14:textId="77777777" w:rsidR="001C5298" w:rsidRPr="00316F57" w:rsidRDefault="001C5298" w:rsidP="00316FF5">
            <w:pPr>
              <w:jc w:val="center"/>
              <w:rPr>
                <w:sz w:val="19"/>
                <w:szCs w:val="19"/>
              </w:rPr>
            </w:pPr>
            <w:r w:rsidRPr="00316F57">
              <w:rPr>
                <w:sz w:val="19"/>
                <w:szCs w:val="19"/>
              </w:rPr>
              <w:t>1.18 (0.36, 3.88)</w:t>
            </w:r>
          </w:p>
        </w:tc>
        <w:tc>
          <w:tcPr>
            <w:tcW w:w="1701" w:type="dxa"/>
            <w:tcBorders>
              <w:right w:val="nil"/>
            </w:tcBorders>
            <w:vAlign w:val="center"/>
          </w:tcPr>
          <w:p w14:paraId="15C8A01D" w14:textId="77777777" w:rsidR="001C5298" w:rsidRPr="00316F57" w:rsidRDefault="001C5298" w:rsidP="00316FF5">
            <w:pPr>
              <w:jc w:val="center"/>
              <w:rPr>
                <w:sz w:val="19"/>
                <w:szCs w:val="19"/>
              </w:rPr>
            </w:pPr>
            <w:r w:rsidRPr="00316F57">
              <w:rPr>
                <w:sz w:val="19"/>
                <w:szCs w:val="19"/>
              </w:rPr>
              <w:t>1.17 (0.33, 4.20)</w:t>
            </w:r>
          </w:p>
        </w:tc>
        <w:tc>
          <w:tcPr>
            <w:tcW w:w="850" w:type="dxa"/>
            <w:tcBorders>
              <w:left w:val="nil"/>
            </w:tcBorders>
            <w:vAlign w:val="center"/>
          </w:tcPr>
          <w:p w14:paraId="4CB3336E" w14:textId="77777777" w:rsidR="001C5298" w:rsidRPr="00316F57" w:rsidRDefault="001C5298" w:rsidP="00316FF5">
            <w:pPr>
              <w:jc w:val="center"/>
              <w:rPr>
                <w:sz w:val="19"/>
                <w:szCs w:val="19"/>
              </w:rPr>
            </w:pPr>
            <w:r w:rsidRPr="00316F57">
              <w:rPr>
                <w:sz w:val="19"/>
                <w:szCs w:val="19"/>
              </w:rPr>
              <w:t>0.81</w:t>
            </w:r>
          </w:p>
        </w:tc>
      </w:tr>
      <w:tr w:rsidR="001C5298" w14:paraId="4DFD2FC0" w14:textId="77777777" w:rsidTr="00BD0CE0">
        <w:trPr>
          <w:trHeight w:val="272"/>
        </w:trPr>
        <w:tc>
          <w:tcPr>
            <w:tcW w:w="4678" w:type="dxa"/>
            <w:vAlign w:val="center"/>
          </w:tcPr>
          <w:p w14:paraId="60784567" w14:textId="77777777" w:rsidR="001C5298" w:rsidRPr="00316F57" w:rsidRDefault="001C5298" w:rsidP="00316FF5">
            <w:pPr>
              <w:rPr>
                <w:rFonts w:eastAsia="Calibri" w:cs="Calibri"/>
                <w:color w:val="000000"/>
                <w:sz w:val="19"/>
                <w:szCs w:val="19"/>
              </w:rPr>
            </w:pPr>
            <w:r>
              <w:rPr>
                <w:rFonts w:eastAsia="Calibri" w:cs="Calibri"/>
                <w:color w:val="000000"/>
                <w:sz w:val="19"/>
                <w:szCs w:val="19"/>
              </w:rPr>
              <w:t>Re-intervention -</w:t>
            </w:r>
            <w:r w:rsidRPr="00316F57">
              <w:rPr>
                <w:rFonts w:eastAsia="Calibri" w:cs="Calibri"/>
                <w:color w:val="000000"/>
                <w:sz w:val="19"/>
                <w:szCs w:val="19"/>
              </w:rPr>
              <w:t xml:space="preserve"> any</w:t>
            </w:r>
          </w:p>
        </w:tc>
        <w:tc>
          <w:tcPr>
            <w:tcW w:w="1205" w:type="dxa"/>
            <w:vAlign w:val="center"/>
          </w:tcPr>
          <w:p w14:paraId="010B73BD" w14:textId="77777777" w:rsidR="001C5298" w:rsidRPr="00316F57" w:rsidRDefault="001C5298" w:rsidP="00316FF5">
            <w:pPr>
              <w:jc w:val="center"/>
              <w:rPr>
                <w:rFonts w:eastAsia="Calibri" w:cs="Calibri"/>
                <w:color w:val="000000"/>
                <w:sz w:val="19"/>
                <w:szCs w:val="19"/>
              </w:rPr>
            </w:pPr>
            <w:r w:rsidRPr="00316F57">
              <w:rPr>
                <w:rFonts w:eastAsia="Calibri" w:cs="Calibri"/>
                <w:color w:val="000000"/>
                <w:sz w:val="19"/>
                <w:szCs w:val="19"/>
              </w:rPr>
              <w:t>30 (6.6%)</w:t>
            </w:r>
          </w:p>
        </w:tc>
        <w:tc>
          <w:tcPr>
            <w:tcW w:w="1205" w:type="dxa"/>
            <w:vAlign w:val="center"/>
          </w:tcPr>
          <w:p w14:paraId="2F63BBAE" w14:textId="77777777" w:rsidR="001C5298" w:rsidRPr="00316F57" w:rsidRDefault="001C5298" w:rsidP="00316FF5">
            <w:pPr>
              <w:jc w:val="center"/>
              <w:rPr>
                <w:rFonts w:eastAsia="Calibri" w:cs="Calibri"/>
                <w:color w:val="000000"/>
                <w:sz w:val="19"/>
                <w:szCs w:val="19"/>
                <w:lang w:eastAsia="en-GB"/>
              </w:rPr>
            </w:pPr>
            <w:r w:rsidRPr="00316F57">
              <w:rPr>
                <w:rFonts w:eastAsia="Calibri" w:cs="Calibri"/>
                <w:color w:val="000000"/>
                <w:sz w:val="19"/>
                <w:szCs w:val="19"/>
              </w:rPr>
              <w:t>37 (8.1%)</w:t>
            </w:r>
          </w:p>
        </w:tc>
        <w:tc>
          <w:tcPr>
            <w:tcW w:w="1984" w:type="dxa"/>
            <w:vAlign w:val="center"/>
          </w:tcPr>
          <w:p w14:paraId="2023C786" w14:textId="77777777" w:rsidR="001C5298" w:rsidRPr="00316F57" w:rsidRDefault="001C5298" w:rsidP="00316FF5">
            <w:pPr>
              <w:jc w:val="center"/>
              <w:rPr>
                <w:sz w:val="19"/>
                <w:szCs w:val="19"/>
              </w:rPr>
            </w:pPr>
            <w:r w:rsidRPr="00316F57">
              <w:rPr>
                <w:sz w:val="19"/>
                <w:szCs w:val="19"/>
              </w:rPr>
              <w:t>-1.6% (-5.0%, 1.8%)</w:t>
            </w:r>
          </w:p>
        </w:tc>
        <w:tc>
          <w:tcPr>
            <w:tcW w:w="1985" w:type="dxa"/>
            <w:vAlign w:val="center"/>
          </w:tcPr>
          <w:p w14:paraId="17AA1F56" w14:textId="77777777" w:rsidR="001C5298" w:rsidRPr="00316F57" w:rsidRDefault="001C5298" w:rsidP="00316FF5">
            <w:pPr>
              <w:jc w:val="center"/>
              <w:rPr>
                <w:sz w:val="19"/>
                <w:szCs w:val="19"/>
              </w:rPr>
            </w:pPr>
            <w:r w:rsidRPr="00316F57">
              <w:rPr>
                <w:sz w:val="19"/>
                <w:szCs w:val="19"/>
              </w:rPr>
              <w:t>-1.6% (-4.5%, 1.3%)</w:t>
            </w:r>
          </w:p>
        </w:tc>
        <w:tc>
          <w:tcPr>
            <w:tcW w:w="1843" w:type="dxa"/>
            <w:vAlign w:val="center"/>
          </w:tcPr>
          <w:p w14:paraId="7480D22F" w14:textId="77777777" w:rsidR="001C5298" w:rsidRPr="00316F57" w:rsidRDefault="001C5298" w:rsidP="00316FF5">
            <w:pPr>
              <w:jc w:val="center"/>
              <w:rPr>
                <w:sz w:val="19"/>
                <w:szCs w:val="19"/>
              </w:rPr>
            </w:pPr>
            <w:r w:rsidRPr="00316F57">
              <w:rPr>
                <w:sz w:val="19"/>
                <w:szCs w:val="19"/>
              </w:rPr>
              <w:t>0.80 (0.49, 1.29)</w:t>
            </w:r>
          </w:p>
        </w:tc>
        <w:tc>
          <w:tcPr>
            <w:tcW w:w="1701" w:type="dxa"/>
            <w:tcBorders>
              <w:right w:val="nil"/>
            </w:tcBorders>
            <w:vAlign w:val="center"/>
          </w:tcPr>
          <w:p w14:paraId="0D0C5684" w14:textId="77777777" w:rsidR="001C5298" w:rsidRPr="00316F57" w:rsidRDefault="001C5298" w:rsidP="00316FF5">
            <w:pPr>
              <w:jc w:val="center"/>
              <w:rPr>
                <w:sz w:val="19"/>
                <w:szCs w:val="19"/>
              </w:rPr>
            </w:pPr>
            <w:r w:rsidRPr="00316F57">
              <w:rPr>
                <w:sz w:val="19"/>
                <w:szCs w:val="19"/>
              </w:rPr>
              <w:t>0.80 (0.51, 1.23)</w:t>
            </w:r>
          </w:p>
        </w:tc>
        <w:tc>
          <w:tcPr>
            <w:tcW w:w="850" w:type="dxa"/>
            <w:tcBorders>
              <w:left w:val="nil"/>
            </w:tcBorders>
            <w:vAlign w:val="center"/>
          </w:tcPr>
          <w:p w14:paraId="2D5FC45F" w14:textId="77777777" w:rsidR="001C5298" w:rsidRPr="00316F57" w:rsidRDefault="001C5298" w:rsidP="00316FF5">
            <w:pPr>
              <w:jc w:val="center"/>
              <w:rPr>
                <w:sz w:val="19"/>
                <w:szCs w:val="19"/>
              </w:rPr>
            </w:pPr>
            <w:r w:rsidRPr="00316F57">
              <w:rPr>
                <w:sz w:val="19"/>
                <w:szCs w:val="19"/>
              </w:rPr>
              <w:t>0.31</w:t>
            </w:r>
          </w:p>
        </w:tc>
      </w:tr>
      <w:tr w:rsidR="001C5298" w14:paraId="6FCED60D" w14:textId="77777777" w:rsidTr="00BD0CE0">
        <w:trPr>
          <w:trHeight w:val="272"/>
        </w:trPr>
        <w:tc>
          <w:tcPr>
            <w:tcW w:w="4678" w:type="dxa"/>
            <w:vAlign w:val="center"/>
          </w:tcPr>
          <w:p w14:paraId="051DBE48" w14:textId="77777777" w:rsidR="001C5298" w:rsidRPr="00316F57" w:rsidRDefault="001C5298" w:rsidP="00316FF5">
            <w:pPr>
              <w:rPr>
                <w:rFonts w:eastAsia="Calibri" w:cs="Times New Roman"/>
                <w:sz w:val="19"/>
                <w:szCs w:val="19"/>
              </w:rPr>
            </w:pPr>
            <w:r>
              <w:rPr>
                <w:rFonts w:eastAsia="Calibri" w:cs="Calibri"/>
                <w:color w:val="000000"/>
                <w:sz w:val="19"/>
                <w:szCs w:val="19"/>
              </w:rPr>
              <w:t xml:space="preserve">   </w:t>
            </w:r>
            <w:r w:rsidRPr="00316F57">
              <w:rPr>
                <w:rFonts w:eastAsia="Calibri" w:cs="Calibri"/>
                <w:color w:val="000000"/>
                <w:sz w:val="19"/>
                <w:szCs w:val="19"/>
              </w:rPr>
              <w:t>Re-intervention on aortic valve complex</w:t>
            </w:r>
          </w:p>
        </w:tc>
        <w:tc>
          <w:tcPr>
            <w:tcW w:w="1205" w:type="dxa"/>
            <w:vAlign w:val="center"/>
          </w:tcPr>
          <w:p w14:paraId="6119885A"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10 (2.2%)</w:t>
            </w:r>
          </w:p>
        </w:tc>
        <w:tc>
          <w:tcPr>
            <w:tcW w:w="1205" w:type="dxa"/>
            <w:vAlign w:val="center"/>
          </w:tcPr>
          <w:p w14:paraId="2B90C761" w14:textId="77777777" w:rsidR="001C5298" w:rsidRPr="00316F57" w:rsidRDefault="001C5298" w:rsidP="00316FF5">
            <w:pPr>
              <w:jc w:val="center"/>
              <w:rPr>
                <w:rFonts w:eastAsia="Calibri" w:cs="Times New Roman"/>
                <w:sz w:val="19"/>
                <w:szCs w:val="19"/>
              </w:rPr>
            </w:pPr>
            <w:r w:rsidRPr="00316F57">
              <w:rPr>
                <w:rFonts w:eastAsia="Calibri" w:cs="Calibri"/>
                <w:color w:val="000000"/>
                <w:sz w:val="19"/>
                <w:szCs w:val="19"/>
              </w:rPr>
              <w:t>5 (1.1%)</w:t>
            </w:r>
          </w:p>
        </w:tc>
        <w:tc>
          <w:tcPr>
            <w:tcW w:w="1984" w:type="dxa"/>
            <w:vAlign w:val="center"/>
          </w:tcPr>
          <w:p w14:paraId="6C3D902E" w14:textId="77777777" w:rsidR="001C5298" w:rsidRPr="00316F57" w:rsidRDefault="001C5298" w:rsidP="00316FF5">
            <w:pPr>
              <w:jc w:val="center"/>
              <w:rPr>
                <w:sz w:val="19"/>
                <w:szCs w:val="19"/>
              </w:rPr>
            </w:pPr>
            <w:r w:rsidRPr="00316F57">
              <w:rPr>
                <w:sz w:val="19"/>
                <w:szCs w:val="19"/>
              </w:rPr>
              <w:t>1.1% (-0.6%, 2.7%)</w:t>
            </w:r>
          </w:p>
        </w:tc>
        <w:tc>
          <w:tcPr>
            <w:tcW w:w="1985" w:type="dxa"/>
            <w:vAlign w:val="center"/>
          </w:tcPr>
          <w:p w14:paraId="10D11A8B" w14:textId="77777777" w:rsidR="001C5298" w:rsidRPr="00316F57" w:rsidRDefault="001C5298" w:rsidP="00316FF5">
            <w:pPr>
              <w:jc w:val="center"/>
              <w:rPr>
                <w:sz w:val="19"/>
                <w:szCs w:val="19"/>
              </w:rPr>
            </w:pPr>
            <w:r w:rsidRPr="00316F57">
              <w:rPr>
                <w:sz w:val="19"/>
                <w:szCs w:val="19"/>
              </w:rPr>
              <w:t>1.1% (-0.5%, 2.6%)</w:t>
            </w:r>
          </w:p>
        </w:tc>
        <w:tc>
          <w:tcPr>
            <w:tcW w:w="1843" w:type="dxa"/>
            <w:vAlign w:val="center"/>
          </w:tcPr>
          <w:p w14:paraId="40F3F447" w14:textId="77777777" w:rsidR="001C5298" w:rsidRPr="00316F57" w:rsidRDefault="001C5298" w:rsidP="00316FF5">
            <w:pPr>
              <w:jc w:val="center"/>
              <w:rPr>
                <w:sz w:val="19"/>
                <w:szCs w:val="19"/>
              </w:rPr>
            </w:pPr>
            <w:r w:rsidRPr="00316F57">
              <w:rPr>
                <w:sz w:val="19"/>
                <w:szCs w:val="19"/>
              </w:rPr>
              <w:t>1.98 (0.68, 5.80)</w:t>
            </w:r>
          </w:p>
        </w:tc>
        <w:tc>
          <w:tcPr>
            <w:tcW w:w="1701" w:type="dxa"/>
            <w:tcBorders>
              <w:right w:val="nil"/>
            </w:tcBorders>
            <w:vAlign w:val="center"/>
          </w:tcPr>
          <w:p w14:paraId="69EF20F5" w14:textId="77777777" w:rsidR="001C5298" w:rsidRPr="00316F57" w:rsidRDefault="001C5298" w:rsidP="00316FF5">
            <w:pPr>
              <w:jc w:val="center"/>
              <w:rPr>
                <w:sz w:val="19"/>
                <w:szCs w:val="19"/>
              </w:rPr>
            </w:pPr>
            <w:r w:rsidRPr="00316F57">
              <w:rPr>
                <w:sz w:val="19"/>
                <w:szCs w:val="19"/>
              </w:rPr>
              <w:t>1.98 (0.72, 5.42)</w:t>
            </w:r>
          </w:p>
        </w:tc>
        <w:tc>
          <w:tcPr>
            <w:tcW w:w="850" w:type="dxa"/>
            <w:tcBorders>
              <w:left w:val="nil"/>
            </w:tcBorders>
            <w:vAlign w:val="center"/>
          </w:tcPr>
          <w:p w14:paraId="15D036B1" w14:textId="77777777" w:rsidR="001C5298" w:rsidRPr="00316F57" w:rsidRDefault="001C5298" w:rsidP="00316FF5">
            <w:pPr>
              <w:jc w:val="center"/>
              <w:rPr>
                <w:sz w:val="19"/>
                <w:szCs w:val="19"/>
              </w:rPr>
            </w:pPr>
            <w:r w:rsidRPr="00316F57">
              <w:rPr>
                <w:sz w:val="19"/>
                <w:szCs w:val="19"/>
              </w:rPr>
              <w:t>0.19</w:t>
            </w:r>
          </w:p>
        </w:tc>
      </w:tr>
      <w:tr w:rsidR="001C5298" w14:paraId="1DFBE5EE" w14:textId="77777777" w:rsidTr="00BD0CE0">
        <w:trPr>
          <w:trHeight w:val="272"/>
        </w:trPr>
        <w:tc>
          <w:tcPr>
            <w:tcW w:w="4678" w:type="dxa"/>
            <w:vAlign w:val="center"/>
          </w:tcPr>
          <w:p w14:paraId="6CF6A1F0" w14:textId="3CEF1B10" w:rsidR="001C5298" w:rsidRPr="00316F57" w:rsidRDefault="001C5298" w:rsidP="00565091">
            <w:pPr>
              <w:rPr>
                <w:rFonts w:eastAsia="Calibri" w:cs="Calibri"/>
                <w:color w:val="000000"/>
                <w:sz w:val="19"/>
                <w:szCs w:val="19"/>
              </w:rPr>
            </w:pPr>
            <w:r w:rsidRPr="00316F57">
              <w:rPr>
                <w:rFonts w:eastAsia="Calibri" w:cs="Calibri"/>
                <w:color w:val="000000"/>
                <w:sz w:val="19"/>
                <w:szCs w:val="19"/>
              </w:rPr>
              <w:t xml:space="preserve">   Re-intervention </w:t>
            </w:r>
            <w:r w:rsidR="00565091">
              <w:rPr>
                <w:rFonts w:eastAsia="Calibri" w:cs="Calibri"/>
                <w:color w:val="000000"/>
                <w:sz w:val="19"/>
                <w:szCs w:val="19"/>
              </w:rPr>
              <w:t>-</w:t>
            </w:r>
            <w:r w:rsidRPr="00316F57">
              <w:rPr>
                <w:rFonts w:eastAsia="Calibri" w:cs="Calibri"/>
                <w:color w:val="000000"/>
                <w:sz w:val="19"/>
                <w:szCs w:val="19"/>
              </w:rPr>
              <w:t xml:space="preserve"> other</w:t>
            </w:r>
            <w:r w:rsidR="00565091">
              <w:rPr>
                <w:rFonts w:eastAsia="Calibri" w:cs="Calibri"/>
                <w:color w:val="000000"/>
                <w:sz w:val="19"/>
                <w:szCs w:val="19"/>
                <w:vertAlign w:val="superscript"/>
              </w:rPr>
              <w:t>f</w:t>
            </w:r>
          </w:p>
        </w:tc>
        <w:tc>
          <w:tcPr>
            <w:tcW w:w="1205" w:type="dxa"/>
            <w:vAlign w:val="center"/>
          </w:tcPr>
          <w:p w14:paraId="4CAF5FB6" w14:textId="77777777" w:rsidR="001C5298" w:rsidRPr="00316F57" w:rsidRDefault="001C5298" w:rsidP="00316FF5">
            <w:pPr>
              <w:jc w:val="center"/>
              <w:rPr>
                <w:rFonts w:eastAsia="Calibri" w:cs="Calibri"/>
                <w:color w:val="000000"/>
                <w:sz w:val="19"/>
                <w:szCs w:val="19"/>
              </w:rPr>
            </w:pPr>
            <w:r w:rsidRPr="00316F57">
              <w:rPr>
                <w:rFonts w:eastAsia="Calibri" w:cs="Calibri"/>
                <w:color w:val="000000"/>
                <w:sz w:val="19"/>
                <w:szCs w:val="19"/>
              </w:rPr>
              <w:t>21 (4.6%)</w:t>
            </w:r>
          </w:p>
        </w:tc>
        <w:tc>
          <w:tcPr>
            <w:tcW w:w="1205" w:type="dxa"/>
            <w:vAlign w:val="center"/>
          </w:tcPr>
          <w:p w14:paraId="7EF795C4" w14:textId="77777777" w:rsidR="001C5298" w:rsidRPr="00316F57" w:rsidRDefault="001C5298" w:rsidP="00316FF5">
            <w:pPr>
              <w:jc w:val="center"/>
              <w:rPr>
                <w:rFonts w:eastAsia="Calibri" w:cs="Calibri"/>
                <w:color w:val="000000"/>
                <w:sz w:val="19"/>
                <w:szCs w:val="19"/>
              </w:rPr>
            </w:pPr>
            <w:r w:rsidRPr="00316F57">
              <w:rPr>
                <w:rFonts w:eastAsia="Calibri" w:cs="Calibri"/>
                <w:color w:val="000000"/>
                <w:sz w:val="19"/>
                <w:szCs w:val="19"/>
              </w:rPr>
              <w:t>32 (7.0%)</w:t>
            </w:r>
          </w:p>
        </w:tc>
        <w:tc>
          <w:tcPr>
            <w:tcW w:w="1984" w:type="dxa"/>
            <w:vAlign w:val="center"/>
          </w:tcPr>
          <w:p w14:paraId="7B39796F" w14:textId="77777777" w:rsidR="001C5298" w:rsidRPr="00C972FC" w:rsidRDefault="001C5298" w:rsidP="00316FF5">
            <w:pPr>
              <w:jc w:val="center"/>
              <w:rPr>
                <w:sz w:val="19"/>
                <w:szCs w:val="19"/>
              </w:rPr>
            </w:pPr>
            <w:r w:rsidRPr="00C972FC">
              <w:rPr>
                <w:sz w:val="19"/>
                <w:szCs w:val="19"/>
              </w:rPr>
              <w:t>-2.4% (-5.5%, 0.6%)</w:t>
            </w:r>
          </w:p>
        </w:tc>
        <w:tc>
          <w:tcPr>
            <w:tcW w:w="1985" w:type="dxa"/>
            <w:vAlign w:val="center"/>
          </w:tcPr>
          <w:p w14:paraId="66F493A1" w14:textId="77777777" w:rsidR="001C5298" w:rsidRPr="00C972FC" w:rsidRDefault="001C5298" w:rsidP="00316FF5">
            <w:pPr>
              <w:jc w:val="center"/>
              <w:rPr>
                <w:sz w:val="19"/>
                <w:szCs w:val="19"/>
              </w:rPr>
            </w:pPr>
            <w:r w:rsidRPr="00C972FC">
              <w:rPr>
                <w:sz w:val="19"/>
                <w:szCs w:val="19"/>
              </w:rPr>
              <w:t>-2.5% (-5.2%, 0.3%)</w:t>
            </w:r>
          </w:p>
        </w:tc>
        <w:tc>
          <w:tcPr>
            <w:tcW w:w="1843" w:type="dxa"/>
            <w:vAlign w:val="center"/>
          </w:tcPr>
          <w:p w14:paraId="4FD06E84" w14:textId="77777777" w:rsidR="001C5298" w:rsidRPr="00316F57" w:rsidRDefault="001C5298" w:rsidP="00316FF5">
            <w:pPr>
              <w:jc w:val="center"/>
              <w:rPr>
                <w:sz w:val="19"/>
                <w:szCs w:val="19"/>
              </w:rPr>
            </w:pPr>
            <w:r w:rsidRPr="00316F57">
              <w:rPr>
                <w:sz w:val="19"/>
                <w:szCs w:val="19"/>
              </w:rPr>
              <w:t>0.64 (0.37, 1.12)</w:t>
            </w:r>
          </w:p>
        </w:tc>
        <w:tc>
          <w:tcPr>
            <w:tcW w:w="1701" w:type="dxa"/>
            <w:tcBorders>
              <w:right w:val="nil"/>
            </w:tcBorders>
            <w:vAlign w:val="center"/>
          </w:tcPr>
          <w:p w14:paraId="0A2C8E6E" w14:textId="77777777" w:rsidR="001C5298" w:rsidRPr="00316F57" w:rsidRDefault="001C5298" w:rsidP="00316FF5">
            <w:pPr>
              <w:jc w:val="center"/>
              <w:rPr>
                <w:sz w:val="19"/>
                <w:szCs w:val="19"/>
              </w:rPr>
            </w:pPr>
            <w:r w:rsidRPr="00316F57">
              <w:rPr>
                <w:sz w:val="19"/>
                <w:szCs w:val="19"/>
              </w:rPr>
              <w:t>0.64 (0.37, 1.11)</w:t>
            </w:r>
          </w:p>
        </w:tc>
        <w:tc>
          <w:tcPr>
            <w:tcW w:w="850" w:type="dxa"/>
            <w:tcBorders>
              <w:left w:val="nil"/>
            </w:tcBorders>
            <w:vAlign w:val="center"/>
          </w:tcPr>
          <w:p w14:paraId="6A60C895" w14:textId="77777777" w:rsidR="001C5298" w:rsidRPr="00316F57" w:rsidRDefault="001C5298" w:rsidP="00316FF5">
            <w:pPr>
              <w:jc w:val="center"/>
              <w:rPr>
                <w:sz w:val="19"/>
                <w:szCs w:val="19"/>
              </w:rPr>
            </w:pPr>
            <w:r w:rsidRPr="00316F57">
              <w:rPr>
                <w:sz w:val="19"/>
                <w:szCs w:val="19"/>
              </w:rPr>
              <w:t>0.11</w:t>
            </w:r>
          </w:p>
        </w:tc>
      </w:tr>
      <w:tr w:rsidR="003F077F" w:rsidRPr="00316F57" w14:paraId="76077470" w14:textId="77777777" w:rsidTr="00BD0CE0">
        <w:trPr>
          <w:trHeight w:val="272"/>
        </w:trPr>
        <w:tc>
          <w:tcPr>
            <w:tcW w:w="4678" w:type="dxa"/>
            <w:shd w:val="clear" w:color="auto" w:fill="EEECE1" w:themeFill="background2"/>
            <w:vAlign w:val="center"/>
          </w:tcPr>
          <w:p w14:paraId="15F1E378" w14:textId="5C43D07B" w:rsidR="003F077F" w:rsidRPr="00571668" w:rsidRDefault="001C5298" w:rsidP="004E7A66">
            <w:pPr>
              <w:rPr>
                <w:rFonts w:eastAsia="Times New Roman" w:cs="Times New Roman"/>
                <w:b/>
                <w:bCs/>
                <w:sz w:val="19"/>
                <w:szCs w:val="19"/>
                <w:lang w:eastAsia="en-GB"/>
              </w:rPr>
            </w:pPr>
            <w:r>
              <w:rPr>
                <w:rFonts w:eastAsia="Times New Roman" w:cs="Times New Roman"/>
                <w:b/>
                <w:bCs/>
                <w:sz w:val="19"/>
                <w:szCs w:val="19"/>
                <w:lang w:eastAsia="en-GB"/>
              </w:rPr>
              <w:t xml:space="preserve">Secondary Outcomes: </w:t>
            </w:r>
            <w:r w:rsidR="003F077F" w:rsidRPr="00571668">
              <w:rPr>
                <w:rFonts w:eastAsia="Times New Roman" w:cs="Times New Roman"/>
                <w:b/>
                <w:bCs/>
                <w:sz w:val="19"/>
                <w:szCs w:val="19"/>
                <w:lang w:eastAsia="en-GB"/>
              </w:rPr>
              <w:t>30 Days Post-Procedure</w:t>
            </w:r>
            <w:r w:rsidR="00565091" w:rsidRPr="00565091">
              <w:rPr>
                <w:rFonts w:eastAsia="Times New Roman" w:cs="Times New Roman"/>
                <w:b/>
                <w:bCs/>
                <w:sz w:val="19"/>
                <w:szCs w:val="19"/>
                <w:vertAlign w:val="superscript"/>
                <w:lang w:eastAsia="en-GB"/>
              </w:rPr>
              <w:t>c</w:t>
            </w:r>
          </w:p>
        </w:tc>
        <w:tc>
          <w:tcPr>
            <w:tcW w:w="1205" w:type="dxa"/>
            <w:shd w:val="clear" w:color="auto" w:fill="EEECE1" w:themeFill="background2"/>
            <w:vAlign w:val="center"/>
          </w:tcPr>
          <w:p w14:paraId="7BB03F8B" w14:textId="281FF443" w:rsidR="003F077F" w:rsidRPr="00433F46" w:rsidRDefault="003F077F" w:rsidP="004E7A66">
            <w:pPr>
              <w:jc w:val="center"/>
              <w:rPr>
                <w:rFonts w:eastAsia="Times New Roman" w:cs="Times New Roman"/>
                <w:b/>
                <w:bCs/>
                <w:sz w:val="19"/>
                <w:szCs w:val="19"/>
                <w:lang w:eastAsia="en-GB"/>
              </w:rPr>
            </w:pPr>
            <w:r w:rsidRPr="00433F46">
              <w:rPr>
                <w:rFonts w:eastAsia="Times New Roman" w:cs="Times New Roman"/>
                <w:b/>
                <w:bCs/>
                <w:sz w:val="19"/>
                <w:szCs w:val="19"/>
                <w:lang w:eastAsia="en-GB"/>
              </w:rPr>
              <w:t>(n=455)</w:t>
            </w:r>
          </w:p>
        </w:tc>
        <w:tc>
          <w:tcPr>
            <w:tcW w:w="1205" w:type="dxa"/>
            <w:shd w:val="clear" w:color="auto" w:fill="EEECE1" w:themeFill="background2"/>
            <w:vAlign w:val="center"/>
          </w:tcPr>
          <w:p w14:paraId="3382A63E" w14:textId="6C480698" w:rsidR="003F077F" w:rsidRPr="00433F46" w:rsidRDefault="003F077F" w:rsidP="004E7A66">
            <w:pPr>
              <w:jc w:val="center"/>
              <w:rPr>
                <w:rFonts w:eastAsia="Times New Roman" w:cs="Times New Roman"/>
                <w:b/>
                <w:bCs/>
                <w:sz w:val="19"/>
                <w:szCs w:val="19"/>
                <w:lang w:eastAsia="en-GB"/>
              </w:rPr>
            </w:pPr>
            <w:r w:rsidRPr="00433F46">
              <w:rPr>
                <w:rFonts w:eastAsia="Times New Roman" w:cs="Times New Roman"/>
                <w:b/>
                <w:bCs/>
                <w:sz w:val="19"/>
                <w:szCs w:val="19"/>
                <w:lang w:eastAsia="en-GB"/>
              </w:rPr>
              <w:t>(n=431)</w:t>
            </w:r>
          </w:p>
        </w:tc>
        <w:tc>
          <w:tcPr>
            <w:tcW w:w="1984" w:type="dxa"/>
            <w:shd w:val="clear" w:color="auto" w:fill="EEECE1" w:themeFill="background2"/>
            <w:vAlign w:val="center"/>
          </w:tcPr>
          <w:p w14:paraId="36305DFC" w14:textId="77777777" w:rsidR="003F077F" w:rsidRPr="00316F57" w:rsidRDefault="003F077F" w:rsidP="004E7A66">
            <w:pPr>
              <w:jc w:val="center"/>
              <w:rPr>
                <w:rFonts w:eastAsia="Times New Roman" w:cs="Times New Roman"/>
                <w:bCs/>
                <w:sz w:val="19"/>
                <w:szCs w:val="19"/>
                <w:lang w:eastAsia="en-GB"/>
              </w:rPr>
            </w:pPr>
          </w:p>
        </w:tc>
        <w:tc>
          <w:tcPr>
            <w:tcW w:w="1985" w:type="dxa"/>
            <w:shd w:val="clear" w:color="auto" w:fill="EEECE1" w:themeFill="background2"/>
            <w:vAlign w:val="center"/>
          </w:tcPr>
          <w:p w14:paraId="78924EA1" w14:textId="77777777" w:rsidR="003F077F" w:rsidRPr="00316F57" w:rsidRDefault="003F077F" w:rsidP="004E7A66">
            <w:pPr>
              <w:jc w:val="center"/>
              <w:rPr>
                <w:rFonts w:eastAsia="Times New Roman" w:cs="Times New Roman"/>
                <w:bCs/>
                <w:sz w:val="19"/>
                <w:szCs w:val="19"/>
                <w:lang w:eastAsia="en-GB"/>
              </w:rPr>
            </w:pPr>
          </w:p>
        </w:tc>
        <w:tc>
          <w:tcPr>
            <w:tcW w:w="1843" w:type="dxa"/>
            <w:shd w:val="clear" w:color="auto" w:fill="EEECE1" w:themeFill="background2"/>
            <w:vAlign w:val="center"/>
          </w:tcPr>
          <w:p w14:paraId="1FDF7EA3" w14:textId="77777777" w:rsidR="003F077F" w:rsidRPr="00316F57" w:rsidRDefault="003F077F" w:rsidP="004E7A66">
            <w:pPr>
              <w:jc w:val="center"/>
              <w:rPr>
                <w:rFonts w:eastAsia="Times New Roman" w:cs="Times New Roman"/>
                <w:bCs/>
                <w:sz w:val="19"/>
                <w:szCs w:val="19"/>
                <w:lang w:eastAsia="en-GB"/>
              </w:rPr>
            </w:pPr>
          </w:p>
        </w:tc>
        <w:tc>
          <w:tcPr>
            <w:tcW w:w="1701" w:type="dxa"/>
            <w:tcBorders>
              <w:right w:val="nil"/>
            </w:tcBorders>
            <w:shd w:val="clear" w:color="auto" w:fill="EEECE1" w:themeFill="background2"/>
            <w:vAlign w:val="center"/>
          </w:tcPr>
          <w:p w14:paraId="5C09E856" w14:textId="77777777" w:rsidR="003F077F" w:rsidRPr="00316F57" w:rsidRDefault="003F077F" w:rsidP="004E7A66">
            <w:pPr>
              <w:jc w:val="center"/>
              <w:rPr>
                <w:rFonts w:eastAsia="Times New Roman" w:cs="Times New Roman"/>
                <w:bCs/>
                <w:sz w:val="19"/>
                <w:szCs w:val="19"/>
                <w:lang w:eastAsia="en-GB"/>
              </w:rPr>
            </w:pPr>
          </w:p>
        </w:tc>
        <w:tc>
          <w:tcPr>
            <w:tcW w:w="850" w:type="dxa"/>
            <w:tcBorders>
              <w:left w:val="nil"/>
            </w:tcBorders>
            <w:shd w:val="clear" w:color="auto" w:fill="EEECE1" w:themeFill="background2"/>
            <w:vAlign w:val="center"/>
          </w:tcPr>
          <w:p w14:paraId="03232322" w14:textId="77777777" w:rsidR="003F077F" w:rsidRPr="00316F57" w:rsidRDefault="003F077F" w:rsidP="004E7A66">
            <w:pPr>
              <w:jc w:val="center"/>
              <w:rPr>
                <w:rFonts w:eastAsia="Times New Roman" w:cs="Times New Roman"/>
                <w:bCs/>
                <w:sz w:val="19"/>
                <w:szCs w:val="19"/>
                <w:lang w:eastAsia="en-GB"/>
              </w:rPr>
            </w:pPr>
          </w:p>
        </w:tc>
      </w:tr>
      <w:tr w:rsidR="00336308" w14:paraId="2195C73B" w14:textId="77777777" w:rsidTr="00BD0CE0">
        <w:trPr>
          <w:trHeight w:val="272"/>
        </w:trPr>
        <w:tc>
          <w:tcPr>
            <w:tcW w:w="4678" w:type="dxa"/>
            <w:vAlign w:val="center"/>
          </w:tcPr>
          <w:p w14:paraId="170AE986" w14:textId="3E21C56B" w:rsidR="00336308" w:rsidRPr="00316F57" w:rsidRDefault="00336308" w:rsidP="008833E8">
            <w:pPr>
              <w:rPr>
                <w:rFonts w:eastAsia="Calibri" w:cs="Calibri"/>
                <w:color w:val="000000"/>
                <w:sz w:val="19"/>
                <w:szCs w:val="19"/>
              </w:rPr>
            </w:pPr>
            <w:r>
              <w:rPr>
                <w:rFonts w:eastAsia="Calibri" w:cs="Calibri"/>
                <w:color w:val="000000"/>
                <w:sz w:val="19"/>
                <w:szCs w:val="19"/>
              </w:rPr>
              <w:t>Death from any cause</w:t>
            </w:r>
          </w:p>
        </w:tc>
        <w:tc>
          <w:tcPr>
            <w:tcW w:w="1205" w:type="dxa"/>
            <w:vAlign w:val="center"/>
          </w:tcPr>
          <w:p w14:paraId="18AD7566" w14:textId="77777777" w:rsidR="00336308" w:rsidRPr="00926A98" w:rsidRDefault="00926A98" w:rsidP="008B6E0C">
            <w:pPr>
              <w:jc w:val="center"/>
              <w:rPr>
                <w:rFonts w:eastAsia="Calibri" w:cs="Calibri"/>
                <w:color w:val="000000"/>
                <w:sz w:val="19"/>
                <w:szCs w:val="19"/>
              </w:rPr>
            </w:pPr>
            <w:r w:rsidRPr="008B6E0C">
              <w:rPr>
                <w:rFonts w:eastAsia="Calibri" w:cs="Calibri"/>
                <w:color w:val="000000"/>
                <w:sz w:val="19"/>
                <w:szCs w:val="19"/>
              </w:rPr>
              <w:t>8 (1.8%)</w:t>
            </w:r>
          </w:p>
        </w:tc>
        <w:tc>
          <w:tcPr>
            <w:tcW w:w="1205" w:type="dxa"/>
            <w:vAlign w:val="center"/>
          </w:tcPr>
          <w:p w14:paraId="517D9AFA" w14:textId="77777777" w:rsidR="00336308" w:rsidRPr="00926A98" w:rsidRDefault="00926A98">
            <w:pPr>
              <w:jc w:val="center"/>
              <w:rPr>
                <w:rFonts w:eastAsia="Calibri" w:cs="Calibri"/>
                <w:color w:val="000000"/>
                <w:sz w:val="19"/>
                <w:szCs w:val="19"/>
              </w:rPr>
            </w:pPr>
            <w:r w:rsidRPr="00926A98">
              <w:rPr>
                <w:rFonts w:eastAsia="Calibri" w:cs="Calibri"/>
                <w:color w:val="000000"/>
                <w:sz w:val="19"/>
                <w:szCs w:val="19"/>
              </w:rPr>
              <w:t>4 (0.9%)</w:t>
            </w:r>
          </w:p>
        </w:tc>
        <w:tc>
          <w:tcPr>
            <w:tcW w:w="1984" w:type="dxa"/>
            <w:vAlign w:val="center"/>
          </w:tcPr>
          <w:p w14:paraId="5AAF4940" w14:textId="77777777" w:rsidR="00336308" w:rsidRPr="008B6E0C" w:rsidRDefault="00336308">
            <w:pPr>
              <w:jc w:val="center"/>
              <w:rPr>
                <w:sz w:val="19"/>
                <w:szCs w:val="19"/>
              </w:rPr>
            </w:pPr>
            <w:r w:rsidRPr="002B4B1E">
              <w:rPr>
                <w:rFonts w:ascii="Calibri" w:hAnsi="Calibri" w:cs="Calibri"/>
                <w:sz w:val="19"/>
                <w:szCs w:val="19"/>
              </w:rPr>
              <w:t>0.8% (-0.7%, 2.3%)</w:t>
            </w:r>
          </w:p>
        </w:tc>
        <w:tc>
          <w:tcPr>
            <w:tcW w:w="1985" w:type="dxa"/>
            <w:vAlign w:val="center"/>
          </w:tcPr>
          <w:p w14:paraId="119A13B0" w14:textId="77777777" w:rsidR="00336308" w:rsidRPr="008B6E0C" w:rsidRDefault="00336308">
            <w:pPr>
              <w:jc w:val="center"/>
              <w:rPr>
                <w:sz w:val="19"/>
                <w:szCs w:val="19"/>
              </w:rPr>
            </w:pPr>
            <w:r w:rsidRPr="002B4B1E">
              <w:rPr>
                <w:rFonts w:ascii="Calibri" w:hAnsi="Calibri" w:cs="Calibri"/>
                <w:sz w:val="19"/>
                <w:szCs w:val="19"/>
              </w:rPr>
              <w:t>0.8% (-0.9%, 2.5%)</w:t>
            </w:r>
          </w:p>
        </w:tc>
        <w:tc>
          <w:tcPr>
            <w:tcW w:w="1843" w:type="dxa"/>
            <w:vAlign w:val="center"/>
          </w:tcPr>
          <w:p w14:paraId="5EF20EF1" w14:textId="77777777" w:rsidR="00336308" w:rsidRPr="008B6E0C" w:rsidRDefault="00336308">
            <w:pPr>
              <w:jc w:val="center"/>
              <w:rPr>
                <w:sz w:val="19"/>
                <w:szCs w:val="19"/>
              </w:rPr>
            </w:pPr>
            <w:r w:rsidRPr="002B4B1E">
              <w:rPr>
                <w:sz w:val="19"/>
                <w:szCs w:val="19"/>
              </w:rPr>
              <w:t>1.90 (0.57, 6.33)</w:t>
            </w:r>
          </w:p>
        </w:tc>
        <w:tc>
          <w:tcPr>
            <w:tcW w:w="1701" w:type="dxa"/>
            <w:tcBorders>
              <w:right w:val="nil"/>
            </w:tcBorders>
            <w:vAlign w:val="center"/>
          </w:tcPr>
          <w:p w14:paraId="073422C0" w14:textId="77777777" w:rsidR="00336308" w:rsidRPr="008B6E0C" w:rsidRDefault="00336308">
            <w:pPr>
              <w:jc w:val="center"/>
              <w:rPr>
                <w:sz w:val="19"/>
                <w:szCs w:val="19"/>
              </w:rPr>
            </w:pPr>
            <w:r w:rsidRPr="002B4B1E">
              <w:rPr>
                <w:sz w:val="19"/>
                <w:szCs w:val="19"/>
              </w:rPr>
              <w:t>1.91 (0.52, 7.03)</w:t>
            </w:r>
          </w:p>
        </w:tc>
        <w:tc>
          <w:tcPr>
            <w:tcW w:w="850" w:type="dxa"/>
            <w:tcBorders>
              <w:left w:val="nil"/>
            </w:tcBorders>
            <w:vAlign w:val="center"/>
          </w:tcPr>
          <w:p w14:paraId="7625C224" w14:textId="77777777" w:rsidR="00336308" w:rsidRPr="008B6E0C" w:rsidRDefault="00336308">
            <w:pPr>
              <w:jc w:val="center"/>
              <w:rPr>
                <w:sz w:val="19"/>
                <w:szCs w:val="19"/>
              </w:rPr>
            </w:pPr>
            <w:r w:rsidRPr="002B4B1E">
              <w:rPr>
                <w:sz w:val="19"/>
                <w:szCs w:val="19"/>
              </w:rPr>
              <w:t>0.33</w:t>
            </w:r>
          </w:p>
        </w:tc>
      </w:tr>
      <w:tr w:rsidR="003F077F" w14:paraId="611581D2" w14:textId="77777777" w:rsidTr="00BD0CE0">
        <w:trPr>
          <w:trHeight w:val="272"/>
        </w:trPr>
        <w:tc>
          <w:tcPr>
            <w:tcW w:w="4678" w:type="dxa"/>
            <w:vAlign w:val="center"/>
          </w:tcPr>
          <w:p w14:paraId="0A08E87F"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Cardiovascular death</w:t>
            </w:r>
          </w:p>
        </w:tc>
        <w:tc>
          <w:tcPr>
            <w:tcW w:w="1205" w:type="dxa"/>
            <w:vAlign w:val="center"/>
          </w:tcPr>
          <w:p w14:paraId="12CBFD3F"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7 (1.5%)</w:t>
            </w:r>
          </w:p>
        </w:tc>
        <w:tc>
          <w:tcPr>
            <w:tcW w:w="1205" w:type="dxa"/>
            <w:vAlign w:val="center"/>
          </w:tcPr>
          <w:p w14:paraId="36BF1AB3"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3 (0.7%)</w:t>
            </w:r>
          </w:p>
        </w:tc>
        <w:tc>
          <w:tcPr>
            <w:tcW w:w="1984" w:type="dxa"/>
            <w:vAlign w:val="center"/>
          </w:tcPr>
          <w:p w14:paraId="5C702370" w14:textId="77777777" w:rsidR="003F077F" w:rsidRPr="00433F46" w:rsidRDefault="003F077F" w:rsidP="004E7A66">
            <w:pPr>
              <w:jc w:val="center"/>
              <w:rPr>
                <w:sz w:val="19"/>
                <w:szCs w:val="19"/>
                <w:highlight w:val="yellow"/>
              </w:rPr>
            </w:pPr>
            <w:r w:rsidRPr="00C972FC">
              <w:rPr>
                <w:sz w:val="19"/>
                <w:szCs w:val="19"/>
              </w:rPr>
              <w:t>0.8%</w:t>
            </w:r>
            <w:r w:rsidRPr="007A66E2">
              <w:rPr>
                <w:sz w:val="19"/>
                <w:szCs w:val="19"/>
              </w:rPr>
              <w:t xml:space="preserve"> (-0.5%, 2.2%)</w:t>
            </w:r>
          </w:p>
        </w:tc>
        <w:tc>
          <w:tcPr>
            <w:tcW w:w="1985" w:type="dxa"/>
            <w:vAlign w:val="center"/>
          </w:tcPr>
          <w:p w14:paraId="550C546E" w14:textId="77777777" w:rsidR="003F077F" w:rsidRPr="00433F46" w:rsidRDefault="003F077F" w:rsidP="004E7A66">
            <w:pPr>
              <w:jc w:val="center"/>
              <w:rPr>
                <w:sz w:val="19"/>
                <w:szCs w:val="19"/>
                <w:highlight w:val="yellow"/>
              </w:rPr>
            </w:pPr>
            <w:r w:rsidRPr="00C972FC">
              <w:rPr>
                <w:sz w:val="19"/>
                <w:szCs w:val="19"/>
              </w:rPr>
              <w:t>1.1%</w:t>
            </w:r>
            <w:r w:rsidRPr="007A66E2">
              <w:rPr>
                <w:sz w:val="19"/>
                <w:szCs w:val="19"/>
              </w:rPr>
              <w:t xml:space="preserve"> (-0.8%, 2.9%)</w:t>
            </w:r>
          </w:p>
        </w:tc>
        <w:tc>
          <w:tcPr>
            <w:tcW w:w="1843" w:type="dxa"/>
            <w:vAlign w:val="center"/>
          </w:tcPr>
          <w:p w14:paraId="550FEA82" w14:textId="77777777" w:rsidR="003F077F" w:rsidRPr="00316F57" w:rsidRDefault="003F077F" w:rsidP="004E7A66">
            <w:pPr>
              <w:jc w:val="center"/>
              <w:rPr>
                <w:sz w:val="19"/>
                <w:szCs w:val="19"/>
              </w:rPr>
            </w:pPr>
            <w:r w:rsidRPr="00316F57">
              <w:rPr>
                <w:sz w:val="19"/>
                <w:szCs w:val="19"/>
              </w:rPr>
              <w:t>2.22 (0.57, 8.59)</w:t>
            </w:r>
          </w:p>
        </w:tc>
        <w:tc>
          <w:tcPr>
            <w:tcW w:w="1701" w:type="dxa"/>
            <w:tcBorders>
              <w:right w:val="nil"/>
            </w:tcBorders>
            <w:vAlign w:val="center"/>
          </w:tcPr>
          <w:p w14:paraId="5EA4624E" w14:textId="77777777" w:rsidR="003F077F" w:rsidRPr="00316F57" w:rsidRDefault="003F077F" w:rsidP="004E7A66">
            <w:pPr>
              <w:jc w:val="center"/>
              <w:rPr>
                <w:sz w:val="19"/>
                <w:szCs w:val="19"/>
              </w:rPr>
            </w:pPr>
            <w:r w:rsidRPr="00316F57">
              <w:rPr>
                <w:sz w:val="19"/>
                <w:szCs w:val="19"/>
              </w:rPr>
              <w:t>2.22 (0.54, 9.14)</w:t>
            </w:r>
          </w:p>
        </w:tc>
        <w:tc>
          <w:tcPr>
            <w:tcW w:w="850" w:type="dxa"/>
            <w:tcBorders>
              <w:left w:val="nil"/>
            </w:tcBorders>
            <w:vAlign w:val="center"/>
          </w:tcPr>
          <w:p w14:paraId="635C2572" w14:textId="77777777" w:rsidR="003F077F" w:rsidRPr="00316F57" w:rsidRDefault="003F077F" w:rsidP="004E7A66">
            <w:pPr>
              <w:jc w:val="center"/>
              <w:rPr>
                <w:sz w:val="19"/>
                <w:szCs w:val="19"/>
              </w:rPr>
            </w:pPr>
            <w:r w:rsidRPr="00316F57">
              <w:rPr>
                <w:sz w:val="19"/>
                <w:szCs w:val="19"/>
              </w:rPr>
              <w:t>0.27</w:t>
            </w:r>
          </w:p>
        </w:tc>
      </w:tr>
      <w:tr w:rsidR="003F077F" w14:paraId="53E5C166" w14:textId="77777777" w:rsidTr="00BD0CE0">
        <w:trPr>
          <w:trHeight w:val="272"/>
        </w:trPr>
        <w:tc>
          <w:tcPr>
            <w:tcW w:w="4678" w:type="dxa"/>
            <w:vAlign w:val="center"/>
          </w:tcPr>
          <w:p w14:paraId="1122355A"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Stroke</w:t>
            </w:r>
            <w:r>
              <w:rPr>
                <w:rFonts w:eastAsia="Calibri" w:cs="Calibri"/>
                <w:color w:val="000000"/>
                <w:sz w:val="19"/>
                <w:szCs w:val="19"/>
              </w:rPr>
              <w:t xml:space="preserve"> (fatal or non-fatal)</w:t>
            </w:r>
          </w:p>
        </w:tc>
        <w:tc>
          <w:tcPr>
            <w:tcW w:w="1205" w:type="dxa"/>
            <w:vAlign w:val="center"/>
          </w:tcPr>
          <w:p w14:paraId="68656BED"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11 (2.4%)</w:t>
            </w:r>
          </w:p>
        </w:tc>
        <w:tc>
          <w:tcPr>
            <w:tcW w:w="1205" w:type="dxa"/>
            <w:vAlign w:val="center"/>
          </w:tcPr>
          <w:p w14:paraId="15EA3FB6"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10 (2.3%)</w:t>
            </w:r>
          </w:p>
        </w:tc>
        <w:tc>
          <w:tcPr>
            <w:tcW w:w="1984" w:type="dxa"/>
            <w:vAlign w:val="center"/>
          </w:tcPr>
          <w:p w14:paraId="569AF013" w14:textId="77777777" w:rsidR="003F077F" w:rsidRPr="00316F57" w:rsidRDefault="003F077F" w:rsidP="004E7A66">
            <w:pPr>
              <w:jc w:val="center"/>
              <w:rPr>
                <w:sz w:val="19"/>
                <w:szCs w:val="19"/>
              </w:rPr>
            </w:pPr>
            <w:r w:rsidRPr="00316F57">
              <w:rPr>
                <w:sz w:val="19"/>
                <w:szCs w:val="19"/>
              </w:rPr>
              <w:t>0.1% (-1.9%, 2.1%)</w:t>
            </w:r>
          </w:p>
        </w:tc>
        <w:tc>
          <w:tcPr>
            <w:tcW w:w="1985" w:type="dxa"/>
            <w:vAlign w:val="center"/>
          </w:tcPr>
          <w:p w14:paraId="10F8E345" w14:textId="77777777" w:rsidR="003F077F" w:rsidRPr="00316F57" w:rsidRDefault="003F077F" w:rsidP="004E7A66">
            <w:pPr>
              <w:jc w:val="center"/>
              <w:rPr>
                <w:sz w:val="19"/>
                <w:szCs w:val="19"/>
              </w:rPr>
            </w:pPr>
            <w:r w:rsidRPr="00316F57">
              <w:rPr>
                <w:sz w:val="19"/>
                <w:szCs w:val="19"/>
              </w:rPr>
              <w:t>0.1% (-2.5%, 2.7%)</w:t>
            </w:r>
          </w:p>
        </w:tc>
        <w:tc>
          <w:tcPr>
            <w:tcW w:w="1843" w:type="dxa"/>
            <w:vAlign w:val="center"/>
          </w:tcPr>
          <w:p w14:paraId="373383CA" w14:textId="77777777" w:rsidR="003F077F" w:rsidRPr="00316F57" w:rsidRDefault="003F077F" w:rsidP="004E7A66">
            <w:pPr>
              <w:jc w:val="center"/>
              <w:rPr>
                <w:sz w:val="19"/>
                <w:szCs w:val="19"/>
              </w:rPr>
            </w:pPr>
            <w:r w:rsidRPr="00316F57">
              <w:rPr>
                <w:sz w:val="19"/>
                <w:szCs w:val="19"/>
              </w:rPr>
              <w:t>1.05 (0.44, 2.46)</w:t>
            </w:r>
          </w:p>
        </w:tc>
        <w:tc>
          <w:tcPr>
            <w:tcW w:w="1701" w:type="dxa"/>
            <w:tcBorders>
              <w:right w:val="nil"/>
            </w:tcBorders>
            <w:vAlign w:val="center"/>
          </w:tcPr>
          <w:p w14:paraId="4E53BF4A" w14:textId="77777777" w:rsidR="003F077F" w:rsidRPr="00316F57" w:rsidRDefault="003F077F" w:rsidP="004E7A66">
            <w:pPr>
              <w:jc w:val="center"/>
              <w:rPr>
                <w:sz w:val="19"/>
                <w:szCs w:val="19"/>
              </w:rPr>
            </w:pPr>
            <w:r w:rsidRPr="00316F57">
              <w:rPr>
                <w:sz w:val="19"/>
                <w:szCs w:val="19"/>
              </w:rPr>
              <w:t>1.05 (0.35, 3.17)</w:t>
            </w:r>
          </w:p>
        </w:tc>
        <w:tc>
          <w:tcPr>
            <w:tcW w:w="850" w:type="dxa"/>
            <w:tcBorders>
              <w:left w:val="nil"/>
            </w:tcBorders>
            <w:vAlign w:val="center"/>
          </w:tcPr>
          <w:p w14:paraId="7DDE4ABA" w14:textId="77777777" w:rsidR="003F077F" w:rsidRPr="00316F57" w:rsidRDefault="003F077F" w:rsidP="004E7A66">
            <w:pPr>
              <w:jc w:val="center"/>
              <w:rPr>
                <w:sz w:val="19"/>
                <w:szCs w:val="19"/>
              </w:rPr>
            </w:pPr>
            <w:r w:rsidRPr="00316F57">
              <w:rPr>
                <w:sz w:val="19"/>
                <w:szCs w:val="19"/>
              </w:rPr>
              <w:t>0.94</w:t>
            </w:r>
          </w:p>
        </w:tc>
      </w:tr>
      <w:tr w:rsidR="003F077F" w14:paraId="4BCC4F93" w14:textId="77777777" w:rsidTr="00BD0CE0">
        <w:trPr>
          <w:trHeight w:val="272"/>
        </w:trPr>
        <w:tc>
          <w:tcPr>
            <w:tcW w:w="4678" w:type="dxa"/>
            <w:vAlign w:val="center"/>
          </w:tcPr>
          <w:p w14:paraId="30393B66" w14:textId="77777777" w:rsidR="003F077F" w:rsidRPr="00571668" w:rsidRDefault="003F077F" w:rsidP="004E7A66">
            <w:pPr>
              <w:rPr>
                <w:rFonts w:eastAsia="Calibri" w:cs="Calibri"/>
                <w:color w:val="000000"/>
                <w:sz w:val="19"/>
                <w:szCs w:val="19"/>
              </w:rPr>
            </w:pPr>
            <w:r w:rsidRPr="00316F57">
              <w:rPr>
                <w:rFonts w:eastAsia="Calibri" w:cs="Calibri"/>
                <w:color w:val="000000"/>
                <w:sz w:val="19"/>
                <w:szCs w:val="19"/>
              </w:rPr>
              <w:t>Death from any cause or non-fatal stroke</w:t>
            </w:r>
          </w:p>
        </w:tc>
        <w:tc>
          <w:tcPr>
            <w:tcW w:w="1205" w:type="dxa"/>
            <w:vAlign w:val="center"/>
          </w:tcPr>
          <w:p w14:paraId="1EA88DA0"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17 (3.7%)</w:t>
            </w:r>
          </w:p>
        </w:tc>
        <w:tc>
          <w:tcPr>
            <w:tcW w:w="1205" w:type="dxa"/>
            <w:vAlign w:val="center"/>
          </w:tcPr>
          <w:p w14:paraId="434DF73C"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14 (3.2%)</w:t>
            </w:r>
          </w:p>
        </w:tc>
        <w:tc>
          <w:tcPr>
            <w:tcW w:w="1984" w:type="dxa"/>
            <w:vAlign w:val="center"/>
          </w:tcPr>
          <w:p w14:paraId="211296E9" w14:textId="77777777" w:rsidR="003F077F" w:rsidRPr="00316F57" w:rsidRDefault="003F077F" w:rsidP="004E7A66">
            <w:pPr>
              <w:jc w:val="center"/>
              <w:rPr>
                <w:sz w:val="19"/>
                <w:szCs w:val="19"/>
              </w:rPr>
            </w:pPr>
            <w:r w:rsidRPr="00316F57">
              <w:rPr>
                <w:sz w:val="19"/>
                <w:szCs w:val="19"/>
              </w:rPr>
              <w:t>0.5% (-1.9%, 2.9%)</w:t>
            </w:r>
          </w:p>
        </w:tc>
        <w:tc>
          <w:tcPr>
            <w:tcW w:w="1985" w:type="dxa"/>
            <w:vAlign w:val="center"/>
          </w:tcPr>
          <w:p w14:paraId="61342183" w14:textId="77777777" w:rsidR="003F077F" w:rsidRPr="00316F57" w:rsidRDefault="003F077F" w:rsidP="004E7A66">
            <w:pPr>
              <w:jc w:val="center"/>
              <w:rPr>
                <w:sz w:val="19"/>
                <w:szCs w:val="19"/>
              </w:rPr>
            </w:pPr>
            <w:r w:rsidRPr="00316F57">
              <w:rPr>
                <w:sz w:val="19"/>
                <w:szCs w:val="19"/>
              </w:rPr>
              <w:t>0.5% (-2.9%, 3.8%)</w:t>
            </w:r>
          </w:p>
        </w:tc>
        <w:tc>
          <w:tcPr>
            <w:tcW w:w="1843" w:type="dxa"/>
            <w:vAlign w:val="center"/>
          </w:tcPr>
          <w:p w14:paraId="27F699A0" w14:textId="77777777" w:rsidR="003F077F" w:rsidRPr="00316F57" w:rsidRDefault="003F077F" w:rsidP="004E7A66">
            <w:pPr>
              <w:jc w:val="center"/>
              <w:rPr>
                <w:sz w:val="19"/>
                <w:szCs w:val="19"/>
              </w:rPr>
            </w:pPr>
            <w:r w:rsidRPr="00316F57">
              <w:rPr>
                <w:sz w:val="19"/>
                <w:szCs w:val="19"/>
              </w:rPr>
              <w:t>1.16 (0.57, 2.35)</w:t>
            </w:r>
          </w:p>
        </w:tc>
        <w:tc>
          <w:tcPr>
            <w:tcW w:w="1701" w:type="dxa"/>
            <w:tcBorders>
              <w:right w:val="nil"/>
            </w:tcBorders>
            <w:vAlign w:val="center"/>
          </w:tcPr>
          <w:p w14:paraId="3A704C58" w14:textId="77777777" w:rsidR="003F077F" w:rsidRPr="00316F57" w:rsidRDefault="003F077F" w:rsidP="004E7A66">
            <w:pPr>
              <w:jc w:val="center"/>
              <w:rPr>
                <w:sz w:val="19"/>
                <w:szCs w:val="19"/>
              </w:rPr>
            </w:pPr>
            <w:r w:rsidRPr="00316F57">
              <w:rPr>
                <w:sz w:val="19"/>
                <w:szCs w:val="19"/>
              </w:rPr>
              <w:t>1.16 (0.43, 3.09)</w:t>
            </w:r>
          </w:p>
        </w:tc>
        <w:tc>
          <w:tcPr>
            <w:tcW w:w="850" w:type="dxa"/>
            <w:tcBorders>
              <w:left w:val="nil"/>
            </w:tcBorders>
            <w:vAlign w:val="center"/>
          </w:tcPr>
          <w:p w14:paraId="012D8ECF" w14:textId="77777777" w:rsidR="003F077F" w:rsidRPr="00316F57" w:rsidRDefault="003F077F" w:rsidP="004E7A66">
            <w:pPr>
              <w:jc w:val="center"/>
              <w:rPr>
                <w:sz w:val="19"/>
                <w:szCs w:val="19"/>
              </w:rPr>
            </w:pPr>
            <w:r w:rsidRPr="00316F57">
              <w:rPr>
                <w:sz w:val="19"/>
                <w:szCs w:val="19"/>
              </w:rPr>
              <w:t>0.77</w:t>
            </w:r>
          </w:p>
        </w:tc>
      </w:tr>
      <w:tr w:rsidR="003F077F" w14:paraId="3102294E" w14:textId="77777777" w:rsidTr="00BD0CE0">
        <w:trPr>
          <w:trHeight w:val="272"/>
        </w:trPr>
        <w:tc>
          <w:tcPr>
            <w:tcW w:w="4678" w:type="dxa"/>
            <w:vAlign w:val="center"/>
          </w:tcPr>
          <w:p w14:paraId="781592F7"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Death from any cause or disabling non-fatal stroke</w:t>
            </w:r>
          </w:p>
        </w:tc>
        <w:tc>
          <w:tcPr>
            <w:tcW w:w="1205" w:type="dxa"/>
            <w:vAlign w:val="center"/>
          </w:tcPr>
          <w:p w14:paraId="6EB40DDB"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14 (3.1%)</w:t>
            </w:r>
          </w:p>
        </w:tc>
        <w:tc>
          <w:tcPr>
            <w:tcW w:w="1205" w:type="dxa"/>
            <w:vAlign w:val="center"/>
          </w:tcPr>
          <w:p w14:paraId="0C847BC7"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11 (2.6%)</w:t>
            </w:r>
          </w:p>
        </w:tc>
        <w:tc>
          <w:tcPr>
            <w:tcW w:w="1984" w:type="dxa"/>
            <w:vAlign w:val="center"/>
          </w:tcPr>
          <w:p w14:paraId="518D4673" w14:textId="77777777" w:rsidR="003F077F" w:rsidRPr="00316F57" w:rsidRDefault="003F077F" w:rsidP="004E7A66">
            <w:pPr>
              <w:jc w:val="center"/>
              <w:rPr>
                <w:sz w:val="19"/>
                <w:szCs w:val="19"/>
              </w:rPr>
            </w:pPr>
            <w:r w:rsidRPr="00316F57">
              <w:rPr>
                <w:sz w:val="19"/>
                <w:szCs w:val="19"/>
              </w:rPr>
              <w:t>0.5% (-1.7%, 2.7%)</w:t>
            </w:r>
          </w:p>
        </w:tc>
        <w:tc>
          <w:tcPr>
            <w:tcW w:w="1985" w:type="dxa"/>
            <w:vAlign w:val="center"/>
          </w:tcPr>
          <w:p w14:paraId="33D49CB8" w14:textId="77777777" w:rsidR="003F077F" w:rsidRPr="00316F57" w:rsidRDefault="003F077F" w:rsidP="004E7A66">
            <w:pPr>
              <w:jc w:val="center"/>
              <w:rPr>
                <w:sz w:val="19"/>
                <w:szCs w:val="19"/>
              </w:rPr>
            </w:pPr>
            <w:r w:rsidRPr="00316F57">
              <w:rPr>
                <w:sz w:val="19"/>
                <w:szCs w:val="19"/>
              </w:rPr>
              <w:t>0.5% (-2.9%, 3.9%)</w:t>
            </w:r>
          </w:p>
        </w:tc>
        <w:tc>
          <w:tcPr>
            <w:tcW w:w="1843" w:type="dxa"/>
            <w:vAlign w:val="center"/>
          </w:tcPr>
          <w:p w14:paraId="7E8D0ABE" w14:textId="77777777" w:rsidR="003F077F" w:rsidRPr="00316F57" w:rsidRDefault="003F077F" w:rsidP="004E7A66">
            <w:pPr>
              <w:jc w:val="center"/>
              <w:rPr>
                <w:sz w:val="19"/>
                <w:szCs w:val="19"/>
              </w:rPr>
            </w:pPr>
            <w:r w:rsidRPr="00316F57">
              <w:rPr>
                <w:sz w:val="19"/>
                <w:szCs w:val="19"/>
              </w:rPr>
              <w:t>1.21 (0.55, 2.67)</w:t>
            </w:r>
          </w:p>
        </w:tc>
        <w:tc>
          <w:tcPr>
            <w:tcW w:w="1701" w:type="dxa"/>
            <w:tcBorders>
              <w:right w:val="nil"/>
            </w:tcBorders>
            <w:vAlign w:val="center"/>
          </w:tcPr>
          <w:p w14:paraId="03E21B4E" w14:textId="77777777" w:rsidR="003F077F" w:rsidRPr="00316F57" w:rsidRDefault="003F077F" w:rsidP="004E7A66">
            <w:pPr>
              <w:jc w:val="center"/>
              <w:rPr>
                <w:sz w:val="19"/>
                <w:szCs w:val="19"/>
              </w:rPr>
            </w:pPr>
            <w:r w:rsidRPr="00316F57">
              <w:rPr>
                <w:sz w:val="19"/>
                <w:szCs w:val="19"/>
              </w:rPr>
              <w:t>1.21 (0.35, 4.16)</w:t>
            </w:r>
          </w:p>
        </w:tc>
        <w:tc>
          <w:tcPr>
            <w:tcW w:w="850" w:type="dxa"/>
            <w:tcBorders>
              <w:left w:val="nil"/>
            </w:tcBorders>
            <w:vAlign w:val="center"/>
          </w:tcPr>
          <w:p w14:paraId="143E319E" w14:textId="77777777" w:rsidR="003F077F" w:rsidRPr="00316F57" w:rsidRDefault="003F077F" w:rsidP="004E7A66">
            <w:pPr>
              <w:jc w:val="center"/>
              <w:rPr>
                <w:sz w:val="19"/>
                <w:szCs w:val="19"/>
              </w:rPr>
            </w:pPr>
            <w:r w:rsidRPr="00316F57">
              <w:rPr>
                <w:sz w:val="19"/>
                <w:szCs w:val="19"/>
              </w:rPr>
              <w:t>0.76</w:t>
            </w:r>
          </w:p>
        </w:tc>
      </w:tr>
      <w:tr w:rsidR="003F077F" w14:paraId="1CAC0234" w14:textId="77777777" w:rsidTr="00BD0CE0">
        <w:trPr>
          <w:trHeight w:val="272"/>
        </w:trPr>
        <w:tc>
          <w:tcPr>
            <w:tcW w:w="4678" w:type="dxa"/>
            <w:vAlign w:val="center"/>
          </w:tcPr>
          <w:p w14:paraId="3AF763F0"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Death from any cause, non-fatal stroke or re-intervention</w:t>
            </w:r>
          </w:p>
        </w:tc>
        <w:tc>
          <w:tcPr>
            <w:tcW w:w="1205" w:type="dxa"/>
            <w:vAlign w:val="center"/>
          </w:tcPr>
          <w:p w14:paraId="3FC1B66B"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33 (7.3%)</w:t>
            </w:r>
          </w:p>
        </w:tc>
        <w:tc>
          <w:tcPr>
            <w:tcW w:w="1205" w:type="dxa"/>
            <w:vAlign w:val="center"/>
          </w:tcPr>
          <w:p w14:paraId="0580049C"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40 (9.3%)</w:t>
            </w:r>
          </w:p>
        </w:tc>
        <w:tc>
          <w:tcPr>
            <w:tcW w:w="1984" w:type="dxa"/>
            <w:vAlign w:val="center"/>
          </w:tcPr>
          <w:p w14:paraId="1B3D9111" w14:textId="77777777" w:rsidR="003F077F" w:rsidRPr="00316F57" w:rsidRDefault="003F077F" w:rsidP="004E7A66">
            <w:pPr>
              <w:jc w:val="center"/>
              <w:rPr>
                <w:sz w:val="19"/>
                <w:szCs w:val="19"/>
              </w:rPr>
            </w:pPr>
            <w:r w:rsidRPr="00316F57">
              <w:rPr>
                <w:sz w:val="19"/>
                <w:szCs w:val="19"/>
              </w:rPr>
              <w:t>-2.0% (-5.7%, 1.6%)</w:t>
            </w:r>
          </w:p>
        </w:tc>
        <w:tc>
          <w:tcPr>
            <w:tcW w:w="1985" w:type="dxa"/>
            <w:vAlign w:val="center"/>
          </w:tcPr>
          <w:p w14:paraId="23F2FC17" w14:textId="77777777" w:rsidR="003F077F" w:rsidRPr="00316F57" w:rsidRDefault="003F077F" w:rsidP="004E7A66">
            <w:pPr>
              <w:jc w:val="center"/>
              <w:rPr>
                <w:sz w:val="19"/>
                <w:szCs w:val="19"/>
              </w:rPr>
            </w:pPr>
            <w:r w:rsidRPr="00316F57">
              <w:rPr>
                <w:sz w:val="19"/>
                <w:szCs w:val="19"/>
              </w:rPr>
              <w:t>-2.0% (-6.1%, 2.1%)</w:t>
            </w:r>
          </w:p>
        </w:tc>
        <w:tc>
          <w:tcPr>
            <w:tcW w:w="1843" w:type="dxa"/>
            <w:vAlign w:val="center"/>
          </w:tcPr>
          <w:p w14:paraId="3BBDB9B3" w14:textId="77777777" w:rsidR="003F077F" w:rsidRPr="00316F57" w:rsidRDefault="003F077F" w:rsidP="004E7A66">
            <w:pPr>
              <w:jc w:val="center"/>
              <w:rPr>
                <w:sz w:val="19"/>
                <w:szCs w:val="19"/>
              </w:rPr>
            </w:pPr>
            <w:r w:rsidRPr="00316F57">
              <w:rPr>
                <w:sz w:val="19"/>
                <w:szCs w:val="19"/>
              </w:rPr>
              <w:t>0.78 (0.49, 1.24)</w:t>
            </w:r>
          </w:p>
        </w:tc>
        <w:tc>
          <w:tcPr>
            <w:tcW w:w="1701" w:type="dxa"/>
            <w:tcBorders>
              <w:right w:val="nil"/>
            </w:tcBorders>
            <w:vAlign w:val="center"/>
          </w:tcPr>
          <w:p w14:paraId="7889DC78" w14:textId="77777777" w:rsidR="003F077F" w:rsidRPr="00316F57" w:rsidRDefault="003F077F" w:rsidP="004E7A66">
            <w:pPr>
              <w:jc w:val="center"/>
              <w:rPr>
                <w:sz w:val="19"/>
                <w:szCs w:val="19"/>
              </w:rPr>
            </w:pPr>
            <w:r w:rsidRPr="00316F57">
              <w:rPr>
                <w:sz w:val="19"/>
                <w:szCs w:val="19"/>
              </w:rPr>
              <w:t>0.78 (0.46, 1.31)</w:t>
            </w:r>
          </w:p>
        </w:tc>
        <w:tc>
          <w:tcPr>
            <w:tcW w:w="850" w:type="dxa"/>
            <w:tcBorders>
              <w:left w:val="nil"/>
            </w:tcBorders>
            <w:vAlign w:val="center"/>
          </w:tcPr>
          <w:p w14:paraId="5BDBDCA1" w14:textId="77777777" w:rsidR="003F077F" w:rsidRPr="00316F57" w:rsidRDefault="003F077F" w:rsidP="004E7A66">
            <w:pPr>
              <w:jc w:val="center"/>
              <w:rPr>
                <w:sz w:val="19"/>
                <w:szCs w:val="19"/>
              </w:rPr>
            </w:pPr>
            <w:r w:rsidRPr="00316F57">
              <w:rPr>
                <w:sz w:val="19"/>
                <w:szCs w:val="19"/>
              </w:rPr>
              <w:t>0.35</w:t>
            </w:r>
          </w:p>
        </w:tc>
      </w:tr>
      <w:tr w:rsidR="003F077F" w14:paraId="32D0CC9F" w14:textId="77777777" w:rsidTr="00BD0CE0">
        <w:trPr>
          <w:trHeight w:val="272"/>
        </w:trPr>
        <w:tc>
          <w:tcPr>
            <w:tcW w:w="4678" w:type="dxa"/>
            <w:vAlign w:val="center"/>
          </w:tcPr>
          <w:p w14:paraId="0DDD4615"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Major bleeding</w:t>
            </w:r>
          </w:p>
        </w:tc>
        <w:tc>
          <w:tcPr>
            <w:tcW w:w="1205" w:type="dxa"/>
            <w:vAlign w:val="center"/>
          </w:tcPr>
          <w:p w14:paraId="7CD64826"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25 (5.5%)</w:t>
            </w:r>
          </w:p>
        </w:tc>
        <w:tc>
          <w:tcPr>
            <w:tcW w:w="1205" w:type="dxa"/>
            <w:vAlign w:val="center"/>
          </w:tcPr>
          <w:p w14:paraId="439AE6AC"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84 (19.5%)</w:t>
            </w:r>
          </w:p>
        </w:tc>
        <w:tc>
          <w:tcPr>
            <w:tcW w:w="1984" w:type="dxa"/>
            <w:vAlign w:val="center"/>
          </w:tcPr>
          <w:p w14:paraId="28901A8B" w14:textId="77777777" w:rsidR="003F077F" w:rsidRPr="00316F57" w:rsidRDefault="003F077F" w:rsidP="004E7A66">
            <w:pPr>
              <w:jc w:val="center"/>
              <w:rPr>
                <w:sz w:val="19"/>
                <w:szCs w:val="19"/>
              </w:rPr>
            </w:pPr>
            <w:r w:rsidRPr="00316F57">
              <w:rPr>
                <w:sz w:val="19"/>
                <w:szCs w:val="19"/>
              </w:rPr>
              <w:t>-14.0% (-18.3%, -9.7%)</w:t>
            </w:r>
          </w:p>
        </w:tc>
        <w:tc>
          <w:tcPr>
            <w:tcW w:w="1985" w:type="dxa"/>
            <w:vAlign w:val="center"/>
          </w:tcPr>
          <w:p w14:paraId="3B5719F8" w14:textId="77777777" w:rsidR="003F077F" w:rsidRPr="00316F57" w:rsidRDefault="003F077F" w:rsidP="004E7A66">
            <w:pPr>
              <w:jc w:val="center"/>
              <w:rPr>
                <w:sz w:val="19"/>
                <w:szCs w:val="19"/>
              </w:rPr>
            </w:pPr>
            <w:r w:rsidRPr="00316F57">
              <w:rPr>
                <w:sz w:val="19"/>
                <w:szCs w:val="19"/>
              </w:rPr>
              <w:t>-14.0% (-19.4%, -8.6%)</w:t>
            </w:r>
          </w:p>
        </w:tc>
        <w:tc>
          <w:tcPr>
            <w:tcW w:w="1843" w:type="dxa"/>
            <w:vAlign w:val="center"/>
          </w:tcPr>
          <w:p w14:paraId="178BFFE9" w14:textId="77777777" w:rsidR="003F077F" w:rsidRPr="00316F57" w:rsidRDefault="003F077F" w:rsidP="004E7A66">
            <w:pPr>
              <w:jc w:val="center"/>
              <w:rPr>
                <w:sz w:val="19"/>
                <w:szCs w:val="19"/>
              </w:rPr>
            </w:pPr>
            <w:r w:rsidRPr="00316F57">
              <w:rPr>
                <w:sz w:val="19"/>
                <w:szCs w:val="19"/>
              </w:rPr>
              <w:t>0.27 (0.17, 0.42)</w:t>
            </w:r>
          </w:p>
        </w:tc>
        <w:tc>
          <w:tcPr>
            <w:tcW w:w="1701" w:type="dxa"/>
            <w:tcBorders>
              <w:right w:val="nil"/>
            </w:tcBorders>
            <w:vAlign w:val="center"/>
          </w:tcPr>
          <w:p w14:paraId="70E545B0" w14:textId="77777777" w:rsidR="003F077F" w:rsidRPr="00316F57" w:rsidRDefault="003F077F" w:rsidP="004E7A66">
            <w:pPr>
              <w:jc w:val="center"/>
              <w:rPr>
                <w:sz w:val="19"/>
                <w:szCs w:val="19"/>
              </w:rPr>
            </w:pPr>
            <w:r w:rsidRPr="00316F57">
              <w:rPr>
                <w:sz w:val="19"/>
                <w:szCs w:val="19"/>
              </w:rPr>
              <w:t>0.27 (0.19, 0.37)</w:t>
            </w:r>
          </w:p>
        </w:tc>
        <w:tc>
          <w:tcPr>
            <w:tcW w:w="850" w:type="dxa"/>
            <w:tcBorders>
              <w:left w:val="nil"/>
            </w:tcBorders>
            <w:vAlign w:val="center"/>
          </w:tcPr>
          <w:p w14:paraId="26AF6C0C" w14:textId="77777777" w:rsidR="003F077F" w:rsidRPr="00316F57" w:rsidRDefault="003F077F" w:rsidP="004E7A66">
            <w:pPr>
              <w:jc w:val="center"/>
              <w:rPr>
                <w:sz w:val="19"/>
                <w:szCs w:val="19"/>
              </w:rPr>
            </w:pPr>
            <w:r w:rsidRPr="00316F57">
              <w:rPr>
                <w:sz w:val="19"/>
                <w:szCs w:val="19"/>
              </w:rPr>
              <w:t>&lt;0.001</w:t>
            </w:r>
          </w:p>
        </w:tc>
      </w:tr>
      <w:tr w:rsidR="003F077F" w14:paraId="669606A8" w14:textId="77777777" w:rsidTr="00BD0CE0">
        <w:trPr>
          <w:trHeight w:val="272"/>
        </w:trPr>
        <w:tc>
          <w:tcPr>
            <w:tcW w:w="4678" w:type="dxa"/>
            <w:vAlign w:val="center"/>
          </w:tcPr>
          <w:p w14:paraId="0F46B573"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Conduction disturbance requiring permanent pacing</w:t>
            </w:r>
          </w:p>
        </w:tc>
        <w:tc>
          <w:tcPr>
            <w:tcW w:w="1205" w:type="dxa"/>
            <w:vAlign w:val="center"/>
          </w:tcPr>
          <w:p w14:paraId="26ABAD68"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50 (11.0%)</w:t>
            </w:r>
          </w:p>
        </w:tc>
        <w:tc>
          <w:tcPr>
            <w:tcW w:w="1205" w:type="dxa"/>
            <w:vAlign w:val="center"/>
          </w:tcPr>
          <w:p w14:paraId="23284434"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29 (6.7%)</w:t>
            </w:r>
          </w:p>
        </w:tc>
        <w:tc>
          <w:tcPr>
            <w:tcW w:w="1984" w:type="dxa"/>
            <w:vAlign w:val="center"/>
          </w:tcPr>
          <w:p w14:paraId="5ACD3510" w14:textId="77777777" w:rsidR="003F077F" w:rsidRPr="00316F57" w:rsidRDefault="003F077F" w:rsidP="004E7A66">
            <w:pPr>
              <w:jc w:val="center"/>
              <w:rPr>
                <w:sz w:val="19"/>
                <w:szCs w:val="19"/>
              </w:rPr>
            </w:pPr>
            <w:r w:rsidRPr="00316F57">
              <w:rPr>
                <w:sz w:val="19"/>
                <w:szCs w:val="19"/>
              </w:rPr>
              <w:t>4.3% (0.5%, 8.0%)</w:t>
            </w:r>
          </w:p>
        </w:tc>
        <w:tc>
          <w:tcPr>
            <w:tcW w:w="1985" w:type="dxa"/>
            <w:vAlign w:val="center"/>
          </w:tcPr>
          <w:p w14:paraId="0D798D2B" w14:textId="77777777" w:rsidR="003F077F" w:rsidRPr="00316F57" w:rsidRDefault="003F077F" w:rsidP="004E7A66">
            <w:pPr>
              <w:jc w:val="center"/>
              <w:rPr>
                <w:sz w:val="19"/>
                <w:szCs w:val="19"/>
              </w:rPr>
            </w:pPr>
            <w:r w:rsidRPr="00316F57">
              <w:rPr>
                <w:sz w:val="19"/>
                <w:szCs w:val="19"/>
              </w:rPr>
              <w:t>4.3% (0.2%, 8.3%)</w:t>
            </w:r>
          </w:p>
        </w:tc>
        <w:tc>
          <w:tcPr>
            <w:tcW w:w="1843" w:type="dxa"/>
            <w:vAlign w:val="center"/>
          </w:tcPr>
          <w:p w14:paraId="0B2962BF" w14:textId="77777777" w:rsidR="003F077F" w:rsidRPr="00316F57" w:rsidRDefault="003F077F" w:rsidP="004E7A66">
            <w:pPr>
              <w:jc w:val="center"/>
              <w:rPr>
                <w:sz w:val="19"/>
                <w:szCs w:val="19"/>
              </w:rPr>
            </w:pPr>
            <w:r w:rsidRPr="00316F57">
              <w:rPr>
                <w:sz w:val="19"/>
                <w:szCs w:val="19"/>
              </w:rPr>
              <w:t>1.72 (1.09, 2.71)</w:t>
            </w:r>
          </w:p>
        </w:tc>
        <w:tc>
          <w:tcPr>
            <w:tcW w:w="1701" w:type="dxa"/>
            <w:tcBorders>
              <w:right w:val="nil"/>
            </w:tcBorders>
            <w:vAlign w:val="center"/>
          </w:tcPr>
          <w:p w14:paraId="4DBDEEBC" w14:textId="77777777" w:rsidR="003F077F" w:rsidRPr="00316F57" w:rsidRDefault="003F077F" w:rsidP="004E7A66">
            <w:pPr>
              <w:jc w:val="center"/>
              <w:rPr>
                <w:sz w:val="19"/>
                <w:szCs w:val="19"/>
              </w:rPr>
            </w:pPr>
            <w:r w:rsidRPr="00316F57">
              <w:rPr>
                <w:sz w:val="19"/>
                <w:szCs w:val="19"/>
              </w:rPr>
              <w:t>1.72 (1.13, 2.61)</w:t>
            </w:r>
          </w:p>
        </w:tc>
        <w:tc>
          <w:tcPr>
            <w:tcW w:w="850" w:type="dxa"/>
            <w:tcBorders>
              <w:left w:val="nil"/>
            </w:tcBorders>
            <w:vAlign w:val="center"/>
          </w:tcPr>
          <w:p w14:paraId="0A7C88BA" w14:textId="77777777" w:rsidR="003F077F" w:rsidRPr="00316F57" w:rsidRDefault="003F077F" w:rsidP="004E7A66">
            <w:pPr>
              <w:jc w:val="center"/>
              <w:rPr>
                <w:sz w:val="19"/>
                <w:szCs w:val="19"/>
              </w:rPr>
            </w:pPr>
            <w:r w:rsidRPr="00316F57">
              <w:rPr>
                <w:sz w:val="19"/>
                <w:szCs w:val="19"/>
              </w:rPr>
              <w:t>0.01</w:t>
            </w:r>
          </w:p>
        </w:tc>
      </w:tr>
      <w:tr w:rsidR="003F077F" w14:paraId="30D059BF" w14:textId="77777777" w:rsidTr="00BD0CE0">
        <w:trPr>
          <w:trHeight w:val="272"/>
        </w:trPr>
        <w:tc>
          <w:tcPr>
            <w:tcW w:w="4678" w:type="dxa"/>
            <w:vAlign w:val="center"/>
          </w:tcPr>
          <w:p w14:paraId="248A58FD" w14:textId="6F076BB8" w:rsidR="003F077F" w:rsidRPr="00316F57" w:rsidRDefault="003F077F" w:rsidP="00565091">
            <w:pPr>
              <w:rPr>
                <w:rFonts w:eastAsia="Calibri" w:cs="Times New Roman"/>
                <w:sz w:val="19"/>
                <w:szCs w:val="19"/>
              </w:rPr>
            </w:pPr>
            <w:r w:rsidRPr="00316F57">
              <w:rPr>
                <w:rFonts w:eastAsia="Calibri" w:cs="Calibri"/>
                <w:color w:val="000000"/>
                <w:sz w:val="19"/>
                <w:szCs w:val="19"/>
              </w:rPr>
              <w:t xml:space="preserve">Infective </w:t>
            </w:r>
            <w:r w:rsidR="00BD0CE0" w:rsidRPr="00316F57">
              <w:rPr>
                <w:rFonts w:eastAsia="Calibri" w:cs="Calibri"/>
                <w:color w:val="000000"/>
                <w:sz w:val="19"/>
                <w:szCs w:val="19"/>
              </w:rPr>
              <w:t>endocarditis</w:t>
            </w:r>
            <w:r w:rsidR="00565091">
              <w:rPr>
                <w:rFonts w:eastAsia="Calibri" w:cs="Calibri"/>
                <w:color w:val="000000"/>
                <w:sz w:val="19"/>
                <w:szCs w:val="19"/>
                <w:vertAlign w:val="superscript"/>
              </w:rPr>
              <w:t>g</w:t>
            </w:r>
          </w:p>
        </w:tc>
        <w:tc>
          <w:tcPr>
            <w:tcW w:w="1205" w:type="dxa"/>
            <w:vAlign w:val="center"/>
          </w:tcPr>
          <w:p w14:paraId="6A84A259"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0 (0%)</w:t>
            </w:r>
          </w:p>
        </w:tc>
        <w:tc>
          <w:tcPr>
            <w:tcW w:w="1205" w:type="dxa"/>
            <w:vAlign w:val="center"/>
          </w:tcPr>
          <w:p w14:paraId="7D551243"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0 (0%)</w:t>
            </w:r>
          </w:p>
        </w:tc>
        <w:tc>
          <w:tcPr>
            <w:tcW w:w="1984" w:type="dxa"/>
            <w:vAlign w:val="center"/>
          </w:tcPr>
          <w:p w14:paraId="43AA7DB0" w14:textId="77777777" w:rsidR="003F077F" w:rsidRPr="00C972FC" w:rsidRDefault="003F077F" w:rsidP="004E7A66">
            <w:pPr>
              <w:jc w:val="center"/>
              <w:rPr>
                <w:sz w:val="19"/>
                <w:szCs w:val="19"/>
              </w:rPr>
            </w:pPr>
            <w:r w:rsidRPr="00C972FC">
              <w:rPr>
                <w:sz w:val="19"/>
                <w:szCs w:val="19"/>
              </w:rPr>
              <w:t>-</w:t>
            </w:r>
          </w:p>
        </w:tc>
        <w:tc>
          <w:tcPr>
            <w:tcW w:w="1985" w:type="dxa"/>
            <w:vAlign w:val="center"/>
          </w:tcPr>
          <w:p w14:paraId="7EA4B1C2" w14:textId="77777777" w:rsidR="003F077F" w:rsidRPr="00C972FC" w:rsidRDefault="003F077F" w:rsidP="004E7A66">
            <w:pPr>
              <w:jc w:val="center"/>
              <w:rPr>
                <w:sz w:val="19"/>
                <w:szCs w:val="19"/>
              </w:rPr>
            </w:pPr>
            <w:r w:rsidRPr="00C972FC">
              <w:rPr>
                <w:sz w:val="19"/>
                <w:szCs w:val="19"/>
              </w:rPr>
              <w:t>-</w:t>
            </w:r>
          </w:p>
        </w:tc>
        <w:tc>
          <w:tcPr>
            <w:tcW w:w="1843" w:type="dxa"/>
            <w:vAlign w:val="center"/>
          </w:tcPr>
          <w:p w14:paraId="0F44641A" w14:textId="77777777" w:rsidR="003F077F" w:rsidRPr="00316F57" w:rsidRDefault="003F077F" w:rsidP="004E7A66">
            <w:pPr>
              <w:jc w:val="center"/>
              <w:rPr>
                <w:sz w:val="19"/>
                <w:szCs w:val="19"/>
              </w:rPr>
            </w:pPr>
            <w:r>
              <w:rPr>
                <w:sz w:val="19"/>
                <w:szCs w:val="19"/>
              </w:rPr>
              <w:t>-</w:t>
            </w:r>
          </w:p>
        </w:tc>
        <w:tc>
          <w:tcPr>
            <w:tcW w:w="1701" w:type="dxa"/>
            <w:tcBorders>
              <w:right w:val="nil"/>
            </w:tcBorders>
            <w:vAlign w:val="center"/>
          </w:tcPr>
          <w:p w14:paraId="4DC10067" w14:textId="77777777" w:rsidR="003F077F" w:rsidRPr="00316F57" w:rsidRDefault="003F077F" w:rsidP="004E7A66">
            <w:pPr>
              <w:jc w:val="center"/>
              <w:rPr>
                <w:sz w:val="19"/>
                <w:szCs w:val="19"/>
              </w:rPr>
            </w:pPr>
            <w:r>
              <w:rPr>
                <w:sz w:val="19"/>
                <w:szCs w:val="19"/>
              </w:rPr>
              <w:t>-</w:t>
            </w:r>
          </w:p>
        </w:tc>
        <w:tc>
          <w:tcPr>
            <w:tcW w:w="850" w:type="dxa"/>
            <w:tcBorders>
              <w:left w:val="nil"/>
            </w:tcBorders>
            <w:vAlign w:val="center"/>
          </w:tcPr>
          <w:p w14:paraId="003949C9" w14:textId="77777777" w:rsidR="003F077F" w:rsidRPr="00316F57" w:rsidRDefault="003F077F" w:rsidP="004E7A66">
            <w:pPr>
              <w:jc w:val="center"/>
              <w:rPr>
                <w:sz w:val="19"/>
                <w:szCs w:val="19"/>
              </w:rPr>
            </w:pPr>
            <w:r>
              <w:rPr>
                <w:sz w:val="19"/>
                <w:szCs w:val="19"/>
              </w:rPr>
              <w:t>-</w:t>
            </w:r>
          </w:p>
        </w:tc>
      </w:tr>
      <w:tr w:rsidR="003F077F" w14:paraId="60051D2F" w14:textId="77777777" w:rsidTr="00BD0CE0">
        <w:trPr>
          <w:trHeight w:val="272"/>
        </w:trPr>
        <w:tc>
          <w:tcPr>
            <w:tcW w:w="4678" w:type="dxa"/>
            <w:vAlign w:val="center"/>
          </w:tcPr>
          <w:p w14:paraId="440FB0EE" w14:textId="0ABC67B6" w:rsidR="003F077F" w:rsidRPr="00316F57" w:rsidRDefault="00A0058A" w:rsidP="004E7A66">
            <w:pPr>
              <w:rPr>
                <w:rFonts w:eastAsia="Calibri" w:cs="Times New Roman"/>
                <w:sz w:val="19"/>
                <w:szCs w:val="19"/>
              </w:rPr>
            </w:pPr>
            <w:r>
              <w:rPr>
                <w:rFonts w:eastAsia="Calibri" w:cs="Calibri"/>
                <w:color w:val="000000"/>
                <w:sz w:val="19"/>
                <w:szCs w:val="19"/>
              </w:rPr>
              <w:t>Kidney</w:t>
            </w:r>
            <w:r w:rsidRPr="00316F57">
              <w:rPr>
                <w:rFonts w:eastAsia="Calibri" w:cs="Calibri"/>
                <w:color w:val="000000"/>
                <w:sz w:val="19"/>
                <w:szCs w:val="19"/>
              </w:rPr>
              <w:t xml:space="preserve"> </w:t>
            </w:r>
            <w:r w:rsidR="003F077F" w:rsidRPr="00316F57">
              <w:rPr>
                <w:rFonts w:eastAsia="Calibri" w:cs="Calibri"/>
                <w:color w:val="000000"/>
                <w:sz w:val="19"/>
                <w:szCs w:val="19"/>
              </w:rPr>
              <w:t>replacement therapy</w:t>
            </w:r>
          </w:p>
        </w:tc>
        <w:tc>
          <w:tcPr>
            <w:tcW w:w="1205" w:type="dxa"/>
            <w:vAlign w:val="center"/>
          </w:tcPr>
          <w:p w14:paraId="290379B2"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 (0.2%)</w:t>
            </w:r>
          </w:p>
        </w:tc>
        <w:tc>
          <w:tcPr>
            <w:tcW w:w="1205" w:type="dxa"/>
            <w:vAlign w:val="center"/>
          </w:tcPr>
          <w:p w14:paraId="05607656"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7 (1.6%)</w:t>
            </w:r>
          </w:p>
        </w:tc>
        <w:tc>
          <w:tcPr>
            <w:tcW w:w="1984" w:type="dxa"/>
            <w:vAlign w:val="center"/>
          </w:tcPr>
          <w:p w14:paraId="60A87E75" w14:textId="77777777" w:rsidR="003F077F" w:rsidRPr="00316F57" w:rsidRDefault="003F077F" w:rsidP="004E7A66">
            <w:pPr>
              <w:jc w:val="center"/>
              <w:rPr>
                <w:sz w:val="19"/>
                <w:szCs w:val="19"/>
              </w:rPr>
            </w:pPr>
            <w:r w:rsidRPr="00316F57">
              <w:rPr>
                <w:sz w:val="19"/>
                <w:szCs w:val="19"/>
              </w:rPr>
              <w:t>-1.4% (-2.7%, -0.1%)</w:t>
            </w:r>
          </w:p>
        </w:tc>
        <w:tc>
          <w:tcPr>
            <w:tcW w:w="1985" w:type="dxa"/>
            <w:vAlign w:val="center"/>
          </w:tcPr>
          <w:p w14:paraId="3B0837B4" w14:textId="77777777" w:rsidR="003F077F" w:rsidRPr="00316F57" w:rsidRDefault="003F077F" w:rsidP="004E7A66">
            <w:pPr>
              <w:jc w:val="center"/>
              <w:rPr>
                <w:sz w:val="19"/>
                <w:szCs w:val="19"/>
              </w:rPr>
            </w:pPr>
            <w:r w:rsidRPr="00316F57">
              <w:rPr>
                <w:sz w:val="19"/>
                <w:szCs w:val="19"/>
              </w:rPr>
              <w:t>-1.4% (-2.8%, 0.0%)</w:t>
            </w:r>
          </w:p>
        </w:tc>
        <w:tc>
          <w:tcPr>
            <w:tcW w:w="1843" w:type="dxa"/>
            <w:vAlign w:val="center"/>
          </w:tcPr>
          <w:p w14:paraId="454DCF21" w14:textId="77777777" w:rsidR="003F077F" w:rsidRPr="00316F57" w:rsidRDefault="003F077F" w:rsidP="004E7A66">
            <w:pPr>
              <w:jc w:val="center"/>
              <w:rPr>
                <w:sz w:val="19"/>
                <w:szCs w:val="19"/>
              </w:rPr>
            </w:pPr>
            <w:r w:rsidRPr="00316F57">
              <w:rPr>
                <w:sz w:val="19"/>
                <w:szCs w:val="19"/>
              </w:rPr>
              <w:t>0.13 (0.02, 1.10)</w:t>
            </w:r>
          </w:p>
        </w:tc>
        <w:tc>
          <w:tcPr>
            <w:tcW w:w="1701" w:type="dxa"/>
            <w:tcBorders>
              <w:right w:val="nil"/>
            </w:tcBorders>
            <w:vAlign w:val="center"/>
          </w:tcPr>
          <w:p w14:paraId="550FFD8D" w14:textId="77777777" w:rsidR="003F077F" w:rsidRPr="00316F57" w:rsidRDefault="003F077F" w:rsidP="004E7A66">
            <w:pPr>
              <w:jc w:val="center"/>
              <w:rPr>
                <w:sz w:val="19"/>
                <w:szCs w:val="19"/>
              </w:rPr>
            </w:pPr>
            <w:r w:rsidRPr="00316F57">
              <w:rPr>
                <w:sz w:val="19"/>
                <w:szCs w:val="19"/>
              </w:rPr>
              <w:t>0.14 (0.01, 1.24)</w:t>
            </w:r>
          </w:p>
        </w:tc>
        <w:tc>
          <w:tcPr>
            <w:tcW w:w="850" w:type="dxa"/>
            <w:tcBorders>
              <w:left w:val="nil"/>
            </w:tcBorders>
            <w:vAlign w:val="center"/>
          </w:tcPr>
          <w:p w14:paraId="617EFEE2" w14:textId="77777777" w:rsidR="003F077F" w:rsidRPr="00316F57" w:rsidRDefault="003F077F" w:rsidP="004E7A66">
            <w:pPr>
              <w:jc w:val="center"/>
              <w:rPr>
                <w:sz w:val="19"/>
                <w:szCs w:val="19"/>
              </w:rPr>
            </w:pPr>
            <w:r w:rsidRPr="00316F57">
              <w:rPr>
                <w:sz w:val="19"/>
                <w:szCs w:val="19"/>
              </w:rPr>
              <w:t>0.08</w:t>
            </w:r>
          </w:p>
        </w:tc>
      </w:tr>
      <w:tr w:rsidR="003F077F" w14:paraId="77787D98" w14:textId="77777777" w:rsidTr="00BD0CE0">
        <w:trPr>
          <w:trHeight w:val="272"/>
        </w:trPr>
        <w:tc>
          <w:tcPr>
            <w:tcW w:w="4678" w:type="dxa"/>
            <w:vAlign w:val="center"/>
          </w:tcPr>
          <w:p w14:paraId="3F3D824B"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Vascular complications</w:t>
            </w:r>
          </w:p>
        </w:tc>
        <w:tc>
          <w:tcPr>
            <w:tcW w:w="1205" w:type="dxa"/>
            <w:vAlign w:val="center"/>
          </w:tcPr>
          <w:p w14:paraId="35BC5881"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46 (10.1%)</w:t>
            </w:r>
          </w:p>
        </w:tc>
        <w:tc>
          <w:tcPr>
            <w:tcW w:w="1205" w:type="dxa"/>
            <w:vAlign w:val="center"/>
          </w:tcPr>
          <w:p w14:paraId="159C1DDD"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10 (2.3%)</w:t>
            </w:r>
          </w:p>
        </w:tc>
        <w:tc>
          <w:tcPr>
            <w:tcW w:w="1984" w:type="dxa"/>
            <w:vAlign w:val="center"/>
          </w:tcPr>
          <w:p w14:paraId="21326853" w14:textId="77777777" w:rsidR="003F077F" w:rsidRPr="00316F57" w:rsidRDefault="003F077F" w:rsidP="004E7A66">
            <w:pPr>
              <w:jc w:val="center"/>
              <w:rPr>
                <w:sz w:val="19"/>
                <w:szCs w:val="19"/>
              </w:rPr>
            </w:pPr>
            <w:r w:rsidRPr="00316F57">
              <w:rPr>
                <w:sz w:val="19"/>
                <w:szCs w:val="19"/>
              </w:rPr>
              <w:t>7.8% (4.7%, 10.9%)</w:t>
            </w:r>
          </w:p>
        </w:tc>
        <w:tc>
          <w:tcPr>
            <w:tcW w:w="1985" w:type="dxa"/>
            <w:vAlign w:val="center"/>
          </w:tcPr>
          <w:p w14:paraId="25D9051B" w14:textId="77777777" w:rsidR="003F077F" w:rsidRPr="00316F57" w:rsidRDefault="003F077F" w:rsidP="004E7A66">
            <w:pPr>
              <w:jc w:val="center"/>
              <w:rPr>
                <w:sz w:val="19"/>
                <w:szCs w:val="19"/>
              </w:rPr>
            </w:pPr>
            <w:r w:rsidRPr="00316F57">
              <w:rPr>
                <w:sz w:val="19"/>
                <w:szCs w:val="19"/>
              </w:rPr>
              <w:t>7.8% (4.2%, 11.4%)</w:t>
            </w:r>
          </w:p>
        </w:tc>
        <w:tc>
          <w:tcPr>
            <w:tcW w:w="1843" w:type="dxa"/>
            <w:vAlign w:val="center"/>
          </w:tcPr>
          <w:p w14:paraId="11A5A531" w14:textId="77777777" w:rsidR="003F077F" w:rsidRPr="00316F57" w:rsidRDefault="003F077F" w:rsidP="004E7A66">
            <w:pPr>
              <w:jc w:val="center"/>
              <w:rPr>
                <w:sz w:val="19"/>
                <w:szCs w:val="19"/>
              </w:rPr>
            </w:pPr>
            <w:r w:rsidRPr="00316F57">
              <w:rPr>
                <w:sz w:val="19"/>
                <w:szCs w:val="19"/>
              </w:rPr>
              <w:t>4.44 (2.24, 8.79)</w:t>
            </w:r>
          </w:p>
        </w:tc>
        <w:tc>
          <w:tcPr>
            <w:tcW w:w="1701" w:type="dxa"/>
            <w:tcBorders>
              <w:right w:val="nil"/>
            </w:tcBorders>
            <w:vAlign w:val="center"/>
          </w:tcPr>
          <w:p w14:paraId="1ABF0E1D" w14:textId="77777777" w:rsidR="003F077F" w:rsidRPr="00316F57" w:rsidRDefault="003F077F" w:rsidP="004E7A66">
            <w:pPr>
              <w:jc w:val="center"/>
              <w:rPr>
                <w:sz w:val="19"/>
                <w:szCs w:val="19"/>
              </w:rPr>
            </w:pPr>
            <w:r w:rsidRPr="00316F57">
              <w:rPr>
                <w:sz w:val="19"/>
                <w:szCs w:val="19"/>
              </w:rPr>
              <w:t>4.43 (2.53, 7.78)</w:t>
            </w:r>
          </w:p>
        </w:tc>
        <w:tc>
          <w:tcPr>
            <w:tcW w:w="850" w:type="dxa"/>
            <w:tcBorders>
              <w:left w:val="nil"/>
            </w:tcBorders>
            <w:vAlign w:val="center"/>
          </w:tcPr>
          <w:p w14:paraId="2E8D22B0" w14:textId="77777777" w:rsidR="003F077F" w:rsidRPr="00316F57" w:rsidRDefault="003F077F" w:rsidP="004E7A66">
            <w:pPr>
              <w:jc w:val="center"/>
              <w:rPr>
                <w:sz w:val="19"/>
                <w:szCs w:val="19"/>
              </w:rPr>
            </w:pPr>
            <w:r w:rsidRPr="00316F57">
              <w:rPr>
                <w:sz w:val="19"/>
                <w:szCs w:val="19"/>
              </w:rPr>
              <w:t>&lt;0.001</w:t>
            </w:r>
          </w:p>
        </w:tc>
      </w:tr>
      <w:tr w:rsidR="003F077F" w14:paraId="398491F8" w14:textId="77777777" w:rsidTr="00BD0CE0">
        <w:trPr>
          <w:trHeight w:val="272"/>
        </w:trPr>
        <w:tc>
          <w:tcPr>
            <w:tcW w:w="4678" w:type="dxa"/>
            <w:vAlign w:val="center"/>
          </w:tcPr>
          <w:p w14:paraId="6477313E" w14:textId="44FEBF41" w:rsidR="003F077F" w:rsidRPr="00316F57" w:rsidRDefault="003F077F" w:rsidP="00565091">
            <w:pPr>
              <w:rPr>
                <w:rFonts w:eastAsia="Calibri" w:cs="Times New Roman"/>
                <w:sz w:val="19"/>
                <w:szCs w:val="19"/>
              </w:rPr>
            </w:pPr>
            <w:r w:rsidRPr="00316F57">
              <w:rPr>
                <w:rFonts w:eastAsia="Calibri" w:cs="Calibri"/>
                <w:color w:val="000000"/>
                <w:sz w:val="19"/>
                <w:szCs w:val="19"/>
              </w:rPr>
              <w:t xml:space="preserve">Myocardial </w:t>
            </w:r>
            <w:r w:rsidR="00BD0CE0" w:rsidRPr="00316F57">
              <w:rPr>
                <w:rFonts w:eastAsia="Calibri" w:cs="Calibri"/>
                <w:color w:val="000000"/>
                <w:sz w:val="19"/>
                <w:szCs w:val="19"/>
              </w:rPr>
              <w:t>infarction</w:t>
            </w:r>
            <w:r w:rsidR="00565091">
              <w:rPr>
                <w:rFonts w:eastAsia="Calibri" w:cs="Calibri"/>
                <w:color w:val="000000"/>
                <w:sz w:val="19"/>
                <w:szCs w:val="19"/>
                <w:vertAlign w:val="superscript"/>
              </w:rPr>
              <w:t>g</w:t>
            </w:r>
          </w:p>
        </w:tc>
        <w:tc>
          <w:tcPr>
            <w:tcW w:w="1205" w:type="dxa"/>
            <w:vAlign w:val="center"/>
          </w:tcPr>
          <w:p w14:paraId="4BA90FA2"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3 (0.7%)</w:t>
            </w:r>
          </w:p>
        </w:tc>
        <w:tc>
          <w:tcPr>
            <w:tcW w:w="1205" w:type="dxa"/>
            <w:vAlign w:val="center"/>
          </w:tcPr>
          <w:p w14:paraId="2FC99A36"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0 (0%)</w:t>
            </w:r>
          </w:p>
        </w:tc>
        <w:tc>
          <w:tcPr>
            <w:tcW w:w="1984" w:type="dxa"/>
            <w:vAlign w:val="center"/>
          </w:tcPr>
          <w:p w14:paraId="642DD3B8" w14:textId="77777777" w:rsidR="003F077F" w:rsidRPr="00C972FC" w:rsidRDefault="003F077F" w:rsidP="004E7A66">
            <w:pPr>
              <w:jc w:val="center"/>
              <w:rPr>
                <w:sz w:val="19"/>
                <w:szCs w:val="19"/>
              </w:rPr>
            </w:pPr>
            <w:r w:rsidRPr="00C972FC">
              <w:rPr>
                <w:sz w:val="19"/>
                <w:szCs w:val="19"/>
              </w:rPr>
              <w:t>-</w:t>
            </w:r>
          </w:p>
        </w:tc>
        <w:tc>
          <w:tcPr>
            <w:tcW w:w="1985" w:type="dxa"/>
            <w:vAlign w:val="center"/>
          </w:tcPr>
          <w:p w14:paraId="4D202C55" w14:textId="77777777" w:rsidR="003F077F" w:rsidRPr="00C972FC" w:rsidRDefault="003F077F" w:rsidP="004E7A66">
            <w:pPr>
              <w:jc w:val="center"/>
              <w:rPr>
                <w:sz w:val="19"/>
                <w:szCs w:val="19"/>
              </w:rPr>
            </w:pPr>
            <w:r w:rsidRPr="00C972FC">
              <w:rPr>
                <w:sz w:val="19"/>
                <w:szCs w:val="19"/>
              </w:rPr>
              <w:t>-</w:t>
            </w:r>
          </w:p>
        </w:tc>
        <w:tc>
          <w:tcPr>
            <w:tcW w:w="1843" w:type="dxa"/>
            <w:vAlign w:val="center"/>
          </w:tcPr>
          <w:p w14:paraId="6651A7B2" w14:textId="77777777" w:rsidR="003F077F" w:rsidRPr="00316F57" w:rsidRDefault="003F077F" w:rsidP="004E7A66">
            <w:pPr>
              <w:jc w:val="center"/>
              <w:rPr>
                <w:sz w:val="19"/>
                <w:szCs w:val="19"/>
              </w:rPr>
            </w:pPr>
            <w:r>
              <w:rPr>
                <w:sz w:val="19"/>
                <w:szCs w:val="19"/>
              </w:rPr>
              <w:t>-</w:t>
            </w:r>
          </w:p>
        </w:tc>
        <w:tc>
          <w:tcPr>
            <w:tcW w:w="1701" w:type="dxa"/>
            <w:tcBorders>
              <w:right w:val="nil"/>
            </w:tcBorders>
            <w:vAlign w:val="center"/>
          </w:tcPr>
          <w:p w14:paraId="659B4A4D" w14:textId="77777777" w:rsidR="003F077F" w:rsidRPr="00316F57" w:rsidRDefault="003F077F" w:rsidP="004E7A66">
            <w:pPr>
              <w:jc w:val="center"/>
              <w:rPr>
                <w:sz w:val="19"/>
                <w:szCs w:val="19"/>
              </w:rPr>
            </w:pPr>
            <w:r>
              <w:rPr>
                <w:sz w:val="19"/>
                <w:szCs w:val="19"/>
              </w:rPr>
              <w:t>-</w:t>
            </w:r>
          </w:p>
        </w:tc>
        <w:tc>
          <w:tcPr>
            <w:tcW w:w="850" w:type="dxa"/>
            <w:tcBorders>
              <w:left w:val="nil"/>
            </w:tcBorders>
            <w:vAlign w:val="center"/>
          </w:tcPr>
          <w:p w14:paraId="117E68BB" w14:textId="77777777" w:rsidR="003F077F" w:rsidRPr="00316F57" w:rsidRDefault="003F077F" w:rsidP="004E7A66">
            <w:pPr>
              <w:jc w:val="center"/>
              <w:rPr>
                <w:sz w:val="19"/>
                <w:szCs w:val="19"/>
              </w:rPr>
            </w:pPr>
            <w:r>
              <w:rPr>
                <w:sz w:val="19"/>
                <w:szCs w:val="19"/>
              </w:rPr>
              <w:t>-</w:t>
            </w:r>
          </w:p>
        </w:tc>
      </w:tr>
      <w:tr w:rsidR="003F077F" w14:paraId="64AA6202" w14:textId="77777777" w:rsidTr="00BD0CE0">
        <w:trPr>
          <w:trHeight w:val="272"/>
        </w:trPr>
        <w:tc>
          <w:tcPr>
            <w:tcW w:w="4678" w:type="dxa"/>
            <w:vAlign w:val="center"/>
          </w:tcPr>
          <w:p w14:paraId="2DE0AE3D" w14:textId="7BFC03BD" w:rsidR="003F077F" w:rsidRPr="00316F57" w:rsidRDefault="003F077F" w:rsidP="004E7A66">
            <w:pPr>
              <w:rPr>
                <w:rFonts w:eastAsia="Calibri" w:cs="Calibri"/>
                <w:color w:val="000000"/>
                <w:sz w:val="19"/>
                <w:szCs w:val="19"/>
              </w:rPr>
            </w:pPr>
            <w:r w:rsidRPr="00316F57">
              <w:rPr>
                <w:rFonts w:eastAsia="Calibri" w:cs="Calibri"/>
                <w:color w:val="000000"/>
                <w:sz w:val="19"/>
                <w:szCs w:val="19"/>
              </w:rPr>
              <w:t xml:space="preserve">Re-intervention </w:t>
            </w:r>
            <w:r w:rsidR="00316FF5">
              <w:rPr>
                <w:rFonts w:eastAsia="Calibri" w:cs="Calibri"/>
                <w:color w:val="000000"/>
                <w:sz w:val="19"/>
                <w:szCs w:val="19"/>
              </w:rPr>
              <w:t>-</w:t>
            </w:r>
            <w:r w:rsidRPr="00316F57">
              <w:rPr>
                <w:rFonts w:eastAsia="Calibri" w:cs="Calibri"/>
                <w:color w:val="000000"/>
                <w:sz w:val="19"/>
                <w:szCs w:val="19"/>
              </w:rPr>
              <w:t xml:space="preserve"> any</w:t>
            </w:r>
          </w:p>
        </w:tc>
        <w:tc>
          <w:tcPr>
            <w:tcW w:w="1205" w:type="dxa"/>
            <w:vAlign w:val="center"/>
          </w:tcPr>
          <w:p w14:paraId="1F891727"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18 (4.0%)</w:t>
            </w:r>
          </w:p>
        </w:tc>
        <w:tc>
          <w:tcPr>
            <w:tcW w:w="1205" w:type="dxa"/>
            <w:vAlign w:val="center"/>
          </w:tcPr>
          <w:p w14:paraId="694A0776"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27 (6.3%)</w:t>
            </w:r>
          </w:p>
        </w:tc>
        <w:tc>
          <w:tcPr>
            <w:tcW w:w="1984" w:type="dxa"/>
            <w:vAlign w:val="center"/>
          </w:tcPr>
          <w:p w14:paraId="580D20F8" w14:textId="77777777" w:rsidR="003F077F" w:rsidRPr="00316F57" w:rsidRDefault="003F077F" w:rsidP="004E7A66">
            <w:pPr>
              <w:jc w:val="center"/>
              <w:rPr>
                <w:sz w:val="19"/>
                <w:szCs w:val="19"/>
              </w:rPr>
            </w:pPr>
            <w:r w:rsidRPr="00316F57">
              <w:rPr>
                <w:sz w:val="19"/>
                <w:szCs w:val="19"/>
              </w:rPr>
              <w:t>-2.3% (-5.2%, 0.6%)</w:t>
            </w:r>
          </w:p>
        </w:tc>
        <w:tc>
          <w:tcPr>
            <w:tcW w:w="1985" w:type="dxa"/>
            <w:vAlign w:val="center"/>
          </w:tcPr>
          <w:p w14:paraId="0AB6A18A" w14:textId="77777777" w:rsidR="003F077F" w:rsidRPr="00316F57" w:rsidRDefault="003F077F" w:rsidP="004E7A66">
            <w:pPr>
              <w:jc w:val="center"/>
              <w:rPr>
                <w:sz w:val="19"/>
                <w:szCs w:val="19"/>
              </w:rPr>
            </w:pPr>
            <w:r w:rsidRPr="00316F57">
              <w:rPr>
                <w:sz w:val="19"/>
                <w:szCs w:val="19"/>
              </w:rPr>
              <w:t>-2.3% (-5.1%, 0.5%)</w:t>
            </w:r>
          </w:p>
        </w:tc>
        <w:tc>
          <w:tcPr>
            <w:tcW w:w="1843" w:type="dxa"/>
            <w:vAlign w:val="center"/>
          </w:tcPr>
          <w:p w14:paraId="1B5FDDA3" w14:textId="77777777" w:rsidR="003F077F" w:rsidRPr="00316F57" w:rsidRDefault="003F077F" w:rsidP="004E7A66">
            <w:pPr>
              <w:jc w:val="center"/>
              <w:rPr>
                <w:sz w:val="19"/>
                <w:szCs w:val="19"/>
              </w:rPr>
            </w:pPr>
            <w:r w:rsidRPr="00316F57">
              <w:rPr>
                <w:sz w:val="19"/>
                <w:szCs w:val="19"/>
              </w:rPr>
              <w:t>0.63 (0.35, 1.15)</w:t>
            </w:r>
          </w:p>
        </w:tc>
        <w:tc>
          <w:tcPr>
            <w:tcW w:w="1701" w:type="dxa"/>
            <w:tcBorders>
              <w:right w:val="nil"/>
            </w:tcBorders>
            <w:vAlign w:val="center"/>
          </w:tcPr>
          <w:p w14:paraId="47C67A06" w14:textId="77777777" w:rsidR="003F077F" w:rsidRPr="00316F57" w:rsidRDefault="003F077F" w:rsidP="004E7A66">
            <w:pPr>
              <w:jc w:val="center"/>
              <w:rPr>
                <w:sz w:val="19"/>
                <w:szCs w:val="19"/>
              </w:rPr>
            </w:pPr>
            <w:r w:rsidRPr="00316F57">
              <w:rPr>
                <w:sz w:val="19"/>
                <w:szCs w:val="19"/>
              </w:rPr>
              <w:t>0.63 (0.34, 1.17)</w:t>
            </w:r>
          </w:p>
        </w:tc>
        <w:tc>
          <w:tcPr>
            <w:tcW w:w="850" w:type="dxa"/>
            <w:tcBorders>
              <w:left w:val="nil"/>
            </w:tcBorders>
            <w:vAlign w:val="center"/>
          </w:tcPr>
          <w:p w14:paraId="244420C8" w14:textId="77777777" w:rsidR="003F077F" w:rsidRPr="00316F57" w:rsidRDefault="003F077F" w:rsidP="004E7A66">
            <w:pPr>
              <w:jc w:val="center"/>
              <w:rPr>
                <w:sz w:val="19"/>
                <w:szCs w:val="19"/>
              </w:rPr>
            </w:pPr>
            <w:r w:rsidRPr="00316F57">
              <w:rPr>
                <w:sz w:val="19"/>
                <w:szCs w:val="19"/>
              </w:rPr>
              <w:t>0.15</w:t>
            </w:r>
          </w:p>
        </w:tc>
      </w:tr>
      <w:tr w:rsidR="003F077F" w14:paraId="48AC248C" w14:textId="77777777" w:rsidTr="00BD0CE0">
        <w:trPr>
          <w:trHeight w:val="272"/>
        </w:trPr>
        <w:tc>
          <w:tcPr>
            <w:tcW w:w="4678" w:type="dxa"/>
            <w:vAlign w:val="center"/>
          </w:tcPr>
          <w:p w14:paraId="777EE042" w14:textId="77777777" w:rsidR="003F077F" w:rsidRPr="00316F57" w:rsidRDefault="003F077F" w:rsidP="004E7A66">
            <w:pPr>
              <w:rPr>
                <w:rFonts w:eastAsia="Calibri" w:cs="Times New Roman"/>
                <w:sz w:val="19"/>
                <w:szCs w:val="19"/>
              </w:rPr>
            </w:pPr>
            <w:r w:rsidRPr="00316F57">
              <w:rPr>
                <w:rFonts w:eastAsia="Calibri" w:cs="Calibri"/>
                <w:color w:val="000000"/>
                <w:sz w:val="19"/>
                <w:szCs w:val="19"/>
              </w:rPr>
              <w:t xml:space="preserve">   Re-intervention on aortic valve complex</w:t>
            </w:r>
          </w:p>
        </w:tc>
        <w:tc>
          <w:tcPr>
            <w:tcW w:w="1205" w:type="dxa"/>
            <w:vAlign w:val="center"/>
          </w:tcPr>
          <w:p w14:paraId="596E35A4"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4 (0.9%)</w:t>
            </w:r>
          </w:p>
        </w:tc>
        <w:tc>
          <w:tcPr>
            <w:tcW w:w="1205" w:type="dxa"/>
            <w:vAlign w:val="center"/>
          </w:tcPr>
          <w:p w14:paraId="740CC38B" w14:textId="77777777" w:rsidR="003F077F" w:rsidRPr="00316F57" w:rsidRDefault="003F077F" w:rsidP="004E7A66">
            <w:pPr>
              <w:jc w:val="center"/>
              <w:rPr>
                <w:rFonts w:eastAsia="Calibri" w:cs="Times New Roman"/>
                <w:sz w:val="19"/>
                <w:szCs w:val="19"/>
              </w:rPr>
            </w:pPr>
            <w:r w:rsidRPr="00316F57">
              <w:rPr>
                <w:rFonts w:eastAsia="Calibri" w:cs="Calibri"/>
                <w:color w:val="000000"/>
                <w:sz w:val="19"/>
                <w:szCs w:val="19"/>
              </w:rPr>
              <w:t>1 (0.2%)</w:t>
            </w:r>
          </w:p>
        </w:tc>
        <w:tc>
          <w:tcPr>
            <w:tcW w:w="1984" w:type="dxa"/>
            <w:vAlign w:val="center"/>
          </w:tcPr>
          <w:p w14:paraId="28B6AC13" w14:textId="77777777" w:rsidR="003F077F" w:rsidRPr="00316F57" w:rsidRDefault="003F077F" w:rsidP="004E7A66">
            <w:pPr>
              <w:jc w:val="center"/>
              <w:rPr>
                <w:sz w:val="19"/>
                <w:szCs w:val="19"/>
              </w:rPr>
            </w:pPr>
            <w:r w:rsidRPr="00316F57">
              <w:rPr>
                <w:sz w:val="19"/>
                <w:szCs w:val="19"/>
              </w:rPr>
              <w:t>0.6% (-0.3%, 1.6%)</w:t>
            </w:r>
          </w:p>
        </w:tc>
        <w:tc>
          <w:tcPr>
            <w:tcW w:w="1985" w:type="dxa"/>
            <w:vAlign w:val="center"/>
          </w:tcPr>
          <w:p w14:paraId="02F4230E" w14:textId="77777777" w:rsidR="003F077F" w:rsidRPr="00316F57" w:rsidRDefault="003F077F" w:rsidP="004E7A66">
            <w:pPr>
              <w:jc w:val="center"/>
              <w:rPr>
                <w:sz w:val="19"/>
                <w:szCs w:val="19"/>
              </w:rPr>
            </w:pPr>
            <w:r w:rsidRPr="00316F57">
              <w:rPr>
                <w:sz w:val="19"/>
                <w:szCs w:val="19"/>
              </w:rPr>
              <w:t>0.6% (-0.3%, 1.6%)</w:t>
            </w:r>
          </w:p>
        </w:tc>
        <w:tc>
          <w:tcPr>
            <w:tcW w:w="1843" w:type="dxa"/>
            <w:vAlign w:val="center"/>
          </w:tcPr>
          <w:p w14:paraId="6AF194DE" w14:textId="77777777" w:rsidR="003F077F" w:rsidRPr="00316F57" w:rsidRDefault="003F077F" w:rsidP="004E7A66">
            <w:pPr>
              <w:jc w:val="center"/>
              <w:rPr>
                <w:sz w:val="19"/>
                <w:szCs w:val="19"/>
              </w:rPr>
            </w:pPr>
            <w:r w:rsidRPr="00316F57">
              <w:rPr>
                <w:sz w:val="19"/>
                <w:szCs w:val="19"/>
              </w:rPr>
              <w:t>3.82 (0.43, 34.21)</w:t>
            </w:r>
          </w:p>
        </w:tc>
        <w:tc>
          <w:tcPr>
            <w:tcW w:w="1701" w:type="dxa"/>
            <w:tcBorders>
              <w:right w:val="nil"/>
            </w:tcBorders>
            <w:vAlign w:val="center"/>
          </w:tcPr>
          <w:p w14:paraId="50E8FF1D" w14:textId="77777777" w:rsidR="003F077F" w:rsidRPr="00316F57" w:rsidRDefault="003F077F" w:rsidP="004E7A66">
            <w:pPr>
              <w:jc w:val="center"/>
              <w:rPr>
                <w:sz w:val="19"/>
                <w:szCs w:val="19"/>
              </w:rPr>
            </w:pPr>
            <w:r w:rsidRPr="00316F57">
              <w:rPr>
                <w:sz w:val="19"/>
                <w:szCs w:val="19"/>
              </w:rPr>
              <w:t>3.80 (0.42, 34.20)</w:t>
            </w:r>
          </w:p>
        </w:tc>
        <w:tc>
          <w:tcPr>
            <w:tcW w:w="850" w:type="dxa"/>
            <w:tcBorders>
              <w:left w:val="nil"/>
            </w:tcBorders>
            <w:vAlign w:val="center"/>
          </w:tcPr>
          <w:p w14:paraId="158FCCAF" w14:textId="77777777" w:rsidR="003F077F" w:rsidRPr="00316F57" w:rsidRDefault="003F077F" w:rsidP="004E7A66">
            <w:pPr>
              <w:jc w:val="center"/>
              <w:rPr>
                <w:sz w:val="19"/>
                <w:szCs w:val="19"/>
              </w:rPr>
            </w:pPr>
            <w:r w:rsidRPr="00316F57">
              <w:rPr>
                <w:sz w:val="19"/>
                <w:szCs w:val="19"/>
              </w:rPr>
              <w:t>0.23</w:t>
            </w:r>
          </w:p>
        </w:tc>
      </w:tr>
      <w:tr w:rsidR="003F077F" w14:paraId="42892159" w14:textId="77777777" w:rsidTr="00BD0CE0">
        <w:trPr>
          <w:trHeight w:val="272"/>
        </w:trPr>
        <w:tc>
          <w:tcPr>
            <w:tcW w:w="4678" w:type="dxa"/>
            <w:vAlign w:val="center"/>
          </w:tcPr>
          <w:p w14:paraId="0F02F9EF" w14:textId="145C58C1" w:rsidR="003F077F" w:rsidRPr="00316F57" w:rsidRDefault="003F077F" w:rsidP="00565091">
            <w:pPr>
              <w:rPr>
                <w:rFonts w:eastAsia="Calibri" w:cs="Calibri"/>
                <w:color w:val="000000"/>
                <w:sz w:val="19"/>
                <w:szCs w:val="19"/>
              </w:rPr>
            </w:pPr>
            <w:r w:rsidRPr="00316F57">
              <w:rPr>
                <w:rFonts w:eastAsia="Calibri" w:cs="Calibri"/>
                <w:color w:val="000000"/>
                <w:sz w:val="19"/>
                <w:szCs w:val="19"/>
              </w:rPr>
              <w:t xml:space="preserve">   Re-intervention </w:t>
            </w:r>
            <w:r w:rsidR="00565091">
              <w:rPr>
                <w:rFonts w:eastAsia="Calibri" w:cs="Calibri"/>
                <w:color w:val="000000"/>
                <w:sz w:val="19"/>
                <w:szCs w:val="19"/>
              </w:rPr>
              <w:t>-</w:t>
            </w:r>
            <w:r w:rsidRPr="00316F57">
              <w:rPr>
                <w:rFonts w:eastAsia="Calibri" w:cs="Calibri"/>
                <w:color w:val="000000"/>
                <w:sz w:val="19"/>
                <w:szCs w:val="19"/>
              </w:rPr>
              <w:t xml:space="preserve"> </w:t>
            </w:r>
            <w:r w:rsidR="00BD0CE0" w:rsidRPr="00316F57">
              <w:rPr>
                <w:rFonts w:eastAsia="Calibri" w:cs="Calibri"/>
                <w:color w:val="000000"/>
                <w:sz w:val="19"/>
                <w:szCs w:val="19"/>
              </w:rPr>
              <w:t>other</w:t>
            </w:r>
            <w:r w:rsidR="00565091">
              <w:rPr>
                <w:rFonts w:eastAsia="Calibri" w:cs="Calibri"/>
                <w:color w:val="000000"/>
                <w:sz w:val="19"/>
                <w:szCs w:val="19"/>
                <w:vertAlign w:val="superscript"/>
              </w:rPr>
              <w:t>f</w:t>
            </w:r>
          </w:p>
        </w:tc>
        <w:tc>
          <w:tcPr>
            <w:tcW w:w="1205" w:type="dxa"/>
            <w:vAlign w:val="center"/>
          </w:tcPr>
          <w:p w14:paraId="003B0EF5" w14:textId="77777777" w:rsidR="003F077F" w:rsidRPr="00316F57" w:rsidRDefault="003F077F" w:rsidP="004E7A66">
            <w:pPr>
              <w:jc w:val="center"/>
              <w:rPr>
                <w:rFonts w:eastAsia="Calibri" w:cs="Calibri"/>
                <w:color w:val="000000"/>
                <w:sz w:val="19"/>
                <w:szCs w:val="19"/>
              </w:rPr>
            </w:pPr>
            <w:r w:rsidRPr="00316F57">
              <w:rPr>
                <w:rFonts w:eastAsia="Calibri" w:cs="Calibri"/>
                <w:color w:val="000000"/>
                <w:sz w:val="19"/>
                <w:szCs w:val="19"/>
              </w:rPr>
              <w:t>15 (3.3%)</w:t>
            </w:r>
          </w:p>
        </w:tc>
        <w:tc>
          <w:tcPr>
            <w:tcW w:w="1205" w:type="dxa"/>
            <w:vAlign w:val="center"/>
          </w:tcPr>
          <w:p w14:paraId="74B98B44" w14:textId="77777777" w:rsidR="003F077F" w:rsidRPr="00316F57" w:rsidRDefault="003F077F" w:rsidP="004E7A66">
            <w:pPr>
              <w:jc w:val="center"/>
              <w:rPr>
                <w:rFonts w:eastAsia="Calibri" w:cs="Calibri"/>
                <w:color w:val="000000"/>
                <w:sz w:val="19"/>
                <w:szCs w:val="19"/>
              </w:rPr>
            </w:pPr>
            <w:r w:rsidRPr="00316F57">
              <w:rPr>
                <w:rFonts w:eastAsia="Calibri" w:cs="Calibri"/>
                <w:color w:val="000000"/>
                <w:sz w:val="19"/>
                <w:szCs w:val="19"/>
              </w:rPr>
              <w:t>26 (6.0%)</w:t>
            </w:r>
          </w:p>
        </w:tc>
        <w:tc>
          <w:tcPr>
            <w:tcW w:w="1984" w:type="dxa"/>
            <w:vAlign w:val="center"/>
          </w:tcPr>
          <w:p w14:paraId="0D20ADBD" w14:textId="77777777" w:rsidR="003F077F" w:rsidRPr="00316F57" w:rsidRDefault="003F077F" w:rsidP="004E7A66">
            <w:pPr>
              <w:jc w:val="center"/>
              <w:rPr>
                <w:sz w:val="19"/>
                <w:szCs w:val="19"/>
              </w:rPr>
            </w:pPr>
            <w:r w:rsidRPr="00316F57">
              <w:rPr>
                <w:sz w:val="19"/>
                <w:szCs w:val="19"/>
              </w:rPr>
              <w:t>-2.7% (-5.5%, 0.0%)</w:t>
            </w:r>
          </w:p>
        </w:tc>
        <w:tc>
          <w:tcPr>
            <w:tcW w:w="1985" w:type="dxa"/>
            <w:vAlign w:val="center"/>
          </w:tcPr>
          <w:p w14:paraId="39B5DB17" w14:textId="77777777" w:rsidR="003F077F" w:rsidRPr="00316F57" w:rsidRDefault="003F077F" w:rsidP="004E7A66">
            <w:pPr>
              <w:jc w:val="center"/>
              <w:rPr>
                <w:sz w:val="19"/>
                <w:szCs w:val="19"/>
              </w:rPr>
            </w:pPr>
            <w:r w:rsidRPr="00316F57">
              <w:rPr>
                <w:sz w:val="19"/>
                <w:szCs w:val="19"/>
              </w:rPr>
              <w:t>-2.7% (-5.4%, -0.1%)</w:t>
            </w:r>
          </w:p>
        </w:tc>
        <w:tc>
          <w:tcPr>
            <w:tcW w:w="1843" w:type="dxa"/>
            <w:vAlign w:val="center"/>
          </w:tcPr>
          <w:p w14:paraId="10A2DA60" w14:textId="77777777" w:rsidR="003F077F" w:rsidRPr="00316F57" w:rsidRDefault="003F077F" w:rsidP="004E7A66">
            <w:pPr>
              <w:jc w:val="center"/>
              <w:rPr>
                <w:sz w:val="19"/>
                <w:szCs w:val="19"/>
              </w:rPr>
            </w:pPr>
            <w:r w:rsidRPr="00316F57">
              <w:rPr>
                <w:sz w:val="19"/>
                <w:szCs w:val="19"/>
              </w:rPr>
              <w:t>0.55 (0.29, 1.03)</w:t>
            </w:r>
          </w:p>
        </w:tc>
        <w:tc>
          <w:tcPr>
            <w:tcW w:w="1701" w:type="dxa"/>
            <w:tcBorders>
              <w:right w:val="nil"/>
            </w:tcBorders>
            <w:vAlign w:val="center"/>
          </w:tcPr>
          <w:p w14:paraId="52A04042" w14:textId="77777777" w:rsidR="003F077F" w:rsidRPr="00316F57" w:rsidRDefault="003F077F" w:rsidP="004E7A66">
            <w:pPr>
              <w:jc w:val="center"/>
              <w:rPr>
                <w:sz w:val="19"/>
                <w:szCs w:val="19"/>
              </w:rPr>
            </w:pPr>
            <w:r w:rsidRPr="00316F57">
              <w:rPr>
                <w:sz w:val="19"/>
                <w:szCs w:val="19"/>
              </w:rPr>
              <w:t>0.55 (0.28, 1.08)</w:t>
            </w:r>
          </w:p>
        </w:tc>
        <w:tc>
          <w:tcPr>
            <w:tcW w:w="850" w:type="dxa"/>
            <w:tcBorders>
              <w:left w:val="nil"/>
            </w:tcBorders>
            <w:vAlign w:val="center"/>
          </w:tcPr>
          <w:p w14:paraId="68CE0455" w14:textId="77777777" w:rsidR="003F077F" w:rsidRPr="00316F57" w:rsidRDefault="003F077F" w:rsidP="004E7A66">
            <w:pPr>
              <w:jc w:val="center"/>
              <w:rPr>
                <w:sz w:val="19"/>
                <w:szCs w:val="19"/>
              </w:rPr>
            </w:pPr>
            <w:r w:rsidRPr="00316F57">
              <w:rPr>
                <w:sz w:val="19"/>
                <w:szCs w:val="19"/>
              </w:rPr>
              <w:t>0.08</w:t>
            </w:r>
          </w:p>
        </w:tc>
      </w:tr>
    </w:tbl>
    <w:p w14:paraId="29CA2187" w14:textId="77777777" w:rsidR="003F077F" w:rsidRDefault="003F077F" w:rsidP="003F077F">
      <w:pPr>
        <w:spacing w:after="0" w:line="240" w:lineRule="auto"/>
        <w:ind w:hanging="113"/>
        <w:outlineLvl w:val="2"/>
        <w:rPr>
          <w:rFonts w:ascii="Calibri" w:eastAsia="Times New Roman" w:hAnsi="Calibri" w:cs="Times New Roman"/>
          <w:bCs/>
          <w:sz w:val="20"/>
          <w:szCs w:val="20"/>
          <w:lang w:eastAsia="en-GB"/>
        </w:rPr>
      </w:pPr>
    </w:p>
    <w:p w14:paraId="4A751122" w14:textId="77777777" w:rsidR="003F077F" w:rsidRDefault="003F077F" w:rsidP="003F077F">
      <w:pPr>
        <w:spacing w:after="0" w:line="240" w:lineRule="auto"/>
        <w:ind w:hanging="113"/>
        <w:outlineLvl w:val="2"/>
        <w:rPr>
          <w:rFonts w:ascii="Calibri" w:eastAsia="Times New Roman" w:hAnsi="Calibri" w:cs="Times New Roman"/>
          <w:bCs/>
          <w:sz w:val="20"/>
          <w:szCs w:val="20"/>
          <w:lang w:eastAsia="en-GB"/>
        </w:rPr>
      </w:pPr>
    </w:p>
    <w:p w14:paraId="081F1E12" w14:textId="77777777" w:rsidR="003F077F" w:rsidRDefault="003F077F" w:rsidP="003F077F">
      <w:pPr>
        <w:spacing w:after="0" w:line="240" w:lineRule="auto"/>
        <w:outlineLvl w:val="2"/>
        <w:rPr>
          <w:rFonts w:ascii="Calibri" w:eastAsia="Times New Roman" w:hAnsi="Calibri" w:cs="Times New Roman"/>
          <w:bCs/>
          <w:sz w:val="20"/>
          <w:szCs w:val="20"/>
          <w:lang w:eastAsia="en-GB"/>
        </w:rPr>
      </w:pPr>
    </w:p>
    <w:p w14:paraId="2CD14E6A" w14:textId="35C598F0" w:rsidR="003F077F" w:rsidRPr="002B4B1E" w:rsidRDefault="003F077F" w:rsidP="002B4B1E">
      <w:pPr>
        <w:pStyle w:val="Heading3"/>
        <w:rPr>
          <w:bCs w:val="0"/>
          <w:sz w:val="22"/>
          <w:szCs w:val="22"/>
          <w:vertAlign w:val="superscript"/>
        </w:rPr>
      </w:pPr>
      <w:r>
        <w:rPr>
          <w:vertAlign w:val="superscript"/>
        </w:rPr>
        <w:t xml:space="preserve">FOOTNOTES TO TABLE </w:t>
      </w:r>
      <w:r w:rsidR="0043047D">
        <w:rPr>
          <w:vertAlign w:val="superscript"/>
        </w:rPr>
        <w:t>3</w:t>
      </w:r>
      <w:r>
        <w:rPr>
          <w:vertAlign w:val="superscript"/>
        </w:rPr>
        <w:t>:</w:t>
      </w:r>
    </w:p>
    <w:p w14:paraId="1F116C85" w14:textId="55E9E627" w:rsidR="00D45FE1" w:rsidRDefault="003F077F" w:rsidP="003F077F">
      <w:pPr>
        <w:spacing w:after="0" w:line="240" w:lineRule="auto"/>
        <w:outlineLvl w:val="2"/>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 xml:space="preserve">Table </w:t>
      </w:r>
      <w:r w:rsidR="0043047D">
        <w:rPr>
          <w:rFonts w:ascii="Calibri" w:eastAsia="Times New Roman" w:hAnsi="Calibri" w:cs="Times New Roman"/>
          <w:bCs/>
          <w:sz w:val="20"/>
          <w:szCs w:val="20"/>
          <w:lang w:eastAsia="en-GB"/>
        </w:rPr>
        <w:t xml:space="preserve">3 </w:t>
      </w:r>
      <w:r>
        <w:rPr>
          <w:rFonts w:ascii="Calibri" w:eastAsia="Times New Roman" w:hAnsi="Calibri" w:cs="Times New Roman"/>
          <w:bCs/>
          <w:sz w:val="20"/>
          <w:szCs w:val="20"/>
          <w:lang w:eastAsia="en-GB"/>
        </w:rPr>
        <w:t xml:space="preserve">reports </w:t>
      </w:r>
      <w:r w:rsidR="00A122F6">
        <w:rPr>
          <w:rFonts w:ascii="Calibri" w:eastAsia="Times New Roman" w:hAnsi="Calibri" w:cs="Times New Roman"/>
          <w:bCs/>
          <w:sz w:val="20"/>
          <w:szCs w:val="20"/>
          <w:lang w:eastAsia="en-GB"/>
        </w:rPr>
        <w:t xml:space="preserve">the primary outcome and </w:t>
      </w:r>
      <w:r>
        <w:rPr>
          <w:rFonts w:ascii="Calibri" w:eastAsia="Times New Roman" w:hAnsi="Calibri" w:cs="Times New Roman"/>
          <w:bCs/>
          <w:sz w:val="20"/>
          <w:szCs w:val="20"/>
          <w:lang w:eastAsia="en-GB"/>
        </w:rPr>
        <w:t>all event-related secondary clinical outcomes. Additional secondary outcomes, including duration of hospital sta</w:t>
      </w:r>
      <w:r w:rsidR="007F3AE6">
        <w:rPr>
          <w:rFonts w:ascii="Calibri" w:eastAsia="Times New Roman" w:hAnsi="Calibri" w:cs="Times New Roman"/>
          <w:bCs/>
          <w:sz w:val="20"/>
          <w:szCs w:val="20"/>
          <w:lang w:eastAsia="en-GB"/>
        </w:rPr>
        <w:t xml:space="preserve">y, </w:t>
      </w:r>
      <w:r w:rsidR="00BB2D9B">
        <w:rPr>
          <w:rFonts w:ascii="Calibri" w:eastAsia="Times New Roman" w:hAnsi="Calibri" w:cs="Times New Roman"/>
          <w:bCs/>
          <w:sz w:val="20"/>
          <w:szCs w:val="20"/>
          <w:lang w:eastAsia="en-GB"/>
        </w:rPr>
        <w:t xml:space="preserve">echocardiographic outcomes, functional capacity and </w:t>
      </w:r>
      <w:r w:rsidR="00150854">
        <w:rPr>
          <w:rFonts w:ascii="Calibri" w:eastAsia="Times New Roman" w:hAnsi="Calibri" w:cs="Times New Roman"/>
          <w:bCs/>
          <w:sz w:val="20"/>
          <w:szCs w:val="20"/>
          <w:lang w:eastAsia="en-GB"/>
        </w:rPr>
        <w:t xml:space="preserve">quality of </w:t>
      </w:r>
      <w:r>
        <w:rPr>
          <w:rFonts w:ascii="Calibri" w:eastAsia="Times New Roman" w:hAnsi="Calibri" w:cs="Times New Roman"/>
          <w:bCs/>
          <w:sz w:val="20"/>
          <w:szCs w:val="20"/>
          <w:lang w:eastAsia="en-GB"/>
        </w:rPr>
        <w:t xml:space="preserve">life, are reported in eTable 4 and eTables </w:t>
      </w:r>
      <w:r w:rsidR="002957FF">
        <w:rPr>
          <w:rFonts w:ascii="Calibri" w:eastAsia="Times New Roman" w:hAnsi="Calibri" w:cs="Times New Roman"/>
          <w:bCs/>
          <w:sz w:val="20"/>
          <w:szCs w:val="20"/>
          <w:lang w:eastAsia="en-GB"/>
        </w:rPr>
        <w:t>10</w:t>
      </w:r>
      <w:r>
        <w:rPr>
          <w:rFonts w:ascii="Calibri" w:eastAsia="Times New Roman" w:hAnsi="Calibri" w:cs="Times New Roman"/>
          <w:bCs/>
          <w:sz w:val="20"/>
          <w:szCs w:val="20"/>
          <w:lang w:eastAsia="en-GB"/>
        </w:rPr>
        <w:t>-</w:t>
      </w:r>
      <w:r w:rsidR="002957FF">
        <w:rPr>
          <w:rFonts w:ascii="Calibri" w:eastAsia="Times New Roman" w:hAnsi="Calibri" w:cs="Times New Roman"/>
          <w:bCs/>
          <w:sz w:val="20"/>
          <w:szCs w:val="20"/>
          <w:lang w:eastAsia="en-GB"/>
        </w:rPr>
        <w:t>18</w:t>
      </w:r>
      <w:r>
        <w:rPr>
          <w:rFonts w:ascii="Calibri" w:eastAsia="Times New Roman" w:hAnsi="Calibri" w:cs="Times New Roman"/>
          <w:bCs/>
          <w:sz w:val="20"/>
          <w:szCs w:val="20"/>
          <w:lang w:eastAsia="en-GB"/>
        </w:rPr>
        <w:t xml:space="preserve"> in Supplement 3.</w:t>
      </w:r>
      <w:r w:rsidRPr="00B01952">
        <w:rPr>
          <w:rFonts w:ascii="Calibri" w:eastAsia="Times New Roman" w:hAnsi="Calibri" w:cs="Times New Roman"/>
          <w:bCs/>
          <w:sz w:val="20"/>
          <w:szCs w:val="20"/>
          <w:lang w:eastAsia="en-GB"/>
        </w:rPr>
        <w:t xml:space="preserve"> </w:t>
      </w:r>
      <w:r>
        <w:rPr>
          <w:rFonts w:ascii="Calibri" w:eastAsia="Times New Roman" w:hAnsi="Calibri" w:cs="Times New Roman"/>
          <w:bCs/>
          <w:sz w:val="20"/>
          <w:szCs w:val="20"/>
          <w:lang w:eastAsia="en-GB"/>
        </w:rPr>
        <w:t xml:space="preserve">Cause of death </w:t>
      </w:r>
      <w:r w:rsidR="00FD43EF">
        <w:rPr>
          <w:rFonts w:ascii="Calibri" w:eastAsia="Times New Roman" w:hAnsi="Calibri" w:cs="Times New Roman"/>
          <w:bCs/>
          <w:sz w:val="20"/>
          <w:szCs w:val="20"/>
          <w:lang w:eastAsia="en-GB"/>
        </w:rPr>
        <w:t xml:space="preserve">(see eTable 7 in Supplement 3 for further details) </w:t>
      </w:r>
      <w:r>
        <w:rPr>
          <w:rFonts w:ascii="Calibri" w:eastAsia="Times New Roman" w:hAnsi="Calibri" w:cs="Times New Roman"/>
          <w:bCs/>
          <w:sz w:val="20"/>
          <w:szCs w:val="20"/>
          <w:lang w:eastAsia="en-GB"/>
        </w:rPr>
        <w:t>and all events were adjudicated by the End-Points and Events Committee, with reference to outcome definitions based on the VARC-2 criteria</w:t>
      </w:r>
      <w:r w:rsidRPr="002B4B1E">
        <w:rPr>
          <w:rFonts w:ascii="Calibri" w:eastAsia="Times New Roman" w:hAnsi="Calibri" w:cs="Times New Roman"/>
          <w:bCs/>
          <w:sz w:val="20"/>
          <w:szCs w:val="20"/>
          <w:vertAlign w:val="superscript"/>
          <w:lang w:eastAsia="en-GB"/>
        </w:rPr>
        <w:t>15</w:t>
      </w:r>
      <w:r>
        <w:rPr>
          <w:rFonts w:ascii="Calibri" w:eastAsia="Times New Roman" w:hAnsi="Calibri" w:cs="Times New Roman"/>
          <w:bCs/>
          <w:sz w:val="20"/>
          <w:szCs w:val="20"/>
          <w:lang w:eastAsia="en-GB"/>
        </w:rPr>
        <w:t xml:space="preserve"> (eMethods 5 in Supplement 3). </w:t>
      </w:r>
      <w:r w:rsidRPr="004A601F">
        <w:rPr>
          <w:rFonts w:ascii="Calibri" w:eastAsia="Times New Roman" w:hAnsi="Calibri" w:cs="Times New Roman"/>
          <w:bCs/>
          <w:sz w:val="20"/>
          <w:szCs w:val="20"/>
          <w:lang w:eastAsia="en-GB"/>
        </w:rPr>
        <w:t>Because of the potential for type 1 error due to multiple comparisons, findings for analyses of secondary outcomes should be interpreted as exploratory.</w:t>
      </w:r>
    </w:p>
    <w:p w14:paraId="68720390" w14:textId="089AAE14" w:rsidR="00A122F6" w:rsidRDefault="003F077F" w:rsidP="003F077F">
      <w:pPr>
        <w:spacing w:after="0" w:line="240" w:lineRule="auto"/>
        <w:ind w:hanging="113"/>
        <w:outlineLvl w:val="2"/>
        <w:rPr>
          <w:rFonts w:ascii="Calibri" w:eastAsia="Times New Roman" w:hAnsi="Calibri" w:cs="Times New Roman"/>
          <w:bCs/>
          <w:sz w:val="20"/>
          <w:szCs w:val="20"/>
          <w:lang w:eastAsia="en-GB"/>
        </w:rPr>
      </w:pPr>
      <w:r>
        <w:rPr>
          <w:rFonts w:ascii="Calibri" w:eastAsia="Times New Roman" w:hAnsi="Calibri" w:cs="Times New Roman"/>
          <w:bCs/>
          <w:sz w:val="20"/>
          <w:szCs w:val="20"/>
          <w:vertAlign w:val="superscript"/>
          <w:lang w:eastAsia="en-GB"/>
        </w:rPr>
        <w:t>a</w:t>
      </w:r>
      <w:r w:rsidRPr="00D4784E">
        <w:rPr>
          <w:rFonts w:ascii="Calibri" w:eastAsia="Times New Roman" w:hAnsi="Calibri" w:cs="Times New Roman"/>
          <w:bCs/>
          <w:sz w:val="20"/>
          <w:szCs w:val="20"/>
          <w:lang w:eastAsia="en-GB"/>
        </w:rPr>
        <w:t xml:space="preserve"> </w:t>
      </w:r>
      <w:r w:rsidR="009944FA">
        <w:rPr>
          <w:rFonts w:ascii="Calibri" w:eastAsia="Times New Roman" w:hAnsi="Calibri" w:cs="Times New Roman"/>
          <w:bCs/>
          <w:sz w:val="20"/>
          <w:szCs w:val="20"/>
          <w:lang w:eastAsia="en-GB"/>
        </w:rPr>
        <w:t>Number</w:t>
      </w:r>
      <w:r w:rsidR="00BD0CE0" w:rsidRPr="000035B1">
        <w:rPr>
          <w:rFonts w:ascii="Calibri" w:eastAsia="Times New Roman" w:hAnsi="Calibri" w:cs="Times New Roman"/>
          <w:bCs/>
          <w:sz w:val="20"/>
          <w:szCs w:val="20"/>
          <w:lang w:eastAsia="en-GB"/>
        </w:rPr>
        <w:t xml:space="preserve"> of participants with an event</w:t>
      </w:r>
      <w:r w:rsidR="009944FA">
        <w:rPr>
          <w:rFonts w:ascii="Calibri" w:eastAsia="Times New Roman" w:hAnsi="Calibri" w:cs="Times New Roman"/>
          <w:bCs/>
          <w:sz w:val="20"/>
          <w:szCs w:val="20"/>
          <w:lang w:eastAsia="en-GB"/>
        </w:rPr>
        <w:t xml:space="preserve"> (</w:t>
      </w:r>
      <w:r w:rsidR="005A2E96">
        <w:rPr>
          <w:rFonts w:ascii="Calibri" w:eastAsia="Times New Roman" w:hAnsi="Calibri" w:cs="Times New Roman"/>
          <w:bCs/>
          <w:sz w:val="20"/>
          <w:szCs w:val="20"/>
          <w:lang w:eastAsia="en-GB"/>
        </w:rPr>
        <w:t>percentage of those in the relevant analysis population)</w:t>
      </w:r>
      <w:r w:rsidR="00BD0CE0" w:rsidRPr="000035B1">
        <w:rPr>
          <w:rFonts w:ascii="Calibri" w:eastAsia="Times New Roman" w:hAnsi="Calibri" w:cs="Times New Roman"/>
          <w:bCs/>
          <w:sz w:val="20"/>
          <w:szCs w:val="20"/>
          <w:lang w:eastAsia="en-GB"/>
        </w:rPr>
        <w:t xml:space="preserve">. </w:t>
      </w:r>
      <w:r w:rsidR="00A122F6">
        <w:rPr>
          <w:rFonts w:ascii="Calibri" w:eastAsia="Times New Roman" w:hAnsi="Calibri" w:cs="Times New Roman"/>
          <w:bCs/>
          <w:sz w:val="20"/>
          <w:szCs w:val="20"/>
          <w:lang w:eastAsia="en-GB"/>
        </w:rPr>
        <w:t>The data were analyz</w:t>
      </w:r>
      <w:r w:rsidR="00A122F6" w:rsidRPr="000035B1">
        <w:rPr>
          <w:rFonts w:ascii="Calibri" w:eastAsia="Times New Roman" w:hAnsi="Calibri" w:cs="Times New Roman"/>
          <w:bCs/>
          <w:sz w:val="20"/>
          <w:szCs w:val="20"/>
          <w:lang w:eastAsia="en-GB"/>
        </w:rPr>
        <w:t xml:space="preserve">ed with </w:t>
      </w:r>
      <w:r w:rsidR="00A122F6" w:rsidRPr="00A01815">
        <w:rPr>
          <w:rFonts w:ascii="Calibri" w:eastAsia="Times New Roman" w:hAnsi="Calibri" w:cs="Times New Roman"/>
          <w:bCs/>
          <w:sz w:val="20"/>
          <w:szCs w:val="20"/>
          <w:lang w:eastAsia="en-GB"/>
        </w:rPr>
        <w:t>participants</w:t>
      </w:r>
      <w:r w:rsidR="00A122F6" w:rsidRPr="000035B1">
        <w:rPr>
          <w:rFonts w:ascii="Calibri" w:eastAsia="Times New Roman" w:hAnsi="Calibri" w:cs="Times New Roman"/>
          <w:bCs/>
          <w:sz w:val="20"/>
          <w:szCs w:val="20"/>
          <w:lang w:eastAsia="en-GB"/>
        </w:rPr>
        <w:t xml:space="preserve"> included in the groups to which they were randomly assigned</w:t>
      </w:r>
      <w:r w:rsidR="00A122F6">
        <w:rPr>
          <w:rFonts w:ascii="Calibri" w:eastAsia="Times New Roman" w:hAnsi="Calibri" w:cs="Times New Roman"/>
          <w:bCs/>
          <w:sz w:val="20"/>
          <w:szCs w:val="20"/>
          <w:lang w:eastAsia="en-GB"/>
        </w:rPr>
        <w:t>,</w:t>
      </w:r>
      <w:r w:rsidR="00A122F6" w:rsidRPr="000035B1">
        <w:rPr>
          <w:rFonts w:ascii="Calibri" w:eastAsia="Times New Roman" w:hAnsi="Calibri" w:cs="Times New Roman"/>
          <w:bCs/>
          <w:sz w:val="20"/>
          <w:szCs w:val="20"/>
          <w:lang w:eastAsia="en-GB"/>
        </w:rPr>
        <w:t xml:space="preserve"> irrespective of </w:t>
      </w:r>
      <w:r w:rsidR="00A122F6">
        <w:rPr>
          <w:rFonts w:ascii="Calibri" w:eastAsia="Times New Roman" w:hAnsi="Calibri" w:cs="Times New Roman"/>
          <w:bCs/>
          <w:sz w:val="20"/>
          <w:szCs w:val="20"/>
          <w:lang w:eastAsia="en-GB"/>
        </w:rPr>
        <w:t xml:space="preserve">the </w:t>
      </w:r>
      <w:r w:rsidR="00A122F6" w:rsidRPr="000035B1">
        <w:rPr>
          <w:rFonts w:ascii="Calibri" w:eastAsia="Times New Roman" w:hAnsi="Calibri" w:cs="Times New Roman"/>
          <w:bCs/>
          <w:sz w:val="20"/>
          <w:szCs w:val="20"/>
          <w:lang w:eastAsia="en-GB"/>
        </w:rPr>
        <w:t>treatment received.</w:t>
      </w:r>
    </w:p>
    <w:p w14:paraId="1FA7D9E5" w14:textId="615633F8" w:rsidR="008349A7" w:rsidRDefault="00A122F6" w:rsidP="003F077F">
      <w:pPr>
        <w:spacing w:after="0" w:line="240" w:lineRule="auto"/>
        <w:ind w:hanging="113"/>
        <w:outlineLvl w:val="2"/>
        <w:rPr>
          <w:rFonts w:ascii="Calibri" w:eastAsia="Times New Roman" w:hAnsi="Calibri" w:cs="Times New Roman"/>
          <w:bCs/>
          <w:sz w:val="20"/>
          <w:szCs w:val="20"/>
          <w:lang w:eastAsia="en-GB"/>
        </w:rPr>
      </w:pPr>
      <w:r w:rsidRPr="00A122F6">
        <w:rPr>
          <w:rFonts w:ascii="Calibri" w:eastAsia="Times New Roman" w:hAnsi="Calibri" w:cs="Times New Roman"/>
          <w:bCs/>
          <w:sz w:val="20"/>
          <w:szCs w:val="20"/>
          <w:vertAlign w:val="superscript"/>
          <w:lang w:eastAsia="en-GB"/>
        </w:rPr>
        <w:t>b</w:t>
      </w:r>
      <w:r>
        <w:rPr>
          <w:rFonts w:ascii="Calibri" w:eastAsia="Times New Roman" w:hAnsi="Calibri" w:cs="Times New Roman"/>
          <w:bCs/>
          <w:sz w:val="20"/>
          <w:szCs w:val="20"/>
          <w:lang w:eastAsia="en-GB"/>
        </w:rPr>
        <w:t xml:space="preserve"> </w:t>
      </w:r>
      <w:r w:rsidR="008349A7">
        <w:rPr>
          <w:rFonts w:ascii="Calibri" w:eastAsia="Times New Roman" w:hAnsi="Calibri" w:cs="Times New Roman"/>
          <w:bCs/>
          <w:sz w:val="20"/>
          <w:szCs w:val="20"/>
          <w:lang w:eastAsia="en-GB"/>
        </w:rPr>
        <w:t xml:space="preserve">At one year, </w:t>
      </w:r>
      <w:r w:rsidR="00184718">
        <w:rPr>
          <w:rFonts w:ascii="Calibri" w:eastAsia="Times New Roman" w:hAnsi="Calibri" w:cs="Times New Roman"/>
          <w:bCs/>
          <w:sz w:val="20"/>
          <w:szCs w:val="20"/>
          <w:lang w:eastAsia="en-GB"/>
        </w:rPr>
        <w:t>the analysis population included</w:t>
      </w:r>
      <w:r w:rsidR="008349A7">
        <w:rPr>
          <w:rFonts w:ascii="Calibri" w:eastAsia="Times New Roman" w:hAnsi="Calibri" w:cs="Times New Roman"/>
          <w:bCs/>
          <w:sz w:val="20"/>
          <w:szCs w:val="20"/>
          <w:lang w:eastAsia="en-GB"/>
        </w:rPr>
        <w:t xml:space="preserve"> a</w:t>
      </w:r>
      <w:r w:rsidR="009944FA">
        <w:rPr>
          <w:rFonts w:ascii="Calibri" w:eastAsia="Times New Roman" w:hAnsi="Calibri" w:cs="Times New Roman"/>
          <w:bCs/>
          <w:sz w:val="20"/>
          <w:szCs w:val="20"/>
          <w:lang w:eastAsia="en-GB"/>
        </w:rPr>
        <w:t>ll</w:t>
      </w:r>
      <w:r w:rsidR="00BD0CE0" w:rsidRPr="000035B1">
        <w:rPr>
          <w:rFonts w:ascii="Calibri" w:eastAsia="Times New Roman" w:hAnsi="Calibri" w:cs="Times New Roman"/>
          <w:bCs/>
          <w:sz w:val="20"/>
          <w:szCs w:val="20"/>
          <w:lang w:eastAsia="en-GB"/>
        </w:rPr>
        <w:t xml:space="preserve"> randomized participants</w:t>
      </w:r>
      <w:r w:rsidR="008349A7" w:rsidRPr="008349A7">
        <w:rPr>
          <w:rFonts w:ascii="Calibri" w:eastAsia="Times New Roman" w:hAnsi="Calibri" w:cs="Times New Roman"/>
          <w:bCs/>
          <w:sz w:val="20"/>
          <w:szCs w:val="20"/>
          <w:lang w:eastAsia="en-GB"/>
        </w:rPr>
        <w:t xml:space="preserve"> </w:t>
      </w:r>
      <w:r w:rsidR="00184718">
        <w:rPr>
          <w:rFonts w:ascii="Calibri" w:eastAsia="Times New Roman" w:hAnsi="Calibri" w:cs="Times New Roman"/>
          <w:bCs/>
          <w:sz w:val="20"/>
          <w:szCs w:val="20"/>
          <w:lang w:eastAsia="en-GB"/>
        </w:rPr>
        <w:t>and applied</w:t>
      </w:r>
      <w:r w:rsidR="008349A7" w:rsidRPr="000035B1">
        <w:rPr>
          <w:rFonts w:ascii="Calibri" w:eastAsia="Times New Roman" w:hAnsi="Calibri" w:cs="Times New Roman"/>
          <w:bCs/>
          <w:sz w:val="20"/>
          <w:szCs w:val="20"/>
          <w:lang w:eastAsia="en-GB"/>
        </w:rPr>
        <w:t xml:space="preserve"> censoring at the time of loss to follow-up</w:t>
      </w:r>
      <w:r w:rsidR="009944FA">
        <w:rPr>
          <w:rFonts w:ascii="Calibri" w:eastAsia="Times New Roman" w:hAnsi="Calibri" w:cs="Times New Roman"/>
          <w:bCs/>
          <w:sz w:val="20"/>
          <w:szCs w:val="20"/>
          <w:lang w:eastAsia="en-GB"/>
        </w:rPr>
        <w:t xml:space="preserve">, </w:t>
      </w:r>
      <w:r w:rsidR="00BD0CE0" w:rsidRPr="000035B1">
        <w:rPr>
          <w:rFonts w:ascii="Calibri" w:eastAsia="Times New Roman" w:hAnsi="Calibri" w:cs="Times New Roman"/>
          <w:bCs/>
          <w:sz w:val="20"/>
          <w:szCs w:val="20"/>
          <w:lang w:eastAsia="en-GB"/>
        </w:rPr>
        <w:t>in line with the Cox proportional hazards model</w:t>
      </w:r>
      <w:r w:rsidR="008349A7">
        <w:rPr>
          <w:rFonts w:ascii="Calibri" w:eastAsia="Times New Roman" w:hAnsi="Calibri" w:cs="Times New Roman"/>
          <w:bCs/>
          <w:sz w:val="20"/>
          <w:szCs w:val="20"/>
          <w:lang w:eastAsia="en-GB"/>
        </w:rPr>
        <w:t>.</w:t>
      </w:r>
      <w:r w:rsidR="00BD0CE0">
        <w:rPr>
          <w:rFonts w:ascii="Calibri" w:eastAsia="Times New Roman" w:hAnsi="Calibri" w:cs="Times New Roman"/>
          <w:bCs/>
          <w:sz w:val="20"/>
          <w:szCs w:val="20"/>
          <w:lang w:eastAsia="en-GB"/>
        </w:rPr>
        <w:t xml:space="preserve"> </w:t>
      </w:r>
      <w:r w:rsidR="00BD0CE0" w:rsidRPr="009944FA">
        <w:rPr>
          <w:rFonts w:ascii="Calibri" w:eastAsia="Times New Roman" w:hAnsi="Calibri" w:cs="Times New Roman"/>
          <w:bCs/>
          <w:sz w:val="20"/>
          <w:szCs w:val="20"/>
          <w:lang w:eastAsia="en-GB"/>
        </w:rPr>
        <w:t xml:space="preserve">One participant in the surgery group who withdrew and was excluded from the </w:t>
      </w:r>
      <w:r w:rsidR="009944FA" w:rsidRPr="009944FA">
        <w:rPr>
          <w:rFonts w:ascii="Calibri" w:eastAsia="Times New Roman" w:hAnsi="Calibri" w:cs="Times New Roman"/>
          <w:bCs/>
          <w:sz w:val="20"/>
          <w:szCs w:val="20"/>
          <w:lang w:eastAsia="en-GB"/>
        </w:rPr>
        <w:t xml:space="preserve">noninferiority analysis of the </w:t>
      </w:r>
      <w:r w:rsidR="00BD0CE0" w:rsidRPr="009944FA">
        <w:rPr>
          <w:rFonts w:ascii="Calibri" w:eastAsia="Times New Roman" w:hAnsi="Calibri" w:cs="Times New Roman"/>
          <w:bCs/>
          <w:sz w:val="20"/>
          <w:szCs w:val="20"/>
          <w:lang w:eastAsia="en-GB"/>
        </w:rPr>
        <w:t>primary outcome</w:t>
      </w:r>
      <w:r w:rsidR="00087D69">
        <w:rPr>
          <w:rFonts w:ascii="Calibri" w:eastAsia="Times New Roman" w:hAnsi="Calibri" w:cs="Times New Roman"/>
          <w:bCs/>
          <w:sz w:val="20"/>
          <w:szCs w:val="20"/>
          <w:lang w:eastAsia="en-GB"/>
        </w:rPr>
        <w:t xml:space="preserve"> presented in Table 2</w:t>
      </w:r>
      <w:r w:rsidR="004D0885" w:rsidRPr="009944FA">
        <w:rPr>
          <w:rFonts w:ascii="Calibri" w:eastAsia="Times New Roman" w:hAnsi="Calibri" w:cs="Times New Roman"/>
          <w:bCs/>
          <w:sz w:val="20"/>
          <w:szCs w:val="20"/>
          <w:lang w:eastAsia="en-GB"/>
        </w:rPr>
        <w:t xml:space="preserve"> </w:t>
      </w:r>
      <w:r w:rsidR="00184718">
        <w:rPr>
          <w:rFonts w:ascii="Calibri" w:eastAsia="Times New Roman" w:hAnsi="Calibri" w:cs="Times New Roman"/>
          <w:bCs/>
          <w:sz w:val="20"/>
          <w:szCs w:val="20"/>
          <w:lang w:eastAsia="en-GB"/>
        </w:rPr>
        <w:t>was</w:t>
      </w:r>
      <w:r w:rsidR="00BD0CE0" w:rsidRPr="009944FA">
        <w:rPr>
          <w:rFonts w:ascii="Calibri" w:eastAsia="Times New Roman" w:hAnsi="Calibri" w:cs="Times New Roman"/>
          <w:bCs/>
          <w:sz w:val="20"/>
          <w:szCs w:val="20"/>
          <w:lang w:eastAsia="en-GB"/>
        </w:rPr>
        <w:t xml:space="preserve"> included in </w:t>
      </w:r>
      <w:r w:rsidR="009944FA" w:rsidRPr="009944FA">
        <w:rPr>
          <w:rFonts w:ascii="Calibri" w:eastAsia="Times New Roman" w:hAnsi="Calibri" w:cs="Times New Roman"/>
          <w:bCs/>
          <w:sz w:val="20"/>
          <w:szCs w:val="20"/>
          <w:lang w:eastAsia="en-GB"/>
        </w:rPr>
        <w:t>this</w:t>
      </w:r>
      <w:r w:rsidR="00BD0CE0" w:rsidRPr="009944FA">
        <w:rPr>
          <w:rFonts w:ascii="Calibri" w:eastAsia="Times New Roman" w:hAnsi="Calibri" w:cs="Times New Roman"/>
          <w:bCs/>
          <w:sz w:val="20"/>
          <w:szCs w:val="20"/>
          <w:lang w:eastAsia="en-GB"/>
        </w:rPr>
        <w:t xml:space="preserve"> analysis of </w:t>
      </w:r>
      <w:r w:rsidR="009944FA" w:rsidRPr="009944FA">
        <w:rPr>
          <w:rFonts w:ascii="Calibri" w:eastAsia="Times New Roman" w:hAnsi="Calibri" w:cs="Times New Roman"/>
          <w:bCs/>
          <w:sz w:val="20"/>
          <w:szCs w:val="20"/>
          <w:lang w:eastAsia="en-GB"/>
        </w:rPr>
        <w:t xml:space="preserve">the primary and </w:t>
      </w:r>
      <w:r w:rsidR="00BD0CE0" w:rsidRPr="009944FA">
        <w:rPr>
          <w:rFonts w:ascii="Calibri" w:eastAsia="Times New Roman" w:hAnsi="Calibri" w:cs="Times New Roman"/>
          <w:bCs/>
          <w:sz w:val="20"/>
          <w:szCs w:val="20"/>
          <w:lang w:eastAsia="en-GB"/>
        </w:rPr>
        <w:t>secondary outcomes</w:t>
      </w:r>
      <w:r w:rsidR="009944FA" w:rsidRPr="009944FA">
        <w:rPr>
          <w:rFonts w:ascii="Calibri" w:eastAsia="Times New Roman" w:hAnsi="Calibri" w:cs="Times New Roman"/>
          <w:bCs/>
          <w:sz w:val="20"/>
          <w:szCs w:val="20"/>
          <w:lang w:eastAsia="en-GB"/>
        </w:rPr>
        <w:t>,</w:t>
      </w:r>
      <w:r w:rsidR="00BD0CE0" w:rsidRPr="009944FA">
        <w:rPr>
          <w:rFonts w:ascii="Calibri" w:eastAsia="Times New Roman" w:hAnsi="Calibri" w:cs="Times New Roman"/>
          <w:bCs/>
          <w:sz w:val="20"/>
          <w:szCs w:val="20"/>
          <w:lang w:eastAsia="en-GB"/>
        </w:rPr>
        <w:t xml:space="preserve"> with censoring at the time of withdrawal.</w:t>
      </w:r>
      <w:r w:rsidR="008349A7" w:rsidRPr="008349A7">
        <w:rPr>
          <w:rFonts w:ascii="Calibri" w:eastAsia="Calibri" w:hAnsi="Calibri" w:cs="Calibri"/>
          <w:bCs/>
          <w:sz w:val="20"/>
          <w:szCs w:val="20"/>
          <w:lang w:eastAsia="en-GB"/>
        </w:rPr>
        <w:t xml:space="preserve"> The participant was assumed not to have had an event if no relevant event was reported prior to withdrawal.</w:t>
      </w:r>
      <w:r w:rsidR="0037131E" w:rsidRPr="0037131E">
        <w:rPr>
          <w:rFonts w:ascii="Calibri" w:eastAsia="Times New Roman" w:hAnsi="Calibri" w:cs="Times New Roman"/>
          <w:bCs/>
          <w:sz w:val="20"/>
          <w:szCs w:val="20"/>
          <w:lang w:eastAsia="en-GB"/>
        </w:rPr>
        <w:t xml:space="preserve"> </w:t>
      </w:r>
    </w:p>
    <w:p w14:paraId="7724F534" w14:textId="3F037F87" w:rsidR="0037131E" w:rsidRPr="000035B1" w:rsidRDefault="00565091" w:rsidP="004A69B9">
      <w:pPr>
        <w:spacing w:after="0" w:line="240" w:lineRule="auto"/>
        <w:ind w:hanging="113"/>
        <w:outlineLvl w:val="2"/>
        <w:rPr>
          <w:rFonts w:ascii="Calibri" w:eastAsia="Times New Roman" w:hAnsi="Calibri" w:cs="Times New Roman"/>
          <w:bCs/>
          <w:sz w:val="20"/>
          <w:szCs w:val="20"/>
          <w:lang w:eastAsia="en-GB"/>
        </w:rPr>
      </w:pPr>
      <w:r>
        <w:rPr>
          <w:rFonts w:ascii="Calibri" w:eastAsia="Times New Roman" w:hAnsi="Calibri" w:cs="Times New Roman"/>
          <w:bCs/>
          <w:sz w:val="20"/>
          <w:szCs w:val="20"/>
          <w:vertAlign w:val="superscript"/>
          <w:lang w:eastAsia="en-GB"/>
        </w:rPr>
        <w:t>c</w:t>
      </w:r>
      <w:r w:rsidR="00BD0CE0">
        <w:rPr>
          <w:rFonts w:ascii="Calibri" w:eastAsia="Times New Roman" w:hAnsi="Calibri" w:cs="Times New Roman"/>
          <w:bCs/>
          <w:sz w:val="20"/>
          <w:szCs w:val="20"/>
          <w:lang w:eastAsia="en-GB"/>
        </w:rPr>
        <w:t xml:space="preserve"> </w:t>
      </w:r>
      <w:r w:rsidR="003F077F">
        <w:rPr>
          <w:rFonts w:ascii="Calibri" w:eastAsia="Times New Roman" w:hAnsi="Calibri" w:cs="Times New Roman"/>
          <w:bCs/>
          <w:sz w:val="20"/>
          <w:szCs w:val="20"/>
          <w:lang w:eastAsia="en-GB"/>
        </w:rPr>
        <w:t xml:space="preserve">At 30 days, the </w:t>
      </w:r>
      <w:r w:rsidR="008349A7">
        <w:rPr>
          <w:rFonts w:ascii="Calibri" w:eastAsia="Times New Roman" w:hAnsi="Calibri" w:cs="Times New Roman"/>
          <w:bCs/>
          <w:sz w:val="20"/>
          <w:szCs w:val="20"/>
          <w:lang w:eastAsia="en-GB"/>
        </w:rPr>
        <w:t>analysis population</w:t>
      </w:r>
      <w:r w:rsidR="003F077F" w:rsidRPr="000035B1">
        <w:rPr>
          <w:rFonts w:ascii="Calibri" w:eastAsia="Times New Roman" w:hAnsi="Calibri" w:cs="Times New Roman"/>
          <w:bCs/>
          <w:sz w:val="20"/>
          <w:szCs w:val="20"/>
          <w:lang w:eastAsia="en-GB"/>
        </w:rPr>
        <w:t xml:space="preserve"> include</w:t>
      </w:r>
      <w:r w:rsidR="00184718">
        <w:rPr>
          <w:rFonts w:ascii="Calibri" w:eastAsia="Times New Roman" w:hAnsi="Calibri" w:cs="Times New Roman"/>
          <w:bCs/>
          <w:sz w:val="20"/>
          <w:szCs w:val="20"/>
          <w:lang w:eastAsia="en-GB"/>
        </w:rPr>
        <w:t>d</w:t>
      </w:r>
      <w:r w:rsidR="003F077F" w:rsidRPr="000035B1">
        <w:rPr>
          <w:rFonts w:ascii="Calibri" w:eastAsia="Times New Roman" w:hAnsi="Calibri" w:cs="Times New Roman"/>
          <w:bCs/>
          <w:sz w:val="20"/>
          <w:szCs w:val="20"/>
          <w:lang w:eastAsia="en-GB"/>
        </w:rPr>
        <w:t xml:space="preserve"> all randomized participants who received an intervention, whether as randomly assigned or otherwise, in time for the 30-day post-intervention follow-up to be completed within one year from </w:t>
      </w:r>
      <w:r w:rsidR="00155162">
        <w:rPr>
          <w:rFonts w:ascii="Calibri" w:eastAsia="Times New Roman" w:hAnsi="Calibri" w:cs="Times New Roman"/>
          <w:bCs/>
          <w:sz w:val="20"/>
          <w:szCs w:val="20"/>
          <w:lang w:eastAsia="en-GB"/>
        </w:rPr>
        <w:t>randomization</w:t>
      </w:r>
      <w:r w:rsidR="003F077F" w:rsidRPr="000035B1">
        <w:rPr>
          <w:rFonts w:ascii="Calibri" w:eastAsia="Times New Roman" w:hAnsi="Calibri" w:cs="Times New Roman"/>
          <w:bCs/>
          <w:sz w:val="20"/>
          <w:szCs w:val="20"/>
          <w:lang w:eastAsia="en-GB"/>
        </w:rPr>
        <w:t>.</w:t>
      </w:r>
      <w:r w:rsidR="00184718" w:rsidRPr="00184718">
        <w:rPr>
          <w:rFonts w:ascii="Calibri" w:eastAsia="Times New Roman" w:hAnsi="Calibri" w:cs="Times New Roman"/>
          <w:bCs/>
          <w:sz w:val="20"/>
          <w:szCs w:val="20"/>
          <w:lang w:eastAsia="en-GB"/>
        </w:rPr>
        <w:t xml:space="preserve"> </w:t>
      </w:r>
      <w:r w:rsidR="00184718">
        <w:rPr>
          <w:rFonts w:ascii="Calibri" w:eastAsia="Times New Roman" w:hAnsi="Calibri" w:cs="Times New Roman"/>
          <w:bCs/>
          <w:sz w:val="20"/>
          <w:szCs w:val="20"/>
          <w:lang w:eastAsia="en-GB"/>
        </w:rPr>
        <w:t>In the TAVI group, 3 of the randomized participants were excluded, as they received no intervention.</w:t>
      </w:r>
      <w:r w:rsidR="003F077F" w:rsidRPr="000035B1">
        <w:rPr>
          <w:rFonts w:ascii="Calibri" w:eastAsia="Times New Roman" w:hAnsi="Calibri" w:cs="Times New Roman"/>
          <w:bCs/>
          <w:sz w:val="20"/>
          <w:szCs w:val="20"/>
          <w:lang w:eastAsia="en-GB"/>
        </w:rPr>
        <w:t xml:space="preserve"> </w:t>
      </w:r>
      <w:r w:rsidR="0037131E">
        <w:rPr>
          <w:rFonts w:ascii="Calibri" w:eastAsia="Times New Roman" w:hAnsi="Calibri" w:cs="Times New Roman"/>
          <w:bCs/>
          <w:sz w:val="20"/>
          <w:szCs w:val="20"/>
          <w:lang w:eastAsia="en-GB"/>
        </w:rPr>
        <w:t>In the surgery group, 24 of the randomized participants were excluded</w:t>
      </w:r>
      <w:r w:rsidR="00184718">
        <w:rPr>
          <w:rFonts w:ascii="Calibri" w:eastAsia="Times New Roman" w:hAnsi="Calibri" w:cs="Times New Roman"/>
          <w:bCs/>
          <w:sz w:val="20"/>
          <w:szCs w:val="20"/>
          <w:lang w:eastAsia="en-GB"/>
        </w:rPr>
        <w:t xml:space="preserve">, comprising </w:t>
      </w:r>
      <w:r w:rsidR="0037131E">
        <w:rPr>
          <w:rFonts w:ascii="Calibri" w:eastAsia="Times New Roman" w:hAnsi="Calibri" w:cs="Times New Roman"/>
          <w:bCs/>
          <w:sz w:val="20"/>
          <w:szCs w:val="20"/>
          <w:lang w:eastAsia="en-GB"/>
        </w:rPr>
        <w:t xml:space="preserve">19 </w:t>
      </w:r>
      <w:r w:rsidR="00184718">
        <w:rPr>
          <w:rFonts w:ascii="Calibri" w:eastAsia="Times New Roman" w:hAnsi="Calibri" w:cs="Times New Roman"/>
          <w:bCs/>
          <w:sz w:val="20"/>
          <w:szCs w:val="20"/>
          <w:lang w:eastAsia="en-GB"/>
        </w:rPr>
        <w:t xml:space="preserve">who </w:t>
      </w:r>
      <w:r w:rsidR="0037131E">
        <w:rPr>
          <w:rFonts w:ascii="Calibri" w:eastAsia="Times New Roman" w:hAnsi="Calibri" w:cs="Times New Roman"/>
          <w:bCs/>
          <w:sz w:val="20"/>
          <w:szCs w:val="20"/>
          <w:lang w:eastAsia="en-GB"/>
        </w:rPr>
        <w:t xml:space="preserve">received no intervention, 3 </w:t>
      </w:r>
      <w:r w:rsidR="00184718">
        <w:rPr>
          <w:rFonts w:ascii="Calibri" w:eastAsia="Times New Roman" w:hAnsi="Calibri" w:cs="Times New Roman"/>
          <w:bCs/>
          <w:sz w:val="20"/>
          <w:szCs w:val="20"/>
          <w:lang w:eastAsia="en-GB"/>
        </w:rPr>
        <w:t xml:space="preserve">who </w:t>
      </w:r>
      <w:r w:rsidR="0037131E">
        <w:rPr>
          <w:rFonts w:ascii="Calibri" w:eastAsia="Times New Roman" w:hAnsi="Calibri" w:cs="Times New Roman"/>
          <w:bCs/>
          <w:sz w:val="20"/>
          <w:szCs w:val="20"/>
          <w:lang w:eastAsia="en-GB"/>
        </w:rPr>
        <w:t>received their intervention more than one year after randomization</w:t>
      </w:r>
      <w:r w:rsidR="00184718">
        <w:rPr>
          <w:rFonts w:ascii="Calibri" w:eastAsia="Times New Roman" w:hAnsi="Calibri" w:cs="Times New Roman"/>
          <w:bCs/>
          <w:sz w:val="20"/>
          <w:szCs w:val="20"/>
          <w:lang w:eastAsia="en-GB"/>
        </w:rPr>
        <w:t xml:space="preserve"> (one of these </w:t>
      </w:r>
      <w:r w:rsidR="003242C2">
        <w:rPr>
          <w:rFonts w:ascii="Calibri" w:eastAsia="Times New Roman" w:hAnsi="Calibri" w:cs="Times New Roman"/>
          <w:bCs/>
          <w:sz w:val="20"/>
          <w:szCs w:val="20"/>
          <w:lang w:eastAsia="en-GB"/>
        </w:rPr>
        <w:t>participants received</w:t>
      </w:r>
      <w:r w:rsidR="00184718">
        <w:rPr>
          <w:rFonts w:ascii="Calibri" w:eastAsia="Times New Roman" w:hAnsi="Calibri" w:cs="Times New Roman"/>
          <w:bCs/>
          <w:sz w:val="20"/>
          <w:szCs w:val="20"/>
          <w:lang w:eastAsia="en-GB"/>
        </w:rPr>
        <w:t xml:space="preserve"> TAVI and is thus shown as a crossover in the CONSORT diagram)</w:t>
      </w:r>
      <w:r w:rsidR="0037131E">
        <w:rPr>
          <w:rFonts w:ascii="Calibri" w:eastAsia="Times New Roman" w:hAnsi="Calibri" w:cs="Times New Roman"/>
          <w:bCs/>
          <w:sz w:val="20"/>
          <w:szCs w:val="20"/>
          <w:lang w:eastAsia="en-GB"/>
        </w:rPr>
        <w:t>,</w:t>
      </w:r>
      <w:r w:rsidR="00184718">
        <w:rPr>
          <w:rFonts w:ascii="Calibri" w:eastAsia="Times New Roman" w:hAnsi="Calibri" w:cs="Times New Roman"/>
          <w:bCs/>
          <w:sz w:val="20"/>
          <w:szCs w:val="20"/>
          <w:lang w:eastAsia="en-GB"/>
        </w:rPr>
        <w:t xml:space="preserve"> and</w:t>
      </w:r>
      <w:r w:rsidR="0037131E">
        <w:rPr>
          <w:rFonts w:ascii="Calibri" w:eastAsia="Times New Roman" w:hAnsi="Calibri" w:cs="Times New Roman"/>
          <w:bCs/>
          <w:sz w:val="20"/>
          <w:szCs w:val="20"/>
          <w:lang w:eastAsia="en-GB"/>
        </w:rPr>
        <w:t xml:space="preserve"> </w:t>
      </w:r>
      <w:r w:rsidR="008A74A8">
        <w:rPr>
          <w:rFonts w:ascii="Calibri" w:eastAsia="Times New Roman" w:hAnsi="Calibri" w:cs="Times New Roman"/>
          <w:bCs/>
          <w:sz w:val="20"/>
          <w:szCs w:val="20"/>
          <w:lang w:eastAsia="en-GB"/>
        </w:rPr>
        <w:t>1</w:t>
      </w:r>
      <w:r w:rsidR="0037131E">
        <w:rPr>
          <w:rFonts w:ascii="Calibri" w:eastAsia="Times New Roman" w:hAnsi="Calibri" w:cs="Times New Roman"/>
          <w:bCs/>
          <w:sz w:val="20"/>
          <w:szCs w:val="20"/>
          <w:lang w:eastAsia="en-GB"/>
        </w:rPr>
        <w:t xml:space="preserve"> </w:t>
      </w:r>
      <w:r w:rsidR="00184718">
        <w:rPr>
          <w:rFonts w:ascii="Calibri" w:eastAsia="Times New Roman" w:hAnsi="Calibri" w:cs="Times New Roman"/>
          <w:bCs/>
          <w:sz w:val="20"/>
          <w:szCs w:val="20"/>
          <w:lang w:eastAsia="en-GB"/>
        </w:rPr>
        <w:t xml:space="preserve">who </w:t>
      </w:r>
      <w:r w:rsidR="003F077F" w:rsidRPr="00C972FC">
        <w:rPr>
          <w:rFonts w:ascii="Calibri" w:eastAsia="Times New Roman" w:hAnsi="Calibri" w:cs="Times New Roman"/>
          <w:bCs/>
          <w:sz w:val="20"/>
          <w:szCs w:val="20"/>
          <w:lang w:eastAsia="en-GB"/>
        </w:rPr>
        <w:t>crossed over and received TAVI</w:t>
      </w:r>
      <w:r>
        <w:rPr>
          <w:rFonts w:ascii="Calibri" w:eastAsia="Times New Roman" w:hAnsi="Calibri" w:cs="Times New Roman"/>
          <w:bCs/>
          <w:sz w:val="20"/>
          <w:szCs w:val="20"/>
          <w:lang w:eastAsia="en-GB"/>
        </w:rPr>
        <w:t>,</w:t>
      </w:r>
      <w:r w:rsidR="003F077F" w:rsidRPr="00C972FC">
        <w:rPr>
          <w:rFonts w:ascii="Calibri" w:eastAsia="Times New Roman" w:hAnsi="Calibri" w:cs="Times New Roman"/>
          <w:bCs/>
          <w:sz w:val="20"/>
          <w:szCs w:val="20"/>
          <w:lang w:eastAsia="en-GB"/>
        </w:rPr>
        <w:t xml:space="preserve"> </w:t>
      </w:r>
      <w:r w:rsidR="00184718">
        <w:rPr>
          <w:rFonts w:ascii="Calibri" w:eastAsia="Times New Roman" w:hAnsi="Calibri" w:cs="Times New Roman"/>
          <w:bCs/>
          <w:sz w:val="20"/>
          <w:szCs w:val="20"/>
          <w:lang w:eastAsia="en-GB"/>
        </w:rPr>
        <w:t xml:space="preserve">for whom </w:t>
      </w:r>
      <w:r w:rsidR="003F077F" w:rsidRPr="00C972FC">
        <w:rPr>
          <w:rFonts w:ascii="Calibri" w:eastAsia="Times New Roman" w:hAnsi="Calibri" w:cs="Times New Roman"/>
          <w:bCs/>
          <w:sz w:val="20"/>
          <w:szCs w:val="20"/>
          <w:lang w:eastAsia="en-GB"/>
        </w:rPr>
        <w:t>the procedure date was not known.</w:t>
      </w:r>
      <w:r w:rsidR="007631AA">
        <w:rPr>
          <w:rFonts w:ascii="Calibri" w:eastAsia="Times New Roman" w:hAnsi="Calibri" w:cs="Times New Roman"/>
          <w:bCs/>
          <w:sz w:val="20"/>
          <w:szCs w:val="20"/>
          <w:lang w:eastAsia="en-GB"/>
        </w:rPr>
        <w:t xml:space="preserve"> </w:t>
      </w:r>
    </w:p>
    <w:p w14:paraId="2C271AA5" w14:textId="76E66BE7" w:rsidR="003F077F" w:rsidRPr="000035B1" w:rsidRDefault="00565091" w:rsidP="003F077F">
      <w:pPr>
        <w:spacing w:after="0" w:line="240" w:lineRule="auto"/>
        <w:ind w:right="-284" w:hanging="113"/>
        <w:outlineLvl w:val="2"/>
        <w:rPr>
          <w:rFonts w:ascii="Calibri" w:eastAsia="Times New Roman" w:hAnsi="Calibri" w:cs="Times New Roman"/>
          <w:bCs/>
          <w:sz w:val="20"/>
          <w:szCs w:val="20"/>
          <w:lang w:eastAsia="en-GB"/>
        </w:rPr>
      </w:pPr>
      <w:r>
        <w:rPr>
          <w:rFonts w:ascii="Calibri" w:eastAsia="Times New Roman" w:hAnsi="Calibri" w:cs="Times New Roman"/>
          <w:bCs/>
          <w:sz w:val="20"/>
          <w:szCs w:val="20"/>
          <w:vertAlign w:val="superscript"/>
          <w:lang w:eastAsia="en-GB"/>
        </w:rPr>
        <w:t>d</w:t>
      </w:r>
      <w:r w:rsidR="003F077F" w:rsidRPr="000035B1">
        <w:rPr>
          <w:rFonts w:ascii="Calibri" w:eastAsia="Times New Roman" w:hAnsi="Calibri" w:cs="Times New Roman"/>
          <w:bCs/>
          <w:sz w:val="20"/>
          <w:szCs w:val="20"/>
          <w:vertAlign w:val="superscript"/>
          <w:lang w:eastAsia="en-GB"/>
        </w:rPr>
        <w:t xml:space="preserve"> </w:t>
      </w:r>
      <w:r w:rsidR="003F077F" w:rsidRPr="000035B1">
        <w:rPr>
          <w:rFonts w:ascii="Calibri" w:eastAsia="Times New Roman" w:hAnsi="Calibri" w:cs="Times New Roman"/>
          <w:bCs/>
          <w:sz w:val="20"/>
          <w:szCs w:val="20"/>
          <w:lang w:eastAsia="en-GB"/>
        </w:rPr>
        <w:t xml:space="preserve">Adjusted for randomization </w:t>
      </w:r>
      <w:r w:rsidR="003F077F">
        <w:rPr>
          <w:rFonts w:ascii="Calibri" w:eastAsia="Times New Roman" w:hAnsi="Calibri" w:cs="Times New Roman"/>
          <w:bCs/>
          <w:sz w:val="20"/>
          <w:szCs w:val="20"/>
          <w:lang w:eastAsia="en-GB"/>
        </w:rPr>
        <w:t>minimization</w:t>
      </w:r>
      <w:r w:rsidR="003F077F" w:rsidRPr="000035B1">
        <w:rPr>
          <w:rFonts w:ascii="Calibri" w:eastAsia="Times New Roman" w:hAnsi="Calibri" w:cs="Times New Roman"/>
          <w:bCs/>
          <w:sz w:val="20"/>
          <w:szCs w:val="20"/>
          <w:lang w:eastAsia="en-GB"/>
        </w:rPr>
        <w:t xml:space="preserve"> factors (age as a continuous variable</w:t>
      </w:r>
      <w:r w:rsidR="003F077F">
        <w:rPr>
          <w:rFonts w:ascii="Calibri" w:eastAsia="Times New Roman" w:hAnsi="Calibri" w:cs="Times New Roman"/>
          <w:bCs/>
          <w:sz w:val="20"/>
          <w:szCs w:val="20"/>
          <w:lang w:eastAsia="en-GB"/>
        </w:rPr>
        <w:t>,</w:t>
      </w:r>
      <w:r w:rsidR="003F077F" w:rsidRPr="000035B1">
        <w:rPr>
          <w:rFonts w:ascii="Calibri" w:eastAsia="Times New Roman" w:hAnsi="Calibri" w:cs="Times New Roman"/>
          <w:bCs/>
          <w:sz w:val="20"/>
          <w:szCs w:val="20"/>
          <w:lang w:eastAsia="en-GB"/>
        </w:rPr>
        <w:t xml:space="preserve"> presence of coronary artery disease which was co</w:t>
      </w:r>
      <w:r w:rsidR="00296B0C">
        <w:rPr>
          <w:rFonts w:ascii="Calibri" w:eastAsia="Times New Roman" w:hAnsi="Calibri" w:cs="Times New Roman"/>
          <w:bCs/>
          <w:sz w:val="20"/>
          <w:szCs w:val="20"/>
          <w:lang w:eastAsia="en-GB"/>
        </w:rPr>
        <w:t>nsidered to require revasculariz</w:t>
      </w:r>
      <w:r w:rsidR="003F077F" w:rsidRPr="000035B1">
        <w:rPr>
          <w:rFonts w:ascii="Calibri" w:eastAsia="Times New Roman" w:hAnsi="Calibri" w:cs="Times New Roman"/>
          <w:bCs/>
          <w:sz w:val="20"/>
          <w:szCs w:val="20"/>
          <w:lang w:eastAsia="en-GB"/>
        </w:rPr>
        <w:t>ation if the patient was assigned to receive surgery</w:t>
      </w:r>
      <w:r w:rsidR="003F077F">
        <w:rPr>
          <w:rFonts w:ascii="Calibri" w:eastAsia="Times New Roman" w:hAnsi="Calibri" w:cs="Times New Roman"/>
          <w:bCs/>
          <w:sz w:val="20"/>
          <w:szCs w:val="20"/>
          <w:lang w:eastAsia="en-GB"/>
        </w:rPr>
        <w:t>,</w:t>
      </w:r>
      <w:r w:rsidR="003F077F" w:rsidRPr="000035B1">
        <w:rPr>
          <w:rFonts w:ascii="Calibri" w:eastAsia="Times New Roman" w:hAnsi="Calibri" w:cs="Times New Roman"/>
          <w:bCs/>
          <w:sz w:val="20"/>
          <w:szCs w:val="20"/>
          <w:lang w:eastAsia="en-GB"/>
        </w:rPr>
        <w:t xml:space="preserve"> and clustering within </w:t>
      </w:r>
      <w:r w:rsidR="003F077F">
        <w:rPr>
          <w:rFonts w:ascii="Calibri" w:eastAsia="Times New Roman" w:hAnsi="Calibri" w:cs="Times New Roman"/>
          <w:bCs/>
          <w:sz w:val="20"/>
          <w:szCs w:val="20"/>
          <w:lang w:eastAsia="en-GB"/>
        </w:rPr>
        <w:t>sites using robust standard errors</w:t>
      </w:r>
      <w:r w:rsidR="003F077F" w:rsidRPr="000035B1">
        <w:rPr>
          <w:rFonts w:ascii="Calibri" w:eastAsia="Times New Roman" w:hAnsi="Calibri" w:cs="Times New Roman"/>
          <w:bCs/>
          <w:sz w:val="20"/>
          <w:szCs w:val="20"/>
          <w:lang w:eastAsia="en-GB"/>
        </w:rPr>
        <w:t xml:space="preserve">). </w:t>
      </w:r>
      <w:r w:rsidR="006B1983" w:rsidRPr="006B1983">
        <w:rPr>
          <w:rFonts w:ascii="Calibri" w:eastAsia="Times New Roman" w:hAnsi="Calibri" w:cs="Times New Roman"/>
          <w:bCs/>
          <w:sz w:val="20"/>
          <w:szCs w:val="20"/>
          <w:lang w:eastAsia="en-GB"/>
        </w:rPr>
        <w:t xml:space="preserve">Risk differences and delta-method </w:t>
      </w:r>
      <w:r w:rsidR="00155162">
        <w:rPr>
          <w:rFonts w:ascii="Calibri" w:eastAsia="Times New Roman" w:hAnsi="Calibri" w:cs="Times New Roman"/>
          <w:bCs/>
          <w:sz w:val="20"/>
          <w:szCs w:val="20"/>
          <w:lang w:eastAsia="en-GB"/>
        </w:rPr>
        <w:t xml:space="preserve">estimated </w:t>
      </w:r>
      <w:r w:rsidR="006B1983" w:rsidRPr="006B1983">
        <w:rPr>
          <w:rFonts w:ascii="Calibri" w:eastAsia="Times New Roman" w:hAnsi="Calibri" w:cs="Times New Roman"/>
          <w:bCs/>
          <w:sz w:val="20"/>
          <w:szCs w:val="20"/>
          <w:lang w:eastAsia="en-GB"/>
        </w:rPr>
        <w:t>standard errors were obtained from logistic regression models</w:t>
      </w:r>
      <w:r w:rsidR="003F077F">
        <w:rPr>
          <w:rFonts w:ascii="Calibri" w:eastAsia="Times New Roman" w:hAnsi="Calibri" w:cs="Times New Roman"/>
          <w:bCs/>
          <w:sz w:val="20"/>
          <w:szCs w:val="20"/>
          <w:lang w:eastAsia="en-GB"/>
        </w:rPr>
        <w:t>.</w:t>
      </w:r>
      <w:r w:rsidR="00C06348">
        <w:rPr>
          <w:rFonts w:ascii="Calibri" w:eastAsia="Times New Roman" w:hAnsi="Calibri" w:cs="Times New Roman"/>
          <w:bCs/>
          <w:sz w:val="20"/>
          <w:szCs w:val="20"/>
          <w:lang w:eastAsia="en-GB"/>
        </w:rPr>
        <w:t xml:space="preserve"> </w:t>
      </w:r>
    </w:p>
    <w:p w14:paraId="7335EF60" w14:textId="59D4BEC5" w:rsidR="00DA7897" w:rsidRPr="002B4B1E" w:rsidRDefault="00565091" w:rsidP="003F077F">
      <w:pPr>
        <w:spacing w:after="0" w:line="240" w:lineRule="auto"/>
        <w:ind w:hanging="113"/>
        <w:outlineLvl w:val="2"/>
        <w:rPr>
          <w:rFonts w:ascii="Calibri" w:eastAsia="Times New Roman" w:hAnsi="Calibri" w:cs="Times New Roman"/>
          <w:bCs/>
          <w:sz w:val="20"/>
          <w:szCs w:val="20"/>
          <w:lang w:eastAsia="en-GB"/>
        </w:rPr>
      </w:pPr>
      <w:r>
        <w:rPr>
          <w:rFonts w:ascii="Calibri" w:eastAsia="Times New Roman" w:hAnsi="Calibri" w:cs="Times New Roman"/>
          <w:bCs/>
          <w:sz w:val="20"/>
          <w:szCs w:val="20"/>
          <w:vertAlign w:val="superscript"/>
          <w:lang w:eastAsia="en-GB"/>
        </w:rPr>
        <w:t>e</w:t>
      </w:r>
      <w:r w:rsidRPr="002B4B1E">
        <w:rPr>
          <w:rFonts w:ascii="Calibri" w:eastAsia="Times New Roman" w:hAnsi="Calibri" w:cs="Times New Roman"/>
          <w:bCs/>
          <w:sz w:val="20"/>
          <w:szCs w:val="20"/>
          <w:lang w:eastAsia="en-GB"/>
        </w:rPr>
        <w:t xml:space="preserve"> </w:t>
      </w:r>
      <w:r w:rsidR="00DA7897">
        <w:rPr>
          <w:rFonts w:ascii="Calibri" w:eastAsia="Times New Roman" w:hAnsi="Calibri" w:cs="Times New Roman"/>
          <w:bCs/>
          <w:sz w:val="20"/>
          <w:szCs w:val="20"/>
          <w:lang w:eastAsia="en-GB"/>
        </w:rPr>
        <w:t xml:space="preserve">A visual analysis of log-log </w:t>
      </w:r>
      <w:r w:rsidR="003569CB">
        <w:rPr>
          <w:rFonts w:ascii="Calibri" w:eastAsia="Times New Roman" w:hAnsi="Calibri" w:cs="Times New Roman"/>
          <w:bCs/>
          <w:sz w:val="20"/>
          <w:szCs w:val="20"/>
          <w:lang w:eastAsia="en-GB"/>
        </w:rPr>
        <w:t xml:space="preserve">survival </w:t>
      </w:r>
      <w:r w:rsidR="00DA7897">
        <w:rPr>
          <w:rFonts w:ascii="Calibri" w:eastAsia="Times New Roman" w:hAnsi="Calibri" w:cs="Times New Roman"/>
          <w:bCs/>
          <w:sz w:val="20"/>
          <w:szCs w:val="20"/>
          <w:lang w:eastAsia="en-GB"/>
        </w:rPr>
        <w:t xml:space="preserve">plots and Schoenfeld residuals </w:t>
      </w:r>
      <w:r w:rsidR="002F1379">
        <w:rPr>
          <w:rFonts w:ascii="Calibri" w:eastAsia="Times New Roman" w:hAnsi="Calibri" w:cs="Times New Roman"/>
          <w:bCs/>
          <w:sz w:val="20"/>
          <w:szCs w:val="20"/>
          <w:lang w:eastAsia="en-GB"/>
        </w:rPr>
        <w:t>was consistent with</w:t>
      </w:r>
      <w:r w:rsidR="00DA7897">
        <w:rPr>
          <w:rFonts w:ascii="Calibri" w:eastAsia="Times New Roman" w:hAnsi="Calibri" w:cs="Times New Roman"/>
          <w:bCs/>
          <w:sz w:val="20"/>
          <w:szCs w:val="20"/>
          <w:lang w:eastAsia="en-GB"/>
        </w:rPr>
        <w:t xml:space="preserve"> the assumption of proportional hazard</w:t>
      </w:r>
      <w:r w:rsidR="003569CB">
        <w:rPr>
          <w:rFonts w:ascii="Calibri" w:eastAsia="Times New Roman" w:hAnsi="Calibri" w:cs="Times New Roman"/>
          <w:bCs/>
          <w:sz w:val="20"/>
          <w:szCs w:val="20"/>
          <w:lang w:eastAsia="en-GB"/>
        </w:rPr>
        <w:t>s</w:t>
      </w:r>
      <w:r w:rsidR="00DA7897">
        <w:rPr>
          <w:rFonts w:ascii="Calibri" w:eastAsia="Times New Roman" w:hAnsi="Calibri" w:cs="Times New Roman"/>
          <w:bCs/>
          <w:sz w:val="20"/>
          <w:szCs w:val="20"/>
          <w:lang w:eastAsia="en-GB"/>
        </w:rPr>
        <w:t xml:space="preserve">. </w:t>
      </w:r>
    </w:p>
    <w:p w14:paraId="197E11AD" w14:textId="065020B1" w:rsidR="003F077F" w:rsidRDefault="00565091" w:rsidP="003F077F">
      <w:pPr>
        <w:spacing w:after="0" w:line="240" w:lineRule="auto"/>
        <w:ind w:hanging="113"/>
        <w:outlineLvl w:val="2"/>
        <w:rPr>
          <w:rFonts w:ascii="Calibri" w:eastAsia="Calibri" w:hAnsi="Calibri" w:cs="Times New Roman"/>
          <w:sz w:val="20"/>
          <w:szCs w:val="20"/>
        </w:rPr>
      </w:pPr>
      <w:r>
        <w:rPr>
          <w:rFonts w:ascii="Calibri" w:eastAsia="Times New Roman" w:hAnsi="Calibri" w:cs="Times New Roman"/>
          <w:bCs/>
          <w:sz w:val="20"/>
          <w:szCs w:val="20"/>
          <w:vertAlign w:val="superscript"/>
          <w:lang w:eastAsia="en-GB"/>
        </w:rPr>
        <w:t>f</w:t>
      </w:r>
      <w:r w:rsidR="003F077F" w:rsidRPr="000035B1">
        <w:rPr>
          <w:rFonts w:ascii="Calibri" w:eastAsia="Calibri" w:hAnsi="Calibri" w:cs="Times New Roman"/>
          <w:sz w:val="20"/>
          <w:szCs w:val="20"/>
          <w:vertAlign w:val="superscript"/>
        </w:rPr>
        <w:t xml:space="preserve"> </w:t>
      </w:r>
      <w:r w:rsidR="003F077F" w:rsidRPr="000035B1">
        <w:rPr>
          <w:rFonts w:ascii="Calibri" w:eastAsia="Calibri" w:hAnsi="Calibri" w:cs="Times New Roman"/>
          <w:sz w:val="20"/>
          <w:szCs w:val="20"/>
        </w:rPr>
        <w:t>’Re-intervention - other’ excludes permanent pacemaker implantation for conduction disturbance, which is reported separately, but includes pacemaker implantation for other indications.</w:t>
      </w:r>
    </w:p>
    <w:p w14:paraId="5720D06B" w14:textId="09766400" w:rsidR="00BD0CE0" w:rsidRDefault="00565091" w:rsidP="00BD0CE0">
      <w:pPr>
        <w:spacing w:after="0" w:line="240" w:lineRule="auto"/>
        <w:ind w:hanging="113"/>
        <w:outlineLvl w:val="2"/>
        <w:rPr>
          <w:rFonts w:ascii="Calibri" w:eastAsia="Times New Roman" w:hAnsi="Calibri" w:cs="Times New Roman"/>
          <w:bCs/>
          <w:sz w:val="20"/>
          <w:szCs w:val="20"/>
          <w:lang w:eastAsia="en-GB"/>
        </w:rPr>
      </w:pPr>
      <w:r>
        <w:rPr>
          <w:rFonts w:ascii="Calibri" w:eastAsia="Times New Roman" w:hAnsi="Calibri" w:cs="Times New Roman"/>
          <w:bCs/>
          <w:sz w:val="20"/>
          <w:szCs w:val="20"/>
          <w:vertAlign w:val="superscript"/>
          <w:lang w:eastAsia="en-GB"/>
        </w:rPr>
        <w:t>g</w:t>
      </w:r>
      <w:r w:rsidR="00BD0CE0">
        <w:rPr>
          <w:rFonts w:ascii="Calibri" w:eastAsia="Times New Roman" w:hAnsi="Calibri" w:cs="Times New Roman"/>
          <w:bCs/>
          <w:sz w:val="20"/>
          <w:szCs w:val="20"/>
          <w:vertAlign w:val="superscript"/>
          <w:lang w:eastAsia="en-GB"/>
        </w:rPr>
        <w:t xml:space="preserve"> </w:t>
      </w:r>
      <w:r w:rsidR="00BD0CE0" w:rsidRPr="000035B1">
        <w:rPr>
          <w:rFonts w:ascii="Calibri" w:eastAsia="Times New Roman" w:hAnsi="Calibri" w:cs="Times New Roman"/>
          <w:bCs/>
          <w:sz w:val="20"/>
          <w:szCs w:val="20"/>
          <w:lang w:eastAsia="en-GB"/>
        </w:rPr>
        <w:t>For outcomes with no events in o</w:t>
      </w:r>
      <w:r w:rsidR="00BD0CE0">
        <w:rPr>
          <w:rFonts w:ascii="Calibri" w:eastAsia="Times New Roman" w:hAnsi="Calibri" w:cs="Times New Roman"/>
          <w:bCs/>
          <w:sz w:val="20"/>
          <w:szCs w:val="20"/>
          <w:lang w:eastAsia="en-GB"/>
        </w:rPr>
        <w:t xml:space="preserve">ne of the groups, </w:t>
      </w:r>
      <w:r w:rsidR="00BD0CE0" w:rsidRPr="00C972FC">
        <w:rPr>
          <w:rFonts w:ascii="Calibri" w:eastAsia="Times New Roman" w:hAnsi="Calibri" w:cs="Times New Roman"/>
          <w:bCs/>
          <w:sz w:val="20"/>
          <w:szCs w:val="20"/>
          <w:lang w:eastAsia="en-GB"/>
        </w:rPr>
        <w:t>the risk difference and hazard ratio could not be calculated.</w:t>
      </w:r>
    </w:p>
    <w:p w14:paraId="23AFB318" w14:textId="77777777" w:rsidR="00BD0CE0" w:rsidRPr="000B7BED" w:rsidRDefault="00BD0CE0" w:rsidP="003F077F">
      <w:pPr>
        <w:spacing w:after="0" w:line="240" w:lineRule="auto"/>
        <w:ind w:hanging="113"/>
        <w:outlineLvl w:val="2"/>
        <w:rPr>
          <w:rFonts w:ascii="Calibri" w:eastAsia="Times New Roman" w:hAnsi="Calibri" w:cs="Times New Roman"/>
          <w:bCs/>
          <w:sz w:val="20"/>
          <w:szCs w:val="20"/>
          <w:lang w:eastAsia="en-GB"/>
        </w:rPr>
      </w:pPr>
    </w:p>
    <w:p w14:paraId="1478CBD4" w14:textId="5324C143" w:rsidR="003F077F" w:rsidRDefault="003F077F">
      <w:pPr>
        <w:rPr>
          <w:rFonts w:asciiTheme="majorHAnsi" w:eastAsiaTheme="majorEastAsia" w:hAnsiTheme="majorHAnsi" w:cstheme="majorBidi"/>
          <w:b/>
          <w:bCs/>
          <w:color w:val="4F81BD" w:themeColor="accent1"/>
          <w:sz w:val="26"/>
          <w:szCs w:val="26"/>
        </w:rPr>
      </w:pPr>
    </w:p>
    <w:p w14:paraId="79303D68" w14:textId="77777777" w:rsidR="00C33BEB" w:rsidRPr="00136863" w:rsidRDefault="00C33BEB" w:rsidP="00C33BEB">
      <w:pPr>
        <w:pStyle w:val="Heading2"/>
      </w:pPr>
    </w:p>
    <w:p w14:paraId="58E75FE8" w14:textId="49957EF5" w:rsidR="00EC2788" w:rsidRDefault="00EC2788">
      <w:pPr>
        <w:pStyle w:val="Heading3"/>
        <w:spacing w:before="0" w:after="0" w:afterAutospacing="0" w:line="240" w:lineRule="auto"/>
        <w:ind w:hanging="113"/>
        <w:rPr>
          <w:sz w:val="20"/>
          <w:szCs w:val="20"/>
        </w:rPr>
      </w:pPr>
    </w:p>
    <w:p w14:paraId="3F571EAF" w14:textId="77777777" w:rsidR="00D83C3E" w:rsidRDefault="00D83C3E" w:rsidP="00D83C3E">
      <w:pPr>
        <w:pStyle w:val="Heading2"/>
      </w:pPr>
    </w:p>
    <w:p w14:paraId="7DE41FCD" w14:textId="2AA502EE" w:rsidR="00D8238F" w:rsidRPr="00D4590F" w:rsidRDefault="00D8238F" w:rsidP="00893959">
      <w:pPr>
        <w:pStyle w:val="Heading3"/>
        <w:spacing w:before="0" w:after="0" w:afterAutospacing="0" w:line="240" w:lineRule="auto"/>
        <w:ind w:right="-284" w:hanging="113"/>
        <w:rPr>
          <w:rFonts w:asciiTheme="minorHAnsi" w:hAnsiTheme="minorHAnsi"/>
          <w:b w:val="0"/>
          <w:sz w:val="20"/>
          <w:szCs w:val="20"/>
        </w:rPr>
        <w:sectPr w:rsidR="00D8238F" w:rsidRPr="00D4590F" w:rsidSect="002B4B1E">
          <w:footerReference w:type="default" r:id="rId17"/>
          <w:pgSz w:w="16838" w:h="11906" w:orient="landscape" w:code="9"/>
          <w:pgMar w:top="426" w:right="1440" w:bottom="-284" w:left="1440" w:header="709" w:footer="709" w:gutter="0"/>
          <w:cols w:space="708"/>
          <w:docGrid w:linePitch="360"/>
        </w:sectPr>
      </w:pPr>
    </w:p>
    <w:p w14:paraId="33A500FF" w14:textId="4799D564" w:rsidR="006F7BEF" w:rsidRPr="00D4590F" w:rsidRDefault="006F7BEF" w:rsidP="00893959">
      <w:pPr>
        <w:pStyle w:val="Heading1"/>
        <w:spacing w:before="0"/>
        <w:jc w:val="center"/>
      </w:pPr>
      <w:r w:rsidRPr="00D4590F">
        <w:t>FIGURES</w:t>
      </w:r>
    </w:p>
    <w:p w14:paraId="5C24047C" w14:textId="337FB305" w:rsidR="00BA558A" w:rsidRDefault="00BA558A" w:rsidP="00893959">
      <w:pPr>
        <w:pStyle w:val="Heading2"/>
        <w:spacing w:before="0"/>
      </w:pPr>
      <w:bookmarkStart w:id="0" w:name="_Toc88672648"/>
    </w:p>
    <w:p w14:paraId="6CCCFEAF" w14:textId="7C42951B" w:rsidR="006F7BEF" w:rsidRDefault="006F7BEF" w:rsidP="002B4B1E">
      <w:pPr>
        <w:pStyle w:val="Heading2"/>
        <w:spacing w:before="0"/>
        <w:ind w:left="1106" w:hanging="1106"/>
      </w:pPr>
      <w:r>
        <w:t xml:space="preserve">Figure </w:t>
      </w:r>
      <w:r w:rsidRPr="00A33B51">
        <w:t>1</w:t>
      </w:r>
      <w:bookmarkEnd w:id="0"/>
      <w:r w:rsidR="00BA558A">
        <w:t>. Patient Selection, Allocation, and Flow in a Trial of Transcatheter Aortic Valve Implantation for Aortic Stenosis</w:t>
      </w:r>
    </w:p>
    <w:p w14:paraId="1ECD14B0" w14:textId="6A5B35C2" w:rsidR="00BA558A" w:rsidRPr="00894152" w:rsidRDefault="009F0C45" w:rsidP="00BA558A">
      <w:pPr>
        <w:pStyle w:val="Heading3"/>
        <w:rPr>
          <w:bCs w:val="0"/>
          <w:sz w:val="22"/>
          <w:szCs w:val="22"/>
          <w:vertAlign w:val="superscript"/>
        </w:rPr>
      </w:pPr>
      <w:r>
        <w:rPr>
          <w:vertAlign w:val="superscript"/>
        </w:rPr>
        <w:t>F</w:t>
      </w:r>
      <w:r w:rsidR="00BA558A">
        <w:rPr>
          <w:vertAlign w:val="superscript"/>
        </w:rPr>
        <w:t>OOTNOTES TO FIGURE 1:</w:t>
      </w:r>
    </w:p>
    <w:p w14:paraId="3C9F65F3" w14:textId="19953FA2" w:rsidR="006F7BEF" w:rsidRPr="00A33B51" w:rsidRDefault="00125CBD" w:rsidP="002B4B1E">
      <w:pPr>
        <w:spacing w:after="0" w:line="240" w:lineRule="auto"/>
        <w:ind w:left="113" w:right="-567" w:hanging="113"/>
        <w:rPr>
          <w:sz w:val="20"/>
          <w:szCs w:val="20"/>
        </w:rPr>
      </w:pPr>
      <w:r w:rsidRPr="00893959">
        <w:rPr>
          <w:sz w:val="20"/>
          <w:szCs w:val="20"/>
          <w:vertAlign w:val="superscript"/>
        </w:rPr>
        <w:t>a</w:t>
      </w:r>
      <w:r>
        <w:rPr>
          <w:sz w:val="20"/>
          <w:szCs w:val="20"/>
          <w:vertAlign w:val="superscript"/>
        </w:rPr>
        <w:t xml:space="preserve"> </w:t>
      </w:r>
      <w:r w:rsidR="006F7BEF" w:rsidRPr="00A377DB">
        <w:rPr>
          <w:sz w:val="20"/>
          <w:szCs w:val="20"/>
        </w:rPr>
        <w:t xml:space="preserve">Participating sites maintained monthly screening logs of all patients recommended for consideration of enrolment by the </w:t>
      </w:r>
      <w:r w:rsidR="009E61FB" w:rsidRPr="002B4B1E">
        <w:rPr>
          <w:sz w:val="20"/>
          <w:szCs w:val="20"/>
        </w:rPr>
        <w:t>multi</w:t>
      </w:r>
      <w:r w:rsidR="00FB691B" w:rsidRPr="002B4B1E">
        <w:rPr>
          <w:sz w:val="20"/>
          <w:szCs w:val="20"/>
        </w:rPr>
        <w:t>disciplinary team</w:t>
      </w:r>
      <w:r w:rsidR="006F7BEF" w:rsidRPr="00A377DB">
        <w:rPr>
          <w:sz w:val="20"/>
          <w:szCs w:val="20"/>
        </w:rPr>
        <w:t xml:space="preserve">. Some logs were missing, with an estimated overall shortfall of 22% (based on the number of patients </w:t>
      </w:r>
      <w:r w:rsidR="00A377DB" w:rsidRPr="00A377DB">
        <w:rPr>
          <w:sz w:val="20"/>
          <w:szCs w:val="20"/>
        </w:rPr>
        <w:t>randomized</w:t>
      </w:r>
      <w:r w:rsidR="006F7BEF" w:rsidRPr="00A377DB">
        <w:rPr>
          <w:sz w:val="20"/>
          <w:szCs w:val="20"/>
        </w:rPr>
        <w:t xml:space="preserve"> but not included on the screening logs). </w:t>
      </w:r>
      <w:r w:rsidR="003D74F3" w:rsidRPr="003D74F3">
        <w:rPr>
          <w:sz w:val="20"/>
          <w:szCs w:val="20"/>
        </w:rPr>
        <w:t xml:space="preserve">This would imply that the </w:t>
      </w:r>
      <w:r w:rsidR="003D74F3">
        <w:rPr>
          <w:sz w:val="20"/>
          <w:szCs w:val="20"/>
        </w:rPr>
        <w:t>actual</w:t>
      </w:r>
      <w:r w:rsidR="003D74F3" w:rsidRPr="003D74F3">
        <w:rPr>
          <w:sz w:val="20"/>
          <w:szCs w:val="20"/>
        </w:rPr>
        <w:t xml:space="preserve"> number </w:t>
      </w:r>
      <w:r w:rsidR="003D74F3">
        <w:rPr>
          <w:sz w:val="20"/>
          <w:szCs w:val="20"/>
        </w:rPr>
        <w:t xml:space="preserve">of patients </w:t>
      </w:r>
      <w:r w:rsidR="003D74F3" w:rsidRPr="003D74F3">
        <w:rPr>
          <w:sz w:val="20"/>
          <w:szCs w:val="20"/>
        </w:rPr>
        <w:t>reviewed by the multidisciplinary team and invited to participate was in the region of 1,740</w:t>
      </w:r>
      <w:r w:rsidR="003D74F3">
        <w:rPr>
          <w:sz w:val="20"/>
          <w:szCs w:val="20"/>
        </w:rPr>
        <w:t xml:space="preserve"> rather than the stated figure of 1,357, which was derived directly from the screening logs</w:t>
      </w:r>
      <w:r w:rsidR="003D74F3" w:rsidRPr="003D74F3">
        <w:rPr>
          <w:sz w:val="20"/>
          <w:szCs w:val="20"/>
        </w:rPr>
        <w:t>.</w:t>
      </w:r>
      <w:r w:rsidR="003D74F3">
        <w:rPr>
          <w:sz w:val="20"/>
          <w:szCs w:val="20"/>
        </w:rPr>
        <w:t xml:space="preserve"> </w:t>
      </w:r>
      <w:r w:rsidR="006F7BEF" w:rsidRPr="00A377DB">
        <w:rPr>
          <w:sz w:val="20"/>
          <w:szCs w:val="20"/>
        </w:rPr>
        <w:t>Data regarding overall national TAVI and surgery activity in the relevant period are available from the relevant national audits</w:t>
      </w:r>
      <w:r w:rsidR="006F7BEF" w:rsidRPr="00A33B51">
        <w:rPr>
          <w:sz w:val="20"/>
          <w:szCs w:val="20"/>
        </w:rPr>
        <w:t>.</w:t>
      </w:r>
      <w:r w:rsidR="00113C23">
        <w:rPr>
          <w:sz w:val="20"/>
          <w:szCs w:val="20"/>
          <w:vertAlign w:val="superscript"/>
        </w:rPr>
        <w:t>26</w:t>
      </w:r>
      <w:r w:rsidR="008A207D">
        <w:rPr>
          <w:sz w:val="20"/>
          <w:szCs w:val="20"/>
          <w:vertAlign w:val="superscript"/>
        </w:rPr>
        <w:t>-</w:t>
      </w:r>
      <w:r w:rsidR="00113C23">
        <w:rPr>
          <w:sz w:val="20"/>
          <w:szCs w:val="20"/>
          <w:vertAlign w:val="superscript"/>
        </w:rPr>
        <w:t>28</w:t>
      </w:r>
    </w:p>
    <w:p w14:paraId="6DEBAFE3" w14:textId="4358555A" w:rsidR="006F7BEF" w:rsidRPr="00296B0C" w:rsidRDefault="00C47F82" w:rsidP="002B4B1E">
      <w:pPr>
        <w:spacing w:after="0" w:line="240" w:lineRule="auto"/>
        <w:ind w:left="113" w:hanging="113"/>
        <w:rPr>
          <w:sz w:val="20"/>
          <w:szCs w:val="20"/>
        </w:rPr>
      </w:pPr>
      <w:r>
        <w:rPr>
          <w:sz w:val="20"/>
          <w:szCs w:val="20"/>
          <w:vertAlign w:val="superscript"/>
        </w:rPr>
        <w:t>b</w:t>
      </w:r>
      <w:r w:rsidR="00125CBD" w:rsidRPr="002B4B1E">
        <w:rPr>
          <w:sz w:val="20"/>
          <w:szCs w:val="20"/>
        </w:rPr>
        <w:t xml:space="preserve"> </w:t>
      </w:r>
      <w:r w:rsidR="00296B0C" w:rsidRPr="008A207D">
        <w:rPr>
          <w:sz w:val="20"/>
          <w:szCs w:val="20"/>
        </w:rPr>
        <w:t>R</w:t>
      </w:r>
      <w:r w:rsidR="008A207D">
        <w:rPr>
          <w:sz w:val="20"/>
          <w:szCs w:val="20"/>
        </w:rPr>
        <w:t>andomization used minimiz</w:t>
      </w:r>
      <w:r w:rsidR="00296B0C" w:rsidRPr="002B4B1E">
        <w:rPr>
          <w:sz w:val="20"/>
          <w:szCs w:val="20"/>
        </w:rPr>
        <w:t>ation, including an 80% probabilistic element, with stratification for randomizing site, age (70-79 years vs 80 years or over) and the presence of coronary artery disease considered by the multidisciplin</w:t>
      </w:r>
      <w:r w:rsidR="00296B0C" w:rsidRPr="008A207D">
        <w:rPr>
          <w:sz w:val="20"/>
          <w:szCs w:val="20"/>
        </w:rPr>
        <w:t>ary team to require revasculariz</w:t>
      </w:r>
      <w:r w:rsidR="00296B0C" w:rsidRPr="002B4B1E">
        <w:rPr>
          <w:sz w:val="20"/>
          <w:szCs w:val="20"/>
        </w:rPr>
        <w:t>ation if the patient was assigned to receive surgery.</w:t>
      </w:r>
    </w:p>
    <w:p w14:paraId="338C7959" w14:textId="3391BF0C" w:rsidR="009F0C45" w:rsidRDefault="009F0C45" w:rsidP="006F7BEF">
      <w:pPr>
        <w:rPr>
          <w:sz w:val="27"/>
          <w:szCs w:val="27"/>
        </w:rPr>
      </w:pPr>
    </w:p>
    <w:p w14:paraId="08FE2356" w14:textId="7280FE83" w:rsidR="0043047D" w:rsidRDefault="0043047D" w:rsidP="002B4B1E">
      <w:pPr>
        <w:pStyle w:val="Heading2"/>
        <w:ind w:left="1106" w:hanging="1106"/>
      </w:pPr>
    </w:p>
    <w:p w14:paraId="491D8219" w14:textId="3629AD1B" w:rsidR="00BA558A" w:rsidRPr="00BA558A" w:rsidRDefault="00266392" w:rsidP="002B4B1E">
      <w:pPr>
        <w:pStyle w:val="Heading2"/>
        <w:ind w:left="1106" w:hanging="1106"/>
      </w:pPr>
      <w:r>
        <w:t xml:space="preserve">Figure </w:t>
      </w:r>
      <w:r w:rsidR="0043047D">
        <w:t>2</w:t>
      </w:r>
      <w:r w:rsidR="00BA558A">
        <w:t>. Time-to-Event C</w:t>
      </w:r>
      <w:r w:rsidR="00461933">
        <w:t>urves for the Primary Endp</w:t>
      </w:r>
      <w:r w:rsidR="00BA558A" w:rsidRPr="00BA558A">
        <w:t>oint and Major Secondary Outcomes</w:t>
      </w:r>
    </w:p>
    <w:p w14:paraId="317CC8DA" w14:textId="30638E83" w:rsidR="00296B0C" w:rsidRPr="00894152" w:rsidRDefault="009F0C45" w:rsidP="00296B0C">
      <w:pPr>
        <w:pStyle w:val="Heading3"/>
        <w:rPr>
          <w:bCs w:val="0"/>
          <w:sz w:val="22"/>
          <w:szCs w:val="22"/>
          <w:vertAlign w:val="superscript"/>
        </w:rPr>
      </w:pPr>
      <w:r>
        <w:rPr>
          <w:vertAlign w:val="superscript"/>
        </w:rPr>
        <w:t>L</w:t>
      </w:r>
      <w:r w:rsidR="00296B0C">
        <w:rPr>
          <w:vertAlign w:val="superscript"/>
        </w:rPr>
        <w:t xml:space="preserve">EGEND TO FIGURE </w:t>
      </w:r>
      <w:r w:rsidR="0043047D">
        <w:rPr>
          <w:vertAlign w:val="superscript"/>
        </w:rPr>
        <w:t>2</w:t>
      </w:r>
      <w:r w:rsidR="00296B0C">
        <w:rPr>
          <w:vertAlign w:val="superscript"/>
        </w:rPr>
        <w:t>:</w:t>
      </w:r>
    </w:p>
    <w:p w14:paraId="6A7C0B90" w14:textId="1F9E390B" w:rsidR="00D602BC" w:rsidRDefault="00CA6D2C" w:rsidP="002B4B1E">
      <w:pPr>
        <w:pStyle w:val="Caption"/>
        <w:rPr>
          <w:rFonts w:asciiTheme="minorHAnsi" w:hAnsiTheme="minorHAnsi" w:cstheme="minorHAnsi"/>
          <w:i w:val="0"/>
          <w:iCs w:val="0"/>
          <w:color w:val="000000" w:themeColor="text1"/>
          <w:sz w:val="22"/>
          <w:szCs w:val="22"/>
        </w:rPr>
      </w:pPr>
      <w:r w:rsidRPr="001E1E21">
        <w:rPr>
          <w:rFonts w:asciiTheme="minorHAnsi" w:hAnsiTheme="minorHAnsi" w:cstheme="minorHAnsi"/>
          <w:i w:val="0"/>
          <w:iCs w:val="0"/>
          <w:color w:val="000000" w:themeColor="text1"/>
          <w:sz w:val="22"/>
          <w:szCs w:val="22"/>
        </w:rPr>
        <w:t>Kaplan-Meier survival analysis at one year post-</w:t>
      </w:r>
      <w:r w:rsidR="00A377DB" w:rsidRPr="001E1E21">
        <w:rPr>
          <w:rFonts w:asciiTheme="minorHAnsi" w:hAnsiTheme="minorHAnsi" w:cstheme="minorHAnsi"/>
          <w:i w:val="0"/>
          <w:iCs w:val="0"/>
          <w:color w:val="000000" w:themeColor="text1"/>
          <w:sz w:val="22"/>
          <w:szCs w:val="22"/>
        </w:rPr>
        <w:t xml:space="preserve">randomization </w:t>
      </w:r>
      <w:r w:rsidR="006F7882" w:rsidRPr="001E1E21">
        <w:rPr>
          <w:rFonts w:asciiTheme="minorHAnsi" w:hAnsiTheme="minorHAnsi" w:cstheme="minorHAnsi"/>
          <w:i w:val="0"/>
          <w:iCs w:val="0"/>
          <w:color w:val="000000" w:themeColor="text1"/>
          <w:sz w:val="22"/>
          <w:szCs w:val="22"/>
        </w:rPr>
        <w:t>for death from any cause (Panel A), c</w:t>
      </w:r>
      <w:r w:rsidRPr="001E1E21">
        <w:rPr>
          <w:rFonts w:asciiTheme="minorHAnsi" w:hAnsiTheme="minorHAnsi" w:cstheme="minorHAnsi"/>
          <w:i w:val="0"/>
          <w:iCs w:val="0"/>
          <w:color w:val="000000" w:themeColor="text1"/>
          <w:sz w:val="22"/>
          <w:szCs w:val="22"/>
        </w:rPr>
        <w:t xml:space="preserve">ardiovascular mortality </w:t>
      </w:r>
      <w:r w:rsidR="006F7882" w:rsidRPr="001E1E21">
        <w:rPr>
          <w:rFonts w:asciiTheme="minorHAnsi" w:hAnsiTheme="minorHAnsi" w:cstheme="minorHAnsi"/>
          <w:i w:val="0"/>
          <w:iCs w:val="0"/>
          <w:color w:val="000000" w:themeColor="text1"/>
          <w:sz w:val="22"/>
          <w:szCs w:val="22"/>
        </w:rPr>
        <w:t>(Panel B), s</w:t>
      </w:r>
      <w:r w:rsidRPr="001E1E21">
        <w:rPr>
          <w:rFonts w:asciiTheme="minorHAnsi" w:hAnsiTheme="minorHAnsi" w:cstheme="minorHAnsi"/>
          <w:i w:val="0"/>
          <w:iCs w:val="0"/>
          <w:color w:val="000000" w:themeColor="text1"/>
          <w:sz w:val="22"/>
          <w:szCs w:val="22"/>
        </w:rPr>
        <w:t>troke</w:t>
      </w:r>
      <w:r w:rsidR="006F7882" w:rsidRPr="001E1E21">
        <w:rPr>
          <w:rFonts w:asciiTheme="minorHAnsi" w:hAnsiTheme="minorHAnsi" w:cstheme="minorHAnsi"/>
          <w:i w:val="0"/>
          <w:iCs w:val="0"/>
          <w:color w:val="000000" w:themeColor="text1"/>
          <w:sz w:val="22"/>
          <w:szCs w:val="22"/>
        </w:rPr>
        <w:t xml:space="preserve"> </w:t>
      </w:r>
      <w:r w:rsidR="000E0D3B" w:rsidRPr="001E1E21">
        <w:rPr>
          <w:rFonts w:asciiTheme="minorHAnsi" w:hAnsiTheme="minorHAnsi" w:cstheme="minorHAnsi"/>
          <w:i w:val="0"/>
          <w:iCs w:val="0"/>
          <w:color w:val="000000" w:themeColor="text1"/>
          <w:sz w:val="22"/>
          <w:szCs w:val="22"/>
        </w:rPr>
        <w:t xml:space="preserve">- fatal or non-fatal </w:t>
      </w:r>
      <w:r w:rsidR="006F7882" w:rsidRPr="001E1E21">
        <w:rPr>
          <w:rFonts w:asciiTheme="minorHAnsi" w:hAnsiTheme="minorHAnsi" w:cstheme="minorHAnsi"/>
          <w:i w:val="0"/>
          <w:color w:val="000000" w:themeColor="text1"/>
          <w:sz w:val="22"/>
          <w:szCs w:val="22"/>
        </w:rPr>
        <w:t>(</w:t>
      </w:r>
      <w:r w:rsidR="006F7882" w:rsidRPr="001E1E21">
        <w:rPr>
          <w:rFonts w:asciiTheme="minorHAnsi" w:hAnsiTheme="minorHAnsi" w:cstheme="minorHAnsi"/>
          <w:i w:val="0"/>
          <w:iCs w:val="0"/>
          <w:color w:val="000000" w:themeColor="text1"/>
          <w:sz w:val="22"/>
          <w:szCs w:val="22"/>
        </w:rPr>
        <w:t>Panel C)</w:t>
      </w:r>
      <w:r w:rsidR="000E0D3B" w:rsidRPr="001E1E21">
        <w:rPr>
          <w:rFonts w:asciiTheme="minorHAnsi" w:hAnsiTheme="minorHAnsi" w:cstheme="minorHAnsi"/>
          <w:i w:val="0"/>
          <w:iCs w:val="0"/>
          <w:color w:val="000000" w:themeColor="text1"/>
          <w:sz w:val="22"/>
          <w:szCs w:val="22"/>
        </w:rPr>
        <w:t>,</w:t>
      </w:r>
      <w:r w:rsidR="006F7882" w:rsidRPr="001E1E21">
        <w:rPr>
          <w:rFonts w:asciiTheme="minorHAnsi" w:hAnsiTheme="minorHAnsi" w:cstheme="minorHAnsi"/>
          <w:i w:val="0"/>
          <w:iCs w:val="0"/>
          <w:color w:val="000000" w:themeColor="text1"/>
          <w:sz w:val="22"/>
          <w:szCs w:val="22"/>
        </w:rPr>
        <w:t xml:space="preserve"> and the composite of death from any cau</w:t>
      </w:r>
      <w:r w:rsidR="006F7882" w:rsidRPr="001E1E21">
        <w:rPr>
          <w:rFonts w:asciiTheme="minorHAnsi" w:hAnsiTheme="minorHAnsi" w:cstheme="minorHAnsi"/>
          <w:i w:val="0"/>
          <w:color w:val="000000" w:themeColor="text1"/>
          <w:sz w:val="22"/>
          <w:szCs w:val="22"/>
        </w:rPr>
        <w:t xml:space="preserve">se or </w:t>
      </w:r>
      <w:r w:rsidR="000E0D3B" w:rsidRPr="001E1E21">
        <w:rPr>
          <w:rFonts w:asciiTheme="minorHAnsi" w:hAnsiTheme="minorHAnsi" w:cstheme="minorHAnsi"/>
          <w:i w:val="0"/>
          <w:iCs w:val="0"/>
          <w:color w:val="000000" w:themeColor="text1"/>
          <w:sz w:val="22"/>
          <w:szCs w:val="22"/>
        </w:rPr>
        <w:t xml:space="preserve">non-fatal </w:t>
      </w:r>
      <w:r w:rsidR="006F7882" w:rsidRPr="001E1E21">
        <w:rPr>
          <w:rFonts w:asciiTheme="minorHAnsi" w:hAnsiTheme="minorHAnsi" w:cstheme="minorHAnsi"/>
          <w:i w:val="0"/>
          <w:color w:val="000000" w:themeColor="text1"/>
          <w:sz w:val="22"/>
          <w:szCs w:val="22"/>
        </w:rPr>
        <w:t>s</w:t>
      </w:r>
      <w:r w:rsidR="006F7882" w:rsidRPr="001E1E21">
        <w:rPr>
          <w:rFonts w:asciiTheme="minorHAnsi" w:hAnsiTheme="minorHAnsi" w:cstheme="minorHAnsi"/>
          <w:i w:val="0"/>
          <w:iCs w:val="0"/>
          <w:color w:val="000000" w:themeColor="text1"/>
          <w:sz w:val="22"/>
          <w:szCs w:val="22"/>
        </w:rPr>
        <w:t>troke</w:t>
      </w:r>
      <w:r w:rsidRPr="001E1E21">
        <w:rPr>
          <w:rFonts w:asciiTheme="minorHAnsi" w:hAnsiTheme="minorHAnsi" w:cstheme="minorHAnsi"/>
          <w:i w:val="0"/>
          <w:iCs w:val="0"/>
          <w:color w:val="000000" w:themeColor="text1"/>
          <w:sz w:val="22"/>
          <w:szCs w:val="22"/>
        </w:rPr>
        <w:t xml:space="preserve"> </w:t>
      </w:r>
      <w:r w:rsidR="003642B6" w:rsidRPr="001E1E21">
        <w:rPr>
          <w:rFonts w:asciiTheme="minorHAnsi" w:hAnsiTheme="minorHAnsi" w:cstheme="minorHAnsi"/>
          <w:i w:val="0"/>
          <w:iCs w:val="0"/>
          <w:color w:val="000000" w:themeColor="text1"/>
          <w:sz w:val="22"/>
          <w:szCs w:val="22"/>
        </w:rPr>
        <w:t>(Panel D).</w:t>
      </w:r>
      <w:r w:rsidR="0013142A" w:rsidRPr="001E1E21">
        <w:rPr>
          <w:rFonts w:asciiTheme="minorHAnsi" w:hAnsiTheme="minorHAnsi" w:cstheme="minorHAnsi"/>
          <w:i w:val="0"/>
          <w:iCs w:val="0"/>
          <w:color w:val="000000" w:themeColor="text1"/>
          <w:sz w:val="22"/>
          <w:szCs w:val="22"/>
        </w:rPr>
        <w:t xml:space="preserve"> </w:t>
      </w:r>
      <w:r w:rsidR="004A03D6">
        <w:rPr>
          <w:rFonts w:asciiTheme="minorHAnsi" w:hAnsiTheme="minorHAnsi" w:cstheme="minorHAnsi"/>
          <w:i w:val="0"/>
          <w:iCs w:val="0"/>
          <w:color w:val="000000" w:themeColor="text1"/>
          <w:sz w:val="22"/>
          <w:szCs w:val="22"/>
        </w:rPr>
        <w:t xml:space="preserve">All patients </w:t>
      </w:r>
      <w:r w:rsidR="00F127F9">
        <w:rPr>
          <w:rFonts w:asciiTheme="minorHAnsi" w:hAnsiTheme="minorHAnsi" w:cstheme="minorHAnsi"/>
          <w:i w:val="0"/>
          <w:iCs w:val="0"/>
          <w:color w:val="000000" w:themeColor="text1"/>
          <w:sz w:val="22"/>
          <w:szCs w:val="22"/>
        </w:rPr>
        <w:t xml:space="preserve">were </w:t>
      </w:r>
      <w:r w:rsidR="004A03D6">
        <w:rPr>
          <w:rFonts w:asciiTheme="minorHAnsi" w:hAnsiTheme="minorHAnsi" w:cstheme="minorHAnsi"/>
          <w:i w:val="0"/>
          <w:iCs w:val="0"/>
          <w:color w:val="000000" w:themeColor="text1"/>
          <w:sz w:val="22"/>
          <w:szCs w:val="22"/>
        </w:rPr>
        <w:t xml:space="preserve">followed to time of event, withdrawal </w:t>
      </w:r>
      <w:r w:rsidR="00D74A1B">
        <w:rPr>
          <w:rFonts w:asciiTheme="minorHAnsi" w:hAnsiTheme="minorHAnsi" w:cstheme="minorHAnsi"/>
          <w:i w:val="0"/>
          <w:iCs w:val="0"/>
          <w:color w:val="000000" w:themeColor="text1"/>
          <w:sz w:val="22"/>
          <w:szCs w:val="22"/>
        </w:rPr>
        <w:t>from the study</w:t>
      </w:r>
      <w:r w:rsidR="00C07C92">
        <w:rPr>
          <w:rFonts w:asciiTheme="minorHAnsi" w:hAnsiTheme="minorHAnsi" w:cstheme="minorHAnsi"/>
          <w:i w:val="0"/>
          <w:iCs w:val="0"/>
          <w:color w:val="000000" w:themeColor="text1"/>
          <w:sz w:val="22"/>
          <w:szCs w:val="22"/>
        </w:rPr>
        <w:t>,</w:t>
      </w:r>
      <w:r w:rsidR="00D74A1B">
        <w:rPr>
          <w:rFonts w:asciiTheme="minorHAnsi" w:hAnsiTheme="minorHAnsi" w:cstheme="minorHAnsi"/>
          <w:i w:val="0"/>
          <w:iCs w:val="0"/>
          <w:color w:val="000000" w:themeColor="text1"/>
          <w:sz w:val="22"/>
          <w:szCs w:val="22"/>
        </w:rPr>
        <w:t xml:space="preserve"> </w:t>
      </w:r>
      <w:r w:rsidR="004A03D6">
        <w:rPr>
          <w:rFonts w:asciiTheme="minorHAnsi" w:hAnsiTheme="minorHAnsi" w:cstheme="minorHAnsi"/>
          <w:i w:val="0"/>
          <w:iCs w:val="0"/>
          <w:color w:val="000000" w:themeColor="text1"/>
          <w:sz w:val="22"/>
          <w:szCs w:val="22"/>
        </w:rPr>
        <w:t>or one year</w:t>
      </w:r>
      <w:r w:rsidR="00D74A1B">
        <w:rPr>
          <w:rFonts w:asciiTheme="minorHAnsi" w:hAnsiTheme="minorHAnsi" w:cstheme="minorHAnsi"/>
          <w:i w:val="0"/>
          <w:iCs w:val="0"/>
          <w:color w:val="000000" w:themeColor="text1"/>
          <w:sz w:val="22"/>
          <w:szCs w:val="22"/>
        </w:rPr>
        <w:t xml:space="preserve"> post-randomisation</w:t>
      </w:r>
      <w:r w:rsidR="004A03D6">
        <w:rPr>
          <w:rFonts w:asciiTheme="minorHAnsi" w:hAnsiTheme="minorHAnsi" w:cstheme="minorHAnsi"/>
          <w:i w:val="0"/>
          <w:iCs w:val="0"/>
          <w:color w:val="000000" w:themeColor="text1"/>
          <w:sz w:val="22"/>
          <w:szCs w:val="22"/>
        </w:rPr>
        <w:t xml:space="preserve">. The hazard ratios are specific to the one-year outcomes. </w:t>
      </w:r>
      <w:r w:rsidR="006D1969" w:rsidRPr="006D1969">
        <w:rPr>
          <w:rFonts w:asciiTheme="minorHAnsi" w:hAnsiTheme="minorHAnsi" w:cstheme="minorHAnsi"/>
          <w:iCs w:val="0"/>
          <w:color w:val="000000" w:themeColor="text1"/>
          <w:sz w:val="22"/>
          <w:szCs w:val="22"/>
        </w:rPr>
        <w:t>P</w:t>
      </w:r>
      <w:r w:rsidR="006D1969">
        <w:rPr>
          <w:rFonts w:asciiTheme="minorHAnsi" w:hAnsiTheme="minorHAnsi" w:cstheme="minorHAnsi"/>
          <w:i w:val="0"/>
          <w:iCs w:val="0"/>
          <w:color w:val="000000" w:themeColor="text1"/>
          <w:sz w:val="22"/>
          <w:szCs w:val="22"/>
        </w:rPr>
        <w:t xml:space="preserve"> values </w:t>
      </w:r>
      <w:r w:rsidR="00F127F9">
        <w:rPr>
          <w:rFonts w:asciiTheme="minorHAnsi" w:hAnsiTheme="minorHAnsi" w:cstheme="minorHAnsi"/>
          <w:i w:val="0"/>
          <w:iCs w:val="0"/>
          <w:color w:val="000000" w:themeColor="text1"/>
          <w:sz w:val="22"/>
          <w:szCs w:val="22"/>
        </w:rPr>
        <w:t>were</w:t>
      </w:r>
      <w:r w:rsidR="006D1969">
        <w:rPr>
          <w:rFonts w:asciiTheme="minorHAnsi" w:hAnsiTheme="minorHAnsi" w:cstheme="minorHAnsi"/>
          <w:i w:val="0"/>
          <w:iCs w:val="0"/>
          <w:color w:val="000000" w:themeColor="text1"/>
          <w:sz w:val="22"/>
          <w:szCs w:val="22"/>
        </w:rPr>
        <w:t xml:space="preserve"> derived from </w:t>
      </w:r>
      <w:r w:rsidR="00D74A1B">
        <w:rPr>
          <w:rFonts w:asciiTheme="minorHAnsi" w:hAnsiTheme="minorHAnsi" w:cstheme="minorHAnsi"/>
          <w:i w:val="0"/>
          <w:iCs w:val="0"/>
          <w:color w:val="000000" w:themeColor="text1"/>
          <w:sz w:val="22"/>
          <w:szCs w:val="22"/>
        </w:rPr>
        <w:t>a</w:t>
      </w:r>
      <w:r w:rsidR="006D1969">
        <w:rPr>
          <w:rFonts w:asciiTheme="minorHAnsi" w:hAnsiTheme="minorHAnsi" w:cstheme="minorHAnsi"/>
          <w:i w:val="0"/>
          <w:iCs w:val="0"/>
          <w:color w:val="000000" w:themeColor="text1"/>
          <w:sz w:val="22"/>
          <w:szCs w:val="22"/>
        </w:rPr>
        <w:t xml:space="preserve"> Cox proportional hazards model, which was</w:t>
      </w:r>
      <w:r w:rsidR="006D1969" w:rsidRPr="006D1969">
        <w:rPr>
          <w:rFonts w:asciiTheme="minorHAnsi" w:hAnsiTheme="minorHAnsi" w:cstheme="minorHAnsi"/>
          <w:i w:val="0"/>
          <w:iCs w:val="0"/>
          <w:color w:val="000000" w:themeColor="text1"/>
          <w:sz w:val="22"/>
          <w:szCs w:val="22"/>
        </w:rPr>
        <w:t xml:space="preserve"> </w:t>
      </w:r>
      <w:r w:rsidR="00F127F9" w:rsidRPr="00F127F9">
        <w:rPr>
          <w:rFonts w:asciiTheme="minorHAnsi" w:hAnsiTheme="minorHAnsi" w:cstheme="minorHAnsi"/>
          <w:i w:val="0"/>
          <w:iCs w:val="0"/>
          <w:color w:val="000000" w:themeColor="text1"/>
          <w:sz w:val="22"/>
          <w:szCs w:val="22"/>
        </w:rPr>
        <w:t>adjusted for randomizat</w:t>
      </w:r>
      <w:r w:rsidR="00F127F9">
        <w:rPr>
          <w:rFonts w:asciiTheme="minorHAnsi" w:hAnsiTheme="minorHAnsi" w:cstheme="minorHAnsi"/>
          <w:i w:val="0"/>
          <w:iCs w:val="0"/>
          <w:color w:val="000000" w:themeColor="text1"/>
          <w:sz w:val="22"/>
          <w:szCs w:val="22"/>
        </w:rPr>
        <w:t xml:space="preserve">ion minimization factors and used </w:t>
      </w:r>
      <w:r w:rsidR="00F127F9" w:rsidRPr="00F127F9">
        <w:rPr>
          <w:rFonts w:asciiTheme="minorHAnsi" w:hAnsiTheme="minorHAnsi" w:cstheme="minorHAnsi"/>
          <w:i w:val="0"/>
          <w:iCs w:val="0"/>
          <w:color w:val="000000" w:themeColor="text1"/>
          <w:sz w:val="22"/>
          <w:szCs w:val="22"/>
        </w:rPr>
        <w:t>robust standard errors to account for clustering of outcomes by randomizing site.</w:t>
      </w:r>
      <w:r w:rsidR="006D1969">
        <w:rPr>
          <w:rFonts w:asciiTheme="minorHAnsi" w:hAnsiTheme="minorHAnsi" w:cstheme="minorHAnsi"/>
          <w:i w:val="0"/>
          <w:iCs w:val="0"/>
          <w:color w:val="000000" w:themeColor="text1"/>
          <w:sz w:val="22"/>
          <w:szCs w:val="22"/>
        </w:rPr>
        <w:t xml:space="preserve"> </w:t>
      </w:r>
      <w:r w:rsidR="0013142A" w:rsidRPr="001E1E21">
        <w:rPr>
          <w:rFonts w:asciiTheme="minorHAnsi" w:hAnsiTheme="minorHAnsi" w:cstheme="minorHAnsi"/>
          <w:i w:val="0"/>
          <w:iCs w:val="0"/>
          <w:color w:val="000000" w:themeColor="text1"/>
          <w:sz w:val="22"/>
          <w:szCs w:val="22"/>
        </w:rPr>
        <w:t>Cause of death (cardiovascular vs non-cardiovascular) and stroke events were adjudicated by the End-Points and Events Committee, with reference to outcome definitions based on the VARC-2 criteria</w:t>
      </w:r>
      <w:r w:rsidR="0013142A" w:rsidRPr="001E1E21">
        <w:rPr>
          <w:rFonts w:asciiTheme="minorHAnsi" w:hAnsiTheme="minorHAnsi" w:cstheme="minorHAnsi"/>
          <w:i w:val="0"/>
          <w:iCs w:val="0"/>
          <w:color w:val="000000" w:themeColor="text1"/>
          <w:sz w:val="22"/>
          <w:szCs w:val="22"/>
          <w:vertAlign w:val="superscript"/>
        </w:rPr>
        <w:t xml:space="preserve">15 </w:t>
      </w:r>
      <w:r w:rsidR="0013142A" w:rsidRPr="001E1E21">
        <w:rPr>
          <w:rFonts w:asciiTheme="minorHAnsi" w:hAnsiTheme="minorHAnsi" w:cstheme="minorHAnsi"/>
          <w:i w:val="0"/>
          <w:iCs w:val="0"/>
          <w:color w:val="000000" w:themeColor="text1"/>
          <w:sz w:val="22"/>
          <w:szCs w:val="22"/>
        </w:rPr>
        <w:t>(eMethods 5 in Supplement 3).</w:t>
      </w:r>
      <w:r w:rsidR="0013142A" w:rsidRPr="001E1E21" w:rsidDel="003642B6">
        <w:rPr>
          <w:rFonts w:asciiTheme="minorHAnsi" w:hAnsiTheme="minorHAnsi" w:cstheme="minorHAnsi"/>
          <w:i w:val="0"/>
          <w:iCs w:val="0"/>
          <w:color w:val="000000" w:themeColor="text1"/>
          <w:sz w:val="22"/>
          <w:szCs w:val="22"/>
        </w:rPr>
        <w:t xml:space="preserve"> </w:t>
      </w:r>
    </w:p>
    <w:p w14:paraId="6BF22C91" w14:textId="414ED216" w:rsidR="00D602BC" w:rsidRDefault="00D602BC">
      <w:pPr>
        <w:rPr>
          <w:rFonts w:eastAsia="Times New Roman" w:cstheme="minorHAnsi"/>
          <w:color w:val="000000" w:themeColor="text1"/>
        </w:rPr>
      </w:pPr>
      <w:r>
        <w:rPr>
          <w:rFonts w:cstheme="minorHAnsi"/>
          <w:i/>
          <w:iCs/>
          <w:color w:val="000000" w:themeColor="text1"/>
        </w:rPr>
        <w:br w:type="page"/>
      </w:r>
    </w:p>
    <w:p w14:paraId="5ACC036C" w14:textId="07DE74A1" w:rsidR="00D602BC" w:rsidRDefault="00AC6040" w:rsidP="002B4B1E">
      <w:pPr>
        <w:pStyle w:val="Caption"/>
        <w:rPr>
          <w:rFonts w:asciiTheme="minorHAnsi" w:hAnsiTheme="minorHAnsi" w:cstheme="minorHAnsi"/>
          <w:b/>
          <w:i w:val="0"/>
          <w:color w:val="000000" w:themeColor="text1"/>
          <w:sz w:val="22"/>
          <w:szCs w:val="22"/>
        </w:rPr>
      </w:pPr>
      <w:r>
        <w:rPr>
          <w:rFonts w:cstheme="minorHAnsi"/>
          <w:i w:val="0"/>
          <w:iCs w:val="0"/>
          <w:noProof/>
          <w:color w:val="000000" w:themeColor="text1"/>
          <w:lang w:eastAsia="en-GB"/>
        </w:rPr>
        <w:drawing>
          <wp:anchor distT="0" distB="0" distL="114300" distR="114300" simplePos="0" relativeHeight="251660288" behindDoc="0" locked="0" layoutInCell="1" allowOverlap="1" wp14:anchorId="715DA852" wp14:editId="4A1B6E8E">
            <wp:simplePos x="0" y="0"/>
            <wp:positionH relativeFrom="column">
              <wp:posOffset>-57150</wp:posOffset>
            </wp:positionH>
            <wp:positionV relativeFrom="paragraph">
              <wp:posOffset>-279400</wp:posOffset>
            </wp:positionV>
            <wp:extent cx="1657350" cy="609600"/>
            <wp:effectExtent l="95250" t="19050" r="57150" b="647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solidFill>
                        <a:schemeClr val="accent1"/>
                      </a:solidFill>
                    </a:ln>
                    <a:effectLst>
                      <a:reflection blurRad="114300" stA="45000" endPos="65000" dist="165100" dir="5400000" sy="-100000" algn="bl" rotWithShape="0"/>
                      <a:softEdge rad="50800"/>
                    </a:effectLst>
                  </pic:spPr>
                </pic:pic>
              </a:graphicData>
            </a:graphic>
            <wp14:sizeRelH relativeFrom="page">
              <wp14:pctWidth>0</wp14:pctWidth>
            </wp14:sizeRelH>
            <wp14:sizeRelV relativeFrom="page">
              <wp14:pctHeight>0</wp14:pctHeight>
            </wp14:sizeRelV>
          </wp:anchor>
        </w:drawing>
      </w:r>
      <w:bookmarkStart w:id="1" w:name="_MON_1714406722"/>
      <w:bookmarkEnd w:id="1"/>
      <w:r w:rsidR="00D602BC">
        <w:rPr>
          <w:rFonts w:asciiTheme="minorHAnsi" w:hAnsiTheme="minorHAnsi" w:cstheme="minorHAnsi"/>
          <w:b/>
          <w:i w:val="0"/>
          <w:color w:val="000000" w:themeColor="text1"/>
          <w:sz w:val="22"/>
          <w:szCs w:val="22"/>
        </w:rPr>
        <w:object w:dxaOrig="10111" w:dyaOrig="13836" w14:anchorId="32966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691.5pt" o:ole="">
            <v:imagedata r:id="rId19" o:title=""/>
          </v:shape>
          <o:OLEObject Type="Embed" ProgID="Word.Document.12" ShapeID="_x0000_i1025" DrawAspect="Content" ObjectID="_1716704711" r:id="rId20">
            <o:FieldCodes>\s</o:FieldCodes>
          </o:OLEObject>
        </w:object>
      </w:r>
    </w:p>
    <w:p w14:paraId="269281C3" w14:textId="021F6D42" w:rsidR="00D602BC" w:rsidRDefault="00D602BC" w:rsidP="00AC6040">
      <w:pPr>
        <w:pStyle w:val="Heading2"/>
        <w:rPr>
          <w:rFonts w:eastAsia="Times New Roman"/>
        </w:rPr>
      </w:pPr>
      <w:r>
        <w:rPr>
          <w:rFonts w:eastAsia="Times New Roman"/>
        </w:rPr>
        <w:t>Figure 2</w:t>
      </w:r>
    </w:p>
    <w:p w14:paraId="653B079A" w14:textId="2FD8A036" w:rsidR="00D602BC" w:rsidRDefault="00762966">
      <w:pPr>
        <w:rPr>
          <w:rFonts w:eastAsia="Times New Roman" w:cstheme="minorHAnsi"/>
          <w:iCs/>
          <w:color w:val="000000" w:themeColor="text1"/>
        </w:rPr>
      </w:pPr>
      <w:r>
        <w:rPr>
          <w:rFonts w:eastAsia="Times New Roman" w:cstheme="minorHAnsi"/>
          <w:iCs/>
          <w:noProof/>
          <w:color w:val="000000" w:themeColor="text1"/>
        </w:rPr>
        <w:object w:dxaOrig="1440" w:dyaOrig="1440" w14:anchorId="2EDC4C8C">
          <v:shape id="_x0000_s2050" type="#_x0000_t75" style="position:absolute;margin-left:-38pt;margin-top:25.1pt;width:516.1pt;height:430.35pt;z-index:251659264;mso-position-horizontal-relative:text;mso-position-vertical-relative:text">
            <v:imagedata r:id="rId21" o:title=""/>
            <w10:wrap side="right"/>
          </v:shape>
          <o:OLEObject Type="Embed" ProgID="Acrobat.Document.DC" ShapeID="_x0000_s2050" DrawAspect="Content" ObjectID="_1716704712" r:id="rId22"/>
        </w:object>
      </w:r>
    </w:p>
    <w:p w14:paraId="1AD8CC8F" w14:textId="453C2808" w:rsidR="00D602BC" w:rsidRDefault="00D602BC">
      <w:pPr>
        <w:rPr>
          <w:rFonts w:eastAsia="Times New Roman" w:cstheme="minorHAnsi"/>
          <w:iCs/>
          <w:color w:val="000000" w:themeColor="text1"/>
        </w:rPr>
      </w:pPr>
    </w:p>
    <w:p w14:paraId="11F8998F" w14:textId="3E100591" w:rsidR="00D602BC" w:rsidRPr="00D602BC" w:rsidRDefault="00D602BC">
      <w:pPr>
        <w:rPr>
          <w:rFonts w:eastAsia="Times New Roman" w:cstheme="minorHAnsi"/>
          <w:iCs/>
          <w:color w:val="000000" w:themeColor="text1"/>
        </w:rPr>
      </w:pPr>
      <w:r>
        <w:rPr>
          <w:rFonts w:eastAsia="Times New Roman" w:cstheme="minorHAnsi"/>
          <w:iCs/>
          <w:color w:val="000000" w:themeColor="text1"/>
        </w:rPr>
        <w:br w:type="textWrapping" w:clear="all"/>
      </w:r>
    </w:p>
    <w:p w14:paraId="59E60D47" w14:textId="77777777" w:rsidR="00EB6160" w:rsidRPr="001E1E21" w:rsidRDefault="00EB6160" w:rsidP="002B4B1E">
      <w:pPr>
        <w:pStyle w:val="Caption"/>
        <w:rPr>
          <w:rFonts w:asciiTheme="minorHAnsi" w:hAnsiTheme="minorHAnsi" w:cstheme="minorHAnsi"/>
          <w:b/>
          <w:i w:val="0"/>
          <w:color w:val="000000" w:themeColor="text1"/>
          <w:sz w:val="22"/>
          <w:szCs w:val="22"/>
        </w:rPr>
      </w:pPr>
    </w:p>
    <w:sectPr w:rsidR="00EB6160" w:rsidRPr="001E1E21" w:rsidSect="00BC0FB9">
      <w:footerReference w:type="default" r:id="rId23"/>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367C" w14:textId="77777777" w:rsidR="00D602BC" w:rsidRDefault="00D602BC" w:rsidP="00E02BBC">
      <w:pPr>
        <w:spacing w:after="0" w:line="240" w:lineRule="auto"/>
      </w:pPr>
      <w:r>
        <w:separator/>
      </w:r>
    </w:p>
  </w:endnote>
  <w:endnote w:type="continuationSeparator" w:id="0">
    <w:p w14:paraId="41C05FB7" w14:textId="77777777" w:rsidR="00D602BC" w:rsidRDefault="00D602BC" w:rsidP="00E0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15976"/>
      <w:docPartObj>
        <w:docPartGallery w:val="Page Numbers (Top of Page)"/>
        <w:docPartUnique/>
      </w:docPartObj>
    </w:sdtPr>
    <w:sdtEndPr/>
    <w:sdtContent>
      <w:p w14:paraId="01EAB56F" w14:textId="5E896033" w:rsidR="00D602BC" w:rsidRDefault="00D602BC" w:rsidP="008112C6">
        <w:pPr>
          <w:jc w:val="center"/>
        </w:pPr>
        <w:r>
          <w:fldChar w:fldCharType="begin"/>
        </w:r>
        <w:r>
          <w:instrText xml:space="preserve"> PAGE </w:instrText>
        </w:r>
        <w:r>
          <w:fldChar w:fldCharType="separate"/>
        </w:r>
        <w:r w:rsidR="00AC6040">
          <w:rPr>
            <w:noProof/>
          </w:rPr>
          <w:t>29</w:t>
        </w:r>
        <w:r>
          <w:rPr>
            <w:noProof/>
          </w:rPr>
          <w:fldChar w:fldCharType="end"/>
        </w:r>
      </w:p>
    </w:sdtContent>
  </w:sdt>
  <w:p w14:paraId="243F0E2F" w14:textId="77777777" w:rsidR="00D602BC" w:rsidRDefault="00D602BC">
    <w:pPr>
      <w:pStyle w:val="Footer"/>
      <w:jc w:val="center"/>
    </w:pPr>
  </w:p>
  <w:p w14:paraId="220FF705" w14:textId="77777777" w:rsidR="00D602BC" w:rsidRDefault="00D60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4695" w14:textId="77777777" w:rsidR="00D602BC" w:rsidRDefault="00D602BC" w:rsidP="008112C6">
    <w:pPr>
      <w:jc w:val="center"/>
    </w:pPr>
  </w:p>
  <w:p w14:paraId="5652A40F" w14:textId="77777777" w:rsidR="00D602BC" w:rsidRDefault="00D602BC">
    <w:pPr>
      <w:pStyle w:val="Footer"/>
      <w:jc w:val="center"/>
    </w:pPr>
  </w:p>
  <w:p w14:paraId="3B6CBCCD" w14:textId="77777777" w:rsidR="00D602BC" w:rsidRDefault="00D6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DD58" w14:textId="77777777" w:rsidR="00D602BC" w:rsidRDefault="00D602BC" w:rsidP="008112C6">
    <w:pPr>
      <w:jc w:val="center"/>
    </w:pPr>
  </w:p>
  <w:p w14:paraId="5D614804" w14:textId="77777777" w:rsidR="00D602BC" w:rsidRDefault="00D602BC">
    <w:pPr>
      <w:pStyle w:val="Footer"/>
      <w:jc w:val="center"/>
    </w:pPr>
  </w:p>
  <w:p w14:paraId="7814B37E" w14:textId="77777777" w:rsidR="00D602BC" w:rsidRDefault="00D602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7485" w14:textId="77777777" w:rsidR="00D602BC" w:rsidRDefault="00D602BC">
    <w:pPr>
      <w:pStyle w:val="Footer"/>
      <w:jc w:val="center"/>
    </w:pPr>
  </w:p>
  <w:p w14:paraId="7403ED6D" w14:textId="77777777" w:rsidR="00D602BC" w:rsidRDefault="00D60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7B29" w14:textId="77777777" w:rsidR="00D602BC" w:rsidRDefault="00D602BC" w:rsidP="00E02BBC">
      <w:pPr>
        <w:spacing w:after="0" w:line="240" w:lineRule="auto"/>
      </w:pPr>
      <w:r>
        <w:separator/>
      </w:r>
    </w:p>
  </w:footnote>
  <w:footnote w:type="continuationSeparator" w:id="0">
    <w:p w14:paraId="47C09BD4" w14:textId="77777777" w:rsidR="00D602BC" w:rsidRDefault="00D602BC" w:rsidP="00E02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F72"/>
    <w:multiLevelType w:val="hybridMultilevel"/>
    <w:tmpl w:val="306E59A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25984"/>
    <w:multiLevelType w:val="hybridMultilevel"/>
    <w:tmpl w:val="C85E59A8"/>
    <w:lvl w:ilvl="0" w:tplc="DA9E9572">
      <w:start w:val="1"/>
      <w:numFmt w:val="bullet"/>
      <w:lvlText w:val=""/>
      <w:lvlJc w:val="left"/>
      <w:pPr>
        <w:tabs>
          <w:tab w:val="num" w:pos="720"/>
        </w:tabs>
        <w:ind w:left="720" w:hanging="360"/>
      </w:pPr>
      <w:rPr>
        <w:rFonts w:ascii="Symbol" w:hAnsi="Symbol" w:hint="default"/>
      </w:rPr>
    </w:lvl>
    <w:lvl w:ilvl="1" w:tplc="BE509136">
      <w:numFmt w:val="bullet"/>
      <w:lvlText w:val="o"/>
      <w:lvlJc w:val="left"/>
      <w:pPr>
        <w:tabs>
          <w:tab w:val="num" w:pos="1440"/>
        </w:tabs>
        <w:ind w:left="1440" w:hanging="360"/>
      </w:pPr>
      <w:rPr>
        <w:rFonts w:ascii="Courier New" w:hAnsi="Courier New" w:hint="default"/>
      </w:rPr>
    </w:lvl>
    <w:lvl w:ilvl="2" w:tplc="4474A18A">
      <w:start w:val="1"/>
      <w:numFmt w:val="bullet"/>
      <w:lvlText w:val=""/>
      <w:lvlJc w:val="left"/>
      <w:pPr>
        <w:tabs>
          <w:tab w:val="num" w:pos="2160"/>
        </w:tabs>
        <w:ind w:left="2160" w:hanging="360"/>
      </w:pPr>
      <w:rPr>
        <w:rFonts w:ascii="Symbol" w:hAnsi="Symbol" w:hint="default"/>
      </w:rPr>
    </w:lvl>
    <w:lvl w:ilvl="3" w:tplc="ADF653A4" w:tentative="1">
      <w:start w:val="1"/>
      <w:numFmt w:val="bullet"/>
      <w:lvlText w:val=""/>
      <w:lvlJc w:val="left"/>
      <w:pPr>
        <w:tabs>
          <w:tab w:val="num" w:pos="2880"/>
        </w:tabs>
        <w:ind w:left="2880" w:hanging="360"/>
      </w:pPr>
      <w:rPr>
        <w:rFonts w:ascii="Symbol" w:hAnsi="Symbol" w:hint="default"/>
      </w:rPr>
    </w:lvl>
    <w:lvl w:ilvl="4" w:tplc="53CAC9EC" w:tentative="1">
      <w:start w:val="1"/>
      <w:numFmt w:val="bullet"/>
      <w:lvlText w:val=""/>
      <w:lvlJc w:val="left"/>
      <w:pPr>
        <w:tabs>
          <w:tab w:val="num" w:pos="3600"/>
        </w:tabs>
        <w:ind w:left="3600" w:hanging="360"/>
      </w:pPr>
      <w:rPr>
        <w:rFonts w:ascii="Symbol" w:hAnsi="Symbol" w:hint="default"/>
      </w:rPr>
    </w:lvl>
    <w:lvl w:ilvl="5" w:tplc="0BD67312" w:tentative="1">
      <w:start w:val="1"/>
      <w:numFmt w:val="bullet"/>
      <w:lvlText w:val=""/>
      <w:lvlJc w:val="left"/>
      <w:pPr>
        <w:tabs>
          <w:tab w:val="num" w:pos="4320"/>
        </w:tabs>
        <w:ind w:left="4320" w:hanging="360"/>
      </w:pPr>
      <w:rPr>
        <w:rFonts w:ascii="Symbol" w:hAnsi="Symbol" w:hint="default"/>
      </w:rPr>
    </w:lvl>
    <w:lvl w:ilvl="6" w:tplc="D3749188" w:tentative="1">
      <w:start w:val="1"/>
      <w:numFmt w:val="bullet"/>
      <w:lvlText w:val=""/>
      <w:lvlJc w:val="left"/>
      <w:pPr>
        <w:tabs>
          <w:tab w:val="num" w:pos="5040"/>
        </w:tabs>
        <w:ind w:left="5040" w:hanging="360"/>
      </w:pPr>
      <w:rPr>
        <w:rFonts w:ascii="Symbol" w:hAnsi="Symbol" w:hint="default"/>
      </w:rPr>
    </w:lvl>
    <w:lvl w:ilvl="7" w:tplc="94FE4556" w:tentative="1">
      <w:start w:val="1"/>
      <w:numFmt w:val="bullet"/>
      <w:lvlText w:val=""/>
      <w:lvlJc w:val="left"/>
      <w:pPr>
        <w:tabs>
          <w:tab w:val="num" w:pos="5760"/>
        </w:tabs>
        <w:ind w:left="5760" w:hanging="360"/>
      </w:pPr>
      <w:rPr>
        <w:rFonts w:ascii="Symbol" w:hAnsi="Symbol" w:hint="default"/>
      </w:rPr>
    </w:lvl>
    <w:lvl w:ilvl="8" w:tplc="7D664A9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401ED3"/>
    <w:multiLevelType w:val="hybridMultilevel"/>
    <w:tmpl w:val="7F42A6BE"/>
    <w:lvl w:ilvl="0" w:tplc="4E08F52C">
      <w:start w:val="1"/>
      <w:numFmt w:val="bullet"/>
      <w:pStyle w:val="NormalBullet"/>
      <w:lvlText w:val=""/>
      <w:lvlJc w:val="left"/>
      <w:pPr>
        <w:tabs>
          <w:tab w:val="num" w:pos="85"/>
        </w:tabs>
        <w:ind w:left="13" w:hanging="288"/>
      </w:pPr>
      <w:rPr>
        <w:rFonts w:ascii="Symbol" w:hAnsi="Symbol" w:hint="default"/>
      </w:rPr>
    </w:lvl>
    <w:lvl w:ilvl="1" w:tplc="04090003" w:tentative="1">
      <w:start w:val="1"/>
      <w:numFmt w:val="bullet"/>
      <w:lvlText w:val="o"/>
      <w:lvlJc w:val="left"/>
      <w:pPr>
        <w:tabs>
          <w:tab w:val="num" w:pos="877"/>
        </w:tabs>
        <w:ind w:left="877" w:hanging="360"/>
      </w:pPr>
      <w:rPr>
        <w:rFonts w:ascii="Courier New" w:hAnsi="Courier New" w:hint="default"/>
      </w:rPr>
    </w:lvl>
    <w:lvl w:ilvl="2" w:tplc="04090005" w:tentative="1">
      <w:start w:val="1"/>
      <w:numFmt w:val="bullet"/>
      <w:lvlText w:val=""/>
      <w:lvlJc w:val="left"/>
      <w:pPr>
        <w:tabs>
          <w:tab w:val="num" w:pos="1597"/>
        </w:tabs>
        <w:ind w:left="1597" w:hanging="360"/>
      </w:pPr>
      <w:rPr>
        <w:rFonts w:ascii="Wingdings" w:hAnsi="Wingdings" w:hint="default"/>
      </w:rPr>
    </w:lvl>
    <w:lvl w:ilvl="3" w:tplc="04090001" w:tentative="1">
      <w:start w:val="1"/>
      <w:numFmt w:val="bullet"/>
      <w:lvlText w:val=""/>
      <w:lvlJc w:val="left"/>
      <w:pPr>
        <w:tabs>
          <w:tab w:val="num" w:pos="2317"/>
        </w:tabs>
        <w:ind w:left="2317" w:hanging="360"/>
      </w:pPr>
      <w:rPr>
        <w:rFonts w:ascii="Symbol" w:hAnsi="Symbol" w:hint="default"/>
      </w:rPr>
    </w:lvl>
    <w:lvl w:ilvl="4" w:tplc="04090003" w:tentative="1">
      <w:start w:val="1"/>
      <w:numFmt w:val="bullet"/>
      <w:lvlText w:val="o"/>
      <w:lvlJc w:val="left"/>
      <w:pPr>
        <w:tabs>
          <w:tab w:val="num" w:pos="3037"/>
        </w:tabs>
        <w:ind w:left="3037" w:hanging="360"/>
      </w:pPr>
      <w:rPr>
        <w:rFonts w:ascii="Courier New" w:hAnsi="Courier New" w:hint="default"/>
      </w:rPr>
    </w:lvl>
    <w:lvl w:ilvl="5" w:tplc="04090005" w:tentative="1">
      <w:start w:val="1"/>
      <w:numFmt w:val="bullet"/>
      <w:lvlText w:val=""/>
      <w:lvlJc w:val="left"/>
      <w:pPr>
        <w:tabs>
          <w:tab w:val="num" w:pos="3757"/>
        </w:tabs>
        <w:ind w:left="3757" w:hanging="360"/>
      </w:pPr>
      <w:rPr>
        <w:rFonts w:ascii="Wingdings" w:hAnsi="Wingdings" w:hint="default"/>
      </w:rPr>
    </w:lvl>
    <w:lvl w:ilvl="6" w:tplc="04090001" w:tentative="1">
      <w:start w:val="1"/>
      <w:numFmt w:val="bullet"/>
      <w:lvlText w:val=""/>
      <w:lvlJc w:val="left"/>
      <w:pPr>
        <w:tabs>
          <w:tab w:val="num" w:pos="4477"/>
        </w:tabs>
        <w:ind w:left="4477" w:hanging="360"/>
      </w:pPr>
      <w:rPr>
        <w:rFonts w:ascii="Symbol" w:hAnsi="Symbol" w:hint="default"/>
      </w:rPr>
    </w:lvl>
    <w:lvl w:ilvl="7" w:tplc="04090003" w:tentative="1">
      <w:start w:val="1"/>
      <w:numFmt w:val="bullet"/>
      <w:lvlText w:val="o"/>
      <w:lvlJc w:val="left"/>
      <w:pPr>
        <w:tabs>
          <w:tab w:val="num" w:pos="5197"/>
        </w:tabs>
        <w:ind w:left="5197" w:hanging="360"/>
      </w:pPr>
      <w:rPr>
        <w:rFonts w:ascii="Courier New" w:hAnsi="Courier New" w:hint="default"/>
      </w:rPr>
    </w:lvl>
    <w:lvl w:ilvl="8" w:tplc="04090005" w:tentative="1">
      <w:start w:val="1"/>
      <w:numFmt w:val="bullet"/>
      <w:lvlText w:val=""/>
      <w:lvlJc w:val="left"/>
      <w:pPr>
        <w:tabs>
          <w:tab w:val="num" w:pos="5917"/>
        </w:tabs>
        <w:ind w:left="5917" w:hanging="360"/>
      </w:pPr>
      <w:rPr>
        <w:rFonts w:ascii="Wingdings" w:hAnsi="Wingdings" w:hint="default"/>
      </w:rPr>
    </w:lvl>
  </w:abstractNum>
  <w:abstractNum w:abstractNumId="3" w15:restartNumberingAfterBreak="0">
    <w:nsid w:val="0AD00D8E"/>
    <w:multiLevelType w:val="multilevel"/>
    <w:tmpl w:val="530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3AE1"/>
    <w:multiLevelType w:val="hybridMultilevel"/>
    <w:tmpl w:val="AB043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5735FC"/>
    <w:multiLevelType w:val="multilevel"/>
    <w:tmpl w:val="913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E2797"/>
    <w:multiLevelType w:val="hybridMultilevel"/>
    <w:tmpl w:val="01B82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DE74A0"/>
    <w:multiLevelType w:val="hybridMultilevel"/>
    <w:tmpl w:val="B8369D96"/>
    <w:lvl w:ilvl="0" w:tplc="035AE722">
      <w:start w:val="1"/>
      <w:numFmt w:val="decimal"/>
      <w:lvlText w:val="%1."/>
      <w:lvlJc w:val="left"/>
      <w:pPr>
        <w:tabs>
          <w:tab w:val="num" w:pos="360"/>
        </w:tabs>
        <w:ind w:left="360" w:hanging="360"/>
      </w:pPr>
      <w:rPr>
        <w:sz w:val="20"/>
        <w:szCs w:val="2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89B16F5"/>
    <w:multiLevelType w:val="hybridMultilevel"/>
    <w:tmpl w:val="EF808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A3584E"/>
    <w:multiLevelType w:val="hybridMultilevel"/>
    <w:tmpl w:val="B3729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 w15:restartNumberingAfterBreak="0">
    <w:nsid w:val="1D724B8B"/>
    <w:multiLevelType w:val="hybridMultilevel"/>
    <w:tmpl w:val="8B163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046BEA"/>
    <w:multiLevelType w:val="hybridMultilevel"/>
    <w:tmpl w:val="67C20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010B4C"/>
    <w:multiLevelType w:val="hybridMultilevel"/>
    <w:tmpl w:val="385ECC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74C50"/>
    <w:multiLevelType w:val="multilevel"/>
    <w:tmpl w:val="C958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C4DA5"/>
    <w:multiLevelType w:val="hybridMultilevel"/>
    <w:tmpl w:val="0DAE2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346FD9"/>
    <w:multiLevelType w:val="multilevel"/>
    <w:tmpl w:val="703C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317FE"/>
    <w:multiLevelType w:val="multilevel"/>
    <w:tmpl w:val="1C78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691050"/>
    <w:multiLevelType w:val="hybridMultilevel"/>
    <w:tmpl w:val="1F1A8AC0"/>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AA7CBA"/>
    <w:multiLevelType w:val="hybridMultilevel"/>
    <w:tmpl w:val="6E3EB79A"/>
    <w:lvl w:ilvl="0" w:tplc="1700C434">
      <w:start w:val="1"/>
      <w:numFmt w:val="bullet"/>
      <w:lvlText w:val=""/>
      <w:lvlJc w:val="left"/>
      <w:pPr>
        <w:tabs>
          <w:tab w:val="num" w:pos="720"/>
        </w:tabs>
        <w:ind w:left="720" w:hanging="360"/>
      </w:pPr>
      <w:rPr>
        <w:rFonts w:ascii="Symbol" w:hAnsi="Symbol" w:hint="default"/>
      </w:rPr>
    </w:lvl>
    <w:lvl w:ilvl="1" w:tplc="A030E4D2">
      <w:numFmt w:val="bullet"/>
      <w:lvlText w:val="o"/>
      <w:lvlJc w:val="left"/>
      <w:pPr>
        <w:tabs>
          <w:tab w:val="num" w:pos="1440"/>
        </w:tabs>
        <w:ind w:left="1440" w:hanging="360"/>
      </w:pPr>
      <w:rPr>
        <w:rFonts w:ascii="Courier New" w:hAnsi="Courier New" w:hint="default"/>
      </w:rPr>
    </w:lvl>
    <w:lvl w:ilvl="2" w:tplc="F60CB6EA" w:tentative="1">
      <w:start w:val="1"/>
      <w:numFmt w:val="bullet"/>
      <w:lvlText w:val=""/>
      <w:lvlJc w:val="left"/>
      <w:pPr>
        <w:tabs>
          <w:tab w:val="num" w:pos="2160"/>
        </w:tabs>
        <w:ind w:left="2160" w:hanging="360"/>
      </w:pPr>
      <w:rPr>
        <w:rFonts w:ascii="Symbol" w:hAnsi="Symbol" w:hint="default"/>
      </w:rPr>
    </w:lvl>
    <w:lvl w:ilvl="3" w:tplc="BE040F02" w:tentative="1">
      <w:start w:val="1"/>
      <w:numFmt w:val="bullet"/>
      <w:lvlText w:val=""/>
      <w:lvlJc w:val="left"/>
      <w:pPr>
        <w:tabs>
          <w:tab w:val="num" w:pos="2880"/>
        </w:tabs>
        <w:ind w:left="2880" w:hanging="360"/>
      </w:pPr>
      <w:rPr>
        <w:rFonts w:ascii="Symbol" w:hAnsi="Symbol" w:hint="default"/>
      </w:rPr>
    </w:lvl>
    <w:lvl w:ilvl="4" w:tplc="420E9A00" w:tentative="1">
      <w:start w:val="1"/>
      <w:numFmt w:val="bullet"/>
      <w:lvlText w:val=""/>
      <w:lvlJc w:val="left"/>
      <w:pPr>
        <w:tabs>
          <w:tab w:val="num" w:pos="3600"/>
        </w:tabs>
        <w:ind w:left="3600" w:hanging="360"/>
      </w:pPr>
      <w:rPr>
        <w:rFonts w:ascii="Symbol" w:hAnsi="Symbol" w:hint="default"/>
      </w:rPr>
    </w:lvl>
    <w:lvl w:ilvl="5" w:tplc="9BD4A552" w:tentative="1">
      <w:start w:val="1"/>
      <w:numFmt w:val="bullet"/>
      <w:lvlText w:val=""/>
      <w:lvlJc w:val="left"/>
      <w:pPr>
        <w:tabs>
          <w:tab w:val="num" w:pos="4320"/>
        </w:tabs>
        <w:ind w:left="4320" w:hanging="360"/>
      </w:pPr>
      <w:rPr>
        <w:rFonts w:ascii="Symbol" w:hAnsi="Symbol" w:hint="default"/>
      </w:rPr>
    </w:lvl>
    <w:lvl w:ilvl="6" w:tplc="DBB68350" w:tentative="1">
      <w:start w:val="1"/>
      <w:numFmt w:val="bullet"/>
      <w:lvlText w:val=""/>
      <w:lvlJc w:val="left"/>
      <w:pPr>
        <w:tabs>
          <w:tab w:val="num" w:pos="5040"/>
        </w:tabs>
        <w:ind w:left="5040" w:hanging="360"/>
      </w:pPr>
      <w:rPr>
        <w:rFonts w:ascii="Symbol" w:hAnsi="Symbol" w:hint="default"/>
      </w:rPr>
    </w:lvl>
    <w:lvl w:ilvl="7" w:tplc="20A4B9A6" w:tentative="1">
      <w:start w:val="1"/>
      <w:numFmt w:val="bullet"/>
      <w:lvlText w:val=""/>
      <w:lvlJc w:val="left"/>
      <w:pPr>
        <w:tabs>
          <w:tab w:val="num" w:pos="5760"/>
        </w:tabs>
        <w:ind w:left="5760" w:hanging="360"/>
      </w:pPr>
      <w:rPr>
        <w:rFonts w:ascii="Symbol" w:hAnsi="Symbol" w:hint="default"/>
      </w:rPr>
    </w:lvl>
    <w:lvl w:ilvl="8" w:tplc="ACF6EFC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3767C59"/>
    <w:multiLevelType w:val="hybridMultilevel"/>
    <w:tmpl w:val="AD1E005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4568A9"/>
    <w:multiLevelType w:val="hybridMultilevel"/>
    <w:tmpl w:val="C4EE7ACA"/>
    <w:lvl w:ilvl="0" w:tplc="02F4A7F6">
      <w:start w:val="1"/>
      <w:numFmt w:val="bullet"/>
      <w:lvlText w:val=""/>
      <w:lvlJc w:val="left"/>
      <w:pPr>
        <w:tabs>
          <w:tab w:val="num" w:pos="720"/>
        </w:tabs>
        <w:ind w:left="720" w:hanging="360"/>
      </w:pPr>
      <w:rPr>
        <w:rFonts w:ascii="Symbol" w:hAnsi="Symbol" w:hint="default"/>
      </w:rPr>
    </w:lvl>
    <w:lvl w:ilvl="1" w:tplc="2962DAE8" w:tentative="1">
      <w:start w:val="1"/>
      <w:numFmt w:val="bullet"/>
      <w:lvlText w:val=""/>
      <w:lvlJc w:val="left"/>
      <w:pPr>
        <w:tabs>
          <w:tab w:val="num" w:pos="1440"/>
        </w:tabs>
        <w:ind w:left="1440" w:hanging="360"/>
      </w:pPr>
      <w:rPr>
        <w:rFonts w:ascii="Symbol" w:hAnsi="Symbol" w:hint="default"/>
      </w:rPr>
    </w:lvl>
    <w:lvl w:ilvl="2" w:tplc="864EE134" w:tentative="1">
      <w:start w:val="1"/>
      <w:numFmt w:val="bullet"/>
      <w:lvlText w:val=""/>
      <w:lvlJc w:val="left"/>
      <w:pPr>
        <w:tabs>
          <w:tab w:val="num" w:pos="2160"/>
        </w:tabs>
        <w:ind w:left="2160" w:hanging="360"/>
      </w:pPr>
      <w:rPr>
        <w:rFonts w:ascii="Symbol" w:hAnsi="Symbol" w:hint="default"/>
      </w:rPr>
    </w:lvl>
    <w:lvl w:ilvl="3" w:tplc="055A8D94" w:tentative="1">
      <w:start w:val="1"/>
      <w:numFmt w:val="bullet"/>
      <w:lvlText w:val=""/>
      <w:lvlJc w:val="left"/>
      <w:pPr>
        <w:tabs>
          <w:tab w:val="num" w:pos="2880"/>
        </w:tabs>
        <w:ind w:left="2880" w:hanging="360"/>
      </w:pPr>
      <w:rPr>
        <w:rFonts w:ascii="Symbol" w:hAnsi="Symbol" w:hint="default"/>
      </w:rPr>
    </w:lvl>
    <w:lvl w:ilvl="4" w:tplc="11FA02C2" w:tentative="1">
      <w:start w:val="1"/>
      <w:numFmt w:val="bullet"/>
      <w:lvlText w:val=""/>
      <w:lvlJc w:val="left"/>
      <w:pPr>
        <w:tabs>
          <w:tab w:val="num" w:pos="3600"/>
        </w:tabs>
        <w:ind w:left="3600" w:hanging="360"/>
      </w:pPr>
      <w:rPr>
        <w:rFonts w:ascii="Symbol" w:hAnsi="Symbol" w:hint="default"/>
      </w:rPr>
    </w:lvl>
    <w:lvl w:ilvl="5" w:tplc="14F08818" w:tentative="1">
      <w:start w:val="1"/>
      <w:numFmt w:val="bullet"/>
      <w:lvlText w:val=""/>
      <w:lvlJc w:val="left"/>
      <w:pPr>
        <w:tabs>
          <w:tab w:val="num" w:pos="4320"/>
        </w:tabs>
        <w:ind w:left="4320" w:hanging="360"/>
      </w:pPr>
      <w:rPr>
        <w:rFonts w:ascii="Symbol" w:hAnsi="Symbol" w:hint="default"/>
      </w:rPr>
    </w:lvl>
    <w:lvl w:ilvl="6" w:tplc="845C5BB6" w:tentative="1">
      <w:start w:val="1"/>
      <w:numFmt w:val="bullet"/>
      <w:lvlText w:val=""/>
      <w:lvlJc w:val="left"/>
      <w:pPr>
        <w:tabs>
          <w:tab w:val="num" w:pos="5040"/>
        </w:tabs>
        <w:ind w:left="5040" w:hanging="360"/>
      </w:pPr>
      <w:rPr>
        <w:rFonts w:ascii="Symbol" w:hAnsi="Symbol" w:hint="default"/>
      </w:rPr>
    </w:lvl>
    <w:lvl w:ilvl="7" w:tplc="CAC0B8C4" w:tentative="1">
      <w:start w:val="1"/>
      <w:numFmt w:val="bullet"/>
      <w:lvlText w:val=""/>
      <w:lvlJc w:val="left"/>
      <w:pPr>
        <w:tabs>
          <w:tab w:val="num" w:pos="5760"/>
        </w:tabs>
        <w:ind w:left="5760" w:hanging="360"/>
      </w:pPr>
      <w:rPr>
        <w:rFonts w:ascii="Symbol" w:hAnsi="Symbol" w:hint="default"/>
      </w:rPr>
    </w:lvl>
    <w:lvl w:ilvl="8" w:tplc="A8A8DDD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5694DD6"/>
    <w:multiLevelType w:val="hybridMultilevel"/>
    <w:tmpl w:val="B42A3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8E41CC"/>
    <w:multiLevelType w:val="multilevel"/>
    <w:tmpl w:val="CAA49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5CD46F6"/>
    <w:multiLevelType w:val="hybridMultilevel"/>
    <w:tmpl w:val="2D8EF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453017"/>
    <w:multiLevelType w:val="hybridMultilevel"/>
    <w:tmpl w:val="345C20A2"/>
    <w:lvl w:ilvl="0" w:tplc="646CF462">
      <w:start w:val="1"/>
      <w:numFmt w:val="bullet"/>
      <w:lvlText w:val=""/>
      <w:lvlJc w:val="left"/>
      <w:pPr>
        <w:tabs>
          <w:tab w:val="num" w:pos="720"/>
        </w:tabs>
        <w:ind w:left="720" w:hanging="360"/>
      </w:pPr>
      <w:rPr>
        <w:rFonts w:ascii="Symbol" w:hAnsi="Symbol" w:hint="default"/>
      </w:rPr>
    </w:lvl>
    <w:lvl w:ilvl="1" w:tplc="D6C00AF0" w:tentative="1">
      <w:start w:val="1"/>
      <w:numFmt w:val="bullet"/>
      <w:lvlText w:val=""/>
      <w:lvlJc w:val="left"/>
      <w:pPr>
        <w:tabs>
          <w:tab w:val="num" w:pos="1440"/>
        </w:tabs>
        <w:ind w:left="1440" w:hanging="360"/>
      </w:pPr>
      <w:rPr>
        <w:rFonts w:ascii="Symbol" w:hAnsi="Symbol" w:hint="default"/>
      </w:rPr>
    </w:lvl>
    <w:lvl w:ilvl="2" w:tplc="142C5B98" w:tentative="1">
      <w:start w:val="1"/>
      <w:numFmt w:val="bullet"/>
      <w:lvlText w:val=""/>
      <w:lvlJc w:val="left"/>
      <w:pPr>
        <w:tabs>
          <w:tab w:val="num" w:pos="2160"/>
        </w:tabs>
        <w:ind w:left="2160" w:hanging="360"/>
      </w:pPr>
      <w:rPr>
        <w:rFonts w:ascii="Symbol" w:hAnsi="Symbol" w:hint="default"/>
      </w:rPr>
    </w:lvl>
    <w:lvl w:ilvl="3" w:tplc="27D437B2" w:tentative="1">
      <w:start w:val="1"/>
      <w:numFmt w:val="bullet"/>
      <w:lvlText w:val=""/>
      <w:lvlJc w:val="left"/>
      <w:pPr>
        <w:tabs>
          <w:tab w:val="num" w:pos="2880"/>
        </w:tabs>
        <w:ind w:left="2880" w:hanging="360"/>
      </w:pPr>
      <w:rPr>
        <w:rFonts w:ascii="Symbol" w:hAnsi="Symbol" w:hint="default"/>
      </w:rPr>
    </w:lvl>
    <w:lvl w:ilvl="4" w:tplc="F0022CA6" w:tentative="1">
      <w:start w:val="1"/>
      <w:numFmt w:val="bullet"/>
      <w:lvlText w:val=""/>
      <w:lvlJc w:val="left"/>
      <w:pPr>
        <w:tabs>
          <w:tab w:val="num" w:pos="3600"/>
        </w:tabs>
        <w:ind w:left="3600" w:hanging="360"/>
      </w:pPr>
      <w:rPr>
        <w:rFonts w:ascii="Symbol" w:hAnsi="Symbol" w:hint="default"/>
      </w:rPr>
    </w:lvl>
    <w:lvl w:ilvl="5" w:tplc="46103A5A" w:tentative="1">
      <w:start w:val="1"/>
      <w:numFmt w:val="bullet"/>
      <w:lvlText w:val=""/>
      <w:lvlJc w:val="left"/>
      <w:pPr>
        <w:tabs>
          <w:tab w:val="num" w:pos="4320"/>
        </w:tabs>
        <w:ind w:left="4320" w:hanging="360"/>
      </w:pPr>
      <w:rPr>
        <w:rFonts w:ascii="Symbol" w:hAnsi="Symbol" w:hint="default"/>
      </w:rPr>
    </w:lvl>
    <w:lvl w:ilvl="6" w:tplc="FDBA6156" w:tentative="1">
      <w:start w:val="1"/>
      <w:numFmt w:val="bullet"/>
      <w:lvlText w:val=""/>
      <w:lvlJc w:val="left"/>
      <w:pPr>
        <w:tabs>
          <w:tab w:val="num" w:pos="5040"/>
        </w:tabs>
        <w:ind w:left="5040" w:hanging="360"/>
      </w:pPr>
      <w:rPr>
        <w:rFonts w:ascii="Symbol" w:hAnsi="Symbol" w:hint="default"/>
      </w:rPr>
    </w:lvl>
    <w:lvl w:ilvl="7" w:tplc="BB4038DC" w:tentative="1">
      <w:start w:val="1"/>
      <w:numFmt w:val="bullet"/>
      <w:lvlText w:val=""/>
      <w:lvlJc w:val="left"/>
      <w:pPr>
        <w:tabs>
          <w:tab w:val="num" w:pos="5760"/>
        </w:tabs>
        <w:ind w:left="5760" w:hanging="360"/>
      </w:pPr>
      <w:rPr>
        <w:rFonts w:ascii="Symbol" w:hAnsi="Symbol" w:hint="default"/>
      </w:rPr>
    </w:lvl>
    <w:lvl w:ilvl="8" w:tplc="C7B88C9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9B80814"/>
    <w:multiLevelType w:val="multilevel"/>
    <w:tmpl w:val="521A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59153C"/>
    <w:multiLevelType w:val="hybridMultilevel"/>
    <w:tmpl w:val="B160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A609B1"/>
    <w:multiLevelType w:val="hybridMultilevel"/>
    <w:tmpl w:val="EFD69076"/>
    <w:lvl w:ilvl="0" w:tplc="08090003">
      <w:start w:val="1"/>
      <w:numFmt w:val="bullet"/>
      <w:lvlText w:val="o"/>
      <w:lvlJc w:val="left"/>
      <w:pPr>
        <w:ind w:left="1080" w:hanging="360"/>
      </w:pPr>
      <w:rPr>
        <w:rFonts w:ascii="Courier New" w:hAnsi="Courier New" w:cs="Courier New" w:hint="default"/>
      </w:rPr>
    </w:lvl>
    <w:lvl w:ilvl="1" w:tplc="8A8EC9D0">
      <w:start w:val="1"/>
      <w:numFmt w:val="bullet"/>
      <w:lvlText w:val=""/>
      <w:lvlJc w:val="left"/>
      <w:pPr>
        <w:ind w:left="1800" w:hanging="360"/>
      </w:pPr>
      <w:rPr>
        <w:rFonts w:ascii="Wingdings" w:hAnsi="Wingdings" w:hint="default"/>
        <w:color w:val="000000" w:themeColor="text1"/>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5E7C6B"/>
    <w:multiLevelType w:val="hybridMultilevel"/>
    <w:tmpl w:val="CF160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5915D1"/>
    <w:multiLevelType w:val="hybridMultilevel"/>
    <w:tmpl w:val="5D7CDA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2A59A7"/>
    <w:multiLevelType w:val="hybridMultilevel"/>
    <w:tmpl w:val="1D8ABF64"/>
    <w:lvl w:ilvl="0" w:tplc="56E8778E">
      <w:start w:val="1"/>
      <w:numFmt w:val="decimal"/>
      <w:lvlText w:val="S%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52647DD"/>
    <w:multiLevelType w:val="multilevel"/>
    <w:tmpl w:val="6E5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7644FF"/>
    <w:multiLevelType w:val="hybridMultilevel"/>
    <w:tmpl w:val="0A1C3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6F1F1E"/>
    <w:multiLevelType w:val="hybridMultilevel"/>
    <w:tmpl w:val="F49A5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097EBE"/>
    <w:multiLevelType w:val="hybridMultilevel"/>
    <w:tmpl w:val="293E8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7116D4"/>
    <w:multiLevelType w:val="hybridMultilevel"/>
    <w:tmpl w:val="F6329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134594"/>
    <w:multiLevelType w:val="hybridMultilevel"/>
    <w:tmpl w:val="F5FED4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9B0CE0"/>
    <w:multiLevelType w:val="hybridMultilevel"/>
    <w:tmpl w:val="2D34AC9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BF806D5"/>
    <w:multiLevelType w:val="hybridMultilevel"/>
    <w:tmpl w:val="E654CDA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C37700A"/>
    <w:multiLevelType w:val="hybridMultilevel"/>
    <w:tmpl w:val="2132FE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D392709"/>
    <w:multiLevelType w:val="hybridMultilevel"/>
    <w:tmpl w:val="5BEE2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B04006"/>
    <w:multiLevelType w:val="hybridMultilevel"/>
    <w:tmpl w:val="ECF40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2E25EA"/>
    <w:multiLevelType w:val="hybridMultilevel"/>
    <w:tmpl w:val="B8369D96"/>
    <w:lvl w:ilvl="0" w:tplc="035AE722">
      <w:start w:val="1"/>
      <w:numFmt w:val="decimal"/>
      <w:lvlText w:val="%1."/>
      <w:lvlJc w:val="left"/>
      <w:pPr>
        <w:tabs>
          <w:tab w:val="num" w:pos="360"/>
        </w:tabs>
        <w:ind w:left="360" w:hanging="360"/>
      </w:pPr>
      <w:rPr>
        <w:sz w:val="20"/>
        <w:szCs w:val="2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673356EB"/>
    <w:multiLevelType w:val="multilevel"/>
    <w:tmpl w:val="8B9A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556B20"/>
    <w:multiLevelType w:val="hybridMultilevel"/>
    <w:tmpl w:val="C16E1C26"/>
    <w:lvl w:ilvl="0" w:tplc="FCBC48EA">
      <w:start w:val="1"/>
      <w:numFmt w:val="decimal"/>
      <w:lvlText w:val="%1"/>
      <w:lvlJc w:val="right"/>
      <w:pPr>
        <w:ind w:left="720" w:hanging="360"/>
      </w:pPr>
      <w:rPr>
        <w:rFonts w:ascii="Calibri" w:hAnsi="Calibri" w:hint="default"/>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574B7B"/>
    <w:multiLevelType w:val="multilevel"/>
    <w:tmpl w:val="C520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C52D57"/>
    <w:multiLevelType w:val="hybridMultilevel"/>
    <w:tmpl w:val="721E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C734E"/>
    <w:multiLevelType w:val="hybridMultilevel"/>
    <w:tmpl w:val="8FE84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AB41B60"/>
    <w:multiLevelType w:val="hybridMultilevel"/>
    <w:tmpl w:val="CC3E07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B74755B"/>
    <w:multiLevelType w:val="hybridMultilevel"/>
    <w:tmpl w:val="E8C672D8"/>
    <w:lvl w:ilvl="0" w:tplc="08090003">
      <w:start w:val="1"/>
      <w:numFmt w:val="bullet"/>
      <w:lvlText w:val="o"/>
      <w:lvlJc w:val="left"/>
      <w:pPr>
        <w:ind w:left="720" w:hanging="360"/>
      </w:pPr>
      <w:rPr>
        <w:rFonts w:ascii="Courier New" w:hAnsi="Courier New" w:cs="Courier New" w:hint="default"/>
      </w:rPr>
    </w:lvl>
    <w:lvl w:ilvl="1" w:tplc="8A8EC9D0">
      <w:start w:val="1"/>
      <w:numFmt w:val="bullet"/>
      <w:lvlText w:val=""/>
      <w:lvlJc w:val="left"/>
      <w:pPr>
        <w:ind w:left="1440" w:hanging="360"/>
      </w:pPr>
      <w:rPr>
        <w:rFonts w:ascii="Wingdings" w:hAnsi="Wingdings"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916E1F"/>
    <w:multiLevelType w:val="hybridMultilevel"/>
    <w:tmpl w:val="4DD692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2"/>
  </w:num>
  <w:num w:numId="2">
    <w:abstractNumId w:val="33"/>
  </w:num>
  <w:num w:numId="3">
    <w:abstractNumId w:val="46"/>
  </w:num>
  <w:num w:numId="4">
    <w:abstractNumId w:val="13"/>
  </w:num>
  <w:num w:numId="5">
    <w:abstractNumId w:val="5"/>
  </w:num>
  <w:num w:numId="6">
    <w:abstractNumId w:val="45"/>
  </w:num>
  <w:num w:numId="7">
    <w:abstractNumId w:val="15"/>
  </w:num>
  <w:num w:numId="8">
    <w:abstractNumId w:val="25"/>
  </w:num>
  <w:num w:numId="9">
    <w:abstractNumId w:val="3"/>
  </w:num>
  <w:num w:numId="10">
    <w:abstractNumId w:val="31"/>
  </w:num>
  <w:num w:numId="11">
    <w:abstractNumId w:val="16"/>
  </w:num>
  <w:num w:numId="12">
    <w:abstractNumId w:val="43"/>
  </w:num>
  <w:num w:numId="13">
    <w:abstractNumId w:val="2"/>
  </w:num>
  <w:num w:numId="14">
    <w:abstractNumId w:val="48"/>
  </w:num>
  <w:num w:numId="15">
    <w:abstractNumId w:val="47"/>
  </w:num>
  <w:num w:numId="16">
    <w:abstractNumId w:val="11"/>
  </w:num>
  <w:num w:numId="17">
    <w:abstractNumId w:val="35"/>
  </w:num>
  <w:num w:numId="18">
    <w:abstractNumId w:val="12"/>
  </w:num>
  <w:num w:numId="19">
    <w:abstractNumId w:val="28"/>
  </w:num>
  <w:num w:numId="20">
    <w:abstractNumId w:val="23"/>
  </w:num>
  <w:num w:numId="21">
    <w:abstractNumId w:val="26"/>
  </w:num>
  <w:num w:numId="22">
    <w:abstractNumId w:val="34"/>
  </w:num>
  <w:num w:numId="23">
    <w:abstractNumId w:val="8"/>
  </w:num>
  <w:num w:numId="24">
    <w:abstractNumId w:val="41"/>
  </w:num>
  <w:num w:numId="25">
    <w:abstractNumId w:val="4"/>
  </w:num>
  <w:num w:numId="26">
    <w:abstractNumId w:val="39"/>
  </w:num>
  <w:num w:numId="27">
    <w:abstractNumId w:val="40"/>
  </w:num>
  <w:num w:numId="28">
    <w:abstractNumId w:val="6"/>
  </w:num>
  <w:num w:numId="29">
    <w:abstractNumId w:val="10"/>
  </w:num>
  <w:num w:numId="30">
    <w:abstractNumId w:val="7"/>
  </w:num>
  <w:num w:numId="31">
    <w:abstractNumId w:val="30"/>
  </w:num>
  <w:num w:numId="32">
    <w:abstractNumId w:val="14"/>
  </w:num>
  <w:num w:numId="33">
    <w:abstractNumId w:val="42"/>
  </w:num>
  <w:num w:numId="34">
    <w:abstractNumId w:val="20"/>
  </w:num>
  <w:num w:numId="35">
    <w:abstractNumId w:val="24"/>
  </w:num>
  <w:num w:numId="36">
    <w:abstractNumId w:val="1"/>
  </w:num>
  <w:num w:numId="37">
    <w:abstractNumId w:val="18"/>
  </w:num>
  <w:num w:numId="38">
    <w:abstractNumId w:val="38"/>
  </w:num>
  <w:num w:numId="39">
    <w:abstractNumId w:val="50"/>
  </w:num>
  <w:num w:numId="40">
    <w:abstractNumId w:val="36"/>
  </w:num>
  <w:num w:numId="41">
    <w:abstractNumId w:val="19"/>
  </w:num>
  <w:num w:numId="42">
    <w:abstractNumId w:val="29"/>
  </w:num>
  <w:num w:numId="43">
    <w:abstractNumId w:val="22"/>
  </w:num>
  <w:num w:numId="44">
    <w:abstractNumId w:val="21"/>
  </w:num>
  <w:num w:numId="45">
    <w:abstractNumId w:val="49"/>
  </w:num>
  <w:num w:numId="46">
    <w:abstractNumId w:val="27"/>
  </w:num>
  <w:num w:numId="47">
    <w:abstractNumId w:val="9"/>
  </w:num>
  <w:num w:numId="48">
    <w:abstractNumId w:val="17"/>
  </w:num>
  <w:num w:numId="49">
    <w:abstractNumId w:val="0"/>
  </w:num>
  <w:num w:numId="50">
    <w:abstractNumId w:val="37"/>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68"/>
    <w:rsid w:val="000040D4"/>
    <w:rsid w:val="00004940"/>
    <w:rsid w:val="00007672"/>
    <w:rsid w:val="000128FD"/>
    <w:rsid w:val="00014555"/>
    <w:rsid w:val="00020359"/>
    <w:rsid w:val="00020842"/>
    <w:rsid w:val="0002225A"/>
    <w:rsid w:val="00023101"/>
    <w:rsid w:val="0002460C"/>
    <w:rsid w:val="00026ED9"/>
    <w:rsid w:val="000305FB"/>
    <w:rsid w:val="000307CB"/>
    <w:rsid w:val="00031FE0"/>
    <w:rsid w:val="000401BF"/>
    <w:rsid w:val="00043C60"/>
    <w:rsid w:val="00045AAA"/>
    <w:rsid w:val="00051892"/>
    <w:rsid w:val="00053590"/>
    <w:rsid w:val="00053E90"/>
    <w:rsid w:val="00054819"/>
    <w:rsid w:val="00054AEA"/>
    <w:rsid w:val="000568CA"/>
    <w:rsid w:val="00061491"/>
    <w:rsid w:val="000626BF"/>
    <w:rsid w:val="00065962"/>
    <w:rsid w:val="00071948"/>
    <w:rsid w:val="00073DAA"/>
    <w:rsid w:val="00074959"/>
    <w:rsid w:val="0007553F"/>
    <w:rsid w:val="000829E7"/>
    <w:rsid w:val="00084229"/>
    <w:rsid w:val="00084DC4"/>
    <w:rsid w:val="00087D69"/>
    <w:rsid w:val="00091EC2"/>
    <w:rsid w:val="000928CD"/>
    <w:rsid w:val="00092D32"/>
    <w:rsid w:val="0009755F"/>
    <w:rsid w:val="000A0B8C"/>
    <w:rsid w:val="000A525E"/>
    <w:rsid w:val="000A7E40"/>
    <w:rsid w:val="000B2486"/>
    <w:rsid w:val="000B2EF8"/>
    <w:rsid w:val="000B3363"/>
    <w:rsid w:val="000B5306"/>
    <w:rsid w:val="000B7211"/>
    <w:rsid w:val="000B762E"/>
    <w:rsid w:val="000C1BE3"/>
    <w:rsid w:val="000C2277"/>
    <w:rsid w:val="000C6F0C"/>
    <w:rsid w:val="000C7163"/>
    <w:rsid w:val="000C7C65"/>
    <w:rsid w:val="000D10F4"/>
    <w:rsid w:val="000D18B5"/>
    <w:rsid w:val="000E0D3B"/>
    <w:rsid w:val="000E3E6B"/>
    <w:rsid w:val="000E4628"/>
    <w:rsid w:val="000E5837"/>
    <w:rsid w:val="000E583F"/>
    <w:rsid w:val="000F0107"/>
    <w:rsid w:val="000F198E"/>
    <w:rsid w:val="000F3D88"/>
    <w:rsid w:val="00101B4B"/>
    <w:rsid w:val="00102716"/>
    <w:rsid w:val="0010410D"/>
    <w:rsid w:val="0010471B"/>
    <w:rsid w:val="00104FA8"/>
    <w:rsid w:val="00107635"/>
    <w:rsid w:val="001132FB"/>
    <w:rsid w:val="00113C23"/>
    <w:rsid w:val="00113D48"/>
    <w:rsid w:val="00114427"/>
    <w:rsid w:val="00116C21"/>
    <w:rsid w:val="00122144"/>
    <w:rsid w:val="00124F52"/>
    <w:rsid w:val="00125CBD"/>
    <w:rsid w:val="00125FF2"/>
    <w:rsid w:val="00126641"/>
    <w:rsid w:val="00126BC9"/>
    <w:rsid w:val="0012789F"/>
    <w:rsid w:val="0013142A"/>
    <w:rsid w:val="001325CE"/>
    <w:rsid w:val="00132937"/>
    <w:rsid w:val="00133394"/>
    <w:rsid w:val="00135DCF"/>
    <w:rsid w:val="00136863"/>
    <w:rsid w:val="00137904"/>
    <w:rsid w:val="00140EE8"/>
    <w:rsid w:val="00143820"/>
    <w:rsid w:val="0014395E"/>
    <w:rsid w:val="0014617F"/>
    <w:rsid w:val="001477EB"/>
    <w:rsid w:val="00147BCB"/>
    <w:rsid w:val="00150854"/>
    <w:rsid w:val="001517ED"/>
    <w:rsid w:val="00151BFF"/>
    <w:rsid w:val="001529AA"/>
    <w:rsid w:val="00152FC7"/>
    <w:rsid w:val="00155162"/>
    <w:rsid w:val="00156276"/>
    <w:rsid w:val="00156D77"/>
    <w:rsid w:val="00160423"/>
    <w:rsid w:val="0016204F"/>
    <w:rsid w:val="00162D91"/>
    <w:rsid w:val="001651DC"/>
    <w:rsid w:val="00165E77"/>
    <w:rsid w:val="00165F21"/>
    <w:rsid w:val="00166C4F"/>
    <w:rsid w:val="00167B63"/>
    <w:rsid w:val="001730DD"/>
    <w:rsid w:val="00174130"/>
    <w:rsid w:val="001744A7"/>
    <w:rsid w:val="001770B9"/>
    <w:rsid w:val="0018158D"/>
    <w:rsid w:val="00184718"/>
    <w:rsid w:val="001914E3"/>
    <w:rsid w:val="0019232F"/>
    <w:rsid w:val="00193293"/>
    <w:rsid w:val="00195070"/>
    <w:rsid w:val="001955C9"/>
    <w:rsid w:val="00195CBE"/>
    <w:rsid w:val="00195E05"/>
    <w:rsid w:val="001972E7"/>
    <w:rsid w:val="001A4B00"/>
    <w:rsid w:val="001B06F1"/>
    <w:rsid w:val="001B2877"/>
    <w:rsid w:val="001B3535"/>
    <w:rsid w:val="001B48AA"/>
    <w:rsid w:val="001B4BB4"/>
    <w:rsid w:val="001C0C1B"/>
    <w:rsid w:val="001C3361"/>
    <w:rsid w:val="001C44FE"/>
    <w:rsid w:val="001C5298"/>
    <w:rsid w:val="001D02ED"/>
    <w:rsid w:val="001D0452"/>
    <w:rsid w:val="001D34C7"/>
    <w:rsid w:val="001D4A62"/>
    <w:rsid w:val="001D576E"/>
    <w:rsid w:val="001E1312"/>
    <w:rsid w:val="001E1E21"/>
    <w:rsid w:val="001E380F"/>
    <w:rsid w:val="001E43E3"/>
    <w:rsid w:val="001E5E7B"/>
    <w:rsid w:val="001F15D1"/>
    <w:rsid w:val="001F6DF6"/>
    <w:rsid w:val="001F78F5"/>
    <w:rsid w:val="00201EF0"/>
    <w:rsid w:val="002022FC"/>
    <w:rsid w:val="00202917"/>
    <w:rsid w:val="00202B8B"/>
    <w:rsid w:val="00202F67"/>
    <w:rsid w:val="0020619E"/>
    <w:rsid w:val="00206B8A"/>
    <w:rsid w:val="00207430"/>
    <w:rsid w:val="00210651"/>
    <w:rsid w:val="00211D81"/>
    <w:rsid w:val="00213CA6"/>
    <w:rsid w:val="0021436B"/>
    <w:rsid w:val="002161EE"/>
    <w:rsid w:val="00220CBE"/>
    <w:rsid w:val="002217F2"/>
    <w:rsid w:val="00223301"/>
    <w:rsid w:val="002239AB"/>
    <w:rsid w:val="002335DE"/>
    <w:rsid w:val="00233F9B"/>
    <w:rsid w:val="0023524F"/>
    <w:rsid w:val="002356B4"/>
    <w:rsid w:val="00240D3F"/>
    <w:rsid w:val="00242801"/>
    <w:rsid w:val="00245410"/>
    <w:rsid w:val="00245486"/>
    <w:rsid w:val="00246BF1"/>
    <w:rsid w:val="0025068C"/>
    <w:rsid w:val="00250A56"/>
    <w:rsid w:val="00251301"/>
    <w:rsid w:val="00251565"/>
    <w:rsid w:val="002518B0"/>
    <w:rsid w:val="002545C7"/>
    <w:rsid w:val="0025529A"/>
    <w:rsid w:val="00262911"/>
    <w:rsid w:val="002645DF"/>
    <w:rsid w:val="00266392"/>
    <w:rsid w:val="0026694E"/>
    <w:rsid w:val="00267173"/>
    <w:rsid w:val="002706CE"/>
    <w:rsid w:val="002721D0"/>
    <w:rsid w:val="00274837"/>
    <w:rsid w:val="00280E82"/>
    <w:rsid w:val="0028245C"/>
    <w:rsid w:val="00287010"/>
    <w:rsid w:val="00291CBE"/>
    <w:rsid w:val="00293766"/>
    <w:rsid w:val="00294EB2"/>
    <w:rsid w:val="002957FF"/>
    <w:rsid w:val="00295BCC"/>
    <w:rsid w:val="002961EB"/>
    <w:rsid w:val="00296B0C"/>
    <w:rsid w:val="00297E88"/>
    <w:rsid w:val="002A2299"/>
    <w:rsid w:val="002A3E46"/>
    <w:rsid w:val="002A5834"/>
    <w:rsid w:val="002A7D39"/>
    <w:rsid w:val="002B1688"/>
    <w:rsid w:val="002B21D9"/>
    <w:rsid w:val="002B3FB4"/>
    <w:rsid w:val="002B47AC"/>
    <w:rsid w:val="002B4B1E"/>
    <w:rsid w:val="002B633F"/>
    <w:rsid w:val="002B7DDF"/>
    <w:rsid w:val="002C03FB"/>
    <w:rsid w:val="002C07FA"/>
    <w:rsid w:val="002C0C0F"/>
    <w:rsid w:val="002C233C"/>
    <w:rsid w:val="002C5940"/>
    <w:rsid w:val="002C778E"/>
    <w:rsid w:val="002C793B"/>
    <w:rsid w:val="002C7A62"/>
    <w:rsid w:val="002D2033"/>
    <w:rsid w:val="002D2A71"/>
    <w:rsid w:val="002D3CB4"/>
    <w:rsid w:val="002D5269"/>
    <w:rsid w:val="002D6583"/>
    <w:rsid w:val="002E1916"/>
    <w:rsid w:val="002E3885"/>
    <w:rsid w:val="002E5F5E"/>
    <w:rsid w:val="002E616A"/>
    <w:rsid w:val="002F1379"/>
    <w:rsid w:val="002F13ED"/>
    <w:rsid w:val="002F2176"/>
    <w:rsid w:val="002F286D"/>
    <w:rsid w:val="002F29DC"/>
    <w:rsid w:val="002F7222"/>
    <w:rsid w:val="0030121F"/>
    <w:rsid w:val="00305A8C"/>
    <w:rsid w:val="00307F99"/>
    <w:rsid w:val="00311A7B"/>
    <w:rsid w:val="00312485"/>
    <w:rsid w:val="00312A1D"/>
    <w:rsid w:val="00314C35"/>
    <w:rsid w:val="00314E4F"/>
    <w:rsid w:val="003162A3"/>
    <w:rsid w:val="0031668F"/>
    <w:rsid w:val="00316FF5"/>
    <w:rsid w:val="0032057B"/>
    <w:rsid w:val="00320C66"/>
    <w:rsid w:val="003242C2"/>
    <w:rsid w:val="0032646A"/>
    <w:rsid w:val="00326D71"/>
    <w:rsid w:val="003271CE"/>
    <w:rsid w:val="00332482"/>
    <w:rsid w:val="00333517"/>
    <w:rsid w:val="003337F6"/>
    <w:rsid w:val="003342DF"/>
    <w:rsid w:val="00336308"/>
    <w:rsid w:val="00337292"/>
    <w:rsid w:val="003433C4"/>
    <w:rsid w:val="0034674E"/>
    <w:rsid w:val="00347061"/>
    <w:rsid w:val="00350FE0"/>
    <w:rsid w:val="00351B87"/>
    <w:rsid w:val="003531B5"/>
    <w:rsid w:val="003565C1"/>
    <w:rsid w:val="003569CB"/>
    <w:rsid w:val="00362F9B"/>
    <w:rsid w:val="003642B6"/>
    <w:rsid w:val="00366E40"/>
    <w:rsid w:val="003678D6"/>
    <w:rsid w:val="00370D91"/>
    <w:rsid w:val="0037131E"/>
    <w:rsid w:val="00373697"/>
    <w:rsid w:val="00373FBA"/>
    <w:rsid w:val="00374185"/>
    <w:rsid w:val="00376DA9"/>
    <w:rsid w:val="00376E08"/>
    <w:rsid w:val="00384ED6"/>
    <w:rsid w:val="003914FA"/>
    <w:rsid w:val="0039195F"/>
    <w:rsid w:val="00392210"/>
    <w:rsid w:val="00392618"/>
    <w:rsid w:val="0039621C"/>
    <w:rsid w:val="003A0E56"/>
    <w:rsid w:val="003A3855"/>
    <w:rsid w:val="003A7DD9"/>
    <w:rsid w:val="003A7F67"/>
    <w:rsid w:val="003B09A1"/>
    <w:rsid w:val="003B12BB"/>
    <w:rsid w:val="003B1F56"/>
    <w:rsid w:val="003B2461"/>
    <w:rsid w:val="003B4755"/>
    <w:rsid w:val="003C192F"/>
    <w:rsid w:val="003C58A2"/>
    <w:rsid w:val="003C61F4"/>
    <w:rsid w:val="003D2C45"/>
    <w:rsid w:val="003D6AFC"/>
    <w:rsid w:val="003D70A0"/>
    <w:rsid w:val="003D74F3"/>
    <w:rsid w:val="003E74B7"/>
    <w:rsid w:val="003E7A06"/>
    <w:rsid w:val="003E7BFD"/>
    <w:rsid w:val="003F077F"/>
    <w:rsid w:val="003F2AF5"/>
    <w:rsid w:val="003F367B"/>
    <w:rsid w:val="003F441B"/>
    <w:rsid w:val="003F5BA9"/>
    <w:rsid w:val="003F5F5C"/>
    <w:rsid w:val="003F6624"/>
    <w:rsid w:val="0040198A"/>
    <w:rsid w:val="00402827"/>
    <w:rsid w:val="004053E0"/>
    <w:rsid w:val="004120C1"/>
    <w:rsid w:val="004129F4"/>
    <w:rsid w:val="00412CA9"/>
    <w:rsid w:val="00412FE2"/>
    <w:rsid w:val="004143DA"/>
    <w:rsid w:val="00414CF5"/>
    <w:rsid w:val="00420A6E"/>
    <w:rsid w:val="0042156D"/>
    <w:rsid w:val="00421B4F"/>
    <w:rsid w:val="0042481C"/>
    <w:rsid w:val="00424D31"/>
    <w:rsid w:val="0042599F"/>
    <w:rsid w:val="004263D5"/>
    <w:rsid w:val="0043047D"/>
    <w:rsid w:val="0043528C"/>
    <w:rsid w:val="004359E6"/>
    <w:rsid w:val="004372A5"/>
    <w:rsid w:val="00437A7B"/>
    <w:rsid w:val="00445B38"/>
    <w:rsid w:val="004461D2"/>
    <w:rsid w:val="004527D1"/>
    <w:rsid w:val="00453608"/>
    <w:rsid w:val="004536B4"/>
    <w:rsid w:val="004542E5"/>
    <w:rsid w:val="004549B6"/>
    <w:rsid w:val="004565AB"/>
    <w:rsid w:val="004568F4"/>
    <w:rsid w:val="00456CDE"/>
    <w:rsid w:val="004608BC"/>
    <w:rsid w:val="00461933"/>
    <w:rsid w:val="00471D0E"/>
    <w:rsid w:val="004731C2"/>
    <w:rsid w:val="0048046B"/>
    <w:rsid w:val="00487582"/>
    <w:rsid w:val="00490656"/>
    <w:rsid w:val="00492709"/>
    <w:rsid w:val="00492745"/>
    <w:rsid w:val="00492DC6"/>
    <w:rsid w:val="00493880"/>
    <w:rsid w:val="00494E3C"/>
    <w:rsid w:val="004A03D6"/>
    <w:rsid w:val="004A3AE4"/>
    <w:rsid w:val="004A59E8"/>
    <w:rsid w:val="004A69B9"/>
    <w:rsid w:val="004B41B0"/>
    <w:rsid w:val="004B7E99"/>
    <w:rsid w:val="004C17BD"/>
    <w:rsid w:val="004C6947"/>
    <w:rsid w:val="004C7B0F"/>
    <w:rsid w:val="004D0885"/>
    <w:rsid w:val="004D419D"/>
    <w:rsid w:val="004D48BE"/>
    <w:rsid w:val="004D7CD9"/>
    <w:rsid w:val="004E0DD3"/>
    <w:rsid w:val="004E1FEE"/>
    <w:rsid w:val="004E4829"/>
    <w:rsid w:val="004E4F63"/>
    <w:rsid w:val="004E5012"/>
    <w:rsid w:val="004E65F3"/>
    <w:rsid w:val="004E6A15"/>
    <w:rsid w:val="004E6E46"/>
    <w:rsid w:val="004E71FD"/>
    <w:rsid w:val="004E76A0"/>
    <w:rsid w:val="004E76DE"/>
    <w:rsid w:val="004E7A66"/>
    <w:rsid w:val="004F03E4"/>
    <w:rsid w:val="004F0DCE"/>
    <w:rsid w:val="004F4E42"/>
    <w:rsid w:val="004F7F5B"/>
    <w:rsid w:val="00501AE3"/>
    <w:rsid w:val="00504A94"/>
    <w:rsid w:val="005059EA"/>
    <w:rsid w:val="0050716A"/>
    <w:rsid w:val="005079E9"/>
    <w:rsid w:val="00507A88"/>
    <w:rsid w:val="00512073"/>
    <w:rsid w:val="00513840"/>
    <w:rsid w:val="005143F2"/>
    <w:rsid w:val="00522646"/>
    <w:rsid w:val="0052337E"/>
    <w:rsid w:val="00524A9A"/>
    <w:rsid w:val="00524E7B"/>
    <w:rsid w:val="0052639B"/>
    <w:rsid w:val="00526DDD"/>
    <w:rsid w:val="00527BF1"/>
    <w:rsid w:val="00532AA3"/>
    <w:rsid w:val="00536BBF"/>
    <w:rsid w:val="0054021F"/>
    <w:rsid w:val="0054280C"/>
    <w:rsid w:val="00542E48"/>
    <w:rsid w:val="00545698"/>
    <w:rsid w:val="005466C5"/>
    <w:rsid w:val="00550E97"/>
    <w:rsid w:val="005527AA"/>
    <w:rsid w:val="00553EF6"/>
    <w:rsid w:val="00556A70"/>
    <w:rsid w:val="00557D7E"/>
    <w:rsid w:val="00557FE9"/>
    <w:rsid w:val="005607BC"/>
    <w:rsid w:val="00560EC9"/>
    <w:rsid w:val="00561023"/>
    <w:rsid w:val="00562635"/>
    <w:rsid w:val="00562AAF"/>
    <w:rsid w:val="00564811"/>
    <w:rsid w:val="00565091"/>
    <w:rsid w:val="005653F2"/>
    <w:rsid w:val="00565A65"/>
    <w:rsid w:val="00566896"/>
    <w:rsid w:val="00566B75"/>
    <w:rsid w:val="00566F46"/>
    <w:rsid w:val="00567248"/>
    <w:rsid w:val="00571333"/>
    <w:rsid w:val="00572A4D"/>
    <w:rsid w:val="0057337B"/>
    <w:rsid w:val="005743A3"/>
    <w:rsid w:val="0057595B"/>
    <w:rsid w:val="005776AD"/>
    <w:rsid w:val="00584229"/>
    <w:rsid w:val="00585E0C"/>
    <w:rsid w:val="005872F8"/>
    <w:rsid w:val="00592588"/>
    <w:rsid w:val="00594980"/>
    <w:rsid w:val="00595CFF"/>
    <w:rsid w:val="005A0617"/>
    <w:rsid w:val="005A21E1"/>
    <w:rsid w:val="005A2387"/>
    <w:rsid w:val="005A2E96"/>
    <w:rsid w:val="005A30CD"/>
    <w:rsid w:val="005A6A5C"/>
    <w:rsid w:val="005A7D03"/>
    <w:rsid w:val="005B0C99"/>
    <w:rsid w:val="005B1AAD"/>
    <w:rsid w:val="005B4301"/>
    <w:rsid w:val="005B476C"/>
    <w:rsid w:val="005B4F47"/>
    <w:rsid w:val="005B5C88"/>
    <w:rsid w:val="005C0185"/>
    <w:rsid w:val="005C3FBF"/>
    <w:rsid w:val="005C6ADA"/>
    <w:rsid w:val="005D2C30"/>
    <w:rsid w:val="005D67FA"/>
    <w:rsid w:val="005D70BC"/>
    <w:rsid w:val="005D7BBA"/>
    <w:rsid w:val="005E6EF5"/>
    <w:rsid w:val="005E714F"/>
    <w:rsid w:val="005F14CE"/>
    <w:rsid w:val="005F2099"/>
    <w:rsid w:val="005F377F"/>
    <w:rsid w:val="005F6330"/>
    <w:rsid w:val="006000A5"/>
    <w:rsid w:val="00601AF7"/>
    <w:rsid w:val="00605768"/>
    <w:rsid w:val="00606895"/>
    <w:rsid w:val="00606946"/>
    <w:rsid w:val="006138C0"/>
    <w:rsid w:val="006153B6"/>
    <w:rsid w:val="00625141"/>
    <w:rsid w:val="00625E1B"/>
    <w:rsid w:val="00626626"/>
    <w:rsid w:val="006305CB"/>
    <w:rsid w:val="00630D43"/>
    <w:rsid w:val="00631074"/>
    <w:rsid w:val="0063214E"/>
    <w:rsid w:val="00634191"/>
    <w:rsid w:val="00636481"/>
    <w:rsid w:val="00641609"/>
    <w:rsid w:val="006417C5"/>
    <w:rsid w:val="00641A60"/>
    <w:rsid w:val="00643AB4"/>
    <w:rsid w:val="006444A7"/>
    <w:rsid w:val="00645638"/>
    <w:rsid w:val="0064700F"/>
    <w:rsid w:val="00647DAF"/>
    <w:rsid w:val="006512C7"/>
    <w:rsid w:val="006567E0"/>
    <w:rsid w:val="00661ABC"/>
    <w:rsid w:val="00662AEB"/>
    <w:rsid w:val="00664AA1"/>
    <w:rsid w:val="00670C70"/>
    <w:rsid w:val="00671CD3"/>
    <w:rsid w:val="00672097"/>
    <w:rsid w:val="00672134"/>
    <w:rsid w:val="0067239B"/>
    <w:rsid w:val="00672783"/>
    <w:rsid w:val="00674567"/>
    <w:rsid w:val="00676376"/>
    <w:rsid w:val="006764F5"/>
    <w:rsid w:val="00681D9F"/>
    <w:rsid w:val="00684D33"/>
    <w:rsid w:val="006871D4"/>
    <w:rsid w:val="00692DBA"/>
    <w:rsid w:val="0069457E"/>
    <w:rsid w:val="00695B79"/>
    <w:rsid w:val="00697687"/>
    <w:rsid w:val="006A2C81"/>
    <w:rsid w:val="006A52CE"/>
    <w:rsid w:val="006A5743"/>
    <w:rsid w:val="006A5FC3"/>
    <w:rsid w:val="006A6AC3"/>
    <w:rsid w:val="006B1983"/>
    <w:rsid w:val="006B23F0"/>
    <w:rsid w:val="006B37CE"/>
    <w:rsid w:val="006B4C43"/>
    <w:rsid w:val="006B6174"/>
    <w:rsid w:val="006B6C00"/>
    <w:rsid w:val="006B7E94"/>
    <w:rsid w:val="006C05D1"/>
    <w:rsid w:val="006C1094"/>
    <w:rsid w:val="006C2328"/>
    <w:rsid w:val="006C39FA"/>
    <w:rsid w:val="006C5E7C"/>
    <w:rsid w:val="006C779D"/>
    <w:rsid w:val="006D0431"/>
    <w:rsid w:val="006D067B"/>
    <w:rsid w:val="006D1969"/>
    <w:rsid w:val="006D26ED"/>
    <w:rsid w:val="006D51EF"/>
    <w:rsid w:val="006D776D"/>
    <w:rsid w:val="006E0375"/>
    <w:rsid w:val="006E52D4"/>
    <w:rsid w:val="006E54FF"/>
    <w:rsid w:val="006E7C16"/>
    <w:rsid w:val="006F01AA"/>
    <w:rsid w:val="006F09F9"/>
    <w:rsid w:val="006F7776"/>
    <w:rsid w:val="006F7882"/>
    <w:rsid w:val="006F7BEF"/>
    <w:rsid w:val="006F7DCB"/>
    <w:rsid w:val="00701EFB"/>
    <w:rsid w:val="00702A05"/>
    <w:rsid w:val="0070340B"/>
    <w:rsid w:val="007036C0"/>
    <w:rsid w:val="00704038"/>
    <w:rsid w:val="00704EEB"/>
    <w:rsid w:val="007062A2"/>
    <w:rsid w:val="007066AB"/>
    <w:rsid w:val="00706E4C"/>
    <w:rsid w:val="00710758"/>
    <w:rsid w:val="00711488"/>
    <w:rsid w:val="00711FB0"/>
    <w:rsid w:val="007123F4"/>
    <w:rsid w:val="0071262B"/>
    <w:rsid w:val="00713D21"/>
    <w:rsid w:val="00716BC1"/>
    <w:rsid w:val="0071769C"/>
    <w:rsid w:val="007207C8"/>
    <w:rsid w:val="00721AB4"/>
    <w:rsid w:val="00727F18"/>
    <w:rsid w:val="007320AB"/>
    <w:rsid w:val="00732388"/>
    <w:rsid w:val="00732AB1"/>
    <w:rsid w:val="00737F82"/>
    <w:rsid w:val="007421DB"/>
    <w:rsid w:val="0074405F"/>
    <w:rsid w:val="007463FE"/>
    <w:rsid w:val="00746E39"/>
    <w:rsid w:val="0075244D"/>
    <w:rsid w:val="0075259D"/>
    <w:rsid w:val="0075542F"/>
    <w:rsid w:val="007557A6"/>
    <w:rsid w:val="00756152"/>
    <w:rsid w:val="00756529"/>
    <w:rsid w:val="00761202"/>
    <w:rsid w:val="00762966"/>
    <w:rsid w:val="007631AA"/>
    <w:rsid w:val="00763FDC"/>
    <w:rsid w:val="00766471"/>
    <w:rsid w:val="00770945"/>
    <w:rsid w:val="00771813"/>
    <w:rsid w:val="00773772"/>
    <w:rsid w:val="0077422E"/>
    <w:rsid w:val="007835B3"/>
    <w:rsid w:val="00783CBF"/>
    <w:rsid w:val="00784275"/>
    <w:rsid w:val="007910AF"/>
    <w:rsid w:val="00791F0E"/>
    <w:rsid w:val="00792B84"/>
    <w:rsid w:val="00792E81"/>
    <w:rsid w:val="00793871"/>
    <w:rsid w:val="00793A59"/>
    <w:rsid w:val="00793CF1"/>
    <w:rsid w:val="007A2921"/>
    <w:rsid w:val="007B0B8E"/>
    <w:rsid w:val="007B20DD"/>
    <w:rsid w:val="007B23D3"/>
    <w:rsid w:val="007B2592"/>
    <w:rsid w:val="007B2E76"/>
    <w:rsid w:val="007B3D0D"/>
    <w:rsid w:val="007B63F2"/>
    <w:rsid w:val="007C2DE0"/>
    <w:rsid w:val="007C329B"/>
    <w:rsid w:val="007C3678"/>
    <w:rsid w:val="007C36D9"/>
    <w:rsid w:val="007C6611"/>
    <w:rsid w:val="007C7BFD"/>
    <w:rsid w:val="007D1177"/>
    <w:rsid w:val="007D3A76"/>
    <w:rsid w:val="007D5704"/>
    <w:rsid w:val="007E0550"/>
    <w:rsid w:val="007E0A4D"/>
    <w:rsid w:val="007E345C"/>
    <w:rsid w:val="007E3D52"/>
    <w:rsid w:val="007E4672"/>
    <w:rsid w:val="007E4C2D"/>
    <w:rsid w:val="007E5D28"/>
    <w:rsid w:val="007E67CC"/>
    <w:rsid w:val="007F0EB6"/>
    <w:rsid w:val="007F269A"/>
    <w:rsid w:val="007F29F6"/>
    <w:rsid w:val="007F35E1"/>
    <w:rsid w:val="007F3AE6"/>
    <w:rsid w:val="007F3F62"/>
    <w:rsid w:val="007F5CE4"/>
    <w:rsid w:val="00803DAB"/>
    <w:rsid w:val="00805781"/>
    <w:rsid w:val="0081118E"/>
    <w:rsid w:val="008112C6"/>
    <w:rsid w:val="008144E4"/>
    <w:rsid w:val="00815EFF"/>
    <w:rsid w:val="0081618A"/>
    <w:rsid w:val="00816565"/>
    <w:rsid w:val="00816638"/>
    <w:rsid w:val="00816D70"/>
    <w:rsid w:val="008215F2"/>
    <w:rsid w:val="00822789"/>
    <w:rsid w:val="0082297B"/>
    <w:rsid w:val="008258C3"/>
    <w:rsid w:val="00826027"/>
    <w:rsid w:val="00826E18"/>
    <w:rsid w:val="0082701F"/>
    <w:rsid w:val="00827211"/>
    <w:rsid w:val="0082739F"/>
    <w:rsid w:val="00834596"/>
    <w:rsid w:val="0083498C"/>
    <w:rsid w:val="008349A7"/>
    <w:rsid w:val="00835098"/>
    <w:rsid w:val="0083564C"/>
    <w:rsid w:val="008372B6"/>
    <w:rsid w:val="008375FA"/>
    <w:rsid w:val="008405C4"/>
    <w:rsid w:val="00840D18"/>
    <w:rsid w:val="008412C0"/>
    <w:rsid w:val="00841FA0"/>
    <w:rsid w:val="00842965"/>
    <w:rsid w:val="0084319F"/>
    <w:rsid w:val="008433DD"/>
    <w:rsid w:val="00844FEE"/>
    <w:rsid w:val="00845F5C"/>
    <w:rsid w:val="00851041"/>
    <w:rsid w:val="00857775"/>
    <w:rsid w:val="00860237"/>
    <w:rsid w:val="00860A8F"/>
    <w:rsid w:val="008613D6"/>
    <w:rsid w:val="00864557"/>
    <w:rsid w:val="00864CA4"/>
    <w:rsid w:val="0086581C"/>
    <w:rsid w:val="0086598E"/>
    <w:rsid w:val="00865AF3"/>
    <w:rsid w:val="00865FAB"/>
    <w:rsid w:val="008674C4"/>
    <w:rsid w:val="00870761"/>
    <w:rsid w:val="00871B77"/>
    <w:rsid w:val="008803B6"/>
    <w:rsid w:val="0088112F"/>
    <w:rsid w:val="00882204"/>
    <w:rsid w:val="008833E8"/>
    <w:rsid w:val="00884048"/>
    <w:rsid w:val="00884EBD"/>
    <w:rsid w:val="008865C8"/>
    <w:rsid w:val="00890E7D"/>
    <w:rsid w:val="00893959"/>
    <w:rsid w:val="00894677"/>
    <w:rsid w:val="008954BC"/>
    <w:rsid w:val="00897E80"/>
    <w:rsid w:val="008A207D"/>
    <w:rsid w:val="008A47B8"/>
    <w:rsid w:val="008A5EB3"/>
    <w:rsid w:val="008A74A8"/>
    <w:rsid w:val="008A798A"/>
    <w:rsid w:val="008B1A3D"/>
    <w:rsid w:val="008B2929"/>
    <w:rsid w:val="008B4822"/>
    <w:rsid w:val="008B5A18"/>
    <w:rsid w:val="008B6E0C"/>
    <w:rsid w:val="008C05AA"/>
    <w:rsid w:val="008C1813"/>
    <w:rsid w:val="008C1E9D"/>
    <w:rsid w:val="008C24F3"/>
    <w:rsid w:val="008C3759"/>
    <w:rsid w:val="008C3F10"/>
    <w:rsid w:val="008C4ADC"/>
    <w:rsid w:val="008C5AA3"/>
    <w:rsid w:val="008C5F72"/>
    <w:rsid w:val="008D346F"/>
    <w:rsid w:val="008D6178"/>
    <w:rsid w:val="008D6567"/>
    <w:rsid w:val="008D7D1B"/>
    <w:rsid w:val="008E02A1"/>
    <w:rsid w:val="008E149D"/>
    <w:rsid w:val="008E16D3"/>
    <w:rsid w:val="008E537D"/>
    <w:rsid w:val="008E577C"/>
    <w:rsid w:val="008F6AFE"/>
    <w:rsid w:val="008F79B1"/>
    <w:rsid w:val="009005D1"/>
    <w:rsid w:val="00902398"/>
    <w:rsid w:val="0090419B"/>
    <w:rsid w:val="009044B8"/>
    <w:rsid w:val="00904B9B"/>
    <w:rsid w:val="00905E09"/>
    <w:rsid w:val="00907842"/>
    <w:rsid w:val="009079AE"/>
    <w:rsid w:val="00915003"/>
    <w:rsid w:val="00915948"/>
    <w:rsid w:val="00920617"/>
    <w:rsid w:val="009241ED"/>
    <w:rsid w:val="00924B57"/>
    <w:rsid w:val="00926A98"/>
    <w:rsid w:val="00926C53"/>
    <w:rsid w:val="00930337"/>
    <w:rsid w:val="0093529C"/>
    <w:rsid w:val="009364C4"/>
    <w:rsid w:val="009372F3"/>
    <w:rsid w:val="0094170D"/>
    <w:rsid w:val="009418F1"/>
    <w:rsid w:val="00941C6B"/>
    <w:rsid w:val="00943A0F"/>
    <w:rsid w:val="0094536D"/>
    <w:rsid w:val="00945ECA"/>
    <w:rsid w:val="00946BB8"/>
    <w:rsid w:val="0095075A"/>
    <w:rsid w:val="00956471"/>
    <w:rsid w:val="0096069B"/>
    <w:rsid w:val="0096229C"/>
    <w:rsid w:val="00962D98"/>
    <w:rsid w:val="00964CF4"/>
    <w:rsid w:val="009721E3"/>
    <w:rsid w:val="009747E1"/>
    <w:rsid w:val="009748E8"/>
    <w:rsid w:val="0097649C"/>
    <w:rsid w:val="00987990"/>
    <w:rsid w:val="00990023"/>
    <w:rsid w:val="00990C32"/>
    <w:rsid w:val="00991B7A"/>
    <w:rsid w:val="00991BF8"/>
    <w:rsid w:val="00993715"/>
    <w:rsid w:val="009944FA"/>
    <w:rsid w:val="00996412"/>
    <w:rsid w:val="00997198"/>
    <w:rsid w:val="009A7298"/>
    <w:rsid w:val="009B14B7"/>
    <w:rsid w:val="009B2348"/>
    <w:rsid w:val="009B36C7"/>
    <w:rsid w:val="009B482C"/>
    <w:rsid w:val="009B5420"/>
    <w:rsid w:val="009B59B6"/>
    <w:rsid w:val="009B64E6"/>
    <w:rsid w:val="009C133E"/>
    <w:rsid w:val="009C22DA"/>
    <w:rsid w:val="009C3CB0"/>
    <w:rsid w:val="009C5A13"/>
    <w:rsid w:val="009C5A7B"/>
    <w:rsid w:val="009C79D1"/>
    <w:rsid w:val="009D22D3"/>
    <w:rsid w:val="009D24B0"/>
    <w:rsid w:val="009D6F67"/>
    <w:rsid w:val="009E43DC"/>
    <w:rsid w:val="009E61FB"/>
    <w:rsid w:val="009F0C45"/>
    <w:rsid w:val="009F12DF"/>
    <w:rsid w:val="009F18FB"/>
    <w:rsid w:val="009F33C9"/>
    <w:rsid w:val="009F41FC"/>
    <w:rsid w:val="009F74F9"/>
    <w:rsid w:val="009F7A2B"/>
    <w:rsid w:val="00A00140"/>
    <w:rsid w:val="00A0058A"/>
    <w:rsid w:val="00A008E7"/>
    <w:rsid w:val="00A0174A"/>
    <w:rsid w:val="00A01815"/>
    <w:rsid w:val="00A02203"/>
    <w:rsid w:val="00A03014"/>
    <w:rsid w:val="00A03591"/>
    <w:rsid w:val="00A037D1"/>
    <w:rsid w:val="00A077C1"/>
    <w:rsid w:val="00A10B37"/>
    <w:rsid w:val="00A11395"/>
    <w:rsid w:val="00A122F6"/>
    <w:rsid w:val="00A16BD2"/>
    <w:rsid w:val="00A20104"/>
    <w:rsid w:val="00A203E0"/>
    <w:rsid w:val="00A21D81"/>
    <w:rsid w:val="00A242A5"/>
    <w:rsid w:val="00A2449E"/>
    <w:rsid w:val="00A24CA2"/>
    <w:rsid w:val="00A255E3"/>
    <w:rsid w:val="00A3052F"/>
    <w:rsid w:val="00A315EF"/>
    <w:rsid w:val="00A31680"/>
    <w:rsid w:val="00A33140"/>
    <w:rsid w:val="00A35786"/>
    <w:rsid w:val="00A377DB"/>
    <w:rsid w:val="00A40E62"/>
    <w:rsid w:val="00A41D8C"/>
    <w:rsid w:val="00A44C3B"/>
    <w:rsid w:val="00A44F72"/>
    <w:rsid w:val="00A466B9"/>
    <w:rsid w:val="00A46F88"/>
    <w:rsid w:val="00A52286"/>
    <w:rsid w:val="00A53C84"/>
    <w:rsid w:val="00A53CDC"/>
    <w:rsid w:val="00A556D9"/>
    <w:rsid w:val="00A60E5A"/>
    <w:rsid w:val="00A63655"/>
    <w:rsid w:val="00A64316"/>
    <w:rsid w:val="00A6667D"/>
    <w:rsid w:val="00A6687C"/>
    <w:rsid w:val="00A66A68"/>
    <w:rsid w:val="00A70B3C"/>
    <w:rsid w:val="00A77965"/>
    <w:rsid w:val="00A77FE0"/>
    <w:rsid w:val="00A862DC"/>
    <w:rsid w:val="00A91D6A"/>
    <w:rsid w:val="00A923F9"/>
    <w:rsid w:val="00A941E6"/>
    <w:rsid w:val="00A943D1"/>
    <w:rsid w:val="00A976E1"/>
    <w:rsid w:val="00AA007C"/>
    <w:rsid w:val="00AA2A8B"/>
    <w:rsid w:val="00AA4040"/>
    <w:rsid w:val="00AA4076"/>
    <w:rsid w:val="00AA7A0C"/>
    <w:rsid w:val="00AB0317"/>
    <w:rsid w:val="00AB167E"/>
    <w:rsid w:val="00AB70D6"/>
    <w:rsid w:val="00AB70D8"/>
    <w:rsid w:val="00AB75E6"/>
    <w:rsid w:val="00AC090B"/>
    <w:rsid w:val="00AC1FDE"/>
    <w:rsid w:val="00AC6040"/>
    <w:rsid w:val="00AD3A2F"/>
    <w:rsid w:val="00AD6E89"/>
    <w:rsid w:val="00AE35D9"/>
    <w:rsid w:val="00AE3B48"/>
    <w:rsid w:val="00AE3C62"/>
    <w:rsid w:val="00AE3F42"/>
    <w:rsid w:val="00AE48FE"/>
    <w:rsid w:val="00AE4B27"/>
    <w:rsid w:val="00AE51D2"/>
    <w:rsid w:val="00AE6C13"/>
    <w:rsid w:val="00AE7AEC"/>
    <w:rsid w:val="00AF0760"/>
    <w:rsid w:val="00AF17DD"/>
    <w:rsid w:val="00AF26A4"/>
    <w:rsid w:val="00AF343E"/>
    <w:rsid w:val="00AF3B80"/>
    <w:rsid w:val="00AF41F8"/>
    <w:rsid w:val="00AF7812"/>
    <w:rsid w:val="00AF7A4F"/>
    <w:rsid w:val="00AF7EC9"/>
    <w:rsid w:val="00B013AF"/>
    <w:rsid w:val="00B013F2"/>
    <w:rsid w:val="00B02572"/>
    <w:rsid w:val="00B0360B"/>
    <w:rsid w:val="00B03BF0"/>
    <w:rsid w:val="00B04483"/>
    <w:rsid w:val="00B0466E"/>
    <w:rsid w:val="00B12CAA"/>
    <w:rsid w:val="00B13DF8"/>
    <w:rsid w:val="00B14470"/>
    <w:rsid w:val="00B210E8"/>
    <w:rsid w:val="00B21970"/>
    <w:rsid w:val="00B2370B"/>
    <w:rsid w:val="00B24111"/>
    <w:rsid w:val="00B26E4F"/>
    <w:rsid w:val="00B31CC7"/>
    <w:rsid w:val="00B327AB"/>
    <w:rsid w:val="00B3486F"/>
    <w:rsid w:val="00B365AE"/>
    <w:rsid w:val="00B4285D"/>
    <w:rsid w:val="00B4291C"/>
    <w:rsid w:val="00B44F72"/>
    <w:rsid w:val="00B471AF"/>
    <w:rsid w:val="00B5344F"/>
    <w:rsid w:val="00B551BF"/>
    <w:rsid w:val="00B61D96"/>
    <w:rsid w:val="00B6215D"/>
    <w:rsid w:val="00B62E36"/>
    <w:rsid w:val="00B64881"/>
    <w:rsid w:val="00B759FD"/>
    <w:rsid w:val="00B75CAC"/>
    <w:rsid w:val="00B75FB6"/>
    <w:rsid w:val="00B77BBC"/>
    <w:rsid w:val="00B8174C"/>
    <w:rsid w:val="00B91442"/>
    <w:rsid w:val="00B96787"/>
    <w:rsid w:val="00B97651"/>
    <w:rsid w:val="00B979EC"/>
    <w:rsid w:val="00BA1562"/>
    <w:rsid w:val="00BA39C6"/>
    <w:rsid w:val="00BA558A"/>
    <w:rsid w:val="00BA7783"/>
    <w:rsid w:val="00BB017D"/>
    <w:rsid w:val="00BB1A2B"/>
    <w:rsid w:val="00BB2685"/>
    <w:rsid w:val="00BB2D9B"/>
    <w:rsid w:val="00BB6B58"/>
    <w:rsid w:val="00BB6B72"/>
    <w:rsid w:val="00BC0FB9"/>
    <w:rsid w:val="00BC1023"/>
    <w:rsid w:val="00BC4475"/>
    <w:rsid w:val="00BC4D7E"/>
    <w:rsid w:val="00BC4E6A"/>
    <w:rsid w:val="00BC646A"/>
    <w:rsid w:val="00BD0CE0"/>
    <w:rsid w:val="00BD27D2"/>
    <w:rsid w:val="00BD4515"/>
    <w:rsid w:val="00BD5985"/>
    <w:rsid w:val="00BE0332"/>
    <w:rsid w:val="00BE19F5"/>
    <w:rsid w:val="00BE3584"/>
    <w:rsid w:val="00BE50BE"/>
    <w:rsid w:val="00BF0FBE"/>
    <w:rsid w:val="00BF14A4"/>
    <w:rsid w:val="00BF2ECF"/>
    <w:rsid w:val="00BF4E8D"/>
    <w:rsid w:val="00BF56BE"/>
    <w:rsid w:val="00BF699B"/>
    <w:rsid w:val="00BF713D"/>
    <w:rsid w:val="00C02567"/>
    <w:rsid w:val="00C06348"/>
    <w:rsid w:val="00C064DE"/>
    <w:rsid w:val="00C06E43"/>
    <w:rsid w:val="00C07C92"/>
    <w:rsid w:val="00C10065"/>
    <w:rsid w:val="00C1139F"/>
    <w:rsid w:val="00C12C7A"/>
    <w:rsid w:val="00C1362B"/>
    <w:rsid w:val="00C14674"/>
    <w:rsid w:val="00C16A18"/>
    <w:rsid w:val="00C16C8B"/>
    <w:rsid w:val="00C20F70"/>
    <w:rsid w:val="00C230BD"/>
    <w:rsid w:val="00C27087"/>
    <w:rsid w:val="00C33BEB"/>
    <w:rsid w:val="00C368CE"/>
    <w:rsid w:val="00C4090D"/>
    <w:rsid w:val="00C40FCD"/>
    <w:rsid w:val="00C43F7F"/>
    <w:rsid w:val="00C44EAA"/>
    <w:rsid w:val="00C47F82"/>
    <w:rsid w:val="00C53C7A"/>
    <w:rsid w:val="00C5463A"/>
    <w:rsid w:val="00C55E65"/>
    <w:rsid w:val="00C609DE"/>
    <w:rsid w:val="00C60BC3"/>
    <w:rsid w:val="00C6251C"/>
    <w:rsid w:val="00C65496"/>
    <w:rsid w:val="00C72C58"/>
    <w:rsid w:val="00C74654"/>
    <w:rsid w:val="00C75782"/>
    <w:rsid w:val="00C76E26"/>
    <w:rsid w:val="00C779E0"/>
    <w:rsid w:val="00C8088D"/>
    <w:rsid w:val="00C82CDE"/>
    <w:rsid w:val="00C84F92"/>
    <w:rsid w:val="00C923FA"/>
    <w:rsid w:val="00C92C09"/>
    <w:rsid w:val="00C9392F"/>
    <w:rsid w:val="00C95ABA"/>
    <w:rsid w:val="00C96F3A"/>
    <w:rsid w:val="00CA02A4"/>
    <w:rsid w:val="00CA22D5"/>
    <w:rsid w:val="00CA3019"/>
    <w:rsid w:val="00CA414C"/>
    <w:rsid w:val="00CA4522"/>
    <w:rsid w:val="00CA5D2B"/>
    <w:rsid w:val="00CA6468"/>
    <w:rsid w:val="00CA6D2C"/>
    <w:rsid w:val="00CB4D2F"/>
    <w:rsid w:val="00CC3648"/>
    <w:rsid w:val="00CC6903"/>
    <w:rsid w:val="00CD2847"/>
    <w:rsid w:val="00CD4546"/>
    <w:rsid w:val="00CD520A"/>
    <w:rsid w:val="00CD56AB"/>
    <w:rsid w:val="00CD58E8"/>
    <w:rsid w:val="00CD6A28"/>
    <w:rsid w:val="00CD773B"/>
    <w:rsid w:val="00CE0765"/>
    <w:rsid w:val="00CE6E56"/>
    <w:rsid w:val="00CF0E2A"/>
    <w:rsid w:val="00CF358D"/>
    <w:rsid w:val="00CF439A"/>
    <w:rsid w:val="00CF5E84"/>
    <w:rsid w:val="00CF78E1"/>
    <w:rsid w:val="00D03137"/>
    <w:rsid w:val="00D04E8B"/>
    <w:rsid w:val="00D115DF"/>
    <w:rsid w:val="00D1280A"/>
    <w:rsid w:val="00D14938"/>
    <w:rsid w:val="00D155EF"/>
    <w:rsid w:val="00D16C01"/>
    <w:rsid w:val="00D20261"/>
    <w:rsid w:val="00D21F62"/>
    <w:rsid w:val="00D22B93"/>
    <w:rsid w:val="00D24E31"/>
    <w:rsid w:val="00D24EBC"/>
    <w:rsid w:val="00D253C1"/>
    <w:rsid w:val="00D26EBC"/>
    <w:rsid w:val="00D31C31"/>
    <w:rsid w:val="00D31D8E"/>
    <w:rsid w:val="00D3313F"/>
    <w:rsid w:val="00D42947"/>
    <w:rsid w:val="00D4590F"/>
    <w:rsid w:val="00D45FE1"/>
    <w:rsid w:val="00D46D2F"/>
    <w:rsid w:val="00D46D35"/>
    <w:rsid w:val="00D53033"/>
    <w:rsid w:val="00D53206"/>
    <w:rsid w:val="00D55AE8"/>
    <w:rsid w:val="00D602BC"/>
    <w:rsid w:val="00D615E1"/>
    <w:rsid w:val="00D62582"/>
    <w:rsid w:val="00D63FE1"/>
    <w:rsid w:val="00D65AA5"/>
    <w:rsid w:val="00D676C3"/>
    <w:rsid w:val="00D70D2A"/>
    <w:rsid w:val="00D710CB"/>
    <w:rsid w:val="00D723C4"/>
    <w:rsid w:val="00D74A1B"/>
    <w:rsid w:val="00D8238F"/>
    <w:rsid w:val="00D828D9"/>
    <w:rsid w:val="00D83C3E"/>
    <w:rsid w:val="00D842CE"/>
    <w:rsid w:val="00D84CEA"/>
    <w:rsid w:val="00D8554A"/>
    <w:rsid w:val="00D86920"/>
    <w:rsid w:val="00D879E2"/>
    <w:rsid w:val="00D90EB5"/>
    <w:rsid w:val="00D921EA"/>
    <w:rsid w:val="00D93EB4"/>
    <w:rsid w:val="00D9582D"/>
    <w:rsid w:val="00D959FF"/>
    <w:rsid w:val="00DA0D90"/>
    <w:rsid w:val="00DA33BD"/>
    <w:rsid w:val="00DA3584"/>
    <w:rsid w:val="00DA5025"/>
    <w:rsid w:val="00DA5E7B"/>
    <w:rsid w:val="00DA6DFB"/>
    <w:rsid w:val="00DA7897"/>
    <w:rsid w:val="00DB4E14"/>
    <w:rsid w:val="00DB65F8"/>
    <w:rsid w:val="00DB7212"/>
    <w:rsid w:val="00DC16A8"/>
    <w:rsid w:val="00DC16B2"/>
    <w:rsid w:val="00DC358D"/>
    <w:rsid w:val="00DC4E80"/>
    <w:rsid w:val="00DC555F"/>
    <w:rsid w:val="00DC57EE"/>
    <w:rsid w:val="00DD18B1"/>
    <w:rsid w:val="00DD1CD8"/>
    <w:rsid w:val="00DD2242"/>
    <w:rsid w:val="00DD3BB5"/>
    <w:rsid w:val="00DD4C09"/>
    <w:rsid w:val="00DD79ED"/>
    <w:rsid w:val="00DE0D7B"/>
    <w:rsid w:val="00DE2348"/>
    <w:rsid w:val="00DF1428"/>
    <w:rsid w:val="00DF2DE9"/>
    <w:rsid w:val="00E01822"/>
    <w:rsid w:val="00E02BBC"/>
    <w:rsid w:val="00E02DD8"/>
    <w:rsid w:val="00E0323A"/>
    <w:rsid w:val="00E03667"/>
    <w:rsid w:val="00E037E5"/>
    <w:rsid w:val="00E03E47"/>
    <w:rsid w:val="00E05B03"/>
    <w:rsid w:val="00E073F9"/>
    <w:rsid w:val="00E11E2F"/>
    <w:rsid w:val="00E13A0F"/>
    <w:rsid w:val="00E14805"/>
    <w:rsid w:val="00E1512F"/>
    <w:rsid w:val="00E161DF"/>
    <w:rsid w:val="00E17779"/>
    <w:rsid w:val="00E17BC9"/>
    <w:rsid w:val="00E20000"/>
    <w:rsid w:val="00E205C1"/>
    <w:rsid w:val="00E231F9"/>
    <w:rsid w:val="00E26B11"/>
    <w:rsid w:val="00E27FA9"/>
    <w:rsid w:val="00E30575"/>
    <w:rsid w:val="00E3223D"/>
    <w:rsid w:val="00E3224D"/>
    <w:rsid w:val="00E33A69"/>
    <w:rsid w:val="00E4097E"/>
    <w:rsid w:val="00E41AAF"/>
    <w:rsid w:val="00E42503"/>
    <w:rsid w:val="00E44675"/>
    <w:rsid w:val="00E51866"/>
    <w:rsid w:val="00E5195A"/>
    <w:rsid w:val="00E51AA0"/>
    <w:rsid w:val="00E51F71"/>
    <w:rsid w:val="00E521CA"/>
    <w:rsid w:val="00E54E5D"/>
    <w:rsid w:val="00E56579"/>
    <w:rsid w:val="00E56D16"/>
    <w:rsid w:val="00E60E3A"/>
    <w:rsid w:val="00E640A1"/>
    <w:rsid w:val="00E6536B"/>
    <w:rsid w:val="00E67000"/>
    <w:rsid w:val="00E67F2F"/>
    <w:rsid w:val="00E705C6"/>
    <w:rsid w:val="00E730A5"/>
    <w:rsid w:val="00E7461B"/>
    <w:rsid w:val="00E74D58"/>
    <w:rsid w:val="00E8195E"/>
    <w:rsid w:val="00E868E6"/>
    <w:rsid w:val="00E8792A"/>
    <w:rsid w:val="00E90429"/>
    <w:rsid w:val="00E93D7B"/>
    <w:rsid w:val="00E96CB2"/>
    <w:rsid w:val="00EA049F"/>
    <w:rsid w:val="00EA0E13"/>
    <w:rsid w:val="00EA1728"/>
    <w:rsid w:val="00EA311A"/>
    <w:rsid w:val="00EA70D1"/>
    <w:rsid w:val="00EB1471"/>
    <w:rsid w:val="00EB270B"/>
    <w:rsid w:val="00EB32D6"/>
    <w:rsid w:val="00EB485E"/>
    <w:rsid w:val="00EB5968"/>
    <w:rsid w:val="00EB5AD4"/>
    <w:rsid w:val="00EB5CA8"/>
    <w:rsid w:val="00EB6160"/>
    <w:rsid w:val="00EB6FD2"/>
    <w:rsid w:val="00EC02D2"/>
    <w:rsid w:val="00EC0D67"/>
    <w:rsid w:val="00EC13E1"/>
    <w:rsid w:val="00EC2788"/>
    <w:rsid w:val="00EC4216"/>
    <w:rsid w:val="00EC5361"/>
    <w:rsid w:val="00EC5E2B"/>
    <w:rsid w:val="00EC70B0"/>
    <w:rsid w:val="00EC7E87"/>
    <w:rsid w:val="00ED14EE"/>
    <w:rsid w:val="00ED3F55"/>
    <w:rsid w:val="00ED5049"/>
    <w:rsid w:val="00ED5E02"/>
    <w:rsid w:val="00ED700D"/>
    <w:rsid w:val="00EE0775"/>
    <w:rsid w:val="00EE084D"/>
    <w:rsid w:val="00EE1833"/>
    <w:rsid w:val="00EE4A4D"/>
    <w:rsid w:val="00EE5C95"/>
    <w:rsid w:val="00EF0719"/>
    <w:rsid w:val="00EF353A"/>
    <w:rsid w:val="00EF562D"/>
    <w:rsid w:val="00EF62F0"/>
    <w:rsid w:val="00EF6480"/>
    <w:rsid w:val="00EF7A6E"/>
    <w:rsid w:val="00F01CFD"/>
    <w:rsid w:val="00F01F40"/>
    <w:rsid w:val="00F06129"/>
    <w:rsid w:val="00F11D3C"/>
    <w:rsid w:val="00F127F9"/>
    <w:rsid w:val="00F13B8F"/>
    <w:rsid w:val="00F16AA3"/>
    <w:rsid w:val="00F17757"/>
    <w:rsid w:val="00F17DEB"/>
    <w:rsid w:val="00F225A9"/>
    <w:rsid w:val="00F233FE"/>
    <w:rsid w:val="00F2433B"/>
    <w:rsid w:val="00F250FE"/>
    <w:rsid w:val="00F253F6"/>
    <w:rsid w:val="00F25D7D"/>
    <w:rsid w:val="00F2651D"/>
    <w:rsid w:val="00F2714F"/>
    <w:rsid w:val="00F3028D"/>
    <w:rsid w:val="00F37F12"/>
    <w:rsid w:val="00F4265E"/>
    <w:rsid w:val="00F433F5"/>
    <w:rsid w:val="00F4597D"/>
    <w:rsid w:val="00F46CEC"/>
    <w:rsid w:val="00F47CDD"/>
    <w:rsid w:val="00F50F59"/>
    <w:rsid w:val="00F50F7D"/>
    <w:rsid w:val="00F51250"/>
    <w:rsid w:val="00F62250"/>
    <w:rsid w:val="00F62E7B"/>
    <w:rsid w:val="00F63ACA"/>
    <w:rsid w:val="00F63E31"/>
    <w:rsid w:val="00F677D9"/>
    <w:rsid w:val="00F67B9C"/>
    <w:rsid w:val="00F67C41"/>
    <w:rsid w:val="00F71461"/>
    <w:rsid w:val="00F71E9D"/>
    <w:rsid w:val="00F76675"/>
    <w:rsid w:val="00F80279"/>
    <w:rsid w:val="00F81C80"/>
    <w:rsid w:val="00F82435"/>
    <w:rsid w:val="00F837E2"/>
    <w:rsid w:val="00F860D1"/>
    <w:rsid w:val="00F87C71"/>
    <w:rsid w:val="00F90585"/>
    <w:rsid w:val="00F9059E"/>
    <w:rsid w:val="00F92958"/>
    <w:rsid w:val="00F93B34"/>
    <w:rsid w:val="00F943CD"/>
    <w:rsid w:val="00F95323"/>
    <w:rsid w:val="00F96B92"/>
    <w:rsid w:val="00FA2250"/>
    <w:rsid w:val="00FA2774"/>
    <w:rsid w:val="00FA284F"/>
    <w:rsid w:val="00FA38DD"/>
    <w:rsid w:val="00FA4C4F"/>
    <w:rsid w:val="00FA5385"/>
    <w:rsid w:val="00FA7EA6"/>
    <w:rsid w:val="00FB4EC6"/>
    <w:rsid w:val="00FB691B"/>
    <w:rsid w:val="00FC2BCF"/>
    <w:rsid w:val="00FC382F"/>
    <w:rsid w:val="00FC3F57"/>
    <w:rsid w:val="00FD43EF"/>
    <w:rsid w:val="00FD554D"/>
    <w:rsid w:val="00FE0F78"/>
    <w:rsid w:val="00FE1D25"/>
    <w:rsid w:val="00FE33D7"/>
    <w:rsid w:val="00FE3B63"/>
    <w:rsid w:val="00FF1D97"/>
    <w:rsid w:val="00FF3788"/>
    <w:rsid w:val="00FF3CD1"/>
    <w:rsid w:val="00FF5205"/>
    <w:rsid w:val="00FF5422"/>
    <w:rsid w:val="00FF6AFE"/>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B7DF4C"/>
  <w15:docId w15:val="{190B8848-0564-4074-8145-EDC0D752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2E"/>
  </w:style>
  <w:style w:type="paragraph" w:styleId="Heading1">
    <w:name w:val="heading 1"/>
    <w:basedOn w:val="Normal"/>
    <w:next w:val="Normal"/>
    <w:link w:val="Heading1Char"/>
    <w:uiPriority w:val="9"/>
    <w:qFormat/>
    <w:rsid w:val="002A5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34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79ED"/>
    <w:pPr>
      <w:spacing w:before="300" w:after="100" w:afterAutospacing="1" w:line="360" w:lineRule="atLeast"/>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8D346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D346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1262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468"/>
    <w:pPr>
      <w:ind w:left="720"/>
      <w:contextualSpacing/>
    </w:pPr>
  </w:style>
  <w:style w:type="character" w:styleId="Hyperlink">
    <w:name w:val="Hyperlink"/>
    <w:basedOn w:val="DefaultParagraphFont"/>
    <w:uiPriority w:val="99"/>
    <w:unhideWhenUsed/>
    <w:rsid w:val="00816638"/>
    <w:rPr>
      <w:strike w:val="0"/>
      <w:dstrike w:val="0"/>
      <w:color w:val="0B4F82"/>
      <w:u w:val="none"/>
      <w:effect w:val="none"/>
    </w:rPr>
  </w:style>
  <w:style w:type="character" w:styleId="Strong">
    <w:name w:val="Strong"/>
    <w:basedOn w:val="DefaultParagraphFont"/>
    <w:uiPriority w:val="22"/>
    <w:qFormat/>
    <w:rsid w:val="00816638"/>
    <w:rPr>
      <w:b/>
      <w:bCs/>
    </w:rPr>
  </w:style>
  <w:style w:type="paragraph" w:customStyle="1" w:styleId="f-body--sm">
    <w:name w:val="f-body--sm"/>
    <w:basedOn w:val="Normal"/>
    <w:rsid w:val="00816638"/>
    <w:pPr>
      <w:spacing w:before="300" w:after="0" w:line="300" w:lineRule="atLeast"/>
    </w:pPr>
    <w:rPr>
      <w:rFonts w:ascii="Times New Roman" w:eastAsia="Times New Roman" w:hAnsi="Times New Roman" w:cs="Times New Roman"/>
      <w:sz w:val="24"/>
      <w:szCs w:val="24"/>
      <w:lang w:eastAsia="en-GB"/>
    </w:rPr>
  </w:style>
  <w:style w:type="paragraph" w:customStyle="1" w:styleId="m-collapsiblebutton-trigger">
    <w:name w:val="m-collapsible__button-trigger"/>
    <w:basedOn w:val="Normal"/>
    <w:rsid w:val="00816638"/>
    <w:pPr>
      <w:spacing w:before="300" w:after="100" w:afterAutospacing="1" w:line="360" w:lineRule="atLeast"/>
    </w:pPr>
    <w:rPr>
      <w:rFonts w:ascii="Times New Roman" w:eastAsia="Times New Roman" w:hAnsi="Times New Roman" w:cs="Times New Roman"/>
      <w:sz w:val="27"/>
      <w:szCs w:val="27"/>
      <w:lang w:eastAsia="en-GB"/>
    </w:rPr>
  </w:style>
  <w:style w:type="paragraph" w:customStyle="1" w:styleId="f-body">
    <w:name w:val="f-body"/>
    <w:basedOn w:val="Normal"/>
    <w:rsid w:val="00816638"/>
    <w:pPr>
      <w:spacing w:before="300" w:after="0" w:line="360" w:lineRule="atLeast"/>
    </w:pPr>
    <w:rPr>
      <w:rFonts w:ascii="Times New Roman" w:eastAsia="Times New Roman" w:hAnsi="Times New Roman" w:cs="Times New Roman"/>
      <w:sz w:val="26"/>
      <w:szCs w:val="26"/>
      <w:lang w:eastAsia="en-GB"/>
    </w:rPr>
  </w:style>
  <w:style w:type="character" w:customStyle="1" w:styleId="Heading3Char">
    <w:name w:val="Heading 3 Char"/>
    <w:basedOn w:val="DefaultParagraphFont"/>
    <w:link w:val="Heading3"/>
    <w:uiPriority w:val="9"/>
    <w:rsid w:val="00DD79ED"/>
    <w:rPr>
      <w:rFonts w:ascii="Times New Roman" w:eastAsia="Times New Roman" w:hAnsi="Times New Roman" w:cs="Times New Roman"/>
      <w:b/>
      <w:bCs/>
      <w:sz w:val="27"/>
      <w:szCs w:val="27"/>
      <w:lang w:eastAsia="en-GB"/>
    </w:rPr>
  </w:style>
  <w:style w:type="character" w:customStyle="1" w:styleId="sr-only1">
    <w:name w:val="sr-only1"/>
    <w:basedOn w:val="DefaultParagraphFont"/>
    <w:rsid w:val="00DD79ED"/>
    <w:rPr>
      <w:bdr w:val="none" w:sz="0" w:space="0" w:color="auto" w:frame="1"/>
    </w:rPr>
  </w:style>
  <w:style w:type="character" w:customStyle="1" w:styleId="Heading1Char">
    <w:name w:val="Heading 1 Char"/>
    <w:basedOn w:val="DefaultParagraphFont"/>
    <w:link w:val="Heading1"/>
    <w:uiPriority w:val="9"/>
    <w:rsid w:val="002A5834"/>
    <w:rPr>
      <w:rFonts w:asciiTheme="majorHAnsi" w:eastAsiaTheme="majorEastAsia" w:hAnsiTheme="majorHAnsi" w:cstheme="majorBidi"/>
      <w:b/>
      <w:bCs/>
      <w:color w:val="365F91" w:themeColor="accent1" w:themeShade="BF"/>
      <w:sz w:val="28"/>
      <w:szCs w:val="28"/>
    </w:rPr>
  </w:style>
  <w:style w:type="paragraph" w:customStyle="1" w:styleId="NormalBullet">
    <w:name w:val="Normal Bullet"/>
    <w:basedOn w:val="NormalIndent"/>
    <w:rsid w:val="002A5834"/>
    <w:pPr>
      <w:numPr>
        <w:numId w:val="13"/>
      </w:numPr>
      <w:tabs>
        <w:tab w:val="num" w:pos="993"/>
      </w:tabs>
      <w:ind w:left="993" w:hanging="426"/>
    </w:pPr>
  </w:style>
  <w:style w:type="paragraph" w:styleId="NormalIndent">
    <w:name w:val="Normal Indent"/>
    <w:basedOn w:val="Normal"/>
    <w:rsid w:val="002A5834"/>
    <w:pPr>
      <w:spacing w:after="0" w:line="360" w:lineRule="auto"/>
      <w:ind w:left="567"/>
      <w:jc w:val="both"/>
    </w:pPr>
    <w:rPr>
      <w:rFonts w:ascii="Arial" w:eastAsia="Times New Roman" w:hAnsi="Arial" w:cs="Times New Roman"/>
    </w:rPr>
  </w:style>
  <w:style w:type="character" w:customStyle="1" w:styleId="Heading2Char">
    <w:name w:val="Heading 2 Char"/>
    <w:basedOn w:val="DefaultParagraphFont"/>
    <w:link w:val="Heading2"/>
    <w:uiPriority w:val="9"/>
    <w:rsid w:val="008D346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D34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D346F"/>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0401BF"/>
    <w:rPr>
      <w:color w:val="800080" w:themeColor="followedHyperlink"/>
      <w:u w:val="single"/>
    </w:rPr>
  </w:style>
  <w:style w:type="paragraph" w:styleId="NormalWeb">
    <w:name w:val="Normal (Web)"/>
    <w:basedOn w:val="Normal"/>
    <w:uiPriority w:val="99"/>
    <w:unhideWhenUsed/>
    <w:rsid w:val="002F286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384ED6"/>
    <w:rPr>
      <w:i/>
      <w:iCs/>
    </w:rPr>
  </w:style>
  <w:style w:type="paragraph" w:styleId="BalloonText">
    <w:name w:val="Balloon Text"/>
    <w:basedOn w:val="Normal"/>
    <w:link w:val="BalloonTextChar"/>
    <w:uiPriority w:val="99"/>
    <w:semiHidden/>
    <w:unhideWhenUsed/>
    <w:rsid w:val="00CA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2C"/>
    <w:rPr>
      <w:rFonts w:ascii="Tahoma" w:hAnsi="Tahoma" w:cs="Tahoma"/>
      <w:sz w:val="16"/>
      <w:szCs w:val="16"/>
    </w:rPr>
  </w:style>
  <w:style w:type="paragraph" w:styleId="Caption">
    <w:name w:val="caption"/>
    <w:basedOn w:val="Normal"/>
    <w:next w:val="Normal"/>
    <w:uiPriority w:val="35"/>
    <w:unhideWhenUsed/>
    <w:qFormat/>
    <w:rsid w:val="00CA6D2C"/>
    <w:pPr>
      <w:spacing w:line="240" w:lineRule="auto"/>
    </w:pPr>
    <w:rPr>
      <w:rFonts w:ascii="Tahoma" w:eastAsia="Times New Roman" w:hAnsi="Tahoma" w:cs="Times New Roman"/>
      <w:i/>
      <w:iCs/>
      <w:color w:val="1F497D" w:themeColor="text2"/>
      <w:sz w:val="18"/>
      <w:szCs w:val="18"/>
    </w:rPr>
  </w:style>
  <w:style w:type="table" w:styleId="TableGrid">
    <w:name w:val="Table Grid"/>
    <w:basedOn w:val="TableNormal"/>
    <w:uiPriority w:val="39"/>
    <w:rsid w:val="00560EC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rsid w:val="0071262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E02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BBC"/>
  </w:style>
  <w:style w:type="paragraph" w:styleId="Footer">
    <w:name w:val="footer"/>
    <w:basedOn w:val="Normal"/>
    <w:link w:val="FooterChar"/>
    <w:uiPriority w:val="99"/>
    <w:unhideWhenUsed/>
    <w:rsid w:val="00E02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BBC"/>
  </w:style>
  <w:style w:type="paragraph" w:styleId="TOCHeading">
    <w:name w:val="TOC Heading"/>
    <w:basedOn w:val="Heading1"/>
    <w:next w:val="Normal"/>
    <w:uiPriority w:val="39"/>
    <w:semiHidden/>
    <w:unhideWhenUsed/>
    <w:qFormat/>
    <w:rsid w:val="00890E7D"/>
    <w:pPr>
      <w:outlineLvl w:val="9"/>
    </w:pPr>
    <w:rPr>
      <w:lang w:val="en-US"/>
    </w:rPr>
  </w:style>
  <w:style w:type="paragraph" w:styleId="TOC1">
    <w:name w:val="toc 1"/>
    <w:basedOn w:val="Normal"/>
    <w:next w:val="Normal"/>
    <w:autoRedefine/>
    <w:uiPriority w:val="39"/>
    <w:unhideWhenUsed/>
    <w:rsid w:val="00890E7D"/>
    <w:pPr>
      <w:spacing w:after="100"/>
    </w:pPr>
  </w:style>
  <w:style w:type="paragraph" w:styleId="TOC3">
    <w:name w:val="toc 3"/>
    <w:basedOn w:val="Normal"/>
    <w:next w:val="Normal"/>
    <w:autoRedefine/>
    <w:uiPriority w:val="39"/>
    <w:unhideWhenUsed/>
    <w:rsid w:val="00890E7D"/>
    <w:pPr>
      <w:spacing w:after="100"/>
      <w:ind w:left="440"/>
    </w:pPr>
  </w:style>
  <w:style w:type="paragraph" w:styleId="TOC2">
    <w:name w:val="toc 2"/>
    <w:basedOn w:val="Normal"/>
    <w:next w:val="Normal"/>
    <w:autoRedefine/>
    <w:uiPriority w:val="39"/>
    <w:unhideWhenUsed/>
    <w:rsid w:val="00890E7D"/>
    <w:pPr>
      <w:spacing w:after="100"/>
      <w:ind w:left="220"/>
    </w:pPr>
  </w:style>
  <w:style w:type="character" w:styleId="CommentReference">
    <w:name w:val="annotation reference"/>
    <w:basedOn w:val="DefaultParagraphFont"/>
    <w:uiPriority w:val="99"/>
    <w:semiHidden/>
    <w:unhideWhenUsed/>
    <w:rsid w:val="00605768"/>
    <w:rPr>
      <w:sz w:val="16"/>
      <w:szCs w:val="16"/>
    </w:rPr>
  </w:style>
  <w:style w:type="paragraph" w:styleId="CommentText">
    <w:name w:val="annotation text"/>
    <w:basedOn w:val="Normal"/>
    <w:link w:val="CommentTextChar"/>
    <w:uiPriority w:val="99"/>
    <w:unhideWhenUsed/>
    <w:rsid w:val="00605768"/>
    <w:pPr>
      <w:spacing w:line="240" w:lineRule="auto"/>
    </w:pPr>
    <w:rPr>
      <w:sz w:val="20"/>
      <w:szCs w:val="20"/>
    </w:rPr>
  </w:style>
  <w:style w:type="character" w:customStyle="1" w:styleId="CommentTextChar">
    <w:name w:val="Comment Text Char"/>
    <w:basedOn w:val="DefaultParagraphFont"/>
    <w:link w:val="CommentText"/>
    <w:uiPriority w:val="99"/>
    <w:rsid w:val="00605768"/>
    <w:rPr>
      <w:sz w:val="20"/>
      <w:szCs w:val="20"/>
    </w:rPr>
  </w:style>
  <w:style w:type="paragraph" w:styleId="CommentSubject">
    <w:name w:val="annotation subject"/>
    <w:basedOn w:val="CommentText"/>
    <w:next w:val="CommentText"/>
    <w:link w:val="CommentSubjectChar"/>
    <w:uiPriority w:val="99"/>
    <w:semiHidden/>
    <w:unhideWhenUsed/>
    <w:rsid w:val="00605768"/>
    <w:rPr>
      <w:b/>
      <w:bCs/>
    </w:rPr>
  </w:style>
  <w:style w:type="character" w:customStyle="1" w:styleId="CommentSubjectChar">
    <w:name w:val="Comment Subject Char"/>
    <w:basedOn w:val="CommentTextChar"/>
    <w:link w:val="CommentSubject"/>
    <w:uiPriority w:val="99"/>
    <w:semiHidden/>
    <w:rsid w:val="00605768"/>
    <w:rPr>
      <w:b/>
      <w:bCs/>
      <w:sz w:val="20"/>
      <w:szCs w:val="20"/>
    </w:rPr>
  </w:style>
  <w:style w:type="character" w:styleId="LineNumber">
    <w:name w:val="line number"/>
    <w:basedOn w:val="DefaultParagraphFont"/>
    <w:uiPriority w:val="99"/>
    <w:semiHidden/>
    <w:unhideWhenUsed/>
    <w:rsid w:val="00FB691B"/>
  </w:style>
  <w:style w:type="paragraph" w:styleId="Revision">
    <w:name w:val="Revision"/>
    <w:hidden/>
    <w:uiPriority w:val="99"/>
    <w:semiHidden/>
    <w:rsid w:val="005F6330"/>
    <w:pPr>
      <w:spacing w:after="0" w:line="240" w:lineRule="auto"/>
    </w:pPr>
  </w:style>
  <w:style w:type="table" w:customStyle="1" w:styleId="TableGrid1">
    <w:name w:val="Table Grid1"/>
    <w:basedOn w:val="TableNormal"/>
    <w:next w:val="TableGrid"/>
    <w:uiPriority w:val="39"/>
    <w:rsid w:val="00A943D1"/>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7298">
      <w:bodyDiv w:val="1"/>
      <w:marLeft w:val="0"/>
      <w:marRight w:val="0"/>
      <w:marTop w:val="0"/>
      <w:marBottom w:val="0"/>
      <w:divBdr>
        <w:top w:val="none" w:sz="0" w:space="0" w:color="auto"/>
        <w:left w:val="none" w:sz="0" w:space="0" w:color="auto"/>
        <w:bottom w:val="none" w:sz="0" w:space="0" w:color="auto"/>
        <w:right w:val="none" w:sz="0" w:space="0" w:color="auto"/>
      </w:divBdr>
      <w:divsChild>
        <w:div w:id="1757558947">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765104620">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154884937">
      <w:bodyDiv w:val="1"/>
      <w:marLeft w:val="0"/>
      <w:marRight w:val="0"/>
      <w:marTop w:val="0"/>
      <w:marBottom w:val="0"/>
      <w:divBdr>
        <w:top w:val="none" w:sz="0" w:space="0" w:color="auto"/>
        <w:left w:val="none" w:sz="0" w:space="0" w:color="auto"/>
        <w:bottom w:val="none" w:sz="0" w:space="0" w:color="auto"/>
        <w:right w:val="none" w:sz="0" w:space="0" w:color="auto"/>
      </w:divBdr>
      <w:divsChild>
        <w:div w:id="1151140190">
          <w:marLeft w:val="0"/>
          <w:marRight w:val="0"/>
          <w:marTop w:val="100"/>
          <w:marBottom w:val="100"/>
          <w:divBdr>
            <w:top w:val="none" w:sz="0" w:space="0" w:color="auto"/>
            <w:left w:val="none" w:sz="0" w:space="0" w:color="auto"/>
            <w:bottom w:val="none" w:sz="0" w:space="0" w:color="auto"/>
            <w:right w:val="none" w:sz="0" w:space="0" w:color="auto"/>
          </w:divBdr>
          <w:divsChild>
            <w:div w:id="2070421932">
              <w:marLeft w:val="0"/>
              <w:marRight w:val="0"/>
              <w:marTop w:val="0"/>
              <w:marBottom w:val="0"/>
              <w:divBdr>
                <w:top w:val="none" w:sz="0" w:space="0" w:color="auto"/>
                <w:left w:val="none" w:sz="0" w:space="0" w:color="auto"/>
                <w:bottom w:val="none" w:sz="0" w:space="0" w:color="auto"/>
                <w:right w:val="none" w:sz="0" w:space="0" w:color="auto"/>
              </w:divBdr>
              <w:divsChild>
                <w:div w:id="1625696652">
                  <w:marLeft w:val="0"/>
                  <w:marRight w:val="0"/>
                  <w:marTop w:val="0"/>
                  <w:marBottom w:val="0"/>
                  <w:divBdr>
                    <w:top w:val="none" w:sz="0" w:space="0" w:color="auto"/>
                    <w:left w:val="none" w:sz="0" w:space="0" w:color="auto"/>
                    <w:bottom w:val="none" w:sz="0" w:space="0" w:color="auto"/>
                    <w:right w:val="none" w:sz="0" w:space="0" w:color="auto"/>
                  </w:divBdr>
                  <w:divsChild>
                    <w:div w:id="263269542">
                      <w:marLeft w:val="0"/>
                      <w:marRight w:val="0"/>
                      <w:marTop w:val="0"/>
                      <w:marBottom w:val="0"/>
                      <w:divBdr>
                        <w:top w:val="none" w:sz="0" w:space="0" w:color="auto"/>
                        <w:left w:val="none" w:sz="0" w:space="0" w:color="auto"/>
                        <w:bottom w:val="none" w:sz="0" w:space="0" w:color="auto"/>
                        <w:right w:val="none" w:sz="0" w:space="0" w:color="auto"/>
                      </w:divBdr>
                      <w:divsChild>
                        <w:div w:id="1198197784">
                          <w:marLeft w:val="0"/>
                          <w:marRight w:val="0"/>
                          <w:marTop w:val="0"/>
                          <w:marBottom w:val="0"/>
                          <w:divBdr>
                            <w:top w:val="none" w:sz="0" w:space="0" w:color="auto"/>
                            <w:left w:val="none" w:sz="0" w:space="0" w:color="auto"/>
                            <w:bottom w:val="none" w:sz="0" w:space="0" w:color="auto"/>
                            <w:right w:val="none" w:sz="0" w:space="0" w:color="auto"/>
                          </w:divBdr>
                          <w:divsChild>
                            <w:div w:id="1238787134">
                              <w:marLeft w:val="0"/>
                              <w:marRight w:val="0"/>
                              <w:marTop w:val="0"/>
                              <w:marBottom w:val="0"/>
                              <w:divBdr>
                                <w:top w:val="none" w:sz="0" w:space="0" w:color="auto"/>
                                <w:left w:val="none" w:sz="0" w:space="0" w:color="auto"/>
                                <w:bottom w:val="none" w:sz="0" w:space="0" w:color="auto"/>
                                <w:right w:val="none" w:sz="0" w:space="0" w:color="auto"/>
                              </w:divBdr>
                              <w:divsChild>
                                <w:div w:id="1765880300">
                                  <w:marLeft w:val="0"/>
                                  <w:marRight w:val="0"/>
                                  <w:marTop w:val="0"/>
                                  <w:marBottom w:val="0"/>
                                  <w:divBdr>
                                    <w:top w:val="none" w:sz="0" w:space="0" w:color="auto"/>
                                    <w:left w:val="none" w:sz="0" w:space="0" w:color="auto"/>
                                    <w:bottom w:val="none" w:sz="0" w:space="0" w:color="auto"/>
                                    <w:right w:val="none" w:sz="0" w:space="0" w:color="auto"/>
                                  </w:divBdr>
                                  <w:divsChild>
                                    <w:div w:id="4574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33331">
      <w:bodyDiv w:val="1"/>
      <w:marLeft w:val="0"/>
      <w:marRight w:val="0"/>
      <w:marTop w:val="0"/>
      <w:marBottom w:val="0"/>
      <w:divBdr>
        <w:top w:val="none" w:sz="0" w:space="0" w:color="auto"/>
        <w:left w:val="none" w:sz="0" w:space="0" w:color="auto"/>
        <w:bottom w:val="none" w:sz="0" w:space="0" w:color="auto"/>
        <w:right w:val="none" w:sz="0" w:space="0" w:color="auto"/>
      </w:divBdr>
    </w:div>
    <w:div w:id="181631725">
      <w:bodyDiv w:val="1"/>
      <w:marLeft w:val="0"/>
      <w:marRight w:val="0"/>
      <w:marTop w:val="0"/>
      <w:marBottom w:val="0"/>
      <w:divBdr>
        <w:top w:val="none" w:sz="0" w:space="0" w:color="auto"/>
        <w:left w:val="none" w:sz="0" w:space="0" w:color="auto"/>
        <w:bottom w:val="none" w:sz="0" w:space="0" w:color="auto"/>
        <w:right w:val="none" w:sz="0" w:space="0" w:color="auto"/>
      </w:divBdr>
      <w:divsChild>
        <w:div w:id="615983013">
          <w:marLeft w:val="0"/>
          <w:marRight w:val="0"/>
          <w:marTop w:val="0"/>
          <w:marBottom w:val="0"/>
          <w:divBdr>
            <w:top w:val="none" w:sz="0" w:space="0" w:color="auto"/>
            <w:left w:val="none" w:sz="0" w:space="0" w:color="auto"/>
            <w:bottom w:val="none" w:sz="0" w:space="0" w:color="auto"/>
            <w:right w:val="none" w:sz="0" w:space="0" w:color="auto"/>
          </w:divBdr>
          <w:divsChild>
            <w:div w:id="1229802652">
              <w:marLeft w:val="0"/>
              <w:marRight w:val="0"/>
              <w:marTop w:val="0"/>
              <w:marBottom w:val="0"/>
              <w:divBdr>
                <w:top w:val="none" w:sz="0" w:space="0" w:color="auto"/>
                <w:left w:val="none" w:sz="0" w:space="0" w:color="auto"/>
                <w:bottom w:val="none" w:sz="0" w:space="0" w:color="auto"/>
                <w:right w:val="none" w:sz="0" w:space="0" w:color="auto"/>
              </w:divBdr>
              <w:divsChild>
                <w:div w:id="1055736949">
                  <w:marLeft w:val="0"/>
                  <w:marRight w:val="0"/>
                  <w:marTop w:val="0"/>
                  <w:marBottom w:val="0"/>
                  <w:divBdr>
                    <w:top w:val="none" w:sz="0" w:space="0" w:color="auto"/>
                    <w:left w:val="none" w:sz="0" w:space="0" w:color="auto"/>
                    <w:bottom w:val="none" w:sz="0" w:space="0" w:color="auto"/>
                    <w:right w:val="none" w:sz="0" w:space="0" w:color="auto"/>
                  </w:divBdr>
                  <w:divsChild>
                    <w:div w:id="1350638689">
                      <w:marLeft w:val="0"/>
                      <w:marRight w:val="0"/>
                      <w:marTop w:val="0"/>
                      <w:marBottom w:val="0"/>
                      <w:divBdr>
                        <w:top w:val="none" w:sz="0" w:space="0" w:color="auto"/>
                        <w:left w:val="none" w:sz="0" w:space="0" w:color="auto"/>
                        <w:bottom w:val="none" w:sz="0" w:space="0" w:color="auto"/>
                        <w:right w:val="none" w:sz="0" w:space="0" w:color="auto"/>
                      </w:divBdr>
                      <w:divsChild>
                        <w:div w:id="1662541122">
                          <w:marLeft w:val="12300"/>
                          <w:marRight w:val="0"/>
                          <w:marTop w:val="0"/>
                          <w:marBottom w:val="0"/>
                          <w:divBdr>
                            <w:top w:val="none" w:sz="0" w:space="0" w:color="auto"/>
                            <w:left w:val="none" w:sz="0" w:space="0" w:color="auto"/>
                            <w:bottom w:val="none" w:sz="0" w:space="0" w:color="auto"/>
                            <w:right w:val="none" w:sz="0" w:space="0" w:color="auto"/>
                          </w:divBdr>
                          <w:divsChild>
                            <w:div w:id="502476616">
                              <w:marLeft w:val="0"/>
                              <w:marRight w:val="0"/>
                              <w:marTop w:val="0"/>
                              <w:marBottom w:val="405"/>
                              <w:divBdr>
                                <w:top w:val="none" w:sz="0" w:space="0" w:color="auto"/>
                                <w:left w:val="none" w:sz="0" w:space="0" w:color="auto"/>
                                <w:bottom w:val="none" w:sz="0" w:space="0" w:color="auto"/>
                                <w:right w:val="none" w:sz="0" w:space="0" w:color="auto"/>
                              </w:divBdr>
                              <w:divsChild>
                                <w:div w:id="1767338206">
                                  <w:marLeft w:val="0"/>
                                  <w:marRight w:val="0"/>
                                  <w:marTop w:val="0"/>
                                  <w:marBottom w:val="0"/>
                                  <w:divBdr>
                                    <w:top w:val="none" w:sz="0" w:space="0" w:color="auto"/>
                                    <w:left w:val="none" w:sz="0" w:space="0" w:color="auto"/>
                                    <w:bottom w:val="none" w:sz="0" w:space="0" w:color="auto"/>
                                    <w:right w:val="none" w:sz="0" w:space="0" w:color="auto"/>
                                  </w:divBdr>
                                  <w:divsChild>
                                    <w:div w:id="1660813321">
                                      <w:marLeft w:val="0"/>
                                      <w:marRight w:val="0"/>
                                      <w:marTop w:val="0"/>
                                      <w:marBottom w:val="0"/>
                                      <w:divBdr>
                                        <w:top w:val="none" w:sz="0" w:space="0" w:color="auto"/>
                                        <w:left w:val="none" w:sz="0" w:space="0" w:color="auto"/>
                                        <w:bottom w:val="none" w:sz="0" w:space="0" w:color="auto"/>
                                        <w:right w:val="none" w:sz="0" w:space="0" w:color="auto"/>
                                      </w:divBdr>
                                      <w:divsChild>
                                        <w:div w:id="795366498">
                                          <w:marLeft w:val="0"/>
                                          <w:marRight w:val="0"/>
                                          <w:marTop w:val="0"/>
                                          <w:marBottom w:val="0"/>
                                          <w:divBdr>
                                            <w:top w:val="none" w:sz="0" w:space="0" w:color="auto"/>
                                            <w:left w:val="none" w:sz="0" w:space="0" w:color="auto"/>
                                            <w:bottom w:val="none" w:sz="0" w:space="0" w:color="auto"/>
                                            <w:right w:val="none" w:sz="0" w:space="0" w:color="auto"/>
                                          </w:divBdr>
                                          <w:divsChild>
                                            <w:div w:id="1310674784">
                                              <w:marLeft w:val="0"/>
                                              <w:marRight w:val="0"/>
                                              <w:marTop w:val="0"/>
                                              <w:marBottom w:val="0"/>
                                              <w:divBdr>
                                                <w:top w:val="none" w:sz="0" w:space="0" w:color="auto"/>
                                                <w:left w:val="none" w:sz="0" w:space="0" w:color="auto"/>
                                                <w:bottom w:val="none" w:sz="0" w:space="0" w:color="auto"/>
                                                <w:right w:val="none" w:sz="0" w:space="0" w:color="auto"/>
                                              </w:divBdr>
                                              <w:divsChild>
                                                <w:div w:id="272171584">
                                                  <w:marLeft w:val="0"/>
                                                  <w:marRight w:val="0"/>
                                                  <w:marTop w:val="0"/>
                                                  <w:marBottom w:val="0"/>
                                                  <w:divBdr>
                                                    <w:top w:val="none" w:sz="0" w:space="0" w:color="auto"/>
                                                    <w:left w:val="none" w:sz="0" w:space="0" w:color="auto"/>
                                                    <w:bottom w:val="none" w:sz="0" w:space="0" w:color="auto"/>
                                                    <w:right w:val="none" w:sz="0" w:space="0" w:color="auto"/>
                                                  </w:divBdr>
                                                  <w:divsChild>
                                                    <w:div w:id="593712504">
                                                      <w:marLeft w:val="0"/>
                                                      <w:marRight w:val="0"/>
                                                      <w:marTop w:val="0"/>
                                                      <w:marBottom w:val="0"/>
                                                      <w:divBdr>
                                                        <w:top w:val="none" w:sz="0" w:space="0" w:color="auto"/>
                                                        <w:left w:val="none" w:sz="0" w:space="0" w:color="auto"/>
                                                        <w:bottom w:val="none" w:sz="0" w:space="0" w:color="auto"/>
                                                        <w:right w:val="none" w:sz="0" w:space="0" w:color="auto"/>
                                                      </w:divBdr>
                                                      <w:divsChild>
                                                        <w:div w:id="205678216">
                                                          <w:marLeft w:val="0"/>
                                                          <w:marRight w:val="0"/>
                                                          <w:marTop w:val="0"/>
                                                          <w:marBottom w:val="0"/>
                                                          <w:divBdr>
                                                            <w:top w:val="none" w:sz="0" w:space="0" w:color="auto"/>
                                                            <w:left w:val="none" w:sz="0" w:space="0" w:color="auto"/>
                                                            <w:bottom w:val="none" w:sz="0" w:space="0" w:color="auto"/>
                                                            <w:right w:val="none" w:sz="0" w:space="0" w:color="auto"/>
                                                          </w:divBdr>
                                                          <w:divsChild>
                                                            <w:div w:id="314185286">
                                                              <w:marLeft w:val="0"/>
                                                              <w:marRight w:val="0"/>
                                                              <w:marTop w:val="0"/>
                                                              <w:marBottom w:val="0"/>
                                                              <w:divBdr>
                                                                <w:top w:val="none" w:sz="0" w:space="0" w:color="auto"/>
                                                                <w:left w:val="none" w:sz="0" w:space="0" w:color="auto"/>
                                                                <w:bottom w:val="none" w:sz="0" w:space="0" w:color="auto"/>
                                                                <w:right w:val="none" w:sz="0" w:space="0" w:color="auto"/>
                                                              </w:divBdr>
                                                              <w:divsChild>
                                                                <w:div w:id="478693248">
                                                                  <w:marLeft w:val="0"/>
                                                                  <w:marRight w:val="0"/>
                                                                  <w:marTop w:val="0"/>
                                                                  <w:marBottom w:val="0"/>
                                                                  <w:divBdr>
                                                                    <w:top w:val="none" w:sz="0" w:space="0" w:color="auto"/>
                                                                    <w:left w:val="none" w:sz="0" w:space="0" w:color="auto"/>
                                                                    <w:bottom w:val="none" w:sz="0" w:space="0" w:color="auto"/>
                                                                    <w:right w:val="none" w:sz="0" w:space="0" w:color="auto"/>
                                                                  </w:divBdr>
                                                                  <w:divsChild>
                                                                    <w:div w:id="633873668">
                                                                      <w:marLeft w:val="0"/>
                                                                      <w:marRight w:val="0"/>
                                                                      <w:marTop w:val="0"/>
                                                                      <w:marBottom w:val="0"/>
                                                                      <w:divBdr>
                                                                        <w:top w:val="none" w:sz="0" w:space="0" w:color="auto"/>
                                                                        <w:left w:val="none" w:sz="0" w:space="0" w:color="auto"/>
                                                                        <w:bottom w:val="none" w:sz="0" w:space="0" w:color="auto"/>
                                                                        <w:right w:val="none" w:sz="0" w:space="0" w:color="auto"/>
                                                                      </w:divBdr>
                                                                      <w:divsChild>
                                                                        <w:div w:id="7433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76108">
      <w:bodyDiv w:val="1"/>
      <w:marLeft w:val="0"/>
      <w:marRight w:val="0"/>
      <w:marTop w:val="0"/>
      <w:marBottom w:val="0"/>
      <w:divBdr>
        <w:top w:val="none" w:sz="0" w:space="0" w:color="auto"/>
        <w:left w:val="none" w:sz="0" w:space="0" w:color="auto"/>
        <w:bottom w:val="none" w:sz="0" w:space="0" w:color="auto"/>
        <w:right w:val="none" w:sz="0" w:space="0" w:color="auto"/>
      </w:divBdr>
    </w:div>
    <w:div w:id="277109671">
      <w:bodyDiv w:val="1"/>
      <w:marLeft w:val="0"/>
      <w:marRight w:val="0"/>
      <w:marTop w:val="0"/>
      <w:marBottom w:val="0"/>
      <w:divBdr>
        <w:top w:val="none" w:sz="0" w:space="0" w:color="auto"/>
        <w:left w:val="none" w:sz="0" w:space="0" w:color="auto"/>
        <w:bottom w:val="none" w:sz="0" w:space="0" w:color="auto"/>
        <w:right w:val="none" w:sz="0" w:space="0" w:color="auto"/>
      </w:divBdr>
      <w:divsChild>
        <w:div w:id="2109881899">
          <w:marLeft w:val="0"/>
          <w:marRight w:val="1"/>
          <w:marTop w:val="0"/>
          <w:marBottom w:val="0"/>
          <w:divBdr>
            <w:top w:val="none" w:sz="0" w:space="0" w:color="auto"/>
            <w:left w:val="none" w:sz="0" w:space="0" w:color="auto"/>
            <w:bottom w:val="none" w:sz="0" w:space="0" w:color="auto"/>
            <w:right w:val="none" w:sz="0" w:space="0" w:color="auto"/>
          </w:divBdr>
          <w:divsChild>
            <w:div w:id="329135521">
              <w:marLeft w:val="0"/>
              <w:marRight w:val="0"/>
              <w:marTop w:val="0"/>
              <w:marBottom w:val="0"/>
              <w:divBdr>
                <w:top w:val="none" w:sz="0" w:space="0" w:color="auto"/>
                <w:left w:val="none" w:sz="0" w:space="0" w:color="auto"/>
                <w:bottom w:val="none" w:sz="0" w:space="0" w:color="auto"/>
                <w:right w:val="none" w:sz="0" w:space="0" w:color="auto"/>
              </w:divBdr>
              <w:divsChild>
                <w:div w:id="1107970400">
                  <w:marLeft w:val="0"/>
                  <w:marRight w:val="1"/>
                  <w:marTop w:val="0"/>
                  <w:marBottom w:val="0"/>
                  <w:divBdr>
                    <w:top w:val="none" w:sz="0" w:space="0" w:color="auto"/>
                    <w:left w:val="none" w:sz="0" w:space="0" w:color="auto"/>
                    <w:bottom w:val="none" w:sz="0" w:space="0" w:color="auto"/>
                    <w:right w:val="none" w:sz="0" w:space="0" w:color="auto"/>
                  </w:divBdr>
                  <w:divsChild>
                    <w:div w:id="717163522">
                      <w:marLeft w:val="0"/>
                      <w:marRight w:val="0"/>
                      <w:marTop w:val="0"/>
                      <w:marBottom w:val="0"/>
                      <w:divBdr>
                        <w:top w:val="none" w:sz="0" w:space="0" w:color="auto"/>
                        <w:left w:val="none" w:sz="0" w:space="0" w:color="auto"/>
                        <w:bottom w:val="none" w:sz="0" w:space="0" w:color="auto"/>
                        <w:right w:val="none" w:sz="0" w:space="0" w:color="auto"/>
                      </w:divBdr>
                      <w:divsChild>
                        <w:div w:id="346954268">
                          <w:marLeft w:val="0"/>
                          <w:marRight w:val="0"/>
                          <w:marTop w:val="0"/>
                          <w:marBottom w:val="0"/>
                          <w:divBdr>
                            <w:top w:val="none" w:sz="0" w:space="0" w:color="auto"/>
                            <w:left w:val="none" w:sz="0" w:space="0" w:color="auto"/>
                            <w:bottom w:val="none" w:sz="0" w:space="0" w:color="auto"/>
                            <w:right w:val="none" w:sz="0" w:space="0" w:color="auto"/>
                          </w:divBdr>
                          <w:divsChild>
                            <w:div w:id="1349066988">
                              <w:marLeft w:val="0"/>
                              <w:marRight w:val="0"/>
                              <w:marTop w:val="120"/>
                              <w:marBottom w:val="360"/>
                              <w:divBdr>
                                <w:top w:val="none" w:sz="0" w:space="0" w:color="auto"/>
                                <w:left w:val="none" w:sz="0" w:space="0" w:color="auto"/>
                                <w:bottom w:val="none" w:sz="0" w:space="0" w:color="auto"/>
                                <w:right w:val="none" w:sz="0" w:space="0" w:color="auto"/>
                              </w:divBdr>
                              <w:divsChild>
                                <w:div w:id="1990818820">
                                  <w:marLeft w:val="0"/>
                                  <w:marRight w:val="0"/>
                                  <w:marTop w:val="0"/>
                                  <w:marBottom w:val="0"/>
                                  <w:divBdr>
                                    <w:top w:val="none" w:sz="0" w:space="0" w:color="auto"/>
                                    <w:left w:val="none" w:sz="0" w:space="0" w:color="auto"/>
                                    <w:bottom w:val="none" w:sz="0" w:space="0" w:color="auto"/>
                                    <w:right w:val="none" w:sz="0" w:space="0" w:color="auto"/>
                                  </w:divBdr>
                                </w:div>
                                <w:div w:id="13462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270858">
      <w:bodyDiv w:val="1"/>
      <w:marLeft w:val="0"/>
      <w:marRight w:val="0"/>
      <w:marTop w:val="0"/>
      <w:marBottom w:val="0"/>
      <w:divBdr>
        <w:top w:val="none" w:sz="0" w:space="0" w:color="auto"/>
        <w:left w:val="none" w:sz="0" w:space="0" w:color="auto"/>
        <w:bottom w:val="none" w:sz="0" w:space="0" w:color="auto"/>
        <w:right w:val="none" w:sz="0" w:space="0" w:color="auto"/>
      </w:divBdr>
      <w:divsChild>
        <w:div w:id="218521967">
          <w:marLeft w:val="0"/>
          <w:marRight w:val="0"/>
          <w:marTop w:val="100"/>
          <w:marBottom w:val="100"/>
          <w:divBdr>
            <w:top w:val="none" w:sz="0" w:space="0" w:color="auto"/>
            <w:left w:val="none" w:sz="0" w:space="0" w:color="auto"/>
            <w:bottom w:val="none" w:sz="0" w:space="0" w:color="auto"/>
            <w:right w:val="none" w:sz="0" w:space="0" w:color="auto"/>
          </w:divBdr>
          <w:divsChild>
            <w:div w:id="1504323824">
              <w:marLeft w:val="0"/>
              <w:marRight w:val="0"/>
              <w:marTop w:val="0"/>
              <w:marBottom w:val="0"/>
              <w:divBdr>
                <w:top w:val="none" w:sz="0" w:space="0" w:color="auto"/>
                <w:left w:val="none" w:sz="0" w:space="0" w:color="auto"/>
                <w:bottom w:val="none" w:sz="0" w:space="0" w:color="auto"/>
                <w:right w:val="none" w:sz="0" w:space="0" w:color="auto"/>
              </w:divBdr>
              <w:divsChild>
                <w:div w:id="724840510">
                  <w:marLeft w:val="0"/>
                  <w:marRight w:val="0"/>
                  <w:marTop w:val="0"/>
                  <w:marBottom w:val="0"/>
                  <w:divBdr>
                    <w:top w:val="none" w:sz="0" w:space="0" w:color="auto"/>
                    <w:left w:val="none" w:sz="0" w:space="0" w:color="auto"/>
                    <w:bottom w:val="none" w:sz="0" w:space="0" w:color="auto"/>
                    <w:right w:val="none" w:sz="0" w:space="0" w:color="auto"/>
                  </w:divBdr>
                  <w:divsChild>
                    <w:div w:id="754320422">
                      <w:marLeft w:val="0"/>
                      <w:marRight w:val="0"/>
                      <w:marTop w:val="0"/>
                      <w:marBottom w:val="0"/>
                      <w:divBdr>
                        <w:top w:val="none" w:sz="0" w:space="0" w:color="auto"/>
                        <w:left w:val="none" w:sz="0" w:space="0" w:color="auto"/>
                        <w:bottom w:val="none" w:sz="0" w:space="0" w:color="auto"/>
                        <w:right w:val="none" w:sz="0" w:space="0" w:color="auto"/>
                      </w:divBdr>
                      <w:divsChild>
                        <w:div w:id="1858887664">
                          <w:marLeft w:val="0"/>
                          <w:marRight w:val="0"/>
                          <w:marTop w:val="0"/>
                          <w:marBottom w:val="0"/>
                          <w:divBdr>
                            <w:top w:val="none" w:sz="0" w:space="0" w:color="auto"/>
                            <w:left w:val="none" w:sz="0" w:space="0" w:color="auto"/>
                            <w:bottom w:val="none" w:sz="0" w:space="0" w:color="auto"/>
                            <w:right w:val="none" w:sz="0" w:space="0" w:color="auto"/>
                          </w:divBdr>
                          <w:divsChild>
                            <w:div w:id="2081101024">
                              <w:marLeft w:val="0"/>
                              <w:marRight w:val="0"/>
                              <w:marTop w:val="0"/>
                              <w:marBottom w:val="0"/>
                              <w:divBdr>
                                <w:top w:val="none" w:sz="0" w:space="0" w:color="auto"/>
                                <w:left w:val="none" w:sz="0" w:space="0" w:color="auto"/>
                                <w:bottom w:val="none" w:sz="0" w:space="0" w:color="auto"/>
                                <w:right w:val="none" w:sz="0" w:space="0" w:color="auto"/>
                              </w:divBdr>
                              <w:divsChild>
                                <w:div w:id="1574001814">
                                  <w:marLeft w:val="0"/>
                                  <w:marRight w:val="0"/>
                                  <w:marTop w:val="0"/>
                                  <w:marBottom w:val="0"/>
                                  <w:divBdr>
                                    <w:top w:val="none" w:sz="0" w:space="0" w:color="auto"/>
                                    <w:left w:val="none" w:sz="0" w:space="0" w:color="auto"/>
                                    <w:bottom w:val="none" w:sz="0" w:space="0" w:color="auto"/>
                                    <w:right w:val="none" w:sz="0" w:space="0" w:color="auto"/>
                                  </w:divBdr>
                                  <w:divsChild>
                                    <w:div w:id="1511943408">
                                      <w:marLeft w:val="0"/>
                                      <w:marRight w:val="0"/>
                                      <w:marTop w:val="75"/>
                                      <w:marBottom w:val="0"/>
                                      <w:divBdr>
                                        <w:top w:val="none" w:sz="0" w:space="0" w:color="auto"/>
                                        <w:left w:val="none" w:sz="0" w:space="0" w:color="auto"/>
                                        <w:bottom w:val="none" w:sz="0" w:space="0" w:color="auto"/>
                                        <w:right w:val="none" w:sz="0" w:space="0" w:color="auto"/>
                                      </w:divBdr>
                                      <w:divsChild>
                                        <w:div w:id="1515147335">
                                          <w:marLeft w:val="0"/>
                                          <w:marRight w:val="0"/>
                                          <w:marTop w:val="0"/>
                                          <w:marBottom w:val="0"/>
                                          <w:divBdr>
                                            <w:top w:val="none" w:sz="0" w:space="0" w:color="auto"/>
                                            <w:left w:val="none" w:sz="0" w:space="0" w:color="auto"/>
                                            <w:bottom w:val="none" w:sz="0" w:space="0" w:color="auto"/>
                                            <w:right w:val="none" w:sz="0" w:space="0" w:color="auto"/>
                                          </w:divBdr>
                                          <w:divsChild>
                                            <w:div w:id="19236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564139">
      <w:bodyDiv w:val="1"/>
      <w:marLeft w:val="0"/>
      <w:marRight w:val="0"/>
      <w:marTop w:val="0"/>
      <w:marBottom w:val="0"/>
      <w:divBdr>
        <w:top w:val="none" w:sz="0" w:space="0" w:color="auto"/>
        <w:left w:val="none" w:sz="0" w:space="0" w:color="auto"/>
        <w:bottom w:val="none" w:sz="0" w:space="0" w:color="auto"/>
        <w:right w:val="none" w:sz="0" w:space="0" w:color="auto"/>
      </w:divBdr>
      <w:divsChild>
        <w:div w:id="1461875687">
          <w:marLeft w:val="0"/>
          <w:marRight w:val="1"/>
          <w:marTop w:val="0"/>
          <w:marBottom w:val="0"/>
          <w:divBdr>
            <w:top w:val="none" w:sz="0" w:space="0" w:color="auto"/>
            <w:left w:val="none" w:sz="0" w:space="0" w:color="auto"/>
            <w:bottom w:val="none" w:sz="0" w:space="0" w:color="auto"/>
            <w:right w:val="none" w:sz="0" w:space="0" w:color="auto"/>
          </w:divBdr>
          <w:divsChild>
            <w:div w:id="335882966">
              <w:marLeft w:val="0"/>
              <w:marRight w:val="0"/>
              <w:marTop w:val="0"/>
              <w:marBottom w:val="0"/>
              <w:divBdr>
                <w:top w:val="none" w:sz="0" w:space="0" w:color="auto"/>
                <w:left w:val="none" w:sz="0" w:space="0" w:color="auto"/>
                <w:bottom w:val="none" w:sz="0" w:space="0" w:color="auto"/>
                <w:right w:val="none" w:sz="0" w:space="0" w:color="auto"/>
              </w:divBdr>
              <w:divsChild>
                <w:div w:id="1258364987">
                  <w:marLeft w:val="0"/>
                  <w:marRight w:val="1"/>
                  <w:marTop w:val="0"/>
                  <w:marBottom w:val="0"/>
                  <w:divBdr>
                    <w:top w:val="none" w:sz="0" w:space="0" w:color="auto"/>
                    <w:left w:val="none" w:sz="0" w:space="0" w:color="auto"/>
                    <w:bottom w:val="none" w:sz="0" w:space="0" w:color="auto"/>
                    <w:right w:val="none" w:sz="0" w:space="0" w:color="auto"/>
                  </w:divBdr>
                  <w:divsChild>
                    <w:div w:id="165050328">
                      <w:marLeft w:val="0"/>
                      <w:marRight w:val="0"/>
                      <w:marTop w:val="0"/>
                      <w:marBottom w:val="0"/>
                      <w:divBdr>
                        <w:top w:val="none" w:sz="0" w:space="0" w:color="auto"/>
                        <w:left w:val="none" w:sz="0" w:space="0" w:color="auto"/>
                        <w:bottom w:val="none" w:sz="0" w:space="0" w:color="auto"/>
                        <w:right w:val="none" w:sz="0" w:space="0" w:color="auto"/>
                      </w:divBdr>
                      <w:divsChild>
                        <w:div w:id="1307050361">
                          <w:marLeft w:val="0"/>
                          <w:marRight w:val="0"/>
                          <w:marTop w:val="0"/>
                          <w:marBottom w:val="0"/>
                          <w:divBdr>
                            <w:top w:val="none" w:sz="0" w:space="0" w:color="auto"/>
                            <w:left w:val="none" w:sz="0" w:space="0" w:color="auto"/>
                            <w:bottom w:val="none" w:sz="0" w:space="0" w:color="auto"/>
                            <w:right w:val="none" w:sz="0" w:space="0" w:color="auto"/>
                          </w:divBdr>
                          <w:divsChild>
                            <w:div w:id="488988070">
                              <w:marLeft w:val="0"/>
                              <w:marRight w:val="0"/>
                              <w:marTop w:val="120"/>
                              <w:marBottom w:val="360"/>
                              <w:divBdr>
                                <w:top w:val="none" w:sz="0" w:space="0" w:color="auto"/>
                                <w:left w:val="none" w:sz="0" w:space="0" w:color="auto"/>
                                <w:bottom w:val="none" w:sz="0" w:space="0" w:color="auto"/>
                                <w:right w:val="none" w:sz="0" w:space="0" w:color="auto"/>
                              </w:divBdr>
                              <w:divsChild>
                                <w:div w:id="857502185">
                                  <w:marLeft w:val="420"/>
                                  <w:marRight w:val="0"/>
                                  <w:marTop w:val="0"/>
                                  <w:marBottom w:val="0"/>
                                  <w:divBdr>
                                    <w:top w:val="none" w:sz="0" w:space="0" w:color="auto"/>
                                    <w:left w:val="none" w:sz="0" w:space="0" w:color="auto"/>
                                    <w:bottom w:val="none" w:sz="0" w:space="0" w:color="auto"/>
                                    <w:right w:val="none" w:sz="0" w:space="0" w:color="auto"/>
                                  </w:divBdr>
                                  <w:divsChild>
                                    <w:div w:id="18637878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96972">
      <w:bodyDiv w:val="1"/>
      <w:marLeft w:val="0"/>
      <w:marRight w:val="0"/>
      <w:marTop w:val="0"/>
      <w:marBottom w:val="0"/>
      <w:divBdr>
        <w:top w:val="none" w:sz="0" w:space="0" w:color="auto"/>
        <w:left w:val="none" w:sz="0" w:space="0" w:color="auto"/>
        <w:bottom w:val="none" w:sz="0" w:space="0" w:color="auto"/>
        <w:right w:val="none" w:sz="0" w:space="0" w:color="auto"/>
      </w:divBdr>
    </w:div>
    <w:div w:id="682318976">
      <w:bodyDiv w:val="1"/>
      <w:marLeft w:val="0"/>
      <w:marRight w:val="0"/>
      <w:marTop w:val="0"/>
      <w:marBottom w:val="0"/>
      <w:divBdr>
        <w:top w:val="none" w:sz="0" w:space="0" w:color="auto"/>
        <w:left w:val="none" w:sz="0" w:space="0" w:color="auto"/>
        <w:bottom w:val="none" w:sz="0" w:space="0" w:color="auto"/>
        <w:right w:val="none" w:sz="0" w:space="0" w:color="auto"/>
      </w:divBdr>
    </w:div>
    <w:div w:id="683748495">
      <w:bodyDiv w:val="1"/>
      <w:marLeft w:val="0"/>
      <w:marRight w:val="0"/>
      <w:marTop w:val="0"/>
      <w:marBottom w:val="0"/>
      <w:divBdr>
        <w:top w:val="none" w:sz="0" w:space="0" w:color="auto"/>
        <w:left w:val="none" w:sz="0" w:space="0" w:color="auto"/>
        <w:bottom w:val="none" w:sz="0" w:space="0" w:color="auto"/>
        <w:right w:val="none" w:sz="0" w:space="0" w:color="auto"/>
      </w:divBdr>
    </w:div>
    <w:div w:id="703483146">
      <w:bodyDiv w:val="1"/>
      <w:marLeft w:val="0"/>
      <w:marRight w:val="0"/>
      <w:marTop w:val="0"/>
      <w:marBottom w:val="0"/>
      <w:divBdr>
        <w:top w:val="none" w:sz="0" w:space="0" w:color="auto"/>
        <w:left w:val="none" w:sz="0" w:space="0" w:color="auto"/>
        <w:bottom w:val="none" w:sz="0" w:space="0" w:color="auto"/>
        <w:right w:val="none" w:sz="0" w:space="0" w:color="auto"/>
      </w:divBdr>
    </w:div>
    <w:div w:id="764959194">
      <w:bodyDiv w:val="1"/>
      <w:marLeft w:val="0"/>
      <w:marRight w:val="0"/>
      <w:marTop w:val="0"/>
      <w:marBottom w:val="0"/>
      <w:divBdr>
        <w:top w:val="none" w:sz="0" w:space="0" w:color="auto"/>
        <w:left w:val="none" w:sz="0" w:space="0" w:color="auto"/>
        <w:bottom w:val="none" w:sz="0" w:space="0" w:color="auto"/>
        <w:right w:val="none" w:sz="0" w:space="0" w:color="auto"/>
      </w:divBdr>
    </w:div>
    <w:div w:id="796679253">
      <w:bodyDiv w:val="1"/>
      <w:marLeft w:val="0"/>
      <w:marRight w:val="0"/>
      <w:marTop w:val="0"/>
      <w:marBottom w:val="0"/>
      <w:divBdr>
        <w:top w:val="none" w:sz="0" w:space="0" w:color="auto"/>
        <w:left w:val="none" w:sz="0" w:space="0" w:color="auto"/>
        <w:bottom w:val="none" w:sz="0" w:space="0" w:color="auto"/>
        <w:right w:val="none" w:sz="0" w:space="0" w:color="auto"/>
      </w:divBdr>
    </w:div>
    <w:div w:id="812328566">
      <w:bodyDiv w:val="1"/>
      <w:marLeft w:val="0"/>
      <w:marRight w:val="0"/>
      <w:marTop w:val="0"/>
      <w:marBottom w:val="0"/>
      <w:divBdr>
        <w:top w:val="none" w:sz="0" w:space="0" w:color="auto"/>
        <w:left w:val="none" w:sz="0" w:space="0" w:color="auto"/>
        <w:bottom w:val="none" w:sz="0" w:space="0" w:color="auto"/>
        <w:right w:val="none" w:sz="0" w:space="0" w:color="auto"/>
      </w:divBdr>
      <w:divsChild>
        <w:div w:id="935282324">
          <w:marLeft w:val="0"/>
          <w:marRight w:val="0"/>
          <w:marTop w:val="100"/>
          <w:marBottom w:val="100"/>
          <w:divBdr>
            <w:top w:val="none" w:sz="0" w:space="0" w:color="auto"/>
            <w:left w:val="none" w:sz="0" w:space="0" w:color="auto"/>
            <w:bottom w:val="none" w:sz="0" w:space="0" w:color="auto"/>
            <w:right w:val="none" w:sz="0" w:space="0" w:color="auto"/>
          </w:divBdr>
          <w:divsChild>
            <w:div w:id="683673799">
              <w:marLeft w:val="0"/>
              <w:marRight w:val="0"/>
              <w:marTop w:val="0"/>
              <w:marBottom w:val="0"/>
              <w:divBdr>
                <w:top w:val="none" w:sz="0" w:space="0" w:color="auto"/>
                <w:left w:val="none" w:sz="0" w:space="0" w:color="auto"/>
                <w:bottom w:val="none" w:sz="0" w:space="0" w:color="auto"/>
                <w:right w:val="none" w:sz="0" w:space="0" w:color="auto"/>
              </w:divBdr>
              <w:divsChild>
                <w:div w:id="1787196565">
                  <w:marLeft w:val="0"/>
                  <w:marRight w:val="0"/>
                  <w:marTop w:val="0"/>
                  <w:marBottom w:val="0"/>
                  <w:divBdr>
                    <w:top w:val="none" w:sz="0" w:space="0" w:color="auto"/>
                    <w:left w:val="none" w:sz="0" w:space="0" w:color="auto"/>
                    <w:bottom w:val="none" w:sz="0" w:space="0" w:color="auto"/>
                    <w:right w:val="none" w:sz="0" w:space="0" w:color="auto"/>
                  </w:divBdr>
                  <w:divsChild>
                    <w:div w:id="136840852">
                      <w:marLeft w:val="0"/>
                      <w:marRight w:val="0"/>
                      <w:marTop w:val="0"/>
                      <w:marBottom w:val="0"/>
                      <w:divBdr>
                        <w:top w:val="none" w:sz="0" w:space="0" w:color="auto"/>
                        <w:left w:val="none" w:sz="0" w:space="0" w:color="auto"/>
                        <w:bottom w:val="none" w:sz="0" w:space="0" w:color="auto"/>
                        <w:right w:val="none" w:sz="0" w:space="0" w:color="auto"/>
                      </w:divBdr>
                      <w:divsChild>
                        <w:div w:id="1859737326">
                          <w:marLeft w:val="0"/>
                          <w:marRight w:val="0"/>
                          <w:marTop w:val="0"/>
                          <w:marBottom w:val="0"/>
                          <w:divBdr>
                            <w:top w:val="none" w:sz="0" w:space="0" w:color="auto"/>
                            <w:left w:val="none" w:sz="0" w:space="0" w:color="auto"/>
                            <w:bottom w:val="none" w:sz="0" w:space="0" w:color="auto"/>
                            <w:right w:val="none" w:sz="0" w:space="0" w:color="auto"/>
                          </w:divBdr>
                          <w:divsChild>
                            <w:div w:id="775369284">
                              <w:marLeft w:val="0"/>
                              <w:marRight w:val="0"/>
                              <w:marTop w:val="0"/>
                              <w:marBottom w:val="0"/>
                              <w:divBdr>
                                <w:top w:val="none" w:sz="0" w:space="0" w:color="auto"/>
                                <w:left w:val="none" w:sz="0" w:space="0" w:color="auto"/>
                                <w:bottom w:val="none" w:sz="0" w:space="0" w:color="auto"/>
                                <w:right w:val="none" w:sz="0" w:space="0" w:color="auto"/>
                              </w:divBdr>
                              <w:divsChild>
                                <w:div w:id="526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144618">
      <w:bodyDiv w:val="1"/>
      <w:marLeft w:val="0"/>
      <w:marRight w:val="0"/>
      <w:marTop w:val="0"/>
      <w:marBottom w:val="0"/>
      <w:divBdr>
        <w:top w:val="none" w:sz="0" w:space="0" w:color="auto"/>
        <w:left w:val="none" w:sz="0" w:space="0" w:color="auto"/>
        <w:bottom w:val="none" w:sz="0" w:space="0" w:color="auto"/>
        <w:right w:val="none" w:sz="0" w:space="0" w:color="auto"/>
      </w:divBdr>
      <w:divsChild>
        <w:div w:id="1692216518">
          <w:marLeft w:val="0"/>
          <w:marRight w:val="0"/>
          <w:marTop w:val="100"/>
          <w:marBottom w:val="100"/>
          <w:divBdr>
            <w:top w:val="none" w:sz="0" w:space="0" w:color="auto"/>
            <w:left w:val="none" w:sz="0" w:space="0" w:color="auto"/>
            <w:bottom w:val="none" w:sz="0" w:space="0" w:color="auto"/>
            <w:right w:val="none" w:sz="0" w:space="0" w:color="auto"/>
          </w:divBdr>
          <w:divsChild>
            <w:div w:id="1439524550">
              <w:marLeft w:val="0"/>
              <w:marRight w:val="0"/>
              <w:marTop w:val="0"/>
              <w:marBottom w:val="0"/>
              <w:divBdr>
                <w:top w:val="none" w:sz="0" w:space="0" w:color="auto"/>
                <w:left w:val="none" w:sz="0" w:space="0" w:color="auto"/>
                <w:bottom w:val="none" w:sz="0" w:space="0" w:color="auto"/>
                <w:right w:val="none" w:sz="0" w:space="0" w:color="auto"/>
              </w:divBdr>
              <w:divsChild>
                <w:div w:id="1125386186">
                  <w:marLeft w:val="0"/>
                  <w:marRight w:val="0"/>
                  <w:marTop w:val="0"/>
                  <w:marBottom w:val="0"/>
                  <w:divBdr>
                    <w:top w:val="none" w:sz="0" w:space="0" w:color="auto"/>
                    <w:left w:val="none" w:sz="0" w:space="0" w:color="auto"/>
                    <w:bottom w:val="none" w:sz="0" w:space="0" w:color="auto"/>
                    <w:right w:val="none" w:sz="0" w:space="0" w:color="auto"/>
                  </w:divBdr>
                  <w:divsChild>
                    <w:div w:id="262880349">
                      <w:marLeft w:val="0"/>
                      <w:marRight w:val="0"/>
                      <w:marTop w:val="0"/>
                      <w:marBottom w:val="0"/>
                      <w:divBdr>
                        <w:top w:val="none" w:sz="0" w:space="0" w:color="auto"/>
                        <w:left w:val="none" w:sz="0" w:space="0" w:color="auto"/>
                        <w:bottom w:val="none" w:sz="0" w:space="0" w:color="auto"/>
                        <w:right w:val="none" w:sz="0" w:space="0" w:color="auto"/>
                      </w:divBdr>
                      <w:divsChild>
                        <w:div w:id="2020153873">
                          <w:marLeft w:val="0"/>
                          <w:marRight w:val="0"/>
                          <w:marTop w:val="0"/>
                          <w:marBottom w:val="0"/>
                          <w:divBdr>
                            <w:top w:val="none" w:sz="0" w:space="0" w:color="auto"/>
                            <w:left w:val="none" w:sz="0" w:space="0" w:color="auto"/>
                            <w:bottom w:val="none" w:sz="0" w:space="0" w:color="auto"/>
                            <w:right w:val="none" w:sz="0" w:space="0" w:color="auto"/>
                          </w:divBdr>
                          <w:divsChild>
                            <w:div w:id="401680153">
                              <w:marLeft w:val="0"/>
                              <w:marRight w:val="0"/>
                              <w:marTop w:val="0"/>
                              <w:marBottom w:val="0"/>
                              <w:divBdr>
                                <w:top w:val="none" w:sz="0" w:space="0" w:color="auto"/>
                                <w:left w:val="none" w:sz="0" w:space="0" w:color="auto"/>
                                <w:bottom w:val="none" w:sz="0" w:space="0" w:color="auto"/>
                                <w:right w:val="none" w:sz="0" w:space="0" w:color="auto"/>
                              </w:divBdr>
                              <w:divsChild>
                                <w:div w:id="1448230133">
                                  <w:marLeft w:val="0"/>
                                  <w:marRight w:val="0"/>
                                  <w:marTop w:val="0"/>
                                  <w:marBottom w:val="0"/>
                                  <w:divBdr>
                                    <w:top w:val="none" w:sz="0" w:space="0" w:color="auto"/>
                                    <w:left w:val="none" w:sz="0" w:space="0" w:color="auto"/>
                                    <w:bottom w:val="none" w:sz="0" w:space="0" w:color="auto"/>
                                    <w:right w:val="none" w:sz="0" w:space="0" w:color="auto"/>
                                  </w:divBdr>
                                  <w:divsChild>
                                    <w:div w:id="2094743639">
                                      <w:marLeft w:val="0"/>
                                      <w:marRight w:val="0"/>
                                      <w:marTop w:val="360"/>
                                      <w:marBottom w:val="0"/>
                                      <w:divBdr>
                                        <w:top w:val="none" w:sz="0" w:space="0" w:color="auto"/>
                                        <w:left w:val="none" w:sz="0" w:space="0" w:color="auto"/>
                                        <w:bottom w:val="none" w:sz="0" w:space="0" w:color="auto"/>
                                        <w:right w:val="none" w:sz="0" w:space="0" w:color="auto"/>
                                      </w:divBdr>
                                      <w:divsChild>
                                        <w:div w:id="1073166190">
                                          <w:marLeft w:val="0"/>
                                          <w:marRight w:val="0"/>
                                          <w:marTop w:val="0"/>
                                          <w:marBottom w:val="0"/>
                                          <w:divBdr>
                                            <w:top w:val="none" w:sz="0" w:space="0" w:color="auto"/>
                                            <w:left w:val="none" w:sz="0" w:space="0" w:color="auto"/>
                                            <w:bottom w:val="none" w:sz="0" w:space="0" w:color="auto"/>
                                            <w:right w:val="none" w:sz="0" w:space="0" w:color="auto"/>
                                          </w:divBdr>
                                          <w:divsChild>
                                            <w:div w:id="1799566995">
                                              <w:marLeft w:val="0"/>
                                              <w:marRight w:val="0"/>
                                              <w:marTop w:val="0"/>
                                              <w:marBottom w:val="0"/>
                                              <w:divBdr>
                                                <w:top w:val="none" w:sz="0" w:space="0" w:color="auto"/>
                                                <w:left w:val="none" w:sz="0" w:space="0" w:color="auto"/>
                                                <w:bottom w:val="none" w:sz="0" w:space="0" w:color="auto"/>
                                                <w:right w:val="none" w:sz="0" w:space="0" w:color="auto"/>
                                              </w:divBdr>
                                              <w:divsChild>
                                                <w:div w:id="1578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263640">
      <w:bodyDiv w:val="1"/>
      <w:marLeft w:val="0"/>
      <w:marRight w:val="0"/>
      <w:marTop w:val="0"/>
      <w:marBottom w:val="0"/>
      <w:divBdr>
        <w:top w:val="none" w:sz="0" w:space="0" w:color="auto"/>
        <w:left w:val="none" w:sz="0" w:space="0" w:color="auto"/>
        <w:bottom w:val="none" w:sz="0" w:space="0" w:color="auto"/>
        <w:right w:val="none" w:sz="0" w:space="0" w:color="auto"/>
      </w:divBdr>
      <w:divsChild>
        <w:div w:id="1003553927">
          <w:marLeft w:val="0"/>
          <w:marRight w:val="0"/>
          <w:marTop w:val="100"/>
          <w:marBottom w:val="100"/>
          <w:divBdr>
            <w:top w:val="none" w:sz="0" w:space="0" w:color="auto"/>
            <w:left w:val="none" w:sz="0" w:space="0" w:color="auto"/>
            <w:bottom w:val="none" w:sz="0" w:space="0" w:color="auto"/>
            <w:right w:val="none" w:sz="0" w:space="0" w:color="auto"/>
          </w:divBdr>
          <w:divsChild>
            <w:div w:id="959728523">
              <w:marLeft w:val="0"/>
              <w:marRight w:val="0"/>
              <w:marTop w:val="0"/>
              <w:marBottom w:val="0"/>
              <w:divBdr>
                <w:top w:val="none" w:sz="0" w:space="0" w:color="auto"/>
                <w:left w:val="none" w:sz="0" w:space="0" w:color="auto"/>
                <w:bottom w:val="none" w:sz="0" w:space="0" w:color="auto"/>
                <w:right w:val="none" w:sz="0" w:space="0" w:color="auto"/>
              </w:divBdr>
              <w:divsChild>
                <w:div w:id="451941766">
                  <w:marLeft w:val="0"/>
                  <w:marRight w:val="0"/>
                  <w:marTop w:val="0"/>
                  <w:marBottom w:val="0"/>
                  <w:divBdr>
                    <w:top w:val="none" w:sz="0" w:space="0" w:color="auto"/>
                    <w:left w:val="none" w:sz="0" w:space="0" w:color="auto"/>
                    <w:bottom w:val="none" w:sz="0" w:space="0" w:color="auto"/>
                    <w:right w:val="none" w:sz="0" w:space="0" w:color="auto"/>
                  </w:divBdr>
                  <w:divsChild>
                    <w:div w:id="2131975055">
                      <w:marLeft w:val="0"/>
                      <w:marRight w:val="0"/>
                      <w:marTop w:val="0"/>
                      <w:marBottom w:val="0"/>
                      <w:divBdr>
                        <w:top w:val="none" w:sz="0" w:space="0" w:color="auto"/>
                        <w:left w:val="none" w:sz="0" w:space="0" w:color="auto"/>
                        <w:bottom w:val="none" w:sz="0" w:space="0" w:color="auto"/>
                        <w:right w:val="none" w:sz="0" w:space="0" w:color="auto"/>
                      </w:divBdr>
                      <w:divsChild>
                        <w:div w:id="1946425502">
                          <w:marLeft w:val="0"/>
                          <w:marRight w:val="0"/>
                          <w:marTop w:val="0"/>
                          <w:marBottom w:val="0"/>
                          <w:divBdr>
                            <w:top w:val="none" w:sz="0" w:space="0" w:color="auto"/>
                            <w:left w:val="none" w:sz="0" w:space="0" w:color="auto"/>
                            <w:bottom w:val="none" w:sz="0" w:space="0" w:color="auto"/>
                            <w:right w:val="none" w:sz="0" w:space="0" w:color="auto"/>
                          </w:divBdr>
                          <w:divsChild>
                            <w:div w:id="2140342863">
                              <w:marLeft w:val="0"/>
                              <w:marRight w:val="0"/>
                              <w:marTop w:val="0"/>
                              <w:marBottom w:val="0"/>
                              <w:divBdr>
                                <w:top w:val="none" w:sz="0" w:space="0" w:color="auto"/>
                                <w:left w:val="none" w:sz="0" w:space="0" w:color="auto"/>
                                <w:bottom w:val="none" w:sz="0" w:space="0" w:color="auto"/>
                                <w:right w:val="none" w:sz="0" w:space="0" w:color="auto"/>
                              </w:divBdr>
                              <w:divsChild>
                                <w:div w:id="1354575445">
                                  <w:marLeft w:val="0"/>
                                  <w:marRight w:val="0"/>
                                  <w:marTop w:val="0"/>
                                  <w:marBottom w:val="0"/>
                                  <w:divBdr>
                                    <w:top w:val="none" w:sz="0" w:space="0" w:color="auto"/>
                                    <w:left w:val="none" w:sz="0" w:space="0" w:color="auto"/>
                                    <w:bottom w:val="none" w:sz="0" w:space="0" w:color="auto"/>
                                    <w:right w:val="none" w:sz="0" w:space="0" w:color="auto"/>
                                  </w:divBdr>
                                  <w:divsChild>
                                    <w:div w:id="624851291">
                                      <w:marLeft w:val="0"/>
                                      <w:marRight w:val="0"/>
                                      <w:marTop w:val="508"/>
                                      <w:marBottom w:val="0"/>
                                      <w:divBdr>
                                        <w:top w:val="none" w:sz="0" w:space="0" w:color="auto"/>
                                        <w:left w:val="none" w:sz="0" w:space="0" w:color="auto"/>
                                        <w:bottom w:val="none" w:sz="0" w:space="0" w:color="auto"/>
                                        <w:right w:val="none" w:sz="0" w:space="0" w:color="auto"/>
                                      </w:divBdr>
                                      <w:divsChild>
                                        <w:div w:id="1611619692">
                                          <w:marLeft w:val="0"/>
                                          <w:marRight w:val="0"/>
                                          <w:marTop w:val="0"/>
                                          <w:marBottom w:val="0"/>
                                          <w:divBdr>
                                            <w:top w:val="none" w:sz="0" w:space="0" w:color="auto"/>
                                            <w:left w:val="none" w:sz="0" w:space="0" w:color="auto"/>
                                            <w:bottom w:val="none" w:sz="0" w:space="0" w:color="auto"/>
                                            <w:right w:val="none" w:sz="0" w:space="0" w:color="auto"/>
                                          </w:divBdr>
                                          <w:divsChild>
                                            <w:div w:id="1878814713">
                                              <w:marLeft w:val="0"/>
                                              <w:marRight w:val="0"/>
                                              <w:marTop w:val="0"/>
                                              <w:marBottom w:val="0"/>
                                              <w:divBdr>
                                                <w:top w:val="none" w:sz="0" w:space="0" w:color="auto"/>
                                                <w:left w:val="none" w:sz="0" w:space="0" w:color="auto"/>
                                                <w:bottom w:val="none" w:sz="0" w:space="0" w:color="auto"/>
                                                <w:right w:val="none" w:sz="0" w:space="0" w:color="auto"/>
                                              </w:divBdr>
                                              <w:divsChild>
                                                <w:div w:id="1348865078">
                                                  <w:marLeft w:val="0"/>
                                                  <w:marRight w:val="-85"/>
                                                  <w:marTop w:val="0"/>
                                                  <w:marBottom w:val="0"/>
                                                  <w:divBdr>
                                                    <w:top w:val="none" w:sz="0" w:space="0" w:color="auto"/>
                                                    <w:left w:val="none" w:sz="0" w:space="0" w:color="auto"/>
                                                    <w:bottom w:val="none" w:sz="0" w:space="0" w:color="auto"/>
                                                    <w:right w:val="none" w:sz="0" w:space="0" w:color="auto"/>
                                                  </w:divBdr>
                                                  <w:divsChild>
                                                    <w:div w:id="4833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203932">
      <w:bodyDiv w:val="1"/>
      <w:marLeft w:val="0"/>
      <w:marRight w:val="0"/>
      <w:marTop w:val="0"/>
      <w:marBottom w:val="0"/>
      <w:divBdr>
        <w:top w:val="none" w:sz="0" w:space="0" w:color="auto"/>
        <w:left w:val="none" w:sz="0" w:space="0" w:color="auto"/>
        <w:bottom w:val="none" w:sz="0" w:space="0" w:color="auto"/>
        <w:right w:val="none" w:sz="0" w:space="0" w:color="auto"/>
      </w:divBdr>
    </w:div>
    <w:div w:id="1026759718">
      <w:bodyDiv w:val="1"/>
      <w:marLeft w:val="0"/>
      <w:marRight w:val="0"/>
      <w:marTop w:val="0"/>
      <w:marBottom w:val="0"/>
      <w:divBdr>
        <w:top w:val="none" w:sz="0" w:space="0" w:color="auto"/>
        <w:left w:val="none" w:sz="0" w:space="0" w:color="auto"/>
        <w:bottom w:val="none" w:sz="0" w:space="0" w:color="auto"/>
        <w:right w:val="none" w:sz="0" w:space="0" w:color="auto"/>
      </w:divBdr>
    </w:div>
    <w:div w:id="1044020903">
      <w:bodyDiv w:val="1"/>
      <w:marLeft w:val="0"/>
      <w:marRight w:val="0"/>
      <w:marTop w:val="0"/>
      <w:marBottom w:val="0"/>
      <w:divBdr>
        <w:top w:val="none" w:sz="0" w:space="0" w:color="auto"/>
        <w:left w:val="none" w:sz="0" w:space="0" w:color="auto"/>
        <w:bottom w:val="none" w:sz="0" w:space="0" w:color="auto"/>
        <w:right w:val="none" w:sz="0" w:space="0" w:color="auto"/>
      </w:divBdr>
    </w:div>
    <w:div w:id="1088965193">
      <w:bodyDiv w:val="1"/>
      <w:marLeft w:val="0"/>
      <w:marRight w:val="0"/>
      <w:marTop w:val="0"/>
      <w:marBottom w:val="0"/>
      <w:divBdr>
        <w:top w:val="none" w:sz="0" w:space="0" w:color="auto"/>
        <w:left w:val="none" w:sz="0" w:space="0" w:color="auto"/>
        <w:bottom w:val="none" w:sz="0" w:space="0" w:color="auto"/>
        <w:right w:val="none" w:sz="0" w:space="0" w:color="auto"/>
      </w:divBdr>
      <w:divsChild>
        <w:div w:id="1614555434">
          <w:marLeft w:val="0"/>
          <w:marRight w:val="0"/>
          <w:marTop w:val="100"/>
          <w:marBottom w:val="100"/>
          <w:divBdr>
            <w:top w:val="none" w:sz="0" w:space="0" w:color="auto"/>
            <w:left w:val="none" w:sz="0" w:space="0" w:color="auto"/>
            <w:bottom w:val="none" w:sz="0" w:space="0" w:color="auto"/>
            <w:right w:val="none" w:sz="0" w:space="0" w:color="auto"/>
          </w:divBdr>
          <w:divsChild>
            <w:div w:id="1531797760">
              <w:marLeft w:val="0"/>
              <w:marRight w:val="0"/>
              <w:marTop w:val="0"/>
              <w:marBottom w:val="0"/>
              <w:divBdr>
                <w:top w:val="none" w:sz="0" w:space="0" w:color="auto"/>
                <w:left w:val="none" w:sz="0" w:space="0" w:color="auto"/>
                <w:bottom w:val="none" w:sz="0" w:space="0" w:color="auto"/>
                <w:right w:val="none" w:sz="0" w:space="0" w:color="auto"/>
              </w:divBdr>
              <w:divsChild>
                <w:div w:id="1898468290">
                  <w:marLeft w:val="0"/>
                  <w:marRight w:val="0"/>
                  <w:marTop w:val="0"/>
                  <w:marBottom w:val="0"/>
                  <w:divBdr>
                    <w:top w:val="none" w:sz="0" w:space="0" w:color="auto"/>
                    <w:left w:val="none" w:sz="0" w:space="0" w:color="auto"/>
                    <w:bottom w:val="none" w:sz="0" w:space="0" w:color="auto"/>
                    <w:right w:val="none" w:sz="0" w:space="0" w:color="auto"/>
                  </w:divBdr>
                  <w:divsChild>
                    <w:div w:id="612980491">
                      <w:marLeft w:val="0"/>
                      <w:marRight w:val="0"/>
                      <w:marTop w:val="0"/>
                      <w:marBottom w:val="0"/>
                      <w:divBdr>
                        <w:top w:val="none" w:sz="0" w:space="0" w:color="auto"/>
                        <w:left w:val="none" w:sz="0" w:space="0" w:color="auto"/>
                        <w:bottom w:val="none" w:sz="0" w:space="0" w:color="auto"/>
                        <w:right w:val="none" w:sz="0" w:space="0" w:color="auto"/>
                      </w:divBdr>
                      <w:divsChild>
                        <w:div w:id="1432243787">
                          <w:marLeft w:val="0"/>
                          <w:marRight w:val="0"/>
                          <w:marTop w:val="0"/>
                          <w:marBottom w:val="0"/>
                          <w:divBdr>
                            <w:top w:val="none" w:sz="0" w:space="0" w:color="auto"/>
                            <w:left w:val="none" w:sz="0" w:space="0" w:color="auto"/>
                            <w:bottom w:val="none" w:sz="0" w:space="0" w:color="auto"/>
                            <w:right w:val="none" w:sz="0" w:space="0" w:color="auto"/>
                          </w:divBdr>
                          <w:divsChild>
                            <w:div w:id="304312420">
                              <w:marLeft w:val="0"/>
                              <w:marRight w:val="0"/>
                              <w:marTop w:val="0"/>
                              <w:marBottom w:val="0"/>
                              <w:divBdr>
                                <w:top w:val="none" w:sz="0" w:space="0" w:color="auto"/>
                                <w:left w:val="none" w:sz="0" w:space="0" w:color="auto"/>
                                <w:bottom w:val="none" w:sz="0" w:space="0" w:color="auto"/>
                                <w:right w:val="none" w:sz="0" w:space="0" w:color="auto"/>
                              </w:divBdr>
                              <w:divsChild>
                                <w:div w:id="1650404963">
                                  <w:marLeft w:val="0"/>
                                  <w:marRight w:val="0"/>
                                  <w:marTop w:val="0"/>
                                  <w:marBottom w:val="0"/>
                                  <w:divBdr>
                                    <w:top w:val="none" w:sz="0" w:space="0" w:color="auto"/>
                                    <w:left w:val="none" w:sz="0" w:space="0" w:color="auto"/>
                                    <w:bottom w:val="none" w:sz="0" w:space="0" w:color="auto"/>
                                    <w:right w:val="none" w:sz="0" w:space="0" w:color="auto"/>
                                  </w:divBdr>
                                  <w:divsChild>
                                    <w:div w:id="843280287">
                                      <w:marLeft w:val="0"/>
                                      <w:marRight w:val="0"/>
                                      <w:marTop w:val="0"/>
                                      <w:marBottom w:val="0"/>
                                      <w:divBdr>
                                        <w:top w:val="none" w:sz="0" w:space="0" w:color="auto"/>
                                        <w:left w:val="none" w:sz="0" w:space="0" w:color="auto"/>
                                        <w:bottom w:val="none" w:sz="0" w:space="0" w:color="auto"/>
                                        <w:right w:val="none" w:sz="0" w:space="0" w:color="auto"/>
                                      </w:divBdr>
                                      <w:divsChild>
                                        <w:div w:id="1881354465">
                                          <w:marLeft w:val="0"/>
                                          <w:marRight w:val="-30"/>
                                          <w:marTop w:val="300"/>
                                          <w:marBottom w:val="0"/>
                                          <w:divBdr>
                                            <w:top w:val="none" w:sz="0" w:space="0" w:color="auto"/>
                                            <w:left w:val="none" w:sz="0" w:space="0" w:color="auto"/>
                                            <w:bottom w:val="none" w:sz="0" w:space="0" w:color="auto"/>
                                            <w:right w:val="none" w:sz="0" w:space="0" w:color="auto"/>
                                          </w:divBdr>
                                          <w:divsChild>
                                            <w:div w:id="529342065">
                                              <w:marLeft w:val="0"/>
                                              <w:marRight w:val="0"/>
                                              <w:marTop w:val="0"/>
                                              <w:marBottom w:val="0"/>
                                              <w:divBdr>
                                                <w:top w:val="none" w:sz="0" w:space="0" w:color="auto"/>
                                                <w:left w:val="none" w:sz="0" w:space="0" w:color="auto"/>
                                                <w:bottom w:val="none" w:sz="0" w:space="0" w:color="auto"/>
                                                <w:right w:val="none" w:sz="0" w:space="0" w:color="auto"/>
                                              </w:divBdr>
                                              <w:divsChild>
                                                <w:div w:id="1544173563">
                                                  <w:marLeft w:val="0"/>
                                                  <w:marRight w:val="0"/>
                                                  <w:marTop w:val="0"/>
                                                  <w:marBottom w:val="0"/>
                                                  <w:divBdr>
                                                    <w:top w:val="none" w:sz="0" w:space="0" w:color="auto"/>
                                                    <w:left w:val="none" w:sz="0" w:space="0" w:color="auto"/>
                                                    <w:bottom w:val="none" w:sz="0" w:space="0" w:color="auto"/>
                                                    <w:right w:val="none" w:sz="0" w:space="0" w:color="auto"/>
                                                  </w:divBdr>
                                                  <w:divsChild>
                                                    <w:div w:id="375810328">
                                                      <w:marLeft w:val="0"/>
                                                      <w:marRight w:val="0"/>
                                                      <w:marTop w:val="0"/>
                                                      <w:marBottom w:val="0"/>
                                                      <w:divBdr>
                                                        <w:top w:val="none" w:sz="0" w:space="0" w:color="auto"/>
                                                        <w:left w:val="none" w:sz="0" w:space="0" w:color="auto"/>
                                                        <w:bottom w:val="none" w:sz="0" w:space="0" w:color="auto"/>
                                                        <w:right w:val="none" w:sz="0" w:space="0" w:color="auto"/>
                                                      </w:divBdr>
                                                      <w:divsChild>
                                                        <w:div w:id="1922450964">
                                                          <w:marLeft w:val="0"/>
                                                          <w:marRight w:val="0"/>
                                                          <w:marTop w:val="0"/>
                                                          <w:marBottom w:val="0"/>
                                                          <w:divBdr>
                                                            <w:top w:val="none" w:sz="0" w:space="0" w:color="auto"/>
                                                            <w:left w:val="none" w:sz="0" w:space="0" w:color="auto"/>
                                                            <w:bottom w:val="none" w:sz="0" w:space="0" w:color="auto"/>
                                                            <w:right w:val="none" w:sz="0" w:space="0" w:color="auto"/>
                                                          </w:divBdr>
                                                          <w:divsChild>
                                                            <w:div w:id="1036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8159317">
      <w:bodyDiv w:val="1"/>
      <w:marLeft w:val="0"/>
      <w:marRight w:val="0"/>
      <w:marTop w:val="0"/>
      <w:marBottom w:val="0"/>
      <w:divBdr>
        <w:top w:val="none" w:sz="0" w:space="0" w:color="auto"/>
        <w:left w:val="none" w:sz="0" w:space="0" w:color="auto"/>
        <w:bottom w:val="none" w:sz="0" w:space="0" w:color="auto"/>
        <w:right w:val="none" w:sz="0" w:space="0" w:color="auto"/>
      </w:divBdr>
      <w:divsChild>
        <w:div w:id="1498374876">
          <w:marLeft w:val="0"/>
          <w:marRight w:val="1"/>
          <w:marTop w:val="0"/>
          <w:marBottom w:val="0"/>
          <w:divBdr>
            <w:top w:val="none" w:sz="0" w:space="0" w:color="auto"/>
            <w:left w:val="none" w:sz="0" w:space="0" w:color="auto"/>
            <w:bottom w:val="none" w:sz="0" w:space="0" w:color="auto"/>
            <w:right w:val="none" w:sz="0" w:space="0" w:color="auto"/>
          </w:divBdr>
          <w:divsChild>
            <w:div w:id="1808738913">
              <w:marLeft w:val="0"/>
              <w:marRight w:val="0"/>
              <w:marTop w:val="0"/>
              <w:marBottom w:val="0"/>
              <w:divBdr>
                <w:top w:val="none" w:sz="0" w:space="0" w:color="auto"/>
                <w:left w:val="none" w:sz="0" w:space="0" w:color="auto"/>
                <w:bottom w:val="none" w:sz="0" w:space="0" w:color="auto"/>
                <w:right w:val="none" w:sz="0" w:space="0" w:color="auto"/>
              </w:divBdr>
              <w:divsChild>
                <w:div w:id="1315796269">
                  <w:marLeft w:val="0"/>
                  <w:marRight w:val="1"/>
                  <w:marTop w:val="0"/>
                  <w:marBottom w:val="0"/>
                  <w:divBdr>
                    <w:top w:val="none" w:sz="0" w:space="0" w:color="auto"/>
                    <w:left w:val="none" w:sz="0" w:space="0" w:color="auto"/>
                    <w:bottom w:val="none" w:sz="0" w:space="0" w:color="auto"/>
                    <w:right w:val="none" w:sz="0" w:space="0" w:color="auto"/>
                  </w:divBdr>
                  <w:divsChild>
                    <w:div w:id="1264453878">
                      <w:marLeft w:val="0"/>
                      <w:marRight w:val="0"/>
                      <w:marTop w:val="0"/>
                      <w:marBottom w:val="0"/>
                      <w:divBdr>
                        <w:top w:val="none" w:sz="0" w:space="0" w:color="auto"/>
                        <w:left w:val="none" w:sz="0" w:space="0" w:color="auto"/>
                        <w:bottom w:val="none" w:sz="0" w:space="0" w:color="auto"/>
                        <w:right w:val="none" w:sz="0" w:space="0" w:color="auto"/>
                      </w:divBdr>
                      <w:divsChild>
                        <w:div w:id="1723747355">
                          <w:marLeft w:val="0"/>
                          <w:marRight w:val="0"/>
                          <w:marTop w:val="0"/>
                          <w:marBottom w:val="0"/>
                          <w:divBdr>
                            <w:top w:val="none" w:sz="0" w:space="0" w:color="auto"/>
                            <w:left w:val="none" w:sz="0" w:space="0" w:color="auto"/>
                            <w:bottom w:val="none" w:sz="0" w:space="0" w:color="auto"/>
                            <w:right w:val="none" w:sz="0" w:space="0" w:color="auto"/>
                          </w:divBdr>
                          <w:divsChild>
                            <w:div w:id="849292467">
                              <w:marLeft w:val="0"/>
                              <w:marRight w:val="0"/>
                              <w:marTop w:val="120"/>
                              <w:marBottom w:val="360"/>
                              <w:divBdr>
                                <w:top w:val="none" w:sz="0" w:space="0" w:color="auto"/>
                                <w:left w:val="none" w:sz="0" w:space="0" w:color="auto"/>
                                <w:bottom w:val="none" w:sz="0" w:space="0" w:color="auto"/>
                                <w:right w:val="none" w:sz="0" w:space="0" w:color="auto"/>
                              </w:divBdr>
                              <w:divsChild>
                                <w:div w:id="2085636990">
                                  <w:marLeft w:val="420"/>
                                  <w:marRight w:val="0"/>
                                  <w:marTop w:val="0"/>
                                  <w:marBottom w:val="0"/>
                                  <w:divBdr>
                                    <w:top w:val="none" w:sz="0" w:space="0" w:color="auto"/>
                                    <w:left w:val="none" w:sz="0" w:space="0" w:color="auto"/>
                                    <w:bottom w:val="none" w:sz="0" w:space="0" w:color="auto"/>
                                    <w:right w:val="none" w:sz="0" w:space="0" w:color="auto"/>
                                  </w:divBdr>
                                  <w:divsChild>
                                    <w:div w:id="62832338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12295">
      <w:bodyDiv w:val="1"/>
      <w:marLeft w:val="0"/>
      <w:marRight w:val="0"/>
      <w:marTop w:val="0"/>
      <w:marBottom w:val="0"/>
      <w:divBdr>
        <w:top w:val="none" w:sz="0" w:space="0" w:color="auto"/>
        <w:left w:val="none" w:sz="0" w:space="0" w:color="auto"/>
        <w:bottom w:val="none" w:sz="0" w:space="0" w:color="auto"/>
        <w:right w:val="none" w:sz="0" w:space="0" w:color="auto"/>
      </w:divBdr>
      <w:divsChild>
        <w:div w:id="1315332528">
          <w:marLeft w:val="0"/>
          <w:marRight w:val="0"/>
          <w:marTop w:val="100"/>
          <w:marBottom w:val="100"/>
          <w:divBdr>
            <w:top w:val="none" w:sz="0" w:space="0" w:color="auto"/>
            <w:left w:val="none" w:sz="0" w:space="0" w:color="auto"/>
            <w:bottom w:val="none" w:sz="0" w:space="0" w:color="auto"/>
            <w:right w:val="none" w:sz="0" w:space="0" w:color="auto"/>
          </w:divBdr>
          <w:divsChild>
            <w:div w:id="89351484">
              <w:marLeft w:val="0"/>
              <w:marRight w:val="0"/>
              <w:marTop w:val="0"/>
              <w:marBottom w:val="0"/>
              <w:divBdr>
                <w:top w:val="none" w:sz="0" w:space="0" w:color="auto"/>
                <w:left w:val="none" w:sz="0" w:space="0" w:color="auto"/>
                <w:bottom w:val="none" w:sz="0" w:space="0" w:color="auto"/>
                <w:right w:val="none" w:sz="0" w:space="0" w:color="auto"/>
              </w:divBdr>
              <w:divsChild>
                <w:div w:id="1777140763">
                  <w:marLeft w:val="0"/>
                  <w:marRight w:val="0"/>
                  <w:marTop w:val="0"/>
                  <w:marBottom w:val="0"/>
                  <w:divBdr>
                    <w:top w:val="none" w:sz="0" w:space="0" w:color="auto"/>
                    <w:left w:val="none" w:sz="0" w:space="0" w:color="auto"/>
                    <w:bottom w:val="none" w:sz="0" w:space="0" w:color="auto"/>
                    <w:right w:val="none" w:sz="0" w:space="0" w:color="auto"/>
                  </w:divBdr>
                  <w:divsChild>
                    <w:div w:id="904681224">
                      <w:marLeft w:val="0"/>
                      <w:marRight w:val="0"/>
                      <w:marTop w:val="0"/>
                      <w:marBottom w:val="0"/>
                      <w:divBdr>
                        <w:top w:val="none" w:sz="0" w:space="0" w:color="auto"/>
                        <w:left w:val="none" w:sz="0" w:space="0" w:color="auto"/>
                        <w:bottom w:val="none" w:sz="0" w:space="0" w:color="auto"/>
                        <w:right w:val="none" w:sz="0" w:space="0" w:color="auto"/>
                      </w:divBdr>
                      <w:divsChild>
                        <w:div w:id="1230311500">
                          <w:marLeft w:val="0"/>
                          <w:marRight w:val="0"/>
                          <w:marTop w:val="0"/>
                          <w:marBottom w:val="0"/>
                          <w:divBdr>
                            <w:top w:val="none" w:sz="0" w:space="0" w:color="auto"/>
                            <w:left w:val="none" w:sz="0" w:space="0" w:color="auto"/>
                            <w:bottom w:val="none" w:sz="0" w:space="0" w:color="auto"/>
                            <w:right w:val="none" w:sz="0" w:space="0" w:color="auto"/>
                          </w:divBdr>
                          <w:divsChild>
                            <w:div w:id="101734118">
                              <w:marLeft w:val="0"/>
                              <w:marRight w:val="0"/>
                              <w:marTop w:val="0"/>
                              <w:marBottom w:val="0"/>
                              <w:divBdr>
                                <w:top w:val="none" w:sz="0" w:space="0" w:color="auto"/>
                                <w:left w:val="none" w:sz="0" w:space="0" w:color="auto"/>
                                <w:bottom w:val="none" w:sz="0" w:space="0" w:color="auto"/>
                                <w:right w:val="none" w:sz="0" w:space="0" w:color="auto"/>
                              </w:divBdr>
                              <w:divsChild>
                                <w:div w:id="532885871">
                                  <w:marLeft w:val="0"/>
                                  <w:marRight w:val="0"/>
                                  <w:marTop w:val="0"/>
                                  <w:marBottom w:val="0"/>
                                  <w:divBdr>
                                    <w:top w:val="none" w:sz="0" w:space="0" w:color="auto"/>
                                    <w:left w:val="none" w:sz="0" w:space="0" w:color="auto"/>
                                    <w:bottom w:val="none" w:sz="0" w:space="0" w:color="auto"/>
                                    <w:right w:val="none" w:sz="0" w:space="0" w:color="auto"/>
                                  </w:divBdr>
                                  <w:divsChild>
                                    <w:div w:id="11288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034907">
      <w:bodyDiv w:val="1"/>
      <w:marLeft w:val="0"/>
      <w:marRight w:val="0"/>
      <w:marTop w:val="0"/>
      <w:marBottom w:val="0"/>
      <w:divBdr>
        <w:top w:val="none" w:sz="0" w:space="0" w:color="auto"/>
        <w:left w:val="none" w:sz="0" w:space="0" w:color="auto"/>
        <w:bottom w:val="none" w:sz="0" w:space="0" w:color="auto"/>
        <w:right w:val="none" w:sz="0" w:space="0" w:color="auto"/>
      </w:divBdr>
    </w:div>
    <w:div w:id="1201557039">
      <w:bodyDiv w:val="1"/>
      <w:marLeft w:val="0"/>
      <w:marRight w:val="0"/>
      <w:marTop w:val="0"/>
      <w:marBottom w:val="0"/>
      <w:divBdr>
        <w:top w:val="none" w:sz="0" w:space="0" w:color="auto"/>
        <w:left w:val="none" w:sz="0" w:space="0" w:color="auto"/>
        <w:bottom w:val="none" w:sz="0" w:space="0" w:color="auto"/>
        <w:right w:val="none" w:sz="0" w:space="0" w:color="auto"/>
      </w:divBdr>
    </w:div>
    <w:div w:id="1274286104">
      <w:bodyDiv w:val="1"/>
      <w:marLeft w:val="0"/>
      <w:marRight w:val="0"/>
      <w:marTop w:val="0"/>
      <w:marBottom w:val="0"/>
      <w:divBdr>
        <w:top w:val="none" w:sz="0" w:space="0" w:color="auto"/>
        <w:left w:val="none" w:sz="0" w:space="0" w:color="auto"/>
        <w:bottom w:val="none" w:sz="0" w:space="0" w:color="auto"/>
        <w:right w:val="none" w:sz="0" w:space="0" w:color="auto"/>
      </w:divBdr>
    </w:div>
    <w:div w:id="1279491399">
      <w:bodyDiv w:val="1"/>
      <w:marLeft w:val="0"/>
      <w:marRight w:val="0"/>
      <w:marTop w:val="0"/>
      <w:marBottom w:val="0"/>
      <w:divBdr>
        <w:top w:val="none" w:sz="0" w:space="0" w:color="auto"/>
        <w:left w:val="none" w:sz="0" w:space="0" w:color="auto"/>
        <w:bottom w:val="none" w:sz="0" w:space="0" w:color="auto"/>
        <w:right w:val="none" w:sz="0" w:space="0" w:color="auto"/>
      </w:divBdr>
    </w:div>
    <w:div w:id="1330282014">
      <w:bodyDiv w:val="1"/>
      <w:marLeft w:val="0"/>
      <w:marRight w:val="0"/>
      <w:marTop w:val="0"/>
      <w:marBottom w:val="0"/>
      <w:divBdr>
        <w:top w:val="none" w:sz="0" w:space="0" w:color="auto"/>
        <w:left w:val="none" w:sz="0" w:space="0" w:color="auto"/>
        <w:bottom w:val="none" w:sz="0" w:space="0" w:color="auto"/>
        <w:right w:val="none" w:sz="0" w:space="0" w:color="auto"/>
      </w:divBdr>
    </w:div>
    <w:div w:id="1467820012">
      <w:bodyDiv w:val="1"/>
      <w:marLeft w:val="0"/>
      <w:marRight w:val="0"/>
      <w:marTop w:val="0"/>
      <w:marBottom w:val="0"/>
      <w:divBdr>
        <w:top w:val="none" w:sz="0" w:space="0" w:color="auto"/>
        <w:left w:val="none" w:sz="0" w:space="0" w:color="auto"/>
        <w:bottom w:val="none" w:sz="0" w:space="0" w:color="auto"/>
        <w:right w:val="none" w:sz="0" w:space="0" w:color="auto"/>
      </w:divBdr>
      <w:divsChild>
        <w:div w:id="1308634558">
          <w:marLeft w:val="0"/>
          <w:marRight w:val="1"/>
          <w:marTop w:val="0"/>
          <w:marBottom w:val="0"/>
          <w:divBdr>
            <w:top w:val="none" w:sz="0" w:space="0" w:color="auto"/>
            <w:left w:val="none" w:sz="0" w:space="0" w:color="auto"/>
            <w:bottom w:val="none" w:sz="0" w:space="0" w:color="auto"/>
            <w:right w:val="none" w:sz="0" w:space="0" w:color="auto"/>
          </w:divBdr>
          <w:divsChild>
            <w:div w:id="1899972121">
              <w:marLeft w:val="0"/>
              <w:marRight w:val="0"/>
              <w:marTop w:val="0"/>
              <w:marBottom w:val="0"/>
              <w:divBdr>
                <w:top w:val="none" w:sz="0" w:space="0" w:color="auto"/>
                <w:left w:val="none" w:sz="0" w:space="0" w:color="auto"/>
                <w:bottom w:val="none" w:sz="0" w:space="0" w:color="auto"/>
                <w:right w:val="none" w:sz="0" w:space="0" w:color="auto"/>
              </w:divBdr>
              <w:divsChild>
                <w:div w:id="964821722">
                  <w:marLeft w:val="0"/>
                  <w:marRight w:val="1"/>
                  <w:marTop w:val="0"/>
                  <w:marBottom w:val="0"/>
                  <w:divBdr>
                    <w:top w:val="none" w:sz="0" w:space="0" w:color="auto"/>
                    <w:left w:val="none" w:sz="0" w:space="0" w:color="auto"/>
                    <w:bottom w:val="none" w:sz="0" w:space="0" w:color="auto"/>
                    <w:right w:val="none" w:sz="0" w:space="0" w:color="auto"/>
                  </w:divBdr>
                  <w:divsChild>
                    <w:div w:id="672342630">
                      <w:marLeft w:val="0"/>
                      <w:marRight w:val="0"/>
                      <w:marTop w:val="0"/>
                      <w:marBottom w:val="0"/>
                      <w:divBdr>
                        <w:top w:val="none" w:sz="0" w:space="0" w:color="auto"/>
                        <w:left w:val="none" w:sz="0" w:space="0" w:color="auto"/>
                        <w:bottom w:val="none" w:sz="0" w:space="0" w:color="auto"/>
                        <w:right w:val="none" w:sz="0" w:space="0" w:color="auto"/>
                      </w:divBdr>
                      <w:divsChild>
                        <w:div w:id="806750179">
                          <w:marLeft w:val="0"/>
                          <w:marRight w:val="0"/>
                          <w:marTop w:val="0"/>
                          <w:marBottom w:val="0"/>
                          <w:divBdr>
                            <w:top w:val="none" w:sz="0" w:space="0" w:color="auto"/>
                            <w:left w:val="none" w:sz="0" w:space="0" w:color="auto"/>
                            <w:bottom w:val="none" w:sz="0" w:space="0" w:color="auto"/>
                            <w:right w:val="none" w:sz="0" w:space="0" w:color="auto"/>
                          </w:divBdr>
                          <w:divsChild>
                            <w:div w:id="2013944603">
                              <w:marLeft w:val="0"/>
                              <w:marRight w:val="0"/>
                              <w:marTop w:val="120"/>
                              <w:marBottom w:val="360"/>
                              <w:divBdr>
                                <w:top w:val="none" w:sz="0" w:space="0" w:color="auto"/>
                                <w:left w:val="none" w:sz="0" w:space="0" w:color="auto"/>
                                <w:bottom w:val="none" w:sz="0" w:space="0" w:color="auto"/>
                                <w:right w:val="none" w:sz="0" w:space="0" w:color="auto"/>
                              </w:divBdr>
                              <w:divsChild>
                                <w:div w:id="261499525">
                                  <w:marLeft w:val="0"/>
                                  <w:marRight w:val="0"/>
                                  <w:marTop w:val="0"/>
                                  <w:marBottom w:val="0"/>
                                  <w:divBdr>
                                    <w:top w:val="none" w:sz="0" w:space="0" w:color="auto"/>
                                    <w:left w:val="none" w:sz="0" w:space="0" w:color="auto"/>
                                    <w:bottom w:val="none" w:sz="0" w:space="0" w:color="auto"/>
                                    <w:right w:val="none" w:sz="0" w:space="0" w:color="auto"/>
                                  </w:divBdr>
                                </w:div>
                                <w:div w:id="9674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6823">
      <w:bodyDiv w:val="1"/>
      <w:marLeft w:val="0"/>
      <w:marRight w:val="0"/>
      <w:marTop w:val="0"/>
      <w:marBottom w:val="0"/>
      <w:divBdr>
        <w:top w:val="none" w:sz="0" w:space="0" w:color="auto"/>
        <w:left w:val="none" w:sz="0" w:space="0" w:color="auto"/>
        <w:bottom w:val="none" w:sz="0" w:space="0" w:color="auto"/>
        <w:right w:val="none" w:sz="0" w:space="0" w:color="auto"/>
      </w:divBdr>
    </w:div>
    <w:div w:id="1536892708">
      <w:bodyDiv w:val="1"/>
      <w:marLeft w:val="0"/>
      <w:marRight w:val="0"/>
      <w:marTop w:val="0"/>
      <w:marBottom w:val="0"/>
      <w:divBdr>
        <w:top w:val="none" w:sz="0" w:space="0" w:color="auto"/>
        <w:left w:val="none" w:sz="0" w:space="0" w:color="auto"/>
        <w:bottom w:val="none" w:sz="0" w:space="0" w:color="auto"/>
        <w:right w:val="none" w:sz="0" w:space="0" w:color="auto"/>
      </w:divBdr>
      <w:divsChild>
        <w:div w:id="1791783920">
          <w:marLeft w:val="0"/>
          <w:marRight w:val="0"/>
          <w:marTop w:val="100"/>
          <w:marBottom w:val="100"/>
          <w:divBdr>
            <w:top w:val="none" w:sz="0" w:space="0" w:color="auto"/>
            <w:left w:val="none" w:sz="0" w:space="0" w:color="auto"/>
            <w:bottom w:val="none" w:sz="0" w:space="0" w:color="auto"/>
            <w:right w:val="none" w:sz="0" w:space="0" w:color="auto"/>
          </w:divBdr>
          <w:divsChild>
            <w:div w:id="1928342127">
              <w:marLeft w:val="0"/>
              <w:marRight w:val="0"/>
              <w:marTop w:val="0"/>
              <w:marBottom w:val="0"/>
              <w:divBdr>
                <w:top w:val="none" w:sz="0" w:space="0" w:color="auto"/>
                <w:left w:val="none" w:sz="0" w:space="0" w:color="auto"/>
                <w:bottom w:val="none" w:sz="0" w:space="0" w:color="auto"/>
                <w:right w:val="none" w:sz="0" w:space="0" w:color="auto"/>
              </w:divBdr>
              <w:divsChild>
                <w:div w:id="1467508299">
                  <w:marLeft w:val="0"/>
                  <w:marRight w:val="0"/>
                  <w:marTop w:val="0"/>
                  <w:marBottom w:val="0"/>
                  <w:divBdr>
                    <w:top w:val="none" w:sz="0" w:space="0" w:color="auto"/>
                    <w:left w:val="none" w:sz="0" w:space="0" w:color="auto"/>
                    <w:bottom w:val="none" w:sz="0" w:space="0" w:color="auto"/>
                    <w:right w:val="none" w:sz="0" w:space="0" w:color="auto"/>
                  </w:divBdr>
                  <w:divsChild>
                    <w:div w:id="1027946235">
                      <w:marLeft w:val="0"/>
                      <w:marRight w:val="0"/>
                      <w:marTop w:val="0"/>
                      <w:marBottom w:val="0"/>
                      <w:divBdr>
                        <w:top w:val="none" w:sz="0" w:space="0" w:color="auto"/>
                        <w:left w:val="none" w:sz="0" w:space="0" w:color="auto"/>
                        <w:bottom w:val="none" w:sz="0" w:space="0" w:color="auto"/>
                        <w:right w:val="none" w:sz="0" w:space="0" w:color="auto"/>
                      </w:divBdr>
                      <w:divsChild>
                        <w:div w:id="1570308771">
                          <w:marLeft w:val="0"/>
                          <w:marRight w:val="0"/>
                          <w:marTop w:val="0"/>
                          <w:marBottom w:val="0"/>
                          <w:divBdr>
                            <w:top w:val="none" w:sz="0" w:space="0" w:color="auto"/>
                            <w:left w:val="none" w:sz="0" w:space="0" w:color="auto"/>
                            <w:bottom w:val="none" w:sz="0" w:space="0" w:color="auto"/>
                            <w:right w:val="none" w:sz="0" w:space="0" w:color="auto"/>
                          </w:divBdr>
                          <w:divsChild>
                            <w:div w:id="955713525">
                              <w:marLeft w:val="0"/>
                              <w:marRight w:val="0"/>
                              <w:marTop w:val="0"/>
                              <w:marBottom w:val="0"/>
                              <w:divBdr>
                                <w:top w:val="none" w:sz="0" w:space="0" w:color="auto"/>
                                <w:left w:val="none" w:sz="0" w:space="0" w:color="auto"/>
                                <w:bottom w:val="none" w:sz="0" w:space="0" w:color="auto"/>
                                <w:right w:val="none" w:sz="0" w:space="0" w:color="auto"/>
                              </w:divBdr>
                              <w:divsChild>
                                <w:div w:id="52628269">
                                  <w:marLeft w:val="0"/>
                                  <w:marRight w:val="0"/>
                                  <w:marTop w:val="0"/>
                                  <w:marBottom w:val="0"/>
                                  <w:divBdr>
                                    <w:top w:val="none" w:sz="0" w:space="0" w:color="auto"/>
                                    <w:left w:val="none" w:sz="0" w:space="0" w:color="auto"/>
                                    <w:bottom w:val="none" w:sz="0" w:space="0" w:color="auto"/>
                                    <w:right w:val="none" w:sz="0" w:space="0" w:color="auto"/>
                                  </w:divBdr>
                                  <w:divsChild>
                                    <w:div w:id="982929203">
                                      <w:marLeft w:val="0"/>
                                      <w:marRight w:val="0"/>
                                      <w:marTop w:val="508"/>
                                      <w:marBottom w:val="0"/>
                                      <w:divBdr>
                                        <w:top w:val="none" w:sz="0" w:space="0" w:color="auto"/>
                                        <w:left w:val="none" w:sz="0" w:space="0" w:color="auto"/>
                                        <w:bottom w:val="none" w:sz="0" w:space="0" w:color="auto"/>
                                        <w:right w:val="none" w:sz="0" w:space="0" w:color="auto"/>
                                      </w:divBdr>
                                      <w:divsChild>
                                        <w:div w:id="108597137">
                                          <w:marLeft w:val="0"/>
                                          <w:marRight w:val="0"/>
                                          <w:marTop w:val="0"/>
                                          <w:marBottom w:val="0"/>
                                          <w:divBdr>
                                            <w:top w:val="none" w:sz="0" w:space="0" w:color="auto"/>
                                            <w:left w:val="none" w:sz="0" w:space="0" w:color="auto"/>
                                            <w:bottom w:val="none" w:sz="0" w:space="0" w:color="auto"/>
                                            <w:right w:val="none" w:sz="0" w:space="0" w:color="auto"/>
                                          </w:divBdr>
                                          <w:divsChild>
                                            <w:div w:id="661935804">
                                              <w:marLeft w:val="0"/>
                                              <w:marRight w:val="0"/>
                                              <w:marTop w:val="0"/>
                                              <w:marBottom w:val="0"/>
                                              <w:divBdr>
                                                <w:top w:val="none" w:sz="0" w:space="0" w:color="auto"/>
                                                <w:left w:val="none" w:sz="0" w:space="0" w:color="auto"/>
                                                <w:bottom w:val="none" w:sz="0" w:space="0" w:color="auto"/>
                                                <w:right w:val="none" w:sz="0" w:space="0" w:color="auto"/>
                                              </w:divBdr>
                                              <w:divsChild>
                                                <w:div w:id="573784330">
                                                  <w:marLeft w:val="0"/>
                                                  <w:marRight w:val="-85"/>
                                                  <w:marTop w:val="0"/>
                                                  <w:marBottom w:val="0"/>
                                                  <w:divBdr>
                                                    <w:top w:val="none" w:sz="0" w:space="0" w:color="auto"/>
                                                    <w:left w:val="none" w:sz="0" w:space="0" w:color="auto"/>
                                                    <w:bottom w:val="none" w:sz="0" w:space="0" w:color="auto"/>
                                                    <w:right w:val="none" w:sz="0" w:space="0" w:color="auto"/>
                                                  </w:divBdr>
                                                  <w:divsChild>
                                                    <w:div w:id="10108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730214">
      <w:bodyDiv w:val="1"/>
      <w:marLeft w:val="0"/>
      <w:marRight w:val="0"/>
      <w:marTop w:val="0"/>
      <w:marBottom w:val="0"/>
      <w:divBdr>
        <w:top w:val="none" w:sz="0" w:space="0" w:color="auto"/>
        <w:left w:val="none" w:sz="0" w:space="0" w:color="auto"/>
        <w:bottom w:val="none" w:sz="0" w:space="0" w:color="auto"/>
        <w:right w:val="none" w:sz="0" w:space="0" w:color="auto"/>
      </w:divBdr>
    </w:div>
    <w:div w:id="1659575858">
      <w:bodyDiv w:val="1"/>
      <w:marLeft w:val="0"/>
      <w:marRight w:val="0"/>
      <w:marTop w:val="0"/>
      <w:marBottom w:val="0"/>
      <w:divBdr>
        <w:top w:val="none" w:sz="0" w:space="0" w:color="auto"/>
        <w:left w:val="none" w:sz="0" w:space="0" w:color="auto"/>
        <w:bottom w:val="none" w:sz="0" w:space="0" w:color="auto"/>
        <w:right w:val="none" w:sz="0" w:space="0" w:color="auto"/>
      </w:divBdr>
      <w:divsChild>
        <w:div w:id="161629178">
          <w:marLeft w:val="0"/>
          <w:marRight w:val="0"/>
          <w:marTop w:val="100"/>
          <w:marBottom w:val="100"/>
          <w:divBdr>
            <w:top w:val="none" w:sz="0" w:space="0" w:color="auto"/>
            <w:left w:val="none" w:sz="0" w:space="0" w:color="auto"/>
            <w:bottom w:val="none" w:sz="0" w:space="0" w:color="auto"/>
            <w:right w:val="none" w:sz="0" w:space="0" w:color="auto"/>
          </w:divBdr>
          <w:divsChild>
            <w:div w:id="243296367">
              <w:marLeft w:val="0"/>
              <w:marRight w:val="0"/>
              <w:marTop w:val="0"/>
              <w:marBottom w:val="0"/>
              <w:divBdr>
                <w:top w:val="none" w:sz="0" w:space="0" w:color="auto"/>
                <w:left w:val="none" w:sz="0" w:space="0" w:color="auto"/>
                <w:bottom w:val="none" w:sz="0" w:space="0" w:color="auto"/>
                <w:right w:val="none" w:sz="0" w:space="0" w:color="auto"/>
              </w:divBdr>
              <w:divsChild>
                <w:div w:id="1640114012">
                  <w:marLeft w:val="0"/>
                  <w:marRight w:val="0"/>
                  <w:marTop w:val="0"/>
                  <w:marBottom w:val="0"/>
                  <w:divBdr>
                    <w:top w:val="none" w:sz="0" w:space="0" w:color="auto"/>
                    <w:left w:val="none" w:sz="0" w:space="0" w:color="auto"/>
                    <w:bottom w:val="none" w:sz="0" w:space="0" w:color="auto"/>
                    <w:right w:val="none" w:sz="0" w:space="0" w:color="auto"/>
                  </w:divBdr>
                  <w:divsChild>
                    <w:div w:id="1804692560">
                      <w:marLeft w:val="0"/>
                      <w:marRight w:val="0"/>
                      <w:marTop w:val="0"/>
                      <w:marBottom w:val="0"/>
                      <w:divBdr>
                        <w:top w:val="none" w:sz="0" w:space="0" w:color="auto"/>
                        <w:left w:val="none" w:sz="0" w:space="0" w:color="auto"/>
                        <w:bottom w:val="none" w:sz="0" w:space="0" w:color="auto"/>
                        <w:right w:val="none" w:sz="0" w:space="0" w:color="auto"/>
                      </w:divBdr>
                      <w:divsChild>
                        <w:div w:id="791630329">
                          <w:marLeft w:val="0"/>
                          <w:marRight w:val="0"/>
                          <w:marTop w:val="0"/>
                          <w:marBottom w:val="0"/>
                          <w:divBdr>
                            <w:top w:val="none" w:sz="0" w:space="0" w:color="auto"/>
                            <w:left w:val="none" w:sz="0" w:space="0" w:color="auto"/>
                            <w:bottom w:val="none" w:sz="0" w:space="0" w:color="auto"/>
                            <w:right w:val="none" w:sz="0" w:space="0" w:color="auto"/>
                          </w:divBdr>
                          <w:divsChild>
                            <w:div w:id="164174401">
                              <w:marLeft w:val="0"/>
                              <w:marRight w:val="0"/>
                              <w:marTop w:val="0"/>
                              <w:marBottom w:val="0"/>
                              <w:divBdr>
                                <w:top w:val="none" w:sz="0" w:space="0" w:color="auto"/>
                                <w:left w:val="none" w:sz="0" w:space="0" w:color="auto"/>
                                <w:bottom w:val="none" w:sz="0" w:space="0" w:color="auto"/>
                                <w:right w:val="none" w:sz="0" w:space="0" w:color="auto"/>
                              </w:divBdr>
                              <w:divsChild>
                                <w:div w:id="912013149">
                                  <w:marLeft w:val="0"/>
                                  <w:marRight w:val="0"/>
                                  <w:marTop w:val="0"/>
                                  <w:marBottom w:val="0"/>
                                  <w:divBdr>
                                    <w:top w:val="none" w:sz="0" w:space="0" w:color="auto"/>
                                    <w:left w:val="none" w:sz="0" w:space="0" w:color="auto"/>
                                    <w:bottom w:val="none" w:sz="0" w:space="0" w:color="auto"/>
                                    <w:right w:val="none" w:sz="0" w:space="0" w:color="auto"/>
                                  </w:divBdr>
                                  <w:divsChild>
                                    <w:div w:id="1550874293">
                                      <w:marLeft w:val="0"/>
                                      <w:marRight w:val="0"/>
                                      <w:marTop w:val="75"/>
                                      <w:marBottom w:val="0"/>
                                      <w:divBdr>
                                        <w:top w:val="none" w:sz="0" w:space="0" w:color="auto"/>
                                        <w:left w:val="none" w:sz="0" w:space="0" w:color="auto"/>
                                        <w:bottom w:val="none" w:sz="0" w:space="0" w:color="auto"/>
                                        <w:right w:val="none" w:sz="0" w:space="0" w:color="auto"/>
                                      </w:divBdr>
                                      <w:divsChild>
                                        <w:div w:id="1885168836">
                                          <w:marLeft w:val="0"/>
                                          <w:marRight w:val="0"/>
                                          <w:marTop w:val="0"/>
                                          <w:marBottom w:val="0"/>
                                          <w:divBdr>
                                            <w:top w:val="none" w:sz="0" w:space="0" w:color="auto"/>
                                            <w:left w:val="none" w:sz="0" w:space="0" w:color="auto"/>
                                            <w:bottom w:val="none" w:sz="0" w:space="0" w:color="auto"/>
                                            <w:right w:val="none" w:sz="0" w:space="0" w:color="auto"/>
                                          </w:divBdr>
                                          <w:divsChild>
                                            <w:div w:id="19400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347870">
      <w:bodyDiv w:val="1"/>
      <w:marLeft w:val="0"/>
      <w:marRight w:val="0"/>
      <w:marTop w:val="0"/>
      <w:marBottom w:val="0"/>
      <w:divBdr>
        <w:top w:val="none" w:sz="0" w:space="0" w:color="auto"/>
        <w:left w:val="none" w:sz="0" w:space="0" w:color="auto"/>
        <w:bottom w:val="none" w:sz="0" w:space="0" w:color="auto"/>
        <w:right w:val="none" w:sz="0" w:space="0" w:color="auto"/>
      </w:divBdr>
      <w:divsChild>
        <w:div w:id="122625462">
          <w:marLeft w:val="0"/>
          <w:marRight w:val="0"/>
          <w:marTop w:val="100"/>
          <w:marBottom w:val="100"/>
          <w:divBdr>
            <w:top w:val="none" w:sz="0" w:space="0" w:color="auto"/>
            <w:left w:val="none" w:sz="0" w:space="0" w:color="auto"/>
            <w:bottom w:val="none" w:sz="0" w:space="0" w:color="auto"/>
            <w:right w:val="none" w:sz="0" w:space="0" w:color="auto"/>
          </w:divBdr>
          <w:divsChild>
            <w:div w:id="39864685">
              <w:marLeft w:val="0"/>
              <w:marRight w:val="0"/>
              <w:marTop w:val="0"/>
              <w:marBottom w:val="0"/>
              <w:divBdr>
                <w:top w:val="none" w:sz="0" w:space="0" w:color="auto"/>
                <w:left w:val="none" w:sz="0" w:space="0" w:color="auto"/>
                <w:bottom w:val="none" w:sz="0" w:space="0" w:color="auto"/>
                <w:right w:val="none" w:sz="0" w:space="0" w:color="auto"/>
              </w:divBdr>
              <w:divsChild>
                <w:div w:id="651713526">
                  <w:marLeft w:val="0"/>
                  <w:marRight w:val="0"/>
                  <w:marTop w:val="0"/>
                  <w:marBottom w:val="0"/>
                  <w:divBdr>
                    <w:top w:val="none" w:sz="0" w:space="0" w:color="auto"/>
                    <w:left w:val="none" w:sz="0" w:space="0" w:color="auto"/>
                    <w:bottom w:val="none" w:sz="0" w:space="0" w:color="auto"/>
                    <w:right w:val="none" w:sz="0" w:space="0" w:color="auto"/>
                  </w:divBdr>
                  <w:divsChild>
                    <w:div w:id="299460012">
                      <w:marLeft w:val="0"/>
                      <w:marRight w:val="0"/>
                      <w:marTop w:val="0"/>
                      <w:marBottom w:val="0"/>
                      <w:divBdr>
                        <w:top w:val="none" w:sz="0" w:space="0" w:color="auto"/>
                        <w:left w:val="none" w:sz="0" w:space="0" w:color="auto"/>
                        <w:bottom w:val="none" w:sz="0" w:space="0" w:color="auto"/>
                        <w:right w:val="none" w:sz="0" w:space="0" w:color="auto"/>
                      </w:divBdr>
                      <w:divsChild>
                        <w:div w:id="96143584">
                          <w:marLeft w:val="0"/>
                          <w:marRight w:val="0"/>
                          <w:marTop w:val="0"/>
                          <w:marBottom w:val="0"/>
                          <w:divBdr>
                            <w:top w:val="none" w:sz="0" w:space="0" w:color="auto"/>
                            <w:left w:val="none" w:sz="0" w:space="0" w:color="auto"/>
                            <w:bottom w:val="none" w:sz="0" w:space="0" w:color="auto"/>
                            <w:right w:val="none" w:sz="0" w:space="0" w:color="auto"/>
                          </w:divBdr>
                          <w:divsChild>
                            <w:div w:id="1153062778">
                              <w:marLeft w:val="0"/>
                              <w:marRight w:val="0"/>
                              <w:marTop w:val="0"/>
                              <w:marBottom w:val="0"/>
                              <w:divBdr>
                                <w:top w:val="none" w:sz="0" w:space="0" w:color="auto"/>
                                <w:left w:val="none" w:sz="0" w:space="0" w:color="auto"/>
                                <w:bottom w:val="none" w:sz="0" w:space="0" w:color="auto"/>
                                <w:right w:val="none" w:sz="0" w:space="0" w:color="auto"/>
                              </w:divBdr>
                              <w:divsChild>
                                <w:div w:id="1322540083">
                                  <w:marLeft w:val="0"/>
                                  <w:marRight w:val="0"/>
                                  <w:marTop w:val="0"/>
                                  <w:marBottom w:val="0"/>
                                  <w:divBdr>
                                    <w:top w:val="none" w:sz="0" w:space="0" w:color="auto"/>
                                    <w:left w:val="none" w:sz="0" w:space="0" w:color="auto"/>
                                    <w:bottom w:val="none" w:sz="0" w:space="0" w:color="auto"/>
                                    <w:right w:val="none" w:sz="0" w:space="0" w:color="auto"/>
                                  </w:divBdr>
                                  <w:divsChild>
                                    <w:div w:id="409279629">
                                      <w:marLeft w:val="0"/>
                                      <w:marRight w:val="0"/>
                                      <w:marTop w:val="75"/>
                                      <w:marBottom w:val="0"/>
                                      <w:divBdr>
                                        <w:top w:val="none" w:sz="0" w:space="0" w:color="auto"/>
                                        <w:left w:val="none" w:sz="0" w:space="0" w:color="auto"/>
                                        <w:bottom w:val="none" w:sz="0" w:space="0" w:color="auto"/>
                                        <w:right w:val="none" w:sz="0" w:space="0" w:color="auto"/>
                                      </w:divBdr>
                                      <w:divsChild>
                                        <w:div w:id="538977780">
                                          <w:marLeft w:val="0"/>
                                          <w:marRight w:val="0"/>
                                          <w:marTop w:val="0"/>
                                          <w:marBottom w:val="0"/>
                                          <w:divBdr>
                                            <w:top w:val="none" w:sz="0" w:space="0" w:color="auto"/>
                                            <w:left w:val="none" w:sz="0" w:space="0" w:color="auto"/>
                                            <w:bottom w:val="none" w:sz="0" w:space="0" w:color="auto"/>
                                            <w:right w:val="none" w:sz="0" w:space="0" w:color="auto"/>
                                          </w:divBdr>
                                          <w:divsChild>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367249">
      <w:bodyDiv w:val="1"/>
      <w:marLeft w:val="0"/>
      <w:marRight w:val="0"/>
      <w:marTop w:val="0"/>
      <w:marBottom w:val="0"/>
      <w:divBdr>
        <w:top w:val="none" w:sz="0" w:space="0" w:color="auto"/>
        <w:left w:val="none" w:sz="0" w:space="0" w:color="auto"/>
        <w:bottom w:val="none" w:sz="0" w:space="0" w:color="auto"/>
        <w:right w:val="none" w:sz="0" w:space="0" w:color="auto"/>
      </w:divBdr>
    </w:div>
    <w:div w:id="2067872612">
      <w:bodyDiv w:val="1"/>
      <w:marLeft w:val="0"/>
      <w:marRight w:val="0"/>
      <w:marTop w:val="0"/>
      <w:marBottom w:val="0"/>
      <w:divBdr>
        <w:top w:val="none" w:sz="0" w:space="0" w:color="auto"/>
        <w:left w:val="none" w:sz="0" w:space="0" w:color="auto"/>
        <w:bottom w:val="none" w:sz="0" w:space="0" w:color="auto"/>
        <w:right w:val="none" w:sz="0" w:space="0" w:color="auto"/>
      </w:divBdr>
      <w:divsChild>
        <w:div w:id="1575166271">
          <w:marLeft w:val="0"/>
          <w:marRight w:val="0"/>
          <w:marTop w:val="100"/>
          <w:marBottom w:val="100"/>
          <w:divBdr>
            <w:top w:val="none" w:sz="0" w:space="0" w:color="auto"/>
            <w:left w:val="none" w:sz="0" w:space="0" w:color="auto"/>
            <w:bottom w:val="none" w:sz="0" w:space="0" w:color="auto"/>
            <w:right w:val="none" w:sz="0" w:space="0" w:color="auto"/>
          </w:divBdr>
          <w:divsChild>
            <w:div w:id="1075014512">
              <w:marLeft w:val="0"/>
              <w:marRight w:val="0"/>
              <w:marTop w:val="0"/>
              <w:marBottom w:val="0"/>
              <w:divBdr>
                <w:top w:val="none" w:sz="0" w:space="0" w:color="auto"/>
                <w:left w:val="none" w:sz="0" w:space="0" w:color="auto"/>
                <w:bottom w:val="none" w:sz="0" w:space="0" w:color="auto"/>
                <w:right w:val="none" w:sz="0" w:space="0" w:color="auto"/>
              </w:divBdr>
              <w:divsChild>
                <w:div w:id="598954215">
                  <w:marLeft w:val="0"/>
                  <w:marRight w:val="0"/>
                  <w:marTop w:val="0"/>
                  <w:marBottom w:val="0"/>
                  <w:divBdr>
                    <w:top w:val="none" w:sz="0" w:space="0" w:color="auto"/>
                    <w:left w:val="none" w:sz="0" w:space="0" w:color="auto"/>
                    <w:bottom w:val="none" w:sz="0" w:space="0" w:color="auto"/>
                    <w:right w:val="none" w:sz="0" w:space="0" w:color="auto"/>
                  </w:divBdr>
                  <w:divsChild>
                    <w:div w:id="147672524">
                      <w:marLeft w:val="0"/>
                      <w:marRight w:val="0"/>
                      <w:marTop w:val="0"/>
                      <w:marBottom w:val="0"/>
                      <w:divBdr>
                        <w:top w:val="none" w:sz="0" w:space="0" w:color="auto"/>
                        <w:left w:val="none" w:sz="0" w:space="0" w:color="auto"/>
                        <w:bottom w:val="none" w:sz="0" w:space="0" w:color="auto"/>
                        <w:right w:val="none" w:sz="0" w:space="0" w:color="auto"/>
                      </w:divBdr>
                      <w:divsChild>
                        <w:div w:id="1939364177">
                          <w:marLeft w:val="0"/>
                          <w:marRight w:val="0"/>
                          <w:marTop w:val="0"/>
                          <w:marBottom w:val="0"/>
                          <w:divBdr>
                            <w:top w:val="none" w:sz="0" w:space="0" w:color="auto"/>
                            <w:left w:val="none" w:sz="0" w:space="0" w:color="auto"/>
                            <w:bottom w:val="none" w:sz="0" w:space="0" w:color="auto"/>
                            <w:right w:val="none" w:sz="0" w:space="0" w:color="auto"/>
                          </w:divBdr>
                          <w:divsChild>
                            <w:div w:id="1009795900">
                              <w:marLeft w:val="0"/>
                              <w:marRight w:val="0"/>
                              <w:marTop w:val="0"/>
                              <w:marBottom w:val="0"/>
                              <w:divBdr>
                                <w:top w:val="none" w:sz="0" w:space="0" w:color="auto"/>
                                <w:left w:val="none" w:sz="0" w:space="0" w:color="auto"/>
                                <w:bottom w:val="none" w:sz="0" w:space="0" w:color="auto"/>
                                <w:right w:val="none" w:sz="0" w:space="0" w:color="auto"/>
                              </w:divBdr>
                              <w:divsChild>
                                <w:div w:id="2051998645">
                                  <w:marLeft w:val="0"/>
                                  <w:marRight w:val="0"/>
                                  <w:marTop w:val="0"/>
                                  <w:marBottom w:val="0"/>
                                  <w:divBdr>
                                    <w:top w:val="none" w:sz="0" w:space="0" w:color="auto"/>
                                    <w:left w:val="none" w:sz="0" w:space="0" w:color="auto"/>
                                    <w:bottom w:val="none" w:sz="0" w:space="0" w:color="auto"/>
                                    <w:right w:val="none" w:sz="0" w:space="0" w:color="auto"/>
                                  </w:divBdr>
                                  <w:divsChild>
                                    <w:div w:id="56237482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toff@le.ac.uk" TargetMode="External"/><Relationship Id="rId13" Type="http://schemas.openxmlformats.org/officeDocument/2006/relationships/hyperlink" Target="https://scts.org/_userfiles/pages/files/sctscardiacbluebook2020_11_20tnv2.pdf"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www.nicor.org.uk/wp-content/uploads/2020/12/National-Adult-Cardiac-Surgery-Audit-NACSA-FINAL.pdf"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qol.org/eq-5d-instru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euroscore.org/calc.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sts.org/resources/risk-calculator" TargetMode="External"/><Relationship Id="rId14" Type="http://schemas.openxmlformats.org/officeDocument/2006/relationships/hyperlink" Target="https://www.bcis.org.uk/wp-content/uploads/2021/04/BCIS-Audit-2019-20-data-TAVI-subset-as-26-04-2020-for-web.pdf"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61D04-1D69-4DE4-ADD3-4E4E64BB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9887</Words>
  <Characters>56360</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WDT</dc:creator>
  <cp:lastModifiedBy>Carolyn Wallis</cp:lastModifiedBy>
  <cp:revision>2</cp:revision>
  <cp:lastPrinted>2022-03-25T18:43:00Z</cp:lastPrinted>
  <dcterms:created xsi:type="dcterms:W3CDTF">2022-06-14T08:39:00Z</dcterms:created>
  <dcterms:modified xsi:type="dcterms:W3CDTF">2022-06-14T08:39:00Z</dcterms:modified>
</cp:coreProperties>
</file>