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E7A87" w14:textId="490F0E32" w:rsidR="00076444" w:rsidRPr="00076444" w:rsidRDefault="00076444" w:rsidP="00076444">
      <w:pPr>
        <w:jc w:val="center"/>
        <w:rPr>
          <w:sz w:val="28"/>
          <w:szCs w:val="28"/>
        </w:rPr>
      </w:pPr>
      <w:r w:rsidRPr="00076444">
        <w:rPr>
          <w:sz w:val="28"/>
          <w:szCs w:val="28"/>
        </w:rPr>
        <w:t>Self-care, social norms and anomie during COVID-19: From contestation of the greater good, to building future normative resilience in the UK</w:t>
      </w:r>
    </w:p>
    <w:p w14:paraId="407F77AB" w14:textId="77777777" w:rsidR="00076444" w:rsidRPr="00076444" w:rsidRDefault="00076444" w:rsidP="00076444">
      <w:pPr>
        <w:jc w:val="center"/>
        <w:rPr>
          <w:sz w:val="28"/>
          <w:szCs w:val="28"/>
        </w:rPr>
      </w:pPr>
    </w:p>
    <w:p w14:paraId="3FFE0CB5" w14:textId="6C6FE32F" w:rsidR="00076444" w:rsidRDefault="00076444">
      <w:pPr>
        <w:jc w:val="center"/>
      </w:pPr>
      <w:r>
        <w:t xml:space="preserve">Richard A. </w:t>
      </w:r>
      <w:r w:rsidRPr="00076444">
        <w:t>Powell</w:t>
      </w:r>
      <w:r w:rsidRPr="00076444">
        <w:rPr>
          <w:vertAlign w:val="superscript"/>
        </w:rPr>
        <w:t>1</w:t>
      </w:r>
      <w:r w:rsidR="008407BC">
        <w:rPr>
          <w:vertAlign w:val="superscript"/>
        </w:rPr>
        <w:t>,2</w:t>
      </w:r>
    </w:p>
    <w:p w14:paraId="3152E30C" w14:textId="102E28CF" w:rsidR="00076444" w:rsidRDefault="00076444">
      <w:pPr>
        <w:jc w:val="center"/>
      </w:pPr>
      <w:r>
        <w:t>Kath</w:t>
      </w:r>
      <w:r w:rsidR="00C369AB">
        <w:t>leen</w:t>
      </w:r>
      <w:r>
        <w:t xml:space="preserve"> </w:t>
      </w:r>
      <w:r w:rsidRPr="00076444">
        <w:t>Kendall</w:t>
      </w:r>
      <w:r w:rsidR="008407BC">
        <w:rPr>
          <w:vertAlign w:val="superscript"/>
        </w:rPr>
        <w:t>3</w:t>
      </w:r>
    </w:p>
    <w:p w14:paraId="4C5A595F" w14:textId="1AEDB04B" w:rsidR="00076444" w:rsidRDefault="00076444">
      <w:pPr>
        <w:jc w:val="center"/>
      </w:pPr>
      <w:r>
        <w:t xml:space="preserve">Ben </w:t>
      </w:r>
      <w:r w:rsidRPr="00076444">
        <w:t>Cislaghi</w:t>
      </w:r>
      <w:r w:rsidR="008407BC">
        <w:rPr>
          <w:vertAlign w:val="superscript"/>
        </w:rPr>
        <w:t>4</w:t>
      </w:r>
    </w:p>
    <w:p w14:paraId="2820A3F6" w14:textId="25793AB0" w:rsidR="000A32A2" w:rsidRDefault="00076444">
      <w:pPr>
        <w:jc w:val="center"/>
        <w:rPr>
          <w:vertAlign w:val="superscript"/>
        </w:rPr>
      </w:pPr>
      <w:r>
        <w:t xml:space="preserve">Austen </w:t>
      </w:r>
      <w:r w:rsidRPr="00076444">
        <w:t>El-Osta</w:t>
      </w:r>
      <w:r w:rsidR="008407BC">
        <w:rPr>
          <w:vertAlign w:val="superscript"/>
        </w:rPr>
        <w:t>5</w:t>
      </w:r>
    </w:p>
    <w:p w14:paraId="073ED9FB" w14:textId="77777777" w:rsidR="000A32A2" w:rsidRDefault="000A32A2">
      <w:pPr>
        <w:jc w:val="center"/>
      </w:pPr>
    </w:p>
    <w:p w14:paraId="113D1BD9" w14:textId="7B9D658A" w:rsidR="000A32A2" w:rsidRDefault="0098406D">
      <w:pPr>
        <w:jc w:val="center"/>
      </w:pPr>
      <w:r>
        <w:rPr>
          <w:vertAlign w:val="superscript"/>
        </w:rPr>
        <w:t>1</w:t>
      </w:r>
      <w:r>
        <w:t xml:space="preserve"> </w:t>
      </w:r>
      <w:r w:rsidR="00E017BC" w:rsidRPr="00E017BC">
        <w:t>Department of Primary Care and Public Health, School of Public Health</w:t>
      </w:r>
      <w:r w:rsidR="00640CE2">
        <w:t xml:space="preserve">, </w:t>
      </w:r>
      <w:r w:rsidR="00E017BC" w:rsidRPr="00E017BC">
        <w:t>Imperial College Lon</w:t>
      </w:r>
      <w:r w:rsidR="00640CE2">
        <w:t>d</w:t>
      </w:r>
      <w:r w:rsidR="00E017BC" w:rsidRPr="00E017BC">
        <w:t xml:space="preserve">on, </w:t>
      </w:r>
      <w:r w:rsidR="008407BC">
        <w:t xml:space="preserve">London, </w:t>
      </w:r>
      <w:r w:rsidR="00E017BC" w:rsidRPr="00E017BC">
        <w:t>England</w:t>
      </w:r>
    </w:p>
    <w:p w14:paraId="604D4A94" w14:textId="382E3A0A" w:rsidR="008407BC" w:rsidRDefault="008407BC">
      <w:pPr>
        <w:jc w:val="center"/>
      </w:pPr>
      <w:r w:rsidRPr="008407BC">
        <w:rPr>
          <w:vertAlign w:val="superscript"/>
        </w:rPr>
        <w:t>2</w:t>
      </w:r>
      <w:r>
        <w:t xml:space="preserve"> Ethnicity and Health Unit, NIHR Applied Research Collaboration Northwest London, London, England</w:t>
      </w:r>
    </w:p>
    <w:p w14:paraId="70620701" w14:textId="236812AB" w:rsidR="000A32A2" w:rsidRDefault="008407BC" w:rsidP="00C369AB">
      <w:pPr>
        <w:jc w:val="center"/>
      </w:pPr>
      <w:r>
        <w:rPr>
          <w:vertAlign w:val="superscript"/>
        </w:rPr>
        <w:t>3</w:t>
      </w:r>
      <w:r w:rsidR="0098406D">
        <w:t xml:space="preserve"> </w:t>
      </w:r>
      <w:r w:rsidR="00C369AB" w:rsidRPr="00C369AB">
        <w:t>Faculty of Medicine</w:t>
      </w:r>
      <w:r w:rsidR="00C369AB">
        <w:t>, University of Southampton, Southampton, England</w:t>
      </w:r>
    </w:p>
    <w:p w14:paraId="759043DB" w14:textId="2A4FACBE" w:rsidR="00E017BC" w:rsidRDefault="008407BC">
      <w:pPr>
        <w:jc w:val="center"/>
      </w:pPr>
      <w:r>
        <w:rPr>
          <w:vertAlign w:val="superscript"/>
        </w:rPr>
        <w:t>4</w:t>
      </w:r>
      <w:r w:rsidR="0098406D">
        <w:t xml:space="preserve"> </w:t>
      </w:r>
      <w:r w:rsidR="00FD6BC9">
        <w:t>Department of Global Health and Development, Faculty of Public Health and Policy, London School of Hygiene and Tropical Medicine, London, England</w:t>
      </w:r>
    </w:p>
    <w:p w14:paraId="0B91DD99" w14:textId="5B844E8F" w:rsidR="00640CE2" w:rsidRDefault="008407BC" w:rsidP="00640CE2">
      <w:pPr>
        <w:jc w:val="center"/>
      </w:pPr>
      <w:r>
        <w:rPr>
          <w:vertAlign w:val="superscript"/>
        </w:rPr>
        <w:t>5</w:t>
      </w:r>
      <w:r w:rsidR="00E017BC">
        <w:t xml:space="preserve"> </w:t>
      </w:r>
      <w:r w:rsidR="00640CE2">
        <w:t xml:space="preserve">Self-Care Academic Research Unit, School of Public Health, </w:t>
      </w:r>
      <w:r w:rsidR="00640CE2" w:rsidRPr="00E017BC">
        <w:t>Imperial College Lon</w:t>
      </w:r>
      <w:r w:rsidR="00640CE2">
        <w:t>d</w:t>
      </w:r>
      <w:r w:rsidR="00640CE2" w:rsidRPr="00E017BC">
        <w:t>on, London, England</w:t>
      </w:r>
    </w:p>
    <w:p w14:paraId="75EEEAA7" w14:textId="77777777" w:rsidR="00640CE2" w:rsidRDefault="00640CE2" w:rsidP="00640CE2">
      <w:pPr>
        <w:jc w:val="center"/>
      </w:pPr>
    </w:p>
    <w:p w14:paraId="4ABE9726" w14:textId="77777777" w:rsidR="000A32A2" w:rsidRDefault="0098406D">
      <w:pPr>
        <w:rPr>
          <w:b/>
        </w:rPr>
      </w:pPr>
      <w:r>
        <w:rPr>
          <w:b/>
        </w:rPr>
        <w:t>Correspondence to:</w:t>
      </w:r>
    </w:p>
    <w:p w14:paraId="0CB96560" w14:textId="2783DEFF" w:rsidR="000A32A2" w:rsidRDefault="00076444">
      <w:r>
        <w:t>Richard A. Powell</w:t>
      </w:r>
    </w:p>
    <w:p w14:paraId="3F72BBD0" w14:textId="1FF4F974" w:rsidR="000A32A2" w:rsidRDefault="00640CE2">
      <w:r w:rsidRPr="00640CE2">
        <w:t xml:space="preserve">Department of Primary Care and Public Health, School of Public Health, </w:t>
      </w:r>
      <w:r w:rsidR="004078AC">
        <w:t xml:space="preserve">Imperial College London, </w:t>
      </w:r>
      <w:r w:rsidR="0005742A">
        <w:t>Reynolds Building, St Dunstan’s Road, Charing Cross Hospital</w:t>
      </w:r>
      <w:r w:rsidRPr="00640CE2">
        <w:t xml:space="preserve">, London, England, </w:t>
      </w:r>
      <w:r w:rsidR="0005742A">
        <w:t>W6 8RP</w:t>
      </w:r>
    </w:p>
    <w:p w14:paraId="2F9BED49" w14:textId="6E0D3C2A" w:rsidR="000A32A2" w:rsidRPr="00640CE2" w:rsidRDefault="0098406D">
      <w:r w:rsidRPr="00640CE2">
        <w:t xml:space="preserve">Email: </w:t>
      </w:r>
      <w:r w:rsidR="00076444" w:rsidRPr="00640CE2">
        <w:t>r.powell@imperial.ac.uk</w:t>
      </w:r>
    </w:p>
    <w:p w14:paraId="0BEAD161" w14:textId="06DDA2DA" w:rsidR="000A32A2" w:rsidRPr="003F7861" w:rsidRDefault="0098406D">
      <w:r w:rsidRPr="00640CE2">
        <w:t>Pho</w:t>
      </w:r>
      <w:r w:rsidRPr="003F7861">
        <w:t xml:space="preserve">ne: </w:t>
      </w:r>
      <w:r w:rsidR="00640CE2" w:rsidRPr="003F7861">
        <w:t>+44 (0)20 7589 5111</w:t>
      </w:r>
    </w:p>
    <w:p w14:paraId="4A6F3122" w14:textId="77777777" w:rsidR="000A32A2" w:rsidRPr="003F7861" w:rsidRDefault="000A32A2"/>
    <w:p w14:paraId="26BCB65A" w14:textId="4FC23083" w:rsidR="000A32A2" w:rsidRPr="003F7861" w:rsidRDefault="0098406D">
      <w:r w:rsidRPr="003F7861">
        <w:t xml:space="preserve">Word count: </w:t>
      </w:r>
      <w:r w:rsidR="00936879">
        <w:t>794</w:t>
      </w:r>
      <w:r w:rsidR="00DB4F9B" w:rsidRPr="003F7861">
        <w:t xml:space="preserve"> </w:t>
      </w:r>
    </w:p>
    <w:p w14:paraId="30AC5BBC" w14:textId="267A1545" w:rsidR="000A32A2" w:rsidRPr="003F7861" w:rsidRDefault="0098406D">
      <w:pPr>
        <w:rPr>
          <w:i/>
        </w:rPr>
      </w:pPr>
      <w:r w:rsidRPr="003F7861">
        <w:t xml:space="preserve">References: </w:t>
      </w:r>
      <w:r w:rsidR="003F7861" w:rsidRPr="003F7861">
        <w:t>1</w:t>
      </w:r>
      <w:r w:rsidR="00936879">
        <w:t>2</w:t>
      </w:r>
    </w:p>
    <w:p w14:paraId="5F48083F" w14:textId="77777777" w:rsidR="000A32A2" w:rsidRPr="003F7861" w:rsidRDefault="000A32A2">
      <w:pPr>
        <w:rPr>
          <w:i/>
        </w:rPr>
      </w:pPr>
    </w:p>
    <w:p w14:paraId="1D6915EF" w14:textId="77777777" w:rsidR="000A32A2" w:rsidRDefault="0098406D">
      <w:pPr>
        <w:spacing w:line="240" w:lineRule="auto"/>
        <w:rPr>
          <w:b/>
        </w:rPr>
      </w:pPr>
      <w:r w:rsidRPr="003F7861">
        <w:rPr>
          <w:b/>
        </w:rPr>
        <w:t>Contributors</w:t>
      </w:r>
      <w:r>
        <w:rPr>
          <w:b/>
        </w:rPr>
        <w:t xml:space="preserve"> and sources</w:t>
      </w:r>
    </w:p>
    <w:p w14:paraId="1FE7C221" w14:textId="3D9972E3" w:rsidR="00BE0089" w:rsidRDefault="00C369AB" w:rsidP="00BE0089">
      <w:pPr>
        <w:spacing w:line="240" w:lineRule="auto"/>
        <w:rPr>
          <w:vertAlign w:val="superscript"/>
        </w:rPr>
      </w:pPr>
      <w:r w:rsidRPr="006F067F">
        <w:t xml:space="preserve">The authors have </w:t>
      </w:r>
      <w:r w:rsidR="00BE0089">
        <w:t xml:space="preserve">extensive </w:t>
      </w:r>
      <w:r w:rsidRPr="006F067F">
        <w:t xml:space="preserve">experience </w:t>
      </w:r>
      <w:r w:rsidR="00BE0089">
        <w:t>in public health, social norms and the sociology of health and illness.  AE-O i</w:t>
      </w:r>
      <w:r>
        <w:t>s the guarantor.  RAP initially drafted the paper, with all co-authors reviewing and contributing to its revision and finalisation.  Sources for the paper are peer-reviewed journals</w:t>
      </w:r>
      <w:r w:rsidR="00BE0089">
        <w:t>.</w:t>
      </w:r>
    </w:p>
    <w:p w14:paraId="60888335" w14:textId="77777777" w:rsidR="00C369AB" w:rsidRPr="00BE0089" w:rsidRDefault="00C369AB">
      <w:pPr>
        <w:spacing w:line="240" w:lineRule="auto"/>
      </w:pPr>
    </w:p>
    <w:p w14:paraId="430E4704" w14:textId="77777777" w:rsidR="000A32A2" w:rsidRPr="00BE0089" w:rsidRDefault="0098406D">
      <w:pPr>
        <w:spacing w:line="240" w:lineRule="auto"/>
        <w:rPr>
          <w:b/>
        </w:rPr>
      </w:pPr>
      <w:r w:rsidRPr="00BE0089">
        <w:rPr>
          <w:b/>
        </w:rPr>
        <w:t>Patient involvement</w:t>
      </w:r>
    </w:p>
    <w:p w14:paraId="15C7493C" w14:textId="35BF1584" w:rsidR="000A32A2" w:rsidRPr="00BE0089" w:rsidRDefault="00BE0089">
      <w:pPr>
        <w:spacing w:line="240" w:lineRule="auto"/>
      </w:pPr>
      <w:r w:rsidRPr="00BE0089">
        <w:t>No patients were involved.</w:t>
      </w:r>
    </w:p>
    <w:p w14:paraId="1951420A" w14:textId="77777777" w:rsidR="000A32A2" w:rsidRDefault="000A32A2">
      <w:pPr>
        <w:spacing w:line="240" w:lineRule="auto"/>
      </w:pPr>
    </w:p>
    <w:p w14:paraId="2912C8AC" w14:textId="77777777" w:rsidR="000A32A2" w:rsidRDefault="0098406D">
      <w:pPr>
        <w:spacing w:line="240" w:lineRule="auto"/>
        <w:rPr>
          <w:b/>
        </w:rPr>
      </w:pPr>
      <w:r>
        <w:rPr>
          <w:b/>
        </w:rPr>
        <w:t>Conflicts of Interest</w:t>
      </w:r>
    </w:p>
    <w:p w14:paraId="01B1A420" w14:textId="60E67B6D" w:rsidR="000A32A2" w:rsidRDefault="0098406D">
      <w:pPr>
        <w:spacing w:line="240" w:lineRule="auto"/>
      </w:pPr>
      <w:r>
        <w:t xml:space="preserve">We have read and understood </w:t>
      </w:r>
      <w:hyperlink r:id="rId7">
        <w:r>
          <w:rPr>
            <w:color w:val="1155CC"/>
            <w:u w:val="single"/>
          </w:rPr>
          <w:t>BMJ policy on declaration of interests</w:t>
        </w:r>
      </w:hyperlink>
      <w:r>
        <w:t xml:space="preserve"> and </w:t>
      </w:r>
      <w:r w:rsidR="00BE0089">
        <w:t>declare no conflicts of interest.</w:t>
      </w:r>
    </w:p>
    <w:p w14:paraId="16F20D56" w14:textId="77777777" w:rsidR="000A32A2" w:rsidRDefault="000A32A2">
      <w:pPr>
        <w:spacing w:line="240" w:lineRule="auto"/>
      </w:pPr>
    </w:p>
    <w:p w14:paraId="5EF64813" w14:textId="77777777" w:rsidR="000A32A2" w:rsidRDefault="0098406D">
      <w:pPr>
        <w:spacing w:line="240" w:lineRule="auto"/>
        <w:rPr>
          <w:b/>
        </w:rPr>
      </w:pPr>
      <w:r>
        <w:rPr>
          <w:b/>
        </w:rPr>
        <w:t>Licence</w:t>
      </w:r>
    </w:p>
    <w:p w14:paraId="5C3F5778" w14:textId="548BDE88" w:rsidR="000A32A2" w:rsidRDefault="0098406D" w:rsidP="00BE0089">
      <w:pPr>
        <w:spacing w:line="240" w:lineRule="auto"/>
      </w:pPr>
      <w:r>
        <w:t xml:space="preserve">The Corresponding Author has the right to grant on behalf of all authors and does grant on behalf of all authors, an exclusive licence (or </w:t>
      </w:r>
      <w:proofErr w:type="spellStart"/>
      <w:r>
        <w:t>non exclusive</w:t>
      </w:r>
      <w:proofErr w:type="spellEnd"/>
      <w:r>
        <w:t xml:space="preserve"> for government employees) on a worldwide basis to the BMJ Publishing Group Ltd ("BMJ"), and its Licensees to permit this article (if accepted) to be published in The BMJ's editions and any other BMJ products and to exploit all subsidiary rights, as set out in </w:t>
      </w:r>
      <w:hyperlink r:id="rId8">
        <w:r>
          <w:rPr>
            <w:color w:val="1155CC"/>
            <w:u w:val="single"/>
          </w:rPr>
          <w:t>The BMJ's licence</w:t>
        </w:r>
      </w:hyperlink>
      <w:r>
        <w:t>.</w:t>
      </w:r>
      <w:r>
        <w:br w:type="page"/>
      </w:r>
    </w:p>
    <w:p w14:paraId="2297877D" w14:textId="5B3FC3F7" w:rsidR="000A32A2" w:rsidRDefault="00076444">
      <w:pPr>
        <w:jc w:val="center"/>
        <w:rPr>
          <w:sz w:val="28"/>
          <w:szCs w:val="28"/>
          <w:highlight w:val="yellow"/>
        </w:rPr>
      </w:pPr>
      <w:r w:rsidRPr="00076444">
        <w:rPr>
          <w:sz w:val="28"/>
          <w:szCs w:val="28"/>
        </w:rPr>
        <w:lastRenderedPageBreak/>
        <w:t>Self-care, social norms and anomie during COVID-19: From contestation of the greater good, to building future normative resilience in the UK</w:t>
      </w:r>
    </w:p>
    <w:p w14:paraId="2A359BFB" w14:textId="77777777" w:rsidR="000A32A2" w:rsidRDefault="000A32A2">
      <w:pPr>
        <w:rPr>
          <w:b/>
        </w:rPr>
      </w:pPr>
    </w:p>
    <w:p w14:paraId="53510B5B" w14:textId="5AE501F9" w:rsidR="000A32A2" w:rsidRPr="00221475" w:rsidRDefault="00BE0089">
      <w:pPr>
        <w:rPr>
          <w:highlight w:val="yellow"/>
        </w:rPr>
      </w:pPr>
      <w:r w:rsidRPr="00BE0089">
        <w:rPr>
          <w:i/>
        </w:rPr>
        <w:t xml:space="preserve">Drawing upon peer-reviewed </w:t>
      </w:r>
      <w:r w:rsidR="0074730F">
        <w:rPr>
          <w:i/>
        </w:rPr>
        <w:t xml:space="preserve">and grey </w:t>
      </w:r>
      <w:r w:rsidRPr="00BE0089">
        <w:rPr>
          <w:i/>
        </w:rPr>
        <w:t xml:space="preserve">literature, Richard A. Powell and colleagues argue </w:t>
      </w:r>
      <w:r>
        <w:rPr>
          <w:i/>
        </w:rPr>
        <w:t xml:space="preserve">the dominant </w:t>
      </w:r>
      <w:r w:rsidR="0074730F">
        <w:rPr>
          <w:i/>
        </w:rPr>
        <w:t>narrative</w:t>
      </w:r>
      <w:r>
        <w:rPr>
          <w:i/>
        </w:rPr>
        <w:t xml:space="preserve"> of personal self-care during </w:t>
      </w:r>
      <w:r w:rsidR="00E649EC">
        <w:rPr>
          <w:i/>
        </w:rPr>
        <w:t xml:space="preserve">the </w:t>
      </w:r>
      <w:r>
        <w:rPr>
          <w:i/>
        </w:rPr>
        <w:t xml:space="preserve">COVID-19 </w:t>
      </w:r>
      <w:r w:rsidR="00CA4A24">
        <w:rPr>
          <w:i/>
        </w:rPr>
        <w:t xml:space="preserve">pandemic </w:t>
      </w:r>
      <w:r>
        <w:rPr>
          <w:i/>
        </w:rPr>
        <w:t xml:space="preserve">must be supplemented with a collectivist </w:t>
      </w:r>
      <w:r w:rsidR="00CA4A24">
        <w:rPr>
          <w:i/>
        </w:rPr>
        <w:t xml:space="preserve">approach </w:t>
      </w:r>
      <w:r w:rsidR="0074730F">
        <w:rPr>
          <w:i/>
        </w:rPr>
        <w:t xml:space="preserve">that addresses </w:t>
      </w:r>
      <w:r w:rsidR="0074730F" w:rsidRPr="0074730F">
        <w:rPr>
          <w:i/>
        </w:rPr>
        <w:t xml:space="preserve">structural inequalities </w:t>
      </w:r>
      <w:r w:rsidR="0074730F">
        <w:rPr>
          <w:i/>
        </w:rPr>
        <w:t xml:space="preserve">and fosters </w:t>
      </w:r>
      <w:r>
        <w:rPr>
          <w:i/>
        </w:rPr>
        <w:t>a more equitable society</w:t>
      </w:r>
    </w:p>
    <w:p w14:paraId="672D814A" w14:textId="77777777" w:rsidR="000A32A2" w:rsidRPr="00221475" w:rsidRDefault="000A32A2">
      <w:pPr>
        <w:spacing w:line="360" w:lineRule="auto"/>
        <w:rPr>
          <w:highlight w:val="yellow"/>
        </w:rPr>
      </w:pPr>
    </w:p>
    <w:p w14:paraId="2518C1E6" w14:textId="77777777" w:rsidR="00567185" w:rsidRDefault="00567185" w:rsidP="00567185">
      <w:pPr>
        <w:spacing w:line="360" w:lineRule="auto"/>
      </w:pPr>
      <w:r>
        <w:t xml:space="preserve">Compliance with self-care and risk-mitigation strategies to tackle COVID-19 has been chequered in the UK, fuelled partly by social media hoaxes and misinformation, virus denialism, and policy leaders contravening their public health messaging. Exploring individual </w:t>
      </w:r>
      <w:proofErr w:type="gramStart"/>
      <w:r>
        <w:t>non-compliance, and</w:t>
      </w:r>
      <w:proofErr w:type="gramEnd"/>
      <w:r>
        <w:t xml:space="preserve"> reflecting upon wider societal inequities that can impact it, can help build critical normative resilience to future pandemics.</w:t>
      </w:r>
    </w:p>
    <w:p w14:paraId="41D34E53" w14:textId="77777777" w:rsidR="00567185" w:rsidRDefault="00567185" w:rsidP="00567185">
      <w:pPr>
        <w:spacing w:line="360" w:lineRule="auto"/>
      </w:pPr>
    </w:p>
    <w:p w14:paraId="6270A1B7" w14:textId="286453B7" w:rsidR="00567185" w:rsidRPr="00936879" w:rsidRDefault="00567185" w:rsidP="00567185">
      <w:pPr>
        <w:spacing w:line="360" w:lineRule="auto"/>
      </w:pPr>
      <w:r>
        <w:t xml:space="preserve">COVID-19 </w:t>
      </w:r>
      <w:r w:rsidRPr="00936879">
        <w:t>public health messaging is primarily aimed at modifying individual lifestyles and behaviours to flatten the infectivity curve by following ‘common sense’ approaches captured by the hands-face-space mantra.</w:t>
      </w:r>
      <w:r w:rsidRPr="00936879">
        <w:rPr>
          <w:vertAlign w:val="superscript"/>
        </w:rPr>
        <w:t>1</w:t>
      </w:r>
      <w:r w:rsidRPr="00936879">
        <w:t xml:space="preserve"> A culture of practice and new social norms of acceptable behaviour emerged,</w:t>
      </w:r>
      <w:r w:rsidRPr="00936879">
        <w:rPr>
          <w:vertAlign w:val="superscript"/>
        </w:rPr>
        <w:t>2</w:t>
      </w:r>
      <w:r w:rsidRPr="00936879">
        <w:t xml:space="preserve"> with concordance premised on cooperation between the public and government. However, as the pandemic worsened and movement restrictions continued, norms were contested by a small but vocal segment of society.</w:t>
      </w:r>
    </w:p>
    <w:p w14:paraId="15F8C1F9" w14:textId="77777777" w:rsidR="00567185" w:rsidRPr="00936879" w:rsidRDefault="00567185" w:rsidP="00567185">
      <w:pPr>
        <w:spacing w:line="360" w:lineRule="auto"/>
      </w:pPr>
    </w:p>
    <w:p w14:paraId="033634CB" w14:textId="510A7F83" w:rsidR="00567185" w:rsidRPr="00936879" w:rsidRDefault="00567185" w:rsidP="00567185">
      <w:pPr>
        <w:spacing w:line="360" w:lineRule="auto"/>
      </w:pPr>
      <w:r w:rsidRPr="00936879">
        <w:t>This normative contestation was founded on conflict between individual agency, government paternalism and regulatory diktat, and echoed Kant’s epistemology of altruism and the need to sacrifice individual liberties for the “greater good”</w:t>
      </w:r>
      <w:r w:rsidR="00C95E2F">
        <w:t>.</w:t>
      </w:r>
      <w:r w:rsidRPr="00936879">
        <w:t xml:space="preserve"> This conflict was exacerbated by multiple lockdowns that significantly impacted individuals’ daily lives, and dissidence within a post-Brexit body politic characterised by distrust of politicians</w:t>
      </w:r>
      <w:r w:rsidRPr="00936879">
        <w:rPr>
          <w:vertAlign w:val="superscript"/>
        </w:rPr>
        <w:t>3</w:t>
      </w:r>
      <w:r w:rsidRPr="00936879">
        <w:t xml:space="preserve"> and strong personal beliefs about rights, responsibilities and sovereignty.</w:t>
      </w:r>
    </w:p>
    <w:p w14:paraId="51940039" w14:textId="77777777" w:rsidR="00567185" w:rsidRPr="00936879" w:rsidRDefault="00567185" w:rsidP="00567185">
      <w:pPr>
        <w:spacing w:line="360" w:lineRule="auto"/>
      </w:pPr>
    </w:p>
    <w:p w14:paraId="35D9788E" w14:textId="19450CA2" w:rsidR="00567185" w:rsidRDefault="00567185" w:rsidP="00567185">
      <w:pPr>
        <w:spacing w:line="360" w:lineRule="auto"/>
      </w:pPr>
      <w:r w:rsidRPr="00936879">
        <w:t>The concept of anomie, however, widens our understanding further. Anomie characterises a dissolution or absence of established moral values, standards or mores that create a resulting normlessness.</w:t>
      </w:r>
      <w:r w:rsidRPr="00936879">
        <w:rPr>
          <w:vertAlign w:val="superscript"/>
        </w:rPr>
        <w:t>4,5</w:t>
      </w:r>
      <w:r w:rsidRPr="00936879">
        <w:t xml:space="preserve"> Discordance between personal and group norms—the absence of a shared social ethic—weakens</w:t>
      </w:r>
      <w:r>
        <w:t xml:space="preserve"> communal bonds, impacting individual stress, frustration, anxiety, confusion and powerlessness. During COVID-19, segments of society have experienced powerlessness and loss of agency as daily routines were disrupted, and further compounded by financial and mental distress as morbidity and mortality data dominated daily news headlines.</w:t>
      </w:r>
    </w:p>
    <w:p w14:paraId="72F2B500" w14:textId="77777777" w:rsidR="00567185" w:rsidRDefault="00567185" w:rsidP="00567185">
      <w:pPr>
        <w:spacing w:line="360" w:lineRule="auto"/>
      </w:pPr>
    </w:p>
    <w:p w14:paraId="6416C3E6" w14:textId="1ACA9B0F" w:rsidR="00567185" w:rsidRPr="00567185" w:rsidRDefault="00567185" w:rsidP="00567185">
      <w:pPr>
        <w:spacing w:line="360" w:lineRule="auto"/>
      </w:pPr>
      <w:r>
        <w:lastRenderedPageBreak/>
        <w:t xml:space="preserve">A visible minority began disregarding public health messaging, challenging norms needed to ensure a successful preventative response to the pandemic (e.g., hoarding of restricted supermarket items). That such behaviour was limited to a relative minority neither undermines the existence of anomie—self-interest remains juxtaposed to collective duty—nor weakens the contestation of existing dominant normative </w:t>
      </w:r>
      <w:r w:rsidRPr="00567185">
        <w:t>paradigms.</w:t>
      </w:r>
      <w:r w:rsidRPr="00567185">
        <w:rPr>
          <w:vertAlign w:val="superscript"/>
        </w:rPr>
        <w:t>6</w:t>
      </w:r>
      <w:r w:rsidRPr="00567185">
        <w:t xml:space="preserve"> Contesting ideas can reach a tipping point of popularity, establishing a new dominant social norm.</w:t>
      </w:r>
      <w:r w:rsidRPr="00567185">
        <w:rPr>
          <w:vertAlign w:val="superscript"/>
        </w:rPr>
        <w:t>7</w:t>
      </w:r>
      <w:r w:rsidRPr="00567185">
        <w:t xml:space="preserve"> This can trigger detrimental behaviour (e.g., for infection rates) if the once dominant paradigm supported laudable public health messaging.</w:t>
      </w:r>
    </w:p>
    <w:p w14:paraId="586634FB" w14:textId="77777777" w:rsidR="00567185" w:rsidRPr="00567185" w:rsidRDefault="00567185" w:rsidP="00567185">
      <w:pPr>
        <w:spacing w:line="360" w:lineRule="auto"/>
      </w:pPr>
    </w:p>
    <w:p w14:paraId="640B66A2" w14:textId="40F9BD8E" w:rsidR="00567185" w:rsidRDefault="00567185" w:rsidP="00567185">
      <w:pPr>
        <w:spacing w:line="360" w:lineRule="auto"/>
      </w:pPr>
      <w:r w:rsidRPr="00567185">
        <w:t>In addressing this threat, it is vital to reinforce public health messaging by bolstering the underpinning social norms. Durkheim’s remedy was moral education, by which the collective consciousness—shared knowledge, ideas, beliefs, and attitudes—is nurtured by supporting the collectivist tendencies of individuals,</w:t>
      </w:r>
      <w:r w:rsidRPr="00567185">
        <w:rPr>
          <w:vertAlign w:val="superscript"/>
        </w:rPr>
        <w:t>8</w:t>
      </w:r>
      <w:r w:rsidRPr="00567185">
        <w:t xml:space="preserve"> which can be achieved by various means.</w:t>
      </w:r>
      <w:r w:rsidRPr="00567185">
        <w:rPr>
          <w:vertAlign w:val="superscript"/>
        </w:rPr>
        <w:t>9</w:t>
      </w:r>
      <w:r w:rsidRPr="00567185">
        <w:t xml:space="preserve"> While</w:t>
      </w:r>
      <w:r>
        <w:t xml:space="preserve"> using injunctions against those who transgress (e.g., monetary fines) can supplement positive public health measures, Durkheim crucially counselled that the imposition of norms does not bind individuals to the collective as strongly as consensus. Such a didactic approach can undermine solidarity, potentially nurturing a scapegoat culture that can exacerbate existing and historical inequities (e.g., enforcing vaccine uptake among ethnic minority populations). </w:t>
      </w:r>
    </w:p>
    <w:p w14:paraId="246D52CF" w14:textId="77777777" w:rsidR="00567185" w:rsidRDefault="00567185" w:rsidP="00567185">
      <w:pPr>
        <w:spacing w:line="360" w:lineRule="auto"/>
      </w:pPr>
    </w:p>
    <w:p w14:paraId="110E8FA4" w14:textId="77777777" w:rsidR="00567185" w:rsidRDefault="00567185" w:rsidP="00567185">
      <w:pPr>
        <w:spacing w:line="360" w:lineRule="auto"/>
      </w:pPr>
      <w:r>
        <w:t xml:space="preserve">Indeed, disruption of the social order, and the emergence of new policy prescriptions to tackle the pandemic, re-exposed chronic </w:t>
      </w:r>
      <w:r w:rsidRPr="00567185">
        <w:t>inequalities.</w:t>
      </w:r>
      <w:r w:rsidRPr="00567185">
        <w:rPr>
          <w:vertAlign w:val="superscript"/>
        </w:rPr>
        <w:t>10,11</w:t>
      </w:r>
      <w:r w:rsidRPr="00567185">
        <w:t xml:space="preserve"> ‘Stay at home’</w:t>
      </w:r>
      <w:r>
        <w:t xml:space="preserve"> advice had different connotations to a large segment of society, those who were a victim of domestic abuse, or struggling to pay the rent, provide for their family, and those families that could not afford broadband, a personal laptop or access to a garden.</w:t>
      </w:r>
    </w:p>
    <w:p w14:paraId="76A94225" w14:textId="77777777" w:rsidR="00567185" w:rsidRDefault="00567185" w:rsidP="00567185">
      <w:pPr>
        <w:spacing w:line="360" w:lineRule="auto"/>
      </w:pPr>
    </w:p>
    <w:p w14:paraId="565B6ECA" w14:textId="77777777" w:rsidR="00567185" w:rsidRDefault="00567185" w:rsidP="00567185">
      <w:pPr>
        <w:spacing w:line="360" w:lineRule="auto"/>
      </w:pPr>
      <w:r>
        <w:t xml:space="preserve">An effective public health strategy is a holistic one that creates an open and inclusive dialogue with diverse community groups to identify shared values. This inclusive dialogue can help create a normative system that encourages the adoption and diffusion of initiatives that address structural inequalities and injustices. </w:t>
      </w:r>
    </w:p>
    <w:p w14:paraId="0CB62436" w14:textId="77777777" w:rsidR="00567185" w:rsidRDefault="00567185" w:rsidP="00567185">
      <w:pPr>
        <w:spacing w:line="360" w:lineRule="auto"/>
      </w:pPr>
    </w:p>
    <w:p w14:paraId="4297E384" w14:textId="77777777" w:rsidR="00567185" w:rsidRDefault="00567185" w:rsidP="00567185">
      <w:pPr>
        <w:spacing w:line="360" w:lineRule="auto"/>
      </w:pPr>
      <w:r>
        <w:t xml:space="preserve">Scrutiny of the UK’s response to COVID-19 has made the case for self-care as a public health measure to tackle communicable diseases, whilst also highlighting its limitations vis-à-vis individual rights and responsibilities and extant structural inequalities.  These challenges have not undermined the self-care agenda; rather, they have highlighted the need to reinforce it, to shore up the normative elements that underpin it to ensure success. </w:t>
      </w:r>
    </w:p>
    <w:p w14:paraId="580005C2" w14:textId="77777777" w:rsidR="00567185" w:rsidRDefault="00567185" w:rsidP="00567185">
      <w:pPr>
        <w:spacing w:line="360" w:lineRule="auto"/>
      </w:pPr>
    </w:p>
    <w:p w14:paraId="13E9D645" w14:textId="4F95A65A" w:rsidR="00567185" w:rsidRDefault="00567185" w:rsidP="00567185">
      <w:pPr>
        <w:spacing w:line="360" w:lineRule="auto"/>
      </w:pPr>
      <w:r>
        <w:lastRenderedPageBreak/>
        <w:t xml:space="preserve">Although the sustained adoption of health-seeking behaviours is crucial, individual self-care alone is insufficient to tackle the pandemic; societal responsibility is also required whereby 1) individuals act in responsible and rational ways to prevent COVID-19 spread until pharmacological interventions to prevent or manage the virus become widely available, and 2) communities and governing institutions work together to build a more equal society. In the UK, the current political climate is characterised by discourse in which individuals are the source of, </w:t>
      </w:r>
      <w:r w:rsidRPr="00DB4F9B">
        <w:t>and</w:t>
      </w:r>
      <w:r>
        <w:t xml:space="preserve"> the solution to, social problems. Policies and practices continue to focus upon individual rather than collective responsibility. Both aspects need to be addressed when tackling national emergencies, including global pandemics. As Durkheim </w:t>
      </w:r>
      <w:r w:rsidRPr="00567185">
        <w:t>recognised,</w:t>
      </w:r>
      <w:r w:rsidRPr="00567185">
        <w:rPr>
          <w:vertAlign w:val="superscript"/>
        </w:rPr>
        <w:t>12</w:t>
      </w:r>
      <w:r w:rsidRPr="00567185">
        <w:t xml:space="preserve"> social</w:t>
      </w:r>
      <w:r>
        <w:t xml:space="preserve"> justice and equality are necessary to sustain solidarity – they are the bond connecting individuals in society that ensures stability and social order. </w:t>
      </w:r>
    </w:p>
    <w:p w14:paraId="0CCDD309" w14:textId="77777777" w:rsidR="00567185" w:rsidRDefault="00567185" w:rsidP="00567185"/>
    <w:p w14:paraId="28EBF31D" w14:textId="77777777" w:rsidR="008C67B0" w:rsidRDefault="008C67B0" w:rsidP="008C67B0">
      <w:pPr>
        <w:rPr>
          <w:i/>
        </w:rPr>
      </w:pP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67B0" w14:paraId="2F86DDDD" w14:textId="77777777" w:rsidTr="00BF48E8">
        <w:tc>
          <w:tcPr>
            <w:tcW w:w="9029" w:type="dxa"/>
            <w:shd w:val="clear" w:color="auto" w:fill="auto"/>
            <w:tcMar>
              <w:top w:w="100" w:type="dxa"/>
              <w:left w:w="100" w:type="dxa"/>
              <w:bottom w:w="100" w:type="dxa"/>
              <w:right w:w="100" w:type="dxa"/>
            </w:tcMar>
          </w:tcPr>
          <w:p w14:paraId="7EDA75B3" w14:textId="77777777" w:rsidR="008C67B0" w:rsidRDefault="008C67B0" w:rsidP="00BF48E8">
            <w:pPr>
              <w:widowControl w:val="0"/>
              <w:pBdr>
                <w:top w:val="nil"/>
                <w:left w:val="nil"/>
                <w:bottom w:val="nil"/>
                <w:right w:val="nil"/>
                <w:between w:val="nil"/>
              </w:pBdr>
              <w:spacing w:line="240" w:lineRule="auto"/>
              <w:rPr>
                <w:i/>
                <w:highlight w:val="yellow"/>
              </w:rPr>
            </w:pPr>
            <w:r>
              <w:rPr>
                <w:b/>
              </w:rPr>
              <w:t>KEY MESSAGES</w:t>
            </w:r>
          </w:p>
          <w:p w14:paraId="1DE24FE3" w14:textId="77777777" w:rsidR="008C67B0" w:rsidRDefault="008C67B0" w:rsidP="00BF48E8">
            <w:pPr>
              <w:rPr>
                <w:b/>
                <w:i/>
              </w:rPr>
            </w:pPr>
          </w:p>
          <w:p w14:paraId="0E1F74AF" w14:textId="569E00C6" w:rsidR="008C67B0" w:rsidRDefault="008C67B0" w:rsidP="00BF48E8">
            <w:pPr>
              <w:widowControl w:val="0"/>
              <w:numPr>
                <w:ilvl w:val="0"/>
                <w:numId w:val="1"/>
              </w:numPr>
              <w:pBdr>
                <w:top w:val="nil"/>
                <w:left w:val="nil"/>
                <w:bottom w:val="nil"/>
                <w:right w:val="nil"/>
                <w:between w:val="nil"/>
              </w:pBdr>
              <w:spacing w:line="240" w:lineRule="auto"/>
              <w:rPr>
                <w:b/>
              </w:rPr>
            </w:pPr>
            <w:r>
              <w:rPr>
                <w:b/>
              </w:rPr>
              <w:t xml:space="preserve">Self-care has </w:t>
            </w:r>
            <w:r w:rsidR="00E265A5">
              <w:rPr>
                <w:b/>
              </w:rPr>
              <w:t xml:space="preserve">been, and continues to be, </w:t>
            </w:r>
            <w:r>
              <w:rPr>
                <w:b/>
              </w:rPr>
              <w:t>critical to tackling the COVID-19 pandemic</w:t>
            </w:r>
          </w:p>
          <w:p w14:paraId="67CC2068" w14:textId="77777777" w:rsidR="008C67B0" w:rsidRDefault="008C67B0" w:rsidP="00BF48E8">
            <w:pPr>
              <w:widowControl w:val="0"/>
              <w:pBdr>
                <w:top w:val="nil"/>
                <w:left w:val="nil"/>
                <w:bottom w:val="nil"/>
                <w:right w:val="nil"/>
                <w:between w:val="nil"/>
              </w:pBdr>
              <w:spacing w:line="240" w:lineRule="auto"/>
              <w:rPr>
                <w:b/>
              </w:rPr>
            </w:pPr>
          </w:p>
          <w:p w14:paraId="1D0436E3" w14:textId="784DEBBF" w:rsidR="008C67B0" w:rsidRDefault="008C67B0" w:rsidP="00BF48E8">
            <w:pPr>
              <w:widowControl w:val="0"/>
              <w:numPr>
                <w:ilvl w:val="0"/>
                <w:numId w:val="1"/>
              </w:numPr>
              <w:pBdr>
                <w:top w:val="nil"/>
                <w:left w:val="nil"/>
                <w:bottom w:val="nil"/>
                <w:right w:val="nil"/>
                <w:between w:val="nil"/>
              </w:pBdr>
              <w:spacing w:line="240" w:lineRule="auto"/>
              <w:rPr>
                <w:b/>
                <w:bCs/>
              </w:rPr>
            </w:pPr>
            <w:r>
              <w:rPr>
                <w:b/>
                <w:bCs/>
              </w:rPr>
              <w:t>The concept of a</w:t>
            </w:r>
            <w:r w:rsidRPr="00E649EC">
              <w:rPr>
                <w:b/>
                <w:bCs/>
              </w:rPr>
              <w:t>nomie</w:t>
            </w:r>
            <w:r w:rsidR="00E265A5">
              <w:rPr>
                <w:b/>
                <w:bCs/>
              </w:rPr>
              <w:t>—</w:t>
            </w:r>
            <w:r w:rsidRPr="00E649EC">
              <w:rPr>
                <w:b/>
                <w:bCs/>
              </w:rPr>
              <w:t>an uprooting, dissolution or absence of established moral values</w:t>
            </w:r>
            <w:r w:rsidR="00E265A5">
              <w:rPr>
                <w:b/>
                <w:bCs/>
              </w:rPr>
              <w:t>,</w:t>
            </w:r>
            <w:r w:rsidR="00E265A5">
              <w:t xml:space="preserve"> </w:t>
            </w:r>
            <w:r w:rsidR="00E265A5" w:rsidRPr="00E265A5">
              <w:rPr>
                <w:b/>
                <w:bCs/>
              </w:rPr>
              <w:t xml:space="preserve">guiding standards, or social mores, creating normlessness </w:t>
            </w:r>
            <w:r w:rsidR="00E265A5">
              <w:rPr>
                <w:b/>
                <w:bCs/>
              </w:rPr>
              <w:t xml:space="preserve">—cannot </w:t>
            </w:r>
            <w:r>
              <w:rPr>
                <w:b/>
                <w:bCs/>
              </w:rPr>
              <w:t>be overlooked when planning a</w:t>
            </w:r>
            <w:r w:rsidR="00E265A5">
              <w:rPr>
                <w:b/>
                <w:bCs/>
              </w:rPr>
              <w:t>n</w:t>
            </w:r>
            <w:r>
              <w:rPr>
                <w:b/>
                <w:bCs/>
              </w:rPr>
              <w:t xml:space="preserve"> </w:t>
            </w:r>
            <w:r w:rsidR="00E265A5">
              <w:rPr>
                <w:b/>
                <w:bCs/>
              </w:rPr>
              <w:t xml:space="preserve">integrated </w:t>
            </w:r>
            <w:r>
              <w:rPr>
                <w:b/>
                <w:bCs/>
              </w:rPr>
              <w:t>social response</w:t>
            </w:r>
          </w:p>
          <w:p w14:paraId="45BA54AB" w14:textId="77777777" w:rsidR="008C67B0" w:rsidRDefault="008C67B0" w:rsidP="00BF48E8">
            <w:pPr>
              <w:pStyle w:val="ListParagraph"/>
              <w:rPr>
                <w:b/>
                <w:bCs/>
              </w:rPr>
            </w:pPr>
          </w:p>
          <w:p w14:paraId="27B6EBF5" w14:textId="2E455DFC" w:rsidR="008C67B0" w:rsidRDefault="00E265A5" w:rsidP="00E265A5">
            <w:pPr>
              <w:widowControl w:val="0"/>
              <w:numPr>
                <w:ilvl w:val="0"/>
                <w:numId w:val="1"/>
              </w:numPr>
              <w:pBdr>
                <w:top w:val="nil"/>
                <w:left w:val="nil"/>
                <w:bottom w:val="nil"/>
                <w:right w:val="nil"/>
                <w:between w:val="nil"/>
              </w:pBdr>
              <w:spacing w:line="240" w:lineRule="auto"/>
              <w:rPr>
                <w:b/>
              </w:rPr>
            </w:pPr>
            <w:r>
              <w:rPr>
                <w:b/>
                <w:bCs/>
              </w:rPr>
              <w:t>T</w:t>
            </w:r>
            <w:r w:rsidRPr="00E265A5">
              <w:rPr>
                <w:b/>
                <w:bCs/>
              </w:rPr>
              <w:t>he dominant narrative of personal self-care must be supplemented with a collectivist approach that addresses structural inequalities</w:t>
            </w:r>
            <w:r>
              <w:rPr>
                <w:b/>
                <w:bCs/>
              </w:rPr>
              <w:t xml:space="preserve"> for the future</w:t>
            </w:r>
          </w:p>
        </w:tc>
      </w:tr>
    </w:tbl>
    <w:p w14:paraId="63FA222D" w14:textId="77777777" w:rsidR="008C67B0" w:rsidRDefault="008C67B0" w:rsidP="008C67B0"/>
    <w:p w14:paraId="099758D2" w14:textId="77777777" w:rsidR="00076444" w:rsidRPr="00076444" w:rsidRDefault="00076444" w:rsidP="00076444">
      <w:pPr>
        <w:spacing w:before="200"/>
        <w:rPr>
          <w:b/>
          <w:bCs/>
        </w:rPr>
      </w:pPr>
      <w:r w:rsidRPr="00076444">
        <w:rPr>
          <w:b/>
          <w:bCs/>
        </w:rPr>
        <w:t>References</w:t>
      </w:r>
    </w:p>
    <w:p w14:paraId="1B894356" w14:textId="7BE47D22" w:rsidR="005C6898" w:rsidRPr="00EC51AB" w:rsidRDefault="00682869" w:rsidP="005C6898">
      <w:pPr>
        <w:spacing w:before="200"/>
        <w:ind w:left="567" w:hanging="567"/>
      </w:pPr>
      <w:r>
        <w:t>1</w:t>
      </w:r>
      <w:r w:rsidR="005C6898" w:rsidRPr="005C6898">
        <w:t xml:space="preserve">. </w:t>
      </w:r>
      <w:r w:rsidR="005C6898" w:rsidRPr="005C6898">
        <w:tab/>
        <w:t xml:space="preserve">Department of Health and Social Care.  Guidance: Face coverings: when to wear one, exemptions, and how to make one. Gov.UK. 4 </w:t>
      </w:r>
      <w:proofErr w:type="gramStart"/>
      <w:r w:rsidR="005C6898" w:rsidRPr="005C6898">
        <w:t>December,</w:t>
      </w:r>
      <w:proofErr w:type="gramEnd"/>
      <w:r w:rsidR="005C6898" w:rsidRPr="005C6898">
        <w:t xml:space="preserve"> 2020.  https://www.gov.uk/government/publications/</w:t>
      </w:r>
      <w:r w:rsidR="005C6898" w:rsidRPr="00EC51AB">
        <w:t xml:space="preserve">face-coverings-when-to-wear-one-and-how-to-make-your-own. </w:t>
      </w:r>
    </w:p>
    <w:p w14:paraId="7BE902D8" w14:textId="76283DB1" w:rsidR="005C6898" w:rsidRPr="00EC51AB" w:rsidRDefault="00567185" w:rsidP="005C6898">
      <w:pPr>
        <w:spacing w:before="200"/>
        <w:ind w:left="567" w:hanging="567"/>
      </w:pPr>
      <w:r>
        <w:t>2</w:t>
      </w:r>
      <w:r w:rsidR="005C6898" w:rsidRPr="00EC51AB">
        <w:t xml:space="preserve">. </w:t>
      </w:r>
      <w:r w:rsidR="005C6898" w:rsidRPr="00EC51AB">
        <w:tab/>
        <w:t xml:space="preserve">Laskowski-Jones L.  COVID-19 and changing social norms.  </w:t>
      </w:r>
      <w:proofErr w:type="spellStart"/>
      <w:r w:rsidR="005C6898" w:rsidRPr="00EC51AB">
        <w:t>Nurs</w:t>
      </w:r>
      <w:proofErr w:type="spellEnd"/>
      <w:r w:rsidR="005C6898" w:rsidRPr="00EC51AB">
        <w:t xml:space="preserve"> Manage</w:t>
      </w:r>
      <w:r w:rsidR="00EC51AB" w:rsidRPr="00EC51AB">
        <w:t>.</w:t>
      </w:r>
      <w:r w:rsidR="005C6898" w:rsidRPr="00EC51AB">
        <w:t xml:space="preserve"> 2020</w:t>
      </w:r>
      <w:r w:rsidR="00EC51AB" w:rsidRPr="00EC51AB">
        <w:t xml:space="preserve"> Jun; 51:5</w:t>
      </w:r>
      <w:r w:rsidR="005C6898" w:rsidRPr="00EC51AB">
        <w:t>.</w:t>
      </w:r>
    </w:p>
    <w:p w14:paraId="61BE52FE" w14:textId="3AF2D6FA" w:rsidR="005C6898" w:rsidRPr="005C6898" w:rsidRDefault="00567185" w:rsidP="005C6898">
      <w:pPr>
        <w:spacing w:before="200"/>
        <w:ind w:left="567" w:hanging="567"/>
      </w:pPr>
      <w:r>
        <w:t>3</w:t>
      </w:r>
      <w:r w:rsidR="005C6898" w:rsidRPr="005C6898">
        <w:t xml:space="preserve">. </w:t>
      </w:r>
      <w:r w:rsidR="005C6898" w:rsidRPr="005C6898">
        <w:tab/>
      </w:r>
      <w:proofErr w:type="spellStart"/>
      <w:r w:rsidR="005C6898" w:rsidRPr="00B1339A">
        <w:t>Yeginsu</w:t>
      </w:r>
      <w:proofErr w:type="spellEnd"/>
      <w:r w:rsidR="005C6898" w:rsidRPr="00B1339A">
        <w:t xml:space="preserve"> C.  ‘They’re</w:t>
      </w:r>
      <w:r w:rsidR="005C6898" w:rsidRPr="005C6898">
        <w:t xml:space="preserve"> all idiots’: Amid Brexit chaos, Britons lose faith in politicians.  The New York Times, 6 September.  https://www.nytimes.com/2019/09/06/world/europe/brexit-politicians-voters-johnson.html; accessed: 29 </w:t>
      </w:r>
      <w:proofErr w:type="gramStart"/>
      <w:r w:rsidR="005C6898" w:rsidRPr="005C6898">
        <w:t>December,</w:t>
      </w:r>
      <w:proofErr w:type="gramEnd"/>
      <w:r w:rsidR="005C6898" w:rsidRPr="005C6898">
        <w:t xml:space="preserve"> 2020.</w:t>
      </w:r>
    </w:p>
    <w:p w14:paraId="5D82B8AE" w14:textId="298DF54D" w:rsidR="005C6898" w:rsidRPr="00B1339A" w:rsidRDefault="00567185" w:rsidP="005C6898">
      <w:pPr>
        <w:spacing w:before="200"/>
        <w:ind w:left="567" w:hanging="567"/>
      </w:pPr>
      <w:r>
        <w:t>4</w:t>
      </w:r>
      <w:r w:rsidR="005C6898" w:rsidRPr="005C6898">
        <w:t xml:space="preserve">. </w:t>
      </w:r>
      <w:r w:rsidR="005C6898" w:rsidRPr="005C6898">
        <w:tab/>
      </w:r>
      <w:proofErr w:type="spellStart"/>
      <w:r w:rsidR="005C6898" w:rsidRPr="005C6898">
        <w:t>Boudon</w:t>
      </w:r>
      <w:proofErr w:type="spellEnd"/>
      <w:r w:rsidR="005C6898" w:rsidRPr="005C6898">
        <w:t xml:space="preserve"> R. Anomie. </w:t>
      </w:r>
      <w:r w:rsidR="005C6898" w:rsidRPr="00B1339A">
        <w:t xml:space="preserve">New York: </w:t>
      </w:r>
      <w:proofErr w:type="spellStart"/>
      <w:r w:rsidR="005C6898" w:rsidRPr="00B1339A">
        <w:t>Encyclopædia</w:t>
      </w:r>
      <w:proofErr w:type="spellEnd"/>
      <w:r w:rsidR="005C6898" w:rsidRPr="00B1339A">
        <w:t xml:space="preserve"> Universalis, 2018.</w:t>
      </w:r>
    </w:p>
    <w:p w14:paraId="7AF3E651" w14:textId="1A181536" w:rsidR="005C6898" w:rsidRPr="00794E80" w:rsidRDefault="00567185" w:rsidP="005C6898">
      <w:pPr>
        <w:spacing w:before="200"/>
        <w:ind w:left="567" w:hanging="567"/>
      </w:pPr>
      <w:r>
        <w:t>5</w:t>
      </w:r>
      <w:r w:rsidR="005C6898" w:rsidRPr="00B1339A">
        <w:t xml:space="preserve">. </w:t>
      </w:r>
      <w:r w:rsidR="005C6898" w:rsidRPr="00B1339A">
        <w:tab/>
      </w:r>
      <w:r w:rsidR="00B1339A" w:rsidRPr="00B1339A">
        <w:t xml:space="preserve">Ali </w:t>
      </w:r>
      <w:proofErr w:type="spellStart"/>
      <w:r w:rsidR="00B1339A" w:rsidRPr="00B1339A">
        <w:t>Teymoori</w:t>
      </w:r>
      <w:proofErr w:type="spellEnd"/>
      <w:r w:rsidR="00B1339A" w:rsidRPr="00B1339A">
        <w:t xml:space="preserve"> A, </w:t>
      </w:r>
      <w:proofErr w:type="spellStart"/>
      <w:r w:rsidR="00B1339A" w:rsidRPr="00B1339A">
        <w:t>Jetten</w:t>
      </w:r>
      <w:proofErr w:type="spellEnd"/>
      <w:r w:rsidR="00B1339A" w:rsidRPr="00B1339A">
        <w:t xml:space="preserve"> J, Bastian B, </w:t>
      </w:r>
      <w:proofErr w:type="spellStart"/>
      <w:r w:rsidR="00B1339A" w:rsidRPr="00B1339A">
        <w:t>Ariyanto</w:t>
      </w:r>
      <w:proofErr w:type="spellEnd"/>
      <w:r w:rsidR="00B1339A" w:rsidRPr="00B1339A">
        <w:t xml:space="preserve"> A, </w:t>
      </w:r>
      <w:proofErr w:type="spellStart"/>
      <w:r w:rsidR="00B1339A" w:rsidRPr="00B1339A">
        <w:t>Autin</w:t>
      </w:r>
      <w:proofErr w:type="spellEnd"/>
      <w:r w:rsidR="00B1339A" w:rsidRPr="00B1339A">
        <w:t xml:space="preserve"> F, </w:t>
      </w:r>
      <w:proofErr w:type="spellStart"/>
      <w:r w:rsidR="00B1339A" w:rsidRPr="00B1339A">
        <w:t>Ayub</w:t>
      </w:r>
      <w:proofErr w:type="spellEnd"/>
      <w:r w:rsidR="00B1339A" w:rsidRPr="00B1339A">
        <w:t xml:space="preserve"> N, </w:t>
      </w:r>
      <w:proofErr w:type="spellStart"/>
      <w:r w:rsidR="00B1339A" w:rsidRPr="00B1339A">
        <w:t>Badea</w:t>
      </w:r>
      <w:proofErr w:type="spellEnd"/>
      <w:r w:rsidR="00B1339A" w:rsidRPr="00B1339A">
        <w:t xml:space="preserve"> C, </w:t>
      </w:r>
      <w:proofErr w:type="spellStart"/>
      <w:r w:rsidR="00B1339A" w:rsidRPr="00B1339A">
        <w:t>Besta</w:t>
      </w:r>
      <w:proofErr w:type="spellEnd"/>
      <w:r w:rsidR="00B1339A" w:rsidRPr="00B1339A">
        <w:t xml:space="preserve"> T, Butera F, Costa-Lopes R, Cui L, </w:t>
      </w:r>
      <w:proofErr w:type="spellStart"/>
      <w:r w:rsidR="00B1339A" w:rsidRPr="00B1339A">
        <w:t>Fantini</w:t>
      </w:r>
      <w:proofErr w:type="spellEnd"/>
      <w:r w:rsidR="00B1339A" w:rsidRPr="00B1339A">
        <w:t xml:space="preserve"> C, </w:t>
      </w:r>
      <w:proofErr w:type="spellStart"/>
      <w:r w:rsidR="00B1339A" w:rsidRPr="00B1339A">
        <w:t>Finchilescu</w:t>
      </w:r>
      <w:proofErr w:type="spellEnd"/>
      <w:r w:rsidR="00B1339A" w:rsidRPr="00B1339A">
        <w:t xml:space="preserve"> G, Gaertner L, Gollwitzer M, Gómez A, González R, Hong YY, Jensen DH, </w:t>
      </w:r>
      <w:proofErr w:type="spellStart"/>
      <w:r w:rsidR="00B1339A" w:rsidRPr="00B1339A">
        <w:t>Karasawa</w:t>
      </w:r>
      <w:proofErr w:type="spellEnd"/>
      <w:r w:rsidR="00B1339A" w:rsidRPr="00B1339A">
        <w:t xml:space="preserve"> M, Kessler T, Klein O, Lima </w:t>
      </w:r>
      <w:r w:rsidR="00B1339A" w:rsidRPr="00B1339A">
        <w:lastRenderedPageBreak/>
        <w:t xml:space="preserve">M, </w:t>
      </w:r>
      <w:proofErr w:type="spellStart"/>
      <w:r w:rsidR="00B1339A" w:rsidRPr="00B1339A">
        <w:t>Mähönen</w:t>
      </w:r>
      <w:proofErr w:type="spellEnd"/>
      <w:r w:rsidR="00B1339A" w:rsidRPr="00B1339A">
        <w:t xml:space="preserve"> TA, </w:t>
      </w:r>
      <w:proofErr w:type="spellStart"/>
      <w:r w:rsidR="00B1339A" w:rsidRPr="00B1339A">
        <w:t>Megevand</w:t>
      </w:r>
      <w:proofErr w:type="spellEnd"/>
      <w:r w:rsidR="00B1339A" w:rsidRPr="00B1339A">
        <w:t xml:space="preserve"> L, Morton T, Paladino P, </w:t>
      </w:r>
      <w:proofErr w:type="spellStart"/>
      <w:r w:rsidR="00B1339A" w:rsidRPr="00B1339A">
        <w:t>Polya</w:t>
      </w:r>
      <w:proofErr w:type="spellEnd"/>
      <w:r w:rsidR="00B1339A" w:rsidRPr="00B1339A">
        <w:t xml:space="preserve"> T, </w:t>
      </w:r>
      <w:proofErr w:type="spellStart"/>
      <w:r w:rsidR="00B1339A" w:rsidRPr="00B1339A">
        <w:t>Ruza</w:t>
      </w:r>
      <w:proofErr w:type="spellEnd"/>
      <w:r w:rsidR="00B1339A" w:rsidRPr="00B1339A">
        <w:t xml:space="preserve"> A, Shahrazad W, Sharma S, Torres AR, van der </w:t>
      </w:r>
      <w:proofErr w:type="spellStart"/>
      <w:r w:rsidR="00B1339A" w:rsidRPr="00B1339A">
        <w:t>Bles</w:t>
      </w:r>
      <w:proofErr w:type="spellEnd"/>
      <w:r w:rsidR="00B1339A" w:rsidRPr="00B1339A">
        <w:t xml:space="preserve"> AM, Wohl M.  </w:t>
      </w:r>
      <w:r w:rsidR="005C6898" w:rsidRPr="00B1339A">
        <w:t xml:space="preserve">Revisiting the measurement of anomie.  </w:t>
      </w:r>
      <w:proofErr w:type="spellStart"/>
      <w:r w:rsidR="005C6898" w:rsidRPr="00B1339A">
        <w:t>PLoS</w:t>
      </w:r>
      <w:proofErr w:type="spellEnd"/>
      <w:r w:rsidR="005C6898" w:rsidRPr="00B1339A">
        <w:t xml:space="preserve"> One</w:t>
      </w:r>
      <w:r w:rsidR="00B1339A" w:rsidRPr="00B1339A">
        <w:t>.</w:t>
      </w:r>
      <w:r w:rsidR="005C6898" w:rsidRPr="00B1339A">
        <w:t xml:space="preserve"> </w:t>
      </w:r>
      <w:r w:rsidR="005C6898" w:rsidRPr="00794E80">
        <w:t>2016</w:t>
      </w:r>
      <w:r w:rsidR="00B1339A" w:rsidRPr="00794E80">
        <w:t xml:space="preserve"> Jul 6</w:t>
      </w:r>
      <w:r w:rsidR="005C6898" w:rsidRPr="00794E80">
        <w:t>;</w:t>
      </w:r>
      <w:proofErr w:type="gramStart"/>
      <w:r w:rsidR="005C6898" w:rsidRPr="00794E80">
        <w:t>11:e</w:t>
      </w:r>
      <w:proofErr w:type="gramEnd"/>
      <w:r w:rsidR="005C6898" w:rsidRPr="00794E80">
        <w:t>0158370.</w:t>
      </w:r>
    </w:p>
    <w:p w14:paraId="6CFA16B2" w14:textId="01F1EA3A" w:rsidR="005C6898" w:rsidRPr="00802B82" w:rsidRDefault="00567185" w:rsidP="005C6898">
      <w:pPr>
        <w:spacing w:before="200"/>
        <w:ind w:left="567" w:hanging="567"/>
      </w:pPr>
      <w:r>
        <w:t>6</w:t>
      </w:r>
      <w:r w:rsidR="005C6898" w:rsidRPr="00794E80">
        <w:t xml:space="preserve">. </w:t>
      </w:r>
      <w:r w:rsidR="005C6898" w:rsidRPr="00794E80">
        <w:tab/>
      </w:r>
      <w:r w:rsidR="005C6898" w:rsidRPr="00005010">
        <w:t xml:space="preserve">Mackie G, LeJeune J.  Social Dynamics of Abandonment of Harmful Practices: A New Look at the Theory.  Special Series on Social Norms and Harmful Practices, </w:t>
      </w:r>
      <w:proofErr w:type="spellStart"/>
      <w:r w:rsidR="005C6898" w:rsidRPr="00005010">
        <w:t>Innocenti</w:t>
      </w:r>
      <w:proofErr w:type="spellEnd"/>
      <w:r w:rsidR="005C6898" w:rsidRPr="00005010">
        <w:t xml:space="preserve"> </w:t>
      </w:r>
      <w:r w:rsidR="005C6898" w:rsidRPr="00802B82">
        <w:t xml:space="preserve">Working Paper No. 2009-06, Florence, UNICEF </w:t>
      </w:r>
      <w:proofErr w:type="spellStart"/>
      <w:r w:rsidR="005C6898" w:rsidRPr="00802B82">
        <w:t>Innocenti</w:t>
      </w:r>
      <w:proofErr w:type="spellEnd"/>
      <w:r w:rsidR="005C6898" w:rsidRPr="00802B82">
        <w:t xml:space="preserve"> Research Centre, 2009.</w:t>
      </w:r>
    </w:p>
    <w:p w14:paraId="5145A4CC" w14:textId="7C51AD8E" w:rsidR="005C6898" w:rsidRPr="00802B82" w:rsidRDefault="00567185" w:rsidP="005C6898">
      <w:pPr>
        <w:spacing w:before="200"/>
        <w:ind w:left="567" w:hanging="567"/>
      </w:pPr>
      <w:r>
        <w:t>7</w:t>
      </w:r>
      <w:r w:rsidR="005C6898" w:rsidRPr="00802B82">
        <w:t xml:space="preserve">. </w:t>
      </w:r>
      <w:r w:rsidR="005C6898" w:rsidRPr="00802B82">
        <w:tab/>
      </w:r>
      <w:proofErr w:type="spellStart"/>
      <w:r w:rsidR="005C6898" w:rsidRPr="00802B82">
        <w:t>Centola</w:t>
      </w:r>
      <w:proofErr w:type="spellEnd"/>
      <w:r w:rsidR="005C6898" w:rsidRPr="00802B82">
        <w:t xml:space="preserve"> D, Becker J, </w:t>
      </w:r>
      <w:proofErr w:type="spellStart"/>
      <w:r w:rsidR="005C6898" w:rsidRPr="00802B82">
        <w:t>Brackbill</w:t>
      </w:r>
      <w:proofErr w:type="spellEnd"/>
      <w:r w:rsidR="005C6898" w:rsidRPr="00802B82">
        <w:t xml:space="preserve"> D, </w:t>
      </w:r>
      <w:proofErr w:type="spellStart"/>
      <w:r w:rsidR="005C6898" w:rsidRPr="00802B82">
        <w:t>Baronchelli</w:t>
      </w:r>
      <w:proofErr w:type="spellEnd"/>
      <w:r w:rsidR="005C6898" w:rsidRPr="00802B82">
        <w:t xml:space="preserve"> A.  Experimental evidence for tipping points in social convention. Science</w:t>
      </w:r>
      <w:r w:rsidR="00802B82" w:rsidRPr="00802B82">
        <w:t>.</w:t>
      </w:r>
      <w:r w:rsidR="005C6898" w:rsidRPr="00802B82">
        <w:t xml:space="preserve"> 2018</w:t>
      </w:r>
      <w:r w:rsidR="00802B82" w:rsidRPr="00802B82">
        <w:t xml:space="preserve"> Jun </w:t>
      </w:r>
      <w:proofErr w:type="gramStart"/>
      <w:r w:rsidR="00802B82" w:rsidRPr="00802B82">
        <w:t>8;</w:t>
      </w:r>
      <w:r w:rsidR="005C6898" w:rsidRPr="00802B82">
        <w:t>360:1116</w:t>
      </w:r>
      <w:proofErr w:type="gramEnd"/>
      <w:r w:rsidR="005C6898" w:rsidRPr="00802B82">
        <w:t>-1119.</w:t>
      </w:r>
    </w:p>
    <w:p w14:paraId="020DD9C8" w14:textId="71404CC3" w:rsidR="005C6898" w:rsidRPr="00005010" w:rsidRDefault="00567185" w:rsidP="005C6898">
      <w:pPr>
        <w:spacing w:before="200"/>
        <w:ind w:left="567" w:hanging="567"/>
      </w:pPr>
      <w:r>
        <w:t>8</w:t>
      </w:r>
      <w:r w:rsidR="005C6898" w:rsidRPr="00802B82">
        <w:t xml:space="preserve">. </w:t>
      </w:r>
      <w:r w:rsidR="005C6898" w:rsidRPr="00802B82">
        <w:tab/>
        <w:t>Durkheim</w:t>
      </w:r>
      <w:r w:rsidR="005C6898" w:rsidRPr="00005010">
        <w:t xml:space="preserve"> E.  Moral Education.  New York: Dover Publications, Inc, 1925.</w:t>
      </w:r>
    </w:p>
    <w:p w14:paraId="68687571" w14:textId="114DA926" w:rsidR="005C6898" w:rsidRPr="001E328E" w:rsidRDefault="00567185" w:rsidP="005C6898">
      <w:pPr>
        <w:spacing w:before="200"/>
        <w:ind w:left="567" w:hanging="567"/>
      </w:pPr>
      <w:r>
        <w:t>9</w:t>
      </w:r>
      <w:r w:rsidR="005C6898" w:rsidRPr="00005010">
        <w:t xml:space="preserve">. </w:t>
      </w:r>
      <w:r w:rsidR="005C6898" w:rsidRPr="00005010">
        <w:tab/>
      </w:r>
      <w:proofErr w:type="spellStart"/>
      <w:r w:rsidR="005C6898" w:rsidRPr="00005010">
        <w:t>Boote</w:t>
      </w:r>
      <w:proofErr w:type="spellEnd"/>
      <w:r w:rsidR="005C6898" w:rsidRPr="00005010">
        <w:t xml:space="preserve"> DN.  Durkheim’s naturalistic moral education: Pluralism, social change and autonomy</w:t>
      </w:r>
      <w:r w:rsidR="005C6898" w:rsidRPr="001E328E">
        <w:t>, pp.319-27.  In: Fletcher, S (ed.) Philosophy of Education.  Urbana, IL: Philosophy of Education Society, 2002.</w:t>
      </w:r>
    </w:p>
    <w:p w14:paraId="6615AB3E" w14:textId="24E6694D" w:rsidR="00567185" w:rsidRPr="00794E80" w:rsidRDefault="00567185" w:rsidP="00567185">
      <w:pPr>
        <w:spacing w:before="200"/>
        <w:ind w:left="567" w:hanging="567"/>
      </w:pPr>
      <w:r>
        <w:t>10.</w:t>
      </w:r>
      <w:r>
        <w:tab/>
      </w:r>
      <w:proofErr w:type="spellStart"/>
      <w:r w:rsidRPr="00794E80">
        <w:t>Scambler</w:t>
      </w:r>
      <w:proofErr w:type="spellEnd"/>
      <w:r w:rsidRPr="00794E80">
        <w:t xml:space="preserve">, G.  Covid-19 as a ‘breaching experiment’: exposing the fractured society. Health Sociology Review.  2020 Jul </w:t>
      </w:r>
      <w:proofErr w:type="gramStart"/>
      <w:r w:rsidRPr="00794E80">
        <w:t>10;29:140</w:t>
      </w:r>
      <w:proofErr w:type="gramEnd"/>
      <w:r w:rsidRPr="00794E80">
        <w:t xml:space="preserve">-148. </w:t>
      </w:r>
    </w:p>
    <w:p w14:paraId="685748FB" w14:textId="77777777" w:rsidR="00567185" w:rsidRPr="00005010" w:rsidRDefault="00567185" w:rsidP="00567185">
      <w:pPr>
        <w:spacing w:before="200"/>
        <w:ind w:left="567" w:hanging="567"/>
      </w:pPr>
      <w:r w:rsidRPr="00005010">
        <w:t>1</w:t>
      </w:r>
      <w:r>
        <w:t>1</w:t>
      </w:r>
      <w:r w:rsidRPr="00005010">
        <w:t xml:space="preserve">. </w:t>
      </w:r>
      <w:r w:rsidRPr="00005010">
        <w:tab/>
        <w:t xml:space="preserve">Equality and Human Rights Commission. How coronavirus has affected equality and human rights. Equality and Human Rights Commission, 2020. </w:t>
      </w:r>
    </w:p>
    <w:p w14:paraId="23519B41" w14:textId="28750EFF" w:rsidR="00005010" w:rsidRPr="00076444" w:rsidRDefault="00567185" w:rsidP="005C6898">
      <w:pPr>
        <w:spacing w:before="200"/>
        <w:ind w:left="567" w:hanging="567"/>
      </w:pPr>
      <w:r>
        <w:t>12.</w:t>
      </w:r>
      <w:r>
        <w:tab/>
      </w:r>
      <w:r w:rsidR="005C6898" w:rsidRPr="0074730F">
        <w:t>Mishra C, Rath N. Social solidarity during a pandemic: through and beyond Durkheimian Lens. Social Sciences and Humanities Open</w:t>
      </w:r>
      <w:r w:rsidR="0074730F" w:rsidRPr="0074730F">
        <w:t>.</w:t>
      </w:r>
      <w:r w:rsidR="005C6898" w:rsidRPr="0074730F">
        <w:t xml:space="preserve"> </w:t>
      </w:r>
      <w:proofErr w:type="gramStart"/>
      <w:r w:rsidR="005C6898" w:rsidRPr="0074730F">
        <w:t>2020;2</w:t>
      </w:r>
      <w:r w:rsidR="0074730F" w:rsidRPr="0074730F">
        <w:t>:</w:t>
      </w:r>
      <w:r w:rsidR="005C6898" w:rsidRPr="0074730F">
        <w:t>100079</w:t>
      </w:r>
      <w:proofErr w:type="gramEnd"/>
      <w:r w:rsidR="005C6898" w:rsidRPr="0074730F">
        <w:t>.</w:t>
      </w:r>
    </w:p>
    <w:sectPr w:rsidR="00005010" w:rsidRPr="00076444" w:rsidSect="00FB0890">
      <w:footerReference w:type="even" r:id="rId9"/>
      <w:footerReference w:type="default" r:id="rId10"/>
      <w:pgSz w:w="11909" w:h="16834"/>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04972" w14:textId="77777777" w:rsidR="001D41DB" w:rsidRDefault="001D41DB" w:rsidP="00661A18">
      <w:pPr>
        <w:spacing w:line="240" w:lineRule="auto"/>
      </w:pPr>
      <w:r>
        <w:separator/>
      </w:r>
    </w:p>
  </w:endnote>
  <w:endnote w:type="continuationSeparator" w:id="0">
    <w:p w14:paraId="61A5BCCD" w14:textId="77777777" w:rsidR="001D41DB" w:rsidRDefault="001D41DB" w:rsidP="00661A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4836718"/>
      <w:docPartObj>
        <w:docPartGallery w:val="Page Numbers (Bottom of Page)"/>
        <w:docPartUnique/>
      </w:docPartObj>
    </w:sdtPr>
    <w:sdtEndPr>
      <w:rPr>
        <w:rStyle w:val="PageNumber"/>
      </w:rPr>
    </w:sdtEndPr>
    <w:sdtContent>
      <w:p w14:paraId="6BC8CC00" w14:textId="6DFB20B1" w:rsidR="00661A18" w:rsidRDefault="00661A18" w:rsidP="007850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398C50" w14:textId="77777777" w:rsidR="00661A18" w:rsidRDefault="00661A18" w:rsidP="007F59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2446439"/>
      <w:docPartObj>
        <w:docPartGallery w:val="Page Numbers (Bottom of Page)"/>
        <w:docPartUnique/>
      </w:docPartObj>
    </w:sdtPr>
    <w:sdtEndPr>
      <w:rPr>
        <w:rStyle w:val="PageNumber"/>
      </w:rPr>
    </w:sdtEndPr>
    <w:sdtContent>
      <w:p w14:paraId="150B6F3F" w14:textId="28A8A4EC" w:rsidR="00661A18" w:rsidRDefault="00661A18" w:rsidP="007850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937C11" w14:textId="77777777" w:rsidR="00661A18" w:rsidRDefault="00661A18" w:rsidP="00E649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4C2A6" w14:textId="77777777" w:rsidR="001D41DB" w:rsidRDefault="001D41DB" w:rsidP="00661A18">
      <w:pPr>
        <w:spacing w:line="240" w:lineRule="auto"/>
      </w:pPr>
      <w:r>
        <w:separator/>
      </w:r>
    </w:p>
  </w:footnote>
  <w:footnote w:type="continuationSeparator" w:id="0">
    <w:p w14:paraId="07CB136D" w14:textId="77777777" w:rsidR="001D41DB" w:rsidRDefault="001D41DB" w:rsidP="00661A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64C0"/>
    <w:multiLevelType w:val="multilevel"/>
    <w:tmpl w:val="ACB2A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463B84"/>
    <w:multiLevelType w:val="hybridMultilevel"/>
    <w:tmpl w:val="88B89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D92F5C"/>
    <w:multiLevelType w:val="multilevel"/>
    <w:tmpl w:val="438CD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A2"/>
    <w:rsid w:val="00005010"/>
    <w:rsid w:val="00011E4E"/>
    <w:rsid w:val="0005742A"/>
    <w:rsid w:val="00076444"/>
    <w:rsid w:val="000A32A2"/>
    <w:rsid w:val="000B122F"/>
    <w:rsid w:val="000E535C"/>
    <w:rsid w:val="00134448"/>
    <w:rsid w:val="001435D2"/>
    <w:rsid w:val="001807D6"/>
    <w:rsid w:val="001964FB"/>
    <w:rsid w:val="001A5830"/>
    <w:rsid w:val="001D41DB"/>
    <w:rsid w:val="001E328E"/>
    <w:rsid w:val="00221475"/>
    <w:rsid w:val="0023516A"/>
    <w:rsid w:val="00250705"/>
    <w:rsid w:val="00286DE6"/>
    <w:rsid w:val="002D3588"/>
    <w:rsid w:val="00367DC6"/>
    <w:rsid w:val="003715B6"/>
    <w:rsid w:val="003D0B22"/>
    <w:rsid w:val="003F3D8B"/>
    <w:rsid w:val="003F7861"/>
    <w:rsid w:val="004078AC"/>
    <w:rsid w:val="0041161D"/>
    <w:rsid w:val="00421B73"/>
    <w:rsid w:val="004C40C9"/>
    <w:rsid w:val="004C6219"/>
    <w:rsid w:val="005070F9"/>
    <w:rsid w:val="00567185"/>
    <w:rsid w:val="00584415"/>
    <w:rsid w:val="005B17B6"/>
    <w:rsid w:val="005B31A6"/>
    <w:rsid w:val="005C23D2"/>
    <w:rsid w:val="005C6898"/>
    <w:rsid w:val="005C7F2C"/>
    <w:rsid w:val="00604FEF"/>
    <w:rsid w:val="006071A6"/>
    <w:rsid w:val="00615EE2"/>
    <w:rsid w:val="00640CE2"/>
    <w:rsid w:val="00661A18"/>
    <w:rsid w:val="00682869"/>
    <w:rsid w:val="006B0270"/>
    <w:rsid w:val="00712703"/>
    <w:rsid w:val="00716A1D"/>
    <w:rsid w:val="0074730F"/>
    <w:rsid w:val="00763B6D"/>
    <w:rsid w:val="007801D2"/>
    <w:rsid w:val="00794E80"/>
    <w:rsid w:val="007E71B5"/>
    <w:rsid w:val="007F599B"/>
    <w:rsid w:val="00802B82"/>
    <w:rsid w:val="008407BC"/>
    <w:rsid w:val="008C67B0"/>
    <w:rsid w:val="008D33E4"/>
    <w:rsid w:val="008E40DF"/>
    <w:rsid w:val="00931C9B"/>
    <w:rsid w:val="00936879"/>
    <w:rsid w:val="009415E8"/>
    <w:rsid w:val="009551ED"/>
    <w:rsid w:val="009734B4"/>
    <w:rsid w:val="0098406D"/>
    <w:rsid w:val="009E7015"/>
    <w:rsid w:val="00A41A0A"/>
    <w:rsid w:val="00A74F76"/>
    <w:rsid w:val="00A8285A"/>
    <w:rsid w:val="00A97B7A"/>
    <w:rsid w:val="00AA2270"/>
    <w:rsid w:val="00AE4055"/>
    <w:rsid w:val="00AE5804"/>
    <w:rsid w:val="00B1339A"/>
    <w:rsid w:val="00B15BDD"/>
    <w:rsid w:val="00BE0089"/>
    <w:rsid w:val="00C04C71"/>
    <w:rsid w:val="00C369AB"/>
    <w:rsid w:val="00C54159"/>
    <w:rsid w:val="00C95E2F"/>
    <w:rsid w:val="00CA2D9D"/>
    <w:rsid w:val="00CA4A24"/>
    <w:rsid w:val="00CF64B0"/>
    <w:rsid w:val="00D03C7D"/>
    <w:rsid w:val="00D33720"/>
    <w:rsid w:val="00D84FFD"/>
    <w:rsid w:val="00D975E2"/>
    <w:rsid w:val="00DB4F9B"/>
    <w:rsid w:val="00DC2415"/>
    <w:rsid w:val="00E017BC"/>
    <w:rsid w:val="00E265A5"/>
    <w:rsid w:val="00E64587"/>
    <w:rsid w:val="00E64884"/>
    <w:rsid w:val="00E649EC"/>
    <w:rsid w:val="00E73C1E"/>
    <w:rsid w:val="00EA1723"/>
    <w:rsid w:val="00EB336A"/>
    <w:rsid w:val="00EC51AB"/>
    <w:rsid w:val="00EC5C9D"/>
    <w:rsid w:val="00F3523A"/>
    <w:rsid w:val="00FB0890"/>
    <w:rsid w:val="00FD6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B08D"/>
  <w15:docId w15:val="{2038A0BC-F348-6545-A1E5-1CD02F25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B0890"/>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B0890"/>
    <w:rPr>
      <w:rFonts w:ascii="Times New Roman" w:hAnsi="Times New Roman"/>
      <w:sz w:val="18"/>
      <w:szCs w:val="18"/>
    </w:rPr>
  </w:style>
  <w:style w:type="character" w:styleId="LineNumber">
    <w:name w:val="line number"/>
    <w:basedOn w:val="DefaultParagraphFont"/>
    <w:uiPriority w:val="99"/>
    <w:semiHidden/>
    <w:unhideWhenUsed/>
    <w:rsid w:val="00FB0890"/>
  </w:style>
  <w:style w:type="paragraph" w:styleId="CommentSubject">
    <w:name w:val="annotation subject"/>
    <w:basedOn w:val="CommentText"/>
    <w:next w:val="CommentText"/>
    <w:link w:val="CommentSubjectChar"/>
    <w:uiPriority w:val="99"/>
    <w:semiHidden/>
    <w:unhideWhenUsed/>
    <w:rsid w:val="00076444"/>
    <w:rPr>
      <w:b/>
      <w:bCs/>
    </w:rPr>
  </w:style>
  <w:style w:type="character" w:customStyle="1" w:styleId="CommentSubjectChar">
    <w:name w:val="Comment Subject Char"/>
    <w:basedOn w:val="CommentTextChar"/>
    <w:link w:val="CommentSubject"/>
    <w:uiPriority w:val="99"/>
    <w:semiHidden/>
    <w:rsid w:val="00076444"/>
    <w:rPr>
      <w:b/>
      <w:bCs/>
      <w:sz w:val="20"/>
      <w:szCs w:val="20"/>
    </w:rPr>
  </w:style>
  <w:style w:type="paragraph" w:styleId="ListParagraph">
    <w:name w:val="List Paragraph"/>
    <w:basedOn w:val="Normal"/>
    <w:uiPriority w:val="34"/>
    <w:qFormat/>
    <w:rsid w:val="005C6898"/>
    <w:pPr>
      <w:ind w:left="720"/>
      <w:contextualSpacing/>
    </w:pPr>
  </w:style>
  <w:style w:type="paragraph" w:styleId="Footer">
    <w:name w:val="footer"/>
    <w:basedOn w:val="Normal"/>
    <w:link w:val="FooterChar"/>
    <w:uiPriority w:val="99"/>
    <w:unhideWhenUsed/>
    <w:rsid w:val="00661A18"/>
    <w:pPr>
      <w:tabs>
        <w:tab w:val="center" w:pos="4513"/>
        <w:tab w:val="right" w:pos="9026"/>
      </w:tabs>
      <w:spacing w:line="240" w:lineRule="auto"/>
    </w:pPr>
  </w:style>
  <w:style w:type="character" w:customStyle="1" w:styleId="FooterChar">
    <w:name w:val="Footer Char"/>
    <w:basedOn w:val="DefaultParagraphFont"/>
    <w:link w:val="Footer"/>
    <w:uiPriority w:val="99"/>
    <w:rsid w:val="00661A18"/>
  </w:style>
  <w:style w:type="character" w:styleId="PageNumber">
    <w:name w:val="page number"/>
    <w:basedOn w:val="DefaultParagraphFont"/>
    <w:uiPriority w:val="99"/>
    <w:semiHidden/>
    <w:unhideWhenUsed/>
    <w:rsid w:val="00661A18"/>
  </w:style>
  <w:style w:type="paragraph" w:styleId="Header">
    <w:name w:val="header"/>
    <w:basedOn w:val="Normal"/>
    <w:link w:val="HeaderChar"/>
    <w:uiPriority w:val="99"/>
    <w:unhideWhenUsed/>
    <w:rsid w:val="00E649EC"/>
    <w:pPr>
      <w:tabs>
        <w:tab w:val="center" w:pos="4513"/>
        <w:tab w:val="right" w:pos="9026"/>
      </w:tabs>
      <w:spacing w:line="240" w:lineRule="auto"/>
    </w:pPr>
  </w:style>
  <w:style w:type="character" w:customStyle="1" w:styleId="HeaderChar">
    <w:name w:val="Header Char"/>
    <w:basedOn w:val="DefaultParagraphFont"/>
    <w:link w:val="Header"/>
    <w:uiPriority w:val="99"/>
    <w:rsid w:val="00E649EC"/>
  </w:style>
  <w:style w:type="character" w:styleId="Hyperlink">
    <w:name w:val="Hyperlink"/>
    <w:basedOn w:val="DefaultParagraphFont"/>
    <w:uiPriority w:val="99"/>
    <w:unhideWhenUsed/>
    <w:rsid w:val="0005742A"/>
    <w:rPr>
      <w:color w:val="0000FF" w:themeColor="hyperlink"/>
      <w:u w:val="single"/>
    </w:rPr>
  </w:style>
  <w:style w:type="character" w:styleId="UnresolvedMention">
    <w:name w:val="Unresolved Mention"/>
    <w:basedOn w:val="DefaultParagraphFont"/>
    <w:uiPriority w:val="99"/>
    <w:semiHidden/>
    <w:unhideWhenUsed/>
    <w:rsid w:val="0005742A"/>
    <w:rPr>
      <w:color w:val="605E5C"/>
      <w:shd w:val="clear" w:color="auto" w:fill="E1DFDD"/>
    </w:rPr>
  </w:style>
  <w:style w:type="character" w:styleId="FollowedHyperlink">
    <w:name w:val="FollowedHyperlink"/>
    <w:basedOn w:val="DefaultParagraphFont"/>
    <w:uiPriority w:val="99"/>
    <w:semiHidden/>
    <w:unhideWhenUsed/>
    <w:rsid w:val="0005742A"/>
    <w:rPr>
      <w:color w:val="800080" w:themeColor="followedHyperlink"/>
      <w:u w:val="single"/>
    </w:rPr>
  </w:style>
  <w:style w:type="paragraph" w:styleId="Revision">
    <w:name w:val="Revision"/>
    <w:hidden/>
    <w:uiPriority w:val="99"/>
    <w:semiHidden/>
    <w:rsid w:val="003D0B2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mj.com/about-bmj/resources-authors/forms-policies-and-checklists/copyright-open-access-and-permission-reuse" TargetMode="External"/><Relationship Id="rId3" Type="http://schemas.openxmlformats.org/officeDocument/2006/relationships/settings" Target="settings.xml"/><Relationship Id="rId7" Type="http://schemas.openxmlformats.org/officeDocument/2006/relationships/hyperlink" Target="http://static.www.bmj.com/sites/default/files/attachments/resources/2011/07/bmjpolicyondeclarationofinterestsmarch201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Powell</dc:creator>
  <cp:lastModifiedBy>Kathleen Kendall</cp:lastModifiedBy>
  <cp:revision>3</cp:revision>
  <cp:lastPrinted>2021-04-26T08:34:00Z</cp:lastPrinted>
  <dcterms:created xsi:type="dcterms:W3CDTF">2021-08-20T16:17:00Z</dcterms:created>
  <dcterms:modified xsi:type="dcterms:W3CDTF">2021-08-20T16:18:00Z</dcterms:modified>
</cp:coreProperties>
</file>